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32.xml" ContentType="application/vnd.openxmlformats-officedocument.wordprocessingml.footer+xml"/>
  <Override PartName="/word/header36.xml" ContentType="application/vnd.openxmlformats-officedocument.wordprocessingml.header+xml"/>
  <Override PartName="/word/footer33.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40.xml" ContentType="application/vnd.openxmlformats-officedocument.wordprocessingml.header+xml"/>
  <Override PartName="/word/footer36.xml" ContentType="application/vnd.openxmlformats-officedocument.wordprocessingml.footer+xml"/>
  <Override PartName="/word/header41.xml" ContentType="application/vnd.openxmlformats-officedocument.wordprocessingml.header+xml"/>
  <Override PartName="/word/footer37.xml" ContentType="application/vnd.openxmlformats-officedocument.wordprocessingml.footer+xml"/>
  <Override PartName="/word/header42.xml" ContentType="application/vnd.openxmlformats-officedocument.wordprocessingml.header+xml"/>
  <Override PartName="/word/footer38.xml" ContentType="application/vnd.openxmlformats-officedocument.wordprocessingml.footer+xml"/>
  <Override PartName="/word/header43.xml" ContentType="application/vnd.openxmlformats-officedocument.wordprocessingml.header+xml"/>
  <Override PartName="/word/footer39.xml" ContentType="application/vnd.openxmlformats-officedocument.wordprocessingml.footer+xml"/>
  <Override PartName="/word/header44.xml" ContentType="application/vnd.openxmlformats-officedocument.wordprocessingml.header+xml"/>
  <Override PartName="/word/header45.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6.xml" ContentType="application/vnd.openxmlformats-officedocument.wordprocessingml.header+xml"/>
  <Override PartName="/word/footer42.xml" ContentType="application/vnd.openxmlformats-officedocument.wordprocessingml.footer+xml"/>
  <Override PartName="/word/header47.xml" ContentType="application/vnd.openxmlformats-officedocument.wordprocessingml.header+xml"/>
  <Override PartName="/word/header48.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9.xml" ContentType="application/vnd.openxmlformats-officedocument.wordprocessingml.header+xml"/>
  <Override PartName="/word/footer45.xml" ContentType="application/vnd.openxmlformats-officedocument.wordprocessingml.footer+xml"/>
  <Override PartName="/word/header50.xml" ContentType="application/vnd.openxmlformats-officedocument.wordprocessingml.header+xml"/>
  <Override PartName="/word/footer46.xml" ContentType="application/vnd.openxmlformats-officedocument.wordprocessingml.footer+xml"/>
  <Override PartName="/word/header51.xml" ContentType="application/vnd.openxmlformats-officedocument.wordprocessingml.header+xml"/>
  <Override PartName="/word/header52.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53.xml" ContentType="application/vnd.openxmlformats-officedocument.wordprocessingml.header+xml"/>
  <Override PartName="/word/footer49.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6.xml" ContentType="application/vnd.openxmlformats-officedocument.wordprocessingml.header+xml"/>
  <Override PartName="/word/footer52.xml" ContentType="application/vnd.openxmlformats-officedocument.wordprocessingml.footer+xml"/>
  <Override PartName="/word/header57.xml" ContentType="application/vnd.openxmlformats-officedocument.wordprocessingml.header+xml"/>
  <Override PartName="/word/footer53.xml" ContentType="application/vnd.openxmlformats-officedocument.wordprocessingml.footer+xml"/>
  <Override PartName="/word/header58.xml" ContentType="application/vnd.openxmlformats-officedocument.wordprocessingml.header+xml"/>
  <Override PartName="/word/footer54.xml" ContentType="application/vnd.openxmlformats-officedocument.wordprocessingml.footer+xml"/>
  <Override PartName="/word/header59.xml" ContentType="application/vnd.openxmlformats-officedocument.wordprocessingml.header+xml"/>
  <Override PartName="/word/footer55.xml" ContentType="application/vnd.openxmlformats-officedocument.wordprocessingml.footer+xml"/>
  <Override PartName="/word/header60.xml" ContentType="application/vnd.openxmlformats-officedocument.wordprocessingml.header+xml"/>
  <Override PartName="/word/footer56.xml" ContentType="application/vnd.openxmlformats-officedocument.wordprocessingml.footer+xml"/>
  <Override PartName="/word/header61.xml" ContentType="application/vnd.openxmlformats-officedocument.wordprocessingml.header+xml"/>
  <Override PartName="/word/footer57.xml" ContentType="application/vnd.openxmlformats-officedocument.wordprocessingml.footer+xml"/>
  <Override PartName="/word/header62.xml" ContentType="application/vnd.openxmlformats-officedocument.wordprocessingml.header+xml"/>
  <Override PartName="/word/footer58.xml" ContentType="application/vnd.openxmlformats-officedocument.wordprocessingml.footer+xml"/>
  <Override PartName="/word/header63.xml" ContentType="application/vnd.openxmlformats-officedocument.wordprocessingml.header+xml"/>
  <Override PartName="/word/footer59.xml" ContentType="application/vnd.openxmlformats-officedocument.wordprocessingml.footer+xml"/>
  <Override PartName="/word/header64.xml" ContentType="application/vnd.openxmlformats-officedocument.wordprocessingml.header+xml"/>
  <Override PartName="/word/footer60.xml" ContentType="application/vnd.openxmlformats-officedocument.wordprocessingml.footer+xml"/>
  <Override PartName="/word/header65.xml" ContentType="application/vnd.openxmlformats-officedocument.wordprocessingml.header+xml"/>
  <Override PartName="/word/footer61.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66.xml" ContentType="application/vnd.openxmlformats-officedocument.wordprocessingml.header+xml"/>
  <Override PartName="/word/footer62.xml" ContentType="application/vnd.openxmlformats-officedocument.wordprocessingml.footer+xml"/>
  <Override PartName="/word/header67.xml" ContentType="application/vnd.openxmlformats-officedocument.wordprocessingml.header+xml"/>
  <Override PartName="/word/footer63.xml" ContentType="application/vnd.openxmlformats-officedocument.wordprocessingml.footer+xml"/>
  <Override PartName="/word/header68.xml" ContentType="application/vnd.openxmlformats-officedocument.wordprocessingml.header+xml"/>
  <Override PartName="/word/header69.xml" ContentType="application/vnd.openxmlformats-officedocument.wordprocessingml.header+xml"/>
  <Override PartName="/word/footer64.xml" ContentType="application/vnd.openxmlformats-officedocument.wordprocessingml.footer+xml"/>
  <Override PartName="/word/header70.xml" ContentType="application/vnd.openxmlformats-officedocument.wordprocessingml.header+xml"/>
  <Override PartName="/word/footer65.xml" ContentType="application/vnd.openxmlformats-officedocument.wordprocessingml.footer+xml"/>
  <Override PartName="/word/header71.xml" ContentType="application/vnd.openxmlformats-officedocument.wordprocessingml.header+xml"/>
  <Override PartName="/word/header72.xml" ContentType="application/vnd.openxmlformats-officedocument.wordprocessingml.header+xml"/>
  <Override PartName="/word/footer66.xml" ContentType="application/vnd.openxmlformats-officedocument.wordprocessingml.footer+xml"/>
  <Override PartName="/word/header73.xml" ContentType="application/vnd.openxmlformats-officedocument.wordprocessingml.header+xml"/>
  <Override PartName="/word/footer67.xml" ContentType="application/vnd.openxmlformats-officedocument.wordprocessingml.footer+xml"/>
  <Override PartName="/word/header74.xml" ContentType="application/vnd.openxmlformats-officedocument.wordprocessingml.header+xml"/>
  <Override PartName="/word/header75.xml" ContentType="application/vnd.openxmlformats-officedocument.wordprocessingml.header+xml"/>
  <Override PartName="/word/footer68.xml" ContentType="application/vnd.openxmlformats-officedocument.wordprocessingml.footer+xml"/>
  <Override PartName="/word/header76.xml" ContentType="application/vnd.openxmlformats-officedocument.wordprocessingml.header+xml"/>
  <Override PartName="/word/footer69.xml" ContentType="application/vnd.openxmlformats-officedocument.wordprocessingml.footer+xml"/>
  <Override PartName="/word/header77.xml" ContentType="application/vnd.openxmlformats-officedocument.wordprocessingml.header+xml"/>
  <Override PartName="/word/header78.xml" ContentType="application/vnd.openxmlformats-officedocument.wordprocessingml.header+xml"/>
  <Override PartName="/word/footer70.xml" ContentType="application/vnd.openxmlformats-officedocument.wordprocessingml.footer+xml"/>
  <Override PartName="/word/header79.xml" ContentType="application/vnd.openxmlformats-officedocument.wordprocessingml.header+xml"/>
  <Override PartName="/word/footer71.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72.xml" ContentType="application/vnd.openxmlformats-officedocument.wordprocessingml.footer+xml"/>
  <Override PartName="/word/header82.xml" ContentType="application/vnd.openxmlformats-officedocument.wordprocessingml.header+xml"/>
  <Override PartName="/word/footer73.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74.xml" ContentType="application/vnd.openxmlformats-officedocument.wordprocessingml.footer+xml"/>
  <Override PartName="/word/header85.xml" ContentType="application/vnd.openxmlformats-officedocument.wordprocessingml.header+xml"/>
  <Override PartName="/word/footer7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8EDC8" w14:textId="45B88777" w:rsidR="00FD1E19" w:rsidRDefault="00EE4C2D" w:rsidP="00EE4C2D">
      <w:pPr>
        <w:pStyle w:val="Pagedecouverture"/>
        <w:rPr>
          <w:noProof/>
        </w:rPr>
      </w:pPr>
      <w:bookmarkStart w:id="0" w:name="LW_BM_COVERPAGE"/>
      <w:r>
        <w:rPr>
          <w:noProof/>
        </w:rPr>
        <w:pict w14:anchorId="3BB02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BE0AEDE8-8E9D-4158-A16A-3820E57362A1" style="width:455.25pt;height:300pt">
            <v:imagedata r:id="rId10" o:title=""/>
          </v:shape>
        </w:pict>
      </w:r>
    </w:p>
    <w:bookmarkEnd w:id="0"/>
    <w:p w14:paraId="3834B83F" w14:textId="77777777" w:rsidR="00FD1E19" w:rsidRDefault="00FD1E19" w:rsidP="00FD1E19">
      <w:pPr>
        <w:rPr>
          <w:noProof/>
        </w:rPr>
        <w:sectPr w:rsidR="00FD1E19" w:rsidSect="00EE4C2D">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4A6B3D93" w14:textId="77777777" w:rsidR="00FD1E19" w:rsidRDefault="00FD1E19" w:rsidP="00FD1E19">
      <w:pPr>
        <w:pStyle w:val="HEADERTABLE"/>
        <w:rPr>
          <w:noProof/>
          <w:lang w:val="fr-BE"/>
        </w:rPr>
      </w:pPr>
      <w:bookmarkStart w:id="1" w:name="_DMBM_37217"/>
      <w:bookmarkStart w:id="2" w:name="_CSF_TOC_1"/>
      <w:bookmarkStart w:id="3" w:name="_GoBack"/>
      <w:bookmarkEnd w:id="3"/>
      <w:r>
        <w:rPr>
          <w:noProof/>
          <w:lang w:val="fr-BE"/>
        </w:rPr>
        <w:lastRenderedPageBreak/>
        <w:t>CONTENTS</w:t>
      </w:r>
    </w:p>
    <w:sdt>
      <w:sdtPr>
        <w:rPr>
          <w:rFonts w:ascii="Times New Roman" w:eastAsia="Times New Roman" w:hAnsi="Times New Roman" w:cs="Times New Roman"/>
          <w:b w:val="0"/>
          <w:bCs w:val="0"/>
          <w:noProof/>
          <w:color w:val="auto"/>
          <w:kern w:val="2"/>
          <w:sz w:val="24"/>
          <w:szCs w:val="24"/>
          <w:lang w:val="en-GB" w:eastAsia="en-GB"/>
        </w:rPr>
        <w:id w:val="-1501265022"/>
        <w:docPartObj>
          <w:docPartGallery w:val="Table of Contents"/>
          <w:docPartUnique/>
        </w:docPartObj>
      </w:sdtPr>
      <w:sdtEndPr>
        <w:rPr>
          <w:rFonts w:asciiTheme="minorHAnsi" w:eastAsiaTheme="minorHAnsi" w:hAnsiTheme="minorHAnsi" w:cstheme="minorBidi"/>
          <w:sz w:val="22"/>
          <w:szCs w:val="22"/>
          <w:lang w:eastAsia="en-US"/>
        </w:rPr>
      </w:sdtEndPr>
      <w:sdtContent>
        <w:p w14:paraId="0F25FA49" w14:textId="77777777" w:rsidR="00FD1E19" w:rsidRDefault="00FD1E19" w:rsidP="00FD1E19">
          <w:pPr>
            <w:pStyle w:val="TOCHeading"/>
            <w:rPr>
              <w:noProof/>
            </w:rPr>
          </w:pPr>
        </w:p>
        <w:p w14:paraId="0D3BDA56" w14:textId="5F90B96B" w:rsidR="00112DC5" w:rsidRDefault="00FD1E19">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fldChar w:fldCharType="begin"/>
          </w:r>
          <w:r>
            <w:rPr>
              <w:noProof/>
            </w:rPr>
            <w:instrText xml:space="preserve"> TOC \h \z \t "FIRST_CHAPTER_PAGE;1;FIRST CHAPTER_PAGE_1;2" </w:instrText>
          </w:r>
          <w:r>
            <w:rPr>
              <w:noProof/>
            </w:rPr>
            <w:fldChar w:fldCharType="separate"/>
          </w:r>
          <w:hyperlink w:anchor="_Toc232611623" w:history="1">
            <w:r w:rsidR="00112DC5" w:rsidRPr="00EE3568">
              <w:rPr>
                <w:rStyle w:val="Hyperlink"/>
                <w:rFonts w:eastAsiaTheme="majorEastAsia"/>
                <w:noProof/>
              </w:rPr>
              <w:t>CERTIFICATION OF THE ACCOUNTS</w:t>
            </w:r>
            <w:r w:rsidR="00112DC5">
              <w:rPr>
                <w:noProof/>
                <w:webHidden/>
              </w:rPr>
              <w:tab/>
            </w:r>
            <w:r w:rsidR="00112DC5">
              <w:rPr>
                <w:noProof/>
                <w:webHidden/>
              </w:rPr>
              <w:fldChar w:fldCharType="begin"/>
            </w:r>
            <w:r w:rsidR="00112DC5">
              <w:rPr>
                <w:noProof/>
                <w:webHidden/>
              </w:rPr>
              <w:instrText xml:space="preserve"> PAGEREF _Toc232611623 \h </w:instrText>
            </w:r>
            <w:r w:rsidR="00112DC5">
              <w:rPr>
                <w:noProof/>
                <w:webHidden/>
              </w:rPr>
            </w:r>
            <w:r w:rsidR="00112DC5">
              <w:rPr>
                <w:noProof/>
                <w:webHidden/>
              </w:rPr>
              <w:fldChar w:fldCharType="separate"/>
            </w:r>
            <w:r w:rsidR="00112DC5">
              <w:rPr>
                <w:noProof/>
                <w:webHidden/>
              </w:rPr>
              <w:t>2</w:t>
            </w:r>
            <w:r w:rsidR="00112DC5">
              <w:rPr>
                <w:noProof/>
                <w:webHidden/>
              </w:rPr>
              <w:fldChar w:fldCharType="end"/>
            </w:r>
          </w:hyperlink>
        </w:p>
        <w:p w14:paraId="4C33D9F3" w14:textId="26FDEC11" w:rsidR="00112DC5" w:rsidRDefault="00EE4C2D">
          <w:pPr>
            <w:pStyle w:val="TOC1"/>
            <w:tabs>
              <w:tab w:val="right" w:leader="dot" w:pos="9628"/>
            </w:tabs>
            <w:rPr>
              <w:rFonts w:asciiTheme="minorHAnsi" w:eastAsiaTheme="minorEastAsia" w:hAnsiTheme="minorHAnsi" w:cstheme="minorBidi"/>
              <w:noProof/>
              <w:color w:val="auto"/>
              <w:kern w:val="2"/>
              <w:sz w:val="24"/>
              <w:lang w:val="en-IE" w:eastAsia="en-IE"/>
            </w:rPr>
          </w:pPr>
          <w:hyperlink w:anchor="_Toc232611624" w:history="1">
            <w:r w:rsidR="00112DC5" w:rsidRPr="00EE3568">
              <w:rPr>
                <w:rStyle w:val="Hyperlink"/>
                <w:rFonts w:eastAsiaTheme="majorEastAsia"/>
                <w:noProof/>
              </w:rPr>
              <w:t>IMPLEMENTING AND ACCOUNTING FOR THE EDF RESOURCES</w:t>
            </w:r>
            <w:r w:rsidR="00112DC5">
              <w:rPr>
                <w:noProof/>
                <w:webHidden/>
              </w:rPr>
              <w:tab/>
            </w:r>
            <w:r w:rsidR="00112DC5">
              <w:rPr>
                <w:noProof/>
                <w:webHidden/>
              </w:rPr>
              <w:fldChar w:fldCharType="begin"/>
            </w:r>
            <w:r w:rsidR="00112DC5">
              <w:rPr>
                <w:noProof/>
                <w:webHidden/>
              </w:rPr>
              <w:instrText xml:space="preserve"> PAGEREF _Toc232611624 \h </w:instrText>
            </w:r>
            <w:r w:rsidR="00112DC5">
              <w:rPr>
                <w:noProof/>
                <w:webHidden/>
              </w:rPr>
            </w:r>
            <w:r w:rsidR="00112DC5">
              <w:rPr>
                <w:noProof/>
                <w:webHidden/>
              </w:rPr>
              <w:fldChar w:fldCharType="separate"/>
            </w:r>
            <w:r w:rsidR="00112DC5">
              <w:rPr>
                <w:noProof/>
                <w:webHidden/>
              </w:rPr>
              <w:t>3</w:t>
            </w:r>
            <w:r w:rsidR="00112DC5">
              <w:rPr>
                <w:noProof/>
                <w:webHidden/>
              </w:rPr>
              <w:fldChar w:fldCharType="end"/>
            </w:r>
          </w:hyperlink>
        </w:p>
        <w:p w14:paraId="7C3D2EC4" w14:textId="5DF42CB2" w:rsidR="00112DC5" w:rsidRDefault="00EE4C2D">
          <w:pPr>
            <w:pStyle w:val="TOC1"/>
            <w:tabs>
              <w:tab w:val="right" w:leader="dot" w:pos="9628"/>
            </w:tabs>
            <w:rPr>
              <w:rFonts w:asciiTheme="minorHAnsi" w:eastAsiaTheme="minorEastAsia" w:hAnsiTheme="minorHAnsi" w:cstheme="minorBidi"/>
              <w:noProof/>
              <w:color w:val="auto"/>
              <w:kern w:val="2"/>
              <w:sz w:val="24"/>
              <w:lang w:val="en-IE" w:eastAsia="en-IE"/>
            </w:rPr>
          </w:pPr>
          <w:hyperlink w:anchor="_Toc232611625" w:history="1">
            <w:r w:rsidR="00112DC5" w:rsidRPr="00EE3568">
              <w:rPr>
                <w:rStyle w:val="Hyperlink"/>
                <w:rFonts w:eastAsiaTheme="majorEastAsia"/>
                <w:noProof/>
              </w:rPr>
              <w:t>FUNDS MANAGED BY THE EUROPEAN COMMISSION</w:t>
            </w:r>
            <w:r w:rsidR="00112DC5">
              <w:rPr>
                <w:noProof/>
                <w:webHidden/>
              </w:rPr>
              <w:tab/>
            </w:r>
            <w:r w:rsidR="00112DC5">
              <w:rPr>
                <w:noProof/>
                <w:webHidden/>
              </w:rPr>
              <w:fldChar w:fldCharType="begin"/>
            </w:r>
            <w:r w:rsidR="00112DC5">
              <w:rPr>
                <w:noProof/>
                <w:webHidden/>
              </w:rPr>
              <w:instrText xml:space="preserve"> PAGEREF _Toc232611625 \h </w:instrText>
            </w:r>
            <w:r w:rsidR="00112DC5">
              <w:rPr>
                <w:noProof/>
                <w:webHidden/>
              </w:rPr>
            </w:r>
            <w:r w:rsidR="00112DC5">
              <w:rPr>
                <w:noProof/>
                <w:webHidden/>
              </w:rPr>
              <w:fldChar w:fldCharType="separate"/>
            </w:r>
            <w:r w:rsidR="00112DC5">
              <w:rPr>
                <w:noProof/>
                <w:webHidden/>
              </w:rPr>
              <w:t>7</w:t>
            </w:r>
            <w:r w:rsidR="00112DC5">
              <w:rPr>
                <w:noProof/>
                <w:webHidden/>
              </w:rPr>
              <w:fldChar w:fldCharType="end"/>
            </w:r>
          </w:hyperlink>
        </w:p>
        <w:p w14:paraId="52382032" w14:textId="388327A2" w:rsidR="00112DC5" w:rsidRDefault="00EE4C2D">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2611626" w:history="1">
            <w:r w:rsidR="00112DC5" w:rsidRPr="00EE3568">
              <w:rPr>
                <w:rStyle w:val="Hyperlink"/>
                <w:rFonts w:eastAsiaTheme="majorEastAsia"/>
                <w:noProof/>
              </w:rPr>
              <w:t>FINANCIAL STATEMENTS OF THE EDF</w:t>
            </w:r>
            <w:r w:rsidR="00112DC5">
              <w:rPr>
                <w:noProof/>
                <w:webHidden/>
              </w:rPr>
              <w:tab/>
            </w:r>
            <w:r w:rsidR="00112DC5">
              <w:rPr>
                <w:noProof/>
                <w:webHidden/>
              </w:rPr>
              <w:fldChar w:fldCharType="begin"/>
            </w:r>
            <w:r w:rsidR="00112DC5">
              <w:rPr>
                <w:noProof/>
                <w:webHidden/>
              </w:rPr>
              <w:instrText xml:space="preserve"> PAGEREF _Toc232611626 \h </w:instrText>
            </w:r>
            <w:r w:rsidR="00112DC5">
              <w:rPr>
                <w:noProof/>
                <w:webHidden/>
              </w:rPr>
            </w:r>
            <w:r w:rsidR="00112DC5">
              <w:rPr>
                <w:noProof/>
                <w:webHidden/>
              </w:rPr>
              <w:fldChar w:fldCharType="separate"/>
            </w:r>
            <w:r w:rsidR="00112DC5">
              <w:rPr>
                <w:noProof/>
                <w:webHidden/>
              </w:rPr>
              <w:t>9</w:t>
            </w:r>
            <w:r w:rsidR="00112DC5">
              <w:rPr>
                <w:noProof/>
                <w:webHidden/>
              </w:rPr>
              <w:fldChar w:fldCharType="end"/>
            </w:r>
          </w:hyperlink>
        </w:p>
        <w:p w14:paraId="4E37F5E8" w14:textId="44962914" w:rsidR="00112DC5" w:rsidRDefault="00EE4C2D">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2611627" w:history="1">
            <w:r w:rsidR="00112DC5" w:rsidRPr="00EE3568">
              <w:rPr>
                <w:rStyle w:val="Hyperlink"/>
                <w:rFonts w:eastAsiaTheme="majorEastAsia"/>
                <w:noProof/>
              </w:rPr>
              <w:t>FINANCIAL STATEMENTS OF THE EU TRUST FUNDS BÊKOU AND EU TRUST FUND AFRICA</w:t>
            </w:r>
            <w:r w:rsidR="00112DC5">
              <w:rPr>
                <w:noProof/>
                <w:webHidden/>
              </w:rPr>
              <w:tab/>
            </w:r>
            <w:r w:rsidR="00112DC5">
              <w:rPr>
                <w:noProof/>
                <w:webHidden/>
              </w:rPr>
              <w:fldChar w:fldCharType="begin"/>
            </w:r>
            <w:r w:rsidR="00112DC5">
              <w:rPr>
                <w:noProof/>
                <w:webHidden/>
              </w:rPr>
              <w:instrText xml:space="preserve"> PAGEREF _Toc232611627 \h </w:instrText>
            </w:r>
            <w:r w:rsidR="00112DC5">
              <w:rPr>
                <w:noProof/>
                <w:webHidden/>
              </w:rPr>
            </w:r>
            <w:r w:rsidR="00112DC5">
              <w:rPr>
                <w:noProof/>
                <w:webHidden/>
              </w:rPr>
              <w:fldChar w:fldCharType="separate"/>
            </w:r>
            <w:r w:rsidR="00112DC5">
              <w:rPr>
                <w:noProof/>
                <w:webHidden/>
              </w:rPr>
              <w:t>51</w:t>
            </w:r>
            <w:r w:rsidR="00112DC5">
              <w:rPr>
                <w:noProof/>
                <w:webHidden/>
              </w:rPr>
              <w:fldChar w:fldCharType="end"/>
            </w:r>
          </w:hyperlink>
        </w:p>
        <w:p w14:paraId="53E193A8" w14:textId="175C21AC" w:rsidR="00112DC5" w:rsidRDefault="00EE4C2D">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2611628" w:history="1">
            <w:r w:rsidR="00112DC5" w:rsidRPr="00EE3568">
              <w:rPr>
                <w:rStyle w:val="Hyperlink"/>
                <w:rFonts w:eastAsiaTheme="majorEastAsia"/>
                <w:noProof/>
              </w:rPr>
              <w:t>FINANCIAL STATEMENTS OF THE BÊKOU EU TRUST FUND 2025</w:t>
            </w:r>
            <w:r w:rsidR="00112DC5">
              <w:rPr>
                <w:noProof/>
                <w:webHidden/>
              </w:rPr>
              <w:tab/>
            </w:r>
            <w:r w:rsidR="00112DC5">
              <w:rPr>
                <w:noProof/>
                <w:webHidden/>
              </w:rPr>
              <w:fldChar w:fldCharType="begin"/>
            </w:r>
            <w:r w:rsidR="00112DC5">
              <w:rPr>
                <w:noProof/>
                <w:webHidden/>
              </w:rPr>
              <w:instrText xml:space="preserve"> PAGEREF _Toc232611628 \h </w:instrText>
            </w:r>
            <w:r w:rsidR="00112DC5">
              <w:rPr>
                <w:noProof/>
                <w:webHidden/>
              </w:rPr>
            </w:r>
            <w:r w:rsidR="00112DC5">
              <w:rPr>
                <w:noProof/>
                <w:webHidden/>
              </w:rPr>
              <w:fldChar w:fldCharType="separate"/>
            </w:r>
            <w:r w:rsidR="00112DC5">
              <w:rPr>
                <w:noProof/>
                <w:webHidden/>
              </w:rPr>
              <w:t>52</w:t>
            </w:r>
            <w:r w:rsidR="00112DC5">
              <w:rPr>
                <w:noProof/>
                <w:webHidden/>
              </w:rPr>
              <w:fldChar w:fldCharType="end"/>
            </w:r>
          </w:hyperlink>
        </w:p>
        <w:p w14:paraId="0FEA6DB9" w14:textId="2B9D6CF8" w:rsidR="00112DC5" w:rsidRDefault="00EE4C2D">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2611629" w:history="1">
            <w:r w:rsidR="00112DC5" w:rsidRPr="00EE3568">
              <w:rPr>
                <w:rStyle w:val="Hyperlink"/>
                <w:rFonts w:eastAsiaTheme="majorEastAsia"/>
                <w:noProof/>
              </w:rPr>
              <w:t>FINANCIAL STATEMENTS OF THE EUTF AFRICA 2025</w:t>
            </w:r>
            <w:r w:rsidR="00112DC5">
              <w:rPr>
                <w:noProof/>
                <w:webHidden/>
              </w:rPr>
              <w:tab/>
            </w:r>
            <w:r w:rsidR="00112DC5">
              <w:rPr>
                <w:noProof/>
                <w:webHidden/>
              </w:rPr>
              <w:fldChar w:fldCharType="begin"/>
            </w:r>
            <w:r w:rsidR="00112DC5">
              <w:rPr>
                <w:noProof/>
                <w:webHidden/>
              </w:rPr>
              <w:instrText xml:space="preserve"> PAGEREF _Toc232611629 \h </w:instrText>
            </w:r>
            <w:r w:rsidR="00112DC5">
              <w:rPr>
                <w:noProof/>
                <w:webHidden/>
              </w:rPr>
            </w:r>
            <w:r w:rsidR="00112DC5">
              <w:rPr>
                <w:noProof/>
                <w:webHidden/>
              </w:rPr>
              <w:fldChar w:fldCharType="separate"/>
            </w:r>
            <w:r w:rsidR="00112DC5">
              <w:rPr>
                <w:noProof/>
                <w:webHidden/>
              </w:rPr>
              <w:t>60</w:t>
            </w:r>
            <w:r w:rsidR="00112DC5">
              <w:rPr>
                <w:noProof/>
                <w:webHidden/>
              </w:rPr>
              <w:fldChar w:fldCharType="end"/>
            </w:r>
          </w:hyperlink>
        </w:p>
        <w:p w14:paraId="2F8015F2" w14:textId="706370B0" w:rsidR="00112DC5" w:rsidRDefault="00EE4C2D">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2611630" w:history="1">
            <w:r w:rsidR="00112DC5" w:rsidRPr="00EE3568">
              <w:rPr>
                <w:rStyle w:val="Hyperlink"/>
                <w:rFonts w:eastAsiaTheme="majorEastAsia"/>
                <w:noProof/>
              </w:rPr>
              <w:t>CONSOLIDATED FINANCIAL STATEMENTS OF THE EDF AND THE EU TRUST FUNDS</w:t>
            </w:r>
            <w:r w:rsidR="00112DC5">
              <w:rPr>
                <w:noProof/>
                <w:webHidden/>
              </w:rPr>
              <w:tab/>
            </w:r>
            <w:r w:rsidR="00112DC5">
              <w:rPr>
                <w:noProof/>
                <w:webHidden/>
              </w:rPr>
              <w:fldChar w:fldCharType="begin"/>
            </w:r>
            <w:r w:rsidR="00112DC5">
              <w:rPr>
                <w:noProof/>
                <w:webHidden/>
              </w:rPr>
              <w:instrText xml:space="preserve"> PAGEREF _Toc232611630 \h </w:instrText>
            </w:r>
            <w:r w:rsidR="00112DC5">
              <w:rPr>
                <w:noProof/>
                <w:webHidden/>
              </w:rPr>
            </w:r>
            <w:r w:rsidR="00112DC5">
              <w:rPr>
                <w:noProof/>
                <w:webHidden/>
              </w:rPr>
              <w:fldChar w:fldCharType="separate"/>
            </w:r>
            <w:r w:rsidR="00112DC5">
              <w:rPr>
                <w:noProof/>
                <w:webHidden/>
              </w:rPr>
              <w:t>69</w:t>
            </w:r>
            <w:r w:rsidR="00112DC5">
              <w:rPr>
                <w:noProof/>
                <w:webHidden/>
              </w:rPr>
              <w:fldChar w:fldCharType="end"/>
            </w:r>
          </w:hyperlink>
        </w:p>
        <w:p w14:paraId="5FD6A02E" w14:textId="079F8F9F" w:rsidR="00112DC5" w:rsidRDefault="00EE4C2D">
          <w:pPr>
            <w:pStyle w:val="TOC2"/>
            <w:tabs>
              <w:tab w:val="right" w:leader="dot" w:pos="9628"/>
            </w:tabs>
            <w:rPr>
              <w:rFonts w:asciiTheme="minorHAnsi" w:eastAsiaTheme="minorEastAsia" w:hAnsiTheme="minorHAnsi" w:cstheme="minorBidi"/>
              <w:noProof/>
              <w:color w:val="auto"/>
              <w:kern w:val="2"/>
              <w:sz w:val="24"/>
              <w:lang w:val="en-IE" w:eastAsia="en-IE"/>
            </w:rPr>
          </w:pPr>
          <w:hyperlink w:anchor="_Toc232611631" w:history="1">
            <w:r w:rsidR="00112DC5" w:rsidRPr="00EE3568">
              <w:rPr>
                <w:rStyle w:val="Hyperlink"/>
                <w:rFonts w:eastAsiaTheme="majorEastAsia"/>
                <w:noProof/>
              </w:rPr>
              <w:t>EDF REPORT ON FINANCIAL IMPLEMENTATION</w:t>
            </w:r>
            <w:r w:rsidR="00112DC5">
              <w:rPr>
                <w:noProof/>
                <w:webHidden/>
              </w:rPr>
              <w:tab/>
            </w:r>
            <w:r w:rsidR="00112DC5">
              <w:rPr>
                <w:noProof/>
                <w:webHidden/>
              </w:rPr>
              <w:fldChar w:fldCharType="begin"/>
            </w:r>
            <w:r w:rsidR="00112DC5">
              <w:rPr>
                <w:noProof/>
                <w:webHidden/>
              </w:rPr>
              <w:instrText xml:space="preserve"> PAGEREF _Toc232611631 \h </w:instrText>
            </w:r>
            <w:r w:rsidR="00112DC5">
              <w:rPr>
                <w:noProof/>
                <w:webHidden/>
              </w:rPr>
            </w:r>
            <w:r w:rsidR="00112DC5">
              <w:rPr>
                <w:noProof/>
                <w:webHidden/>
              </w:rPr>
              <w:fldChar w:fldCharType="separate"/>
            </w:r>
            <w:r w:rsidR="00112DC5">
              <w:rPr>
                <w:noProof/>
                <w:webHidden/>
              </w:rPr>
              <w:t>74</w:t>
            </w:r>
            <w:r w:rsidR="00112DC5">
              <w:rPr>
                <w:noProof/>
                <w:webHidden/>
              </w:rPr>
              <w:fldChar w:fldCharType="end"/>
            </w:r>
          </w:hyperlink>
        </w:p>
        <w:p w14:paraId="0F7AA725" w14:textId="47CBF88D" w:rsidR="00FD1E19" w:rsidRDefault="00FD1E19" w:rsidP="00FD1E19">
          <w:pPr>
            <w:rPr>
              <w:noProof/>
            </w:rPr>
          </w:pPr>
          <w:r>
            <w:rPr>
              <w:rFonts w:ascii="Verdana" w:hAnsi="Verdana"/>
              <w:noProof/>
              <w:color w:val="0F4761" w:themeColor="accent1" w:themeShade="BF"/>
            </w:rPr>
            <w:fldChar w:fldCharType="end"/>
          </w:r>
        </w:p>
      </w:sdtContent>
    </w:sdt>
    <w:bookmarkEnd w:id="1"/>
    <w:p w14:paraId="6F6AE2F2" w14:textId="77777777" w:rsidR="00FD1E19" w:rsidRPr="001319B9" w:rsidRDefault="00FD1E19" w:rsidP="00FD1E19">
      <w:pPr>
        <w:pStyle w:val="Textstand-alone"/>
        <w:sectPr w:rsidR="00FD1E19" w:rsidRPr="001319B9" w:rsidSect="00FD1E19">
          <w:headerReference w:type="even" r:id="rId17"/>
          <w:headerReference w:type="default" r:id="rId18"/>
          <w:footerReference w:type="even" r:id="rId19"/>
          <w:footerReference w:type="default" r:id="rId20"/>
          <w:headerReference w:type="first" r:id="rId21"/>
          <w:footerReference w:type="first" r:id="rId22"/>
          <w:pgSz w:w="11906" w:h="16838" w:code="9"/>
          <w:pgMar w:top="1134" w:right="1134" w:bottom="1134" w:left="1134" w:header="709" w:footer="709" w:gutter="0"/>
          <w:cols w:space="708"/>
          <w:docGrid w:linePitch="360"/>
        </w:sectPr>
      </w:pPr>
    </w:p>
    <w:p w14:paraId="72915A11" w14:textId="77777777" w:rsidR="00FD1E19" w:rsidRDefault="00FD1E19" w:rsidP="00FD1E19">
      <w:pPr>
        <w:pStyle w:val="FIRSTCHAPTERPAGE"/>
        <w:rPr>
          <w:noProof/>
        </w:rPr>
      </w:pPr>
      <w:bookmarkStart w:id="4" w:name="_Toc167445452"/>
      <w:bookmarkStart w:id="5" w:name="_Toc198897520"/>
      <w:bookmarkStart w:id="6" w:name="_Toc232611623"/>
      <w:bookmarkStart w:id="7" w:name="_Toc9959659"/>
      <w:r>
        <w:rPr>
          <w:noProof/>
        </w:rPr>
        <w:t>CERTIFICATION OF THE ACCOUNTS</w:t>
      </w:r>
      <w:bookmarkEnd w:id="4"/>
      <w:bookmarkEnd w:id="5"/>
      <w:bookmarkEnd w:id="6"/>
    </w:p>
    <w:p w14:paraId="4D393DA1" w14:textId="77777777" w:rsidR="00FD1E19" w:rsidRDefault="00FD1E19" w:rsidP="00FD1E19">
      <w:pPr>
        <w:pStyle w:val="Textstand-alone"/>
      </w:pPr>
      <w:r>
        <w:t>The annual accounts of the European Development Fund for the year 2025 have been prepared in accordance with Title X of the Financial Regulation of the 11th European Development Fund and with the accounting principles, rules and methods set out in the notes to the financial statements.</w:t>
      </w:r>
    </w:p>
    <w:p w14:paraId="27FE2248" w14:textId="77777777" w:rsidR="00FD1E19" w:rsidRDefault="00FD1E19" w:rsidP="00FD1E19">
      <w:pPr>
        <w:pStyle w:val="Textstand-alone"/>
      </w:pPr>
      <w:r>
        <w:t>I acknowledge my responsibility for the preparation and presentation of the annual accounts of the European Development Fund in accordance with Article 18 of the Financial Regulation of the 11th European Development Fund.</w:t>
      </w:r>
    </w:p>
    <w:p w14:paraId="5B75E0FF" w14:textId="77777777" w:rsidR="00FD1E19" w:rsidRDefault="00FD1E19" w:rsidP="00FD1E19">
      <w:pPr>
        <w:pStyle w:val="Textstand-alone"/>
      </w:pPr>
      <w:r>
        <w:t>I have obtained from the authorising officer and from the EIB, who guarantee its reliability, all the information necessary for the production of the accounts that show the European Development Fund's assets and liabilities and the budgetary implementation.</w:t>
      </w:r>
    </w:p>
    <w:p w14:paraId="5445835B" w14:textId="77777777" w:rsidR="00FD1E19" w:rsidRDefault="00FD1E19" w:rsidP="00FD1E19">
      <w:pPr>
        <w:pStyle w:val="Textstand-alone"/>
      </w:pPr>
      <w:r>
        <w:t>I hereby certify that based on this information, and on such checks as I deemed necessary to sign off the accounts, I have a reasonable assurance that the accounts present a true and fair view of the financial position of the European Development Fund in all material aspects.</w:t>
      </w:r>
    </w:p>
    <w:p w14:paraId="09CD2968" w14:textId="77777777" w:rsidR="00FD1E19" w:rsidRDefault="00FD1E19" w:rsidP="00FD1E19">
      <w:pPr>
        <w:pStyle w:val="Textstand-alone"/>
      </w:pPr>
    </w:p>
    <w:p w14:paraId="1EBA2B1D" w14:textId="77777777" w:rsidR="00FD1E19" w:rsidRDefault="00FD1E19" w:rsidP="00FD1E19">
      <w:pPr>
        <w:pStyle w:val="Textstand-alone"/>
      </w:pPr>
    </w:p>
    <w:p w14:paraId="6714B114" w14:textId="77777777" w:rsidR="00FD1E19" w:rsidRDefault="00FD1E19" w:rsidP="00FD1E19">
      <w:pPr>
        <w:pStyle w:val="SignatureRightBold"/>
        <w:ind w:left="4820"/>
        <w:jc w:val="right"/>
        <w:rPr>
          <w:b w:val="0"/>
          <w:noProof/>
        </w:rPr>
      </w:pPr>
      <w:r>
        <w:rPr>
          <w:b w:val="0"/>
          <w:noProof/>
        </w:rPr>
        <w:t>Niall BOHAN</w:t>
      </w:r>
    </w:p>
    <w:p w14:paraId="1FDA394A" w14:textId="77777777" w:rsidR="00FD1E19" w:rsidRDefault="00FD1E19" w:rsidP="00FD1E19">
      <w:pPr>
        <w:pStyle w:val="SignatureRightBold"/>
        <w:ind w:left="4820"/>
        <w:jc w:val="right"/>
        <w:rPr>
          <w:noProof/>
        </w:rPr>
      </w:pPr>
      <w:r>
        <w:rPr>
          <w:noProof/>
        </w:rPr>
        <w:t>Accounting Officer</w:t>
      </w:r>
    </w:p>
    <w:p w14:paraId="11D48A60" w14:textId="77777777" w:rsidR="00FD1E19" w:rsidRDefault="00FD1E19" w:rsidP="00FD1E19">
      <w:pPr>
        <w:pStyle w:val="FIRSTCHAPTERPAGE"/>
        <w:rPr>
          <w:noProof/>
        </w:rPr>
      </w:pPr>
    </w:p>
    <w:p w14:paraId="21CD4B16" w14:textId="77777777" w:rsidR="00FD1E19" w:rsidRDefault="00FD1E19" w:rsidP="00FD1E19">
      <w:pPr>
        <w:rPr>
          <w:rFonts w:ascii="Verdana" w:hAnsi="Verdana"/>
          <w:b/>
          <w:noProof/>
          <w:color w:val="016794"/>
          <w:sz w:val="40"/>
          <w:szCs w:val="40"/>
        </w:rPr>
      </w:pPr>
      <w:r>
        <w:rPr>
          <w:noProof/>
        </w:rPr>
        <w:br w:type="page"/>
      </w:r>
    </w:p>
    <w:p w14:paraId="5BC64609" w14:textId="77777777" w:rsidR="00FD1E19" w:rsidRPr="002860F3" w:rsidRDefault="00FD1E19" w:rsidP="00FD1E19">
      <w:pPr>
        <w:pStyle w:val="FIRSTCHAPTERPAGE"/>
        <w:rPr>
          <w:noProof/>
        </w:rPr>
      </w:pPr>
      <w:bookmarkStart w:id="8" w:name="_Toc232611624"/>
      <w:r w:rsidRPr="002860F3">
        <w:rPr>
          <w:noProof/>
        </w:rPr>
        <w:t>IMPLEMENTING AND ACCOUNTING FOR THE EDF RESOURCES</w:t>
      </w:r>
      <w:bookmarkStart w:id="9" w:name="_DMBM_37216"/>
      <w:bookmarkEnd w:id="7"/>
      <w:bookmarkEnd w:id="8"/>
    </w:p>
    <w:p w14:paraId="6079A634" w14:textId="77777777" w:rsidR="00FD1E19" w:rsidRPr="002860F3" w:rsidRDefault="00FD1E19" w:rsidP="00FD1E19">
      <w:pPr>
        <w:pStyle w:val="HEADER1Part1"/>
        <w:numPr>
          <w:ilvl w:val="0"/>
          <w:numId w:val="11"/>
        </w:numPr>
        <w:rPr>
          <w:noProof/>
        </w:rPr>
      </w:pPr>
      <w:r w:rsidRPr="002860F3">
        <w:rPr>
          <w:noProof/>
        </w:rPr>
        <w:t>BACKGROUND</w:t>
      </w:r>
    </w:p>
    <w:p w14:paraId="35E9F80D" w14:textId="77777777" w:rsidR="00FD1E19" w:rsidRPr="002860F3" w:rsidRDefault="00FD1E19" w:rsidP="00FD1E19">
      <w:pPr>
        <w:pStyle w:val="Textstand-alone"/>
      </w:pPr>
      <w:r w:rsidRPr="002860F3">
        <w:t>The European Union (</w:t>
      </w:r>
      <w:r>
        <w:t>‘</w:t>
      </w:r>
      <w:r w:rsidRPr="002860F3">
        <w:t>the EU</w:t>
      </w:r>
      <w:r>
        <w:t>’</w:t>
      </w:r>
      <w:r w:rsidRPr="002860F3">
        <w:t xml:space="preserve">) has cooperative relations with many developing countries. The main objective </w:t>
      </w:r>
      <w:r>
        <w:t xml:space="preserve">of these relations </w:t>
      </w:r>
      <w:r w:rsidRPr="002860F3">
        <w:t>is to promote economic, social and environmental development, with the primary aim of reducing and eradicating poverty in the long-term by providing beneficiary countries with development aid and technical assistance. To achieve this, the EU draws up, jointly with the partner countries, cooperation strategies and mobilises the financial resources to implement the</w:t>
      </w:r>
      <w:r>
        <w:t>se strategies.</w:t>
      </w:r>
      <w:r w:rsidRPr="002860F3">
        <w:t xml:space="preserve"> These EU resources allocated to development cooperation come from three sources:</w:t>
      </w:r>
    </w:p>
    <w:p w14:paraId="6BDDD86C" w14:textId="77777777" w:rsidR="00FD1E19" w:rsidRPr="002860F3" w:rsidRDefault="00FD1E19" w:rsidP="00FD1E19">
      <w:pPr>
        <w:pStyle w:val="Textstand-aloneBulletpoint"/>
        <w:numPr>
          <w:ilvl w:val="0"/>
          <w:numId w:val="13"/>
        </w:numPr>
        <w:ind w:left="357" w:hanging="357"/>
        <w:rPr>
          <w:noProof/>
        </w:rPr>
      </w:pPr>
      <w:r>
        <w:rPr>
          <w:noProof/>
        </w:rPr>
        <w:t>t</w:t>
      </w:r>
      <w:r w:rsidRPr="002860F3">
        <w:rPr>
          <w:noProof/>
        </w:rPr>
        <w:t>he EU budget;</w:t>
      </w:r>
    </w:p>
    <w:p w14:paraId="38C48EF0" w14:textId="77777777" w:rsidR="00FD1E19" w:rsidRPr="002860F3" w:rsidRDefault="00FD1E19" w:rsidP="00FD1E19">
      <w:pPr>
        <w:pStyle w:val="Textstand-aloneBulletpoint"/>
        <w:numPr>
          <w:ilvl w:val="0"/>
          <w:numId w:val="13"/>
        </w:numPr>
        <w:ind w:left="357" w:hanging="357"/>
        <w:rPr>
          <w:noProof/>
        </w:rPr>
      </w:pPr>
      <w:r>
        <w:rPr>
          <w:noProof/>
        </w:rPr>
        <w:t>t</w:t>
      </w:r>
      <w:r w:rsidRPr="002860F3">
        <w:rPr>
          <w:noProof/>
        </w:rPr>
        <w:t>he European Development Fund</w:t>
      </w:r>
      <w:r>
        <w:rPr>
          <w:noProof/>
        </w:rPr>
        <w:t xml:space="preserve"> (EDF)</w:t>
      </w:r>
      <w:r w:rsidRPr="002860F3">
        <w:rPr>
          <w:noProof/>
        </w:rPr>
        <w:t>;</w:t>
      </w:r>
      <w:r>
        <w:rPr>
          <w:noProof/>
        </w:rPr>
        <w:t xml:space="preserve"> and</w:t>
      </w:r>
    </w:p>
    <w:p w14:paraId="67AC4FA6" w14:textId="77777777" w:rsidR="00FD1E19" w:rsidRPr="002860F3" w:rsidRDefault="00FD1E19" w:rsidP="00FD1E19">
      <w:pPr>
        <w:pStyle w:val="Textstand-aloneBulletpoint"/>
        <w:numPr>
          <w:ilvl w:val="0"/>
          <w:numId w:val="13"/>
        </w:numPr>
        <w:ind w:left="357" w:hanging="357"/>
        <w:rPr>
          <w:noProof/>
        </w:rPr>
      </w:pPr>
      <w:r>
        <w:rPr>
          <w:noProof/>
        </w:rPr>
        <w:t>t</w:t>
      </w:r>
      <w:r w:rsidRPr="002860F3">
        <w:rPr>
          <w:noProof/>
        </w:rPr>
        <w:t>he European Investment Bank</w:t>
      </w:r>
      <w:r>
        <w:rPr>
          <w:noProof/>
        </w:rPr>
        <w:t xml:space="preserve"> (EIB)</w:t>
      </w:r>
      <w:r w:rsidRPr="002860F3">
        <w:rPr>
          <w:noProof/>
        </w:rPr>
        <w:t>.</w:t>
      </w:r>
    </w:p>
    <w:p w14:paraId="58787190" w14:textId="77777777" w:rsidR="00FD1E19" w:rsidRDefault="00FD1E19" w:rsidP="00FD1E19">
      <w:pPr>
        <w:pStyle w:val="Textstand-alone"/>
      </w:pPr>
      <w:r w:rsidRPr="00AC1D86">
        <w:t xml:space="preserve">The EDF is not funded by the EU budget. It was established by an Internal Agreement of the </w:t>
      </w:r>
      <w:r>
        <w:t>r</w:t>
      </w:r>
      <w:r w:rsidRPr="00AC1D86">
        <w:t>epresentatives of the Member States, sitting within the Council, and is managed by a specific committee. The European Commission (</w:t>
      </w:r>
      <w:r>
        <w:t>‘</w:t>
      </w:r>
      <w:r w:rsidRPr="00AC1D86">
        <w:t xml:space="preserve">the Commission’) is responsible for the financial implementation of the operations carried out with EDF resources. The </w:t>
      </w:r>
      <w:r>
        <w:t>EIB</w:t>
      </w:r>
      <w:r w:rsidRPr="00AC1D86">
        <w:t xml:space="preserve"> manages the Investment Facility.</w:t>
      </w:r>
    </w:p>
    <w:p w14:paraId="1FA98E7C" w14:textId="77777777" w:rsidR="00FD1E19" w:rsidRDefault="00FD1E19" w:rsidP="00FD1E19">
      <w:pPr>
        <w:pStyle w:val="Textstand-alone"/>
      </w:pPr>
      <w:r>
        <w:t>The EDF is made up of individual EDFs, e</w:t>
      </w:r>
      <w:r w:rsidRPr="00AC1D86">
        <w:t xml:space="preserve">ach </w:t>
      </w:r>
      <w:r>
        <w:t>of which</w:t>
      </w:r>
      <w:r w:rsidRPr="00AC1D86">
        <w:t xml:space="preserve"> is concluded for a period of around five years and is governed by its own </w:t>
      </w:r>
      <w:r>
        <w:t>F</w:t>
      </w:r>
      <w:r w:rsidRPr="00AC1D86">
        <w:t xml:space="preserve">inancial </w:t>
      </w:r>
      <w:r>
        <w:t>R</w:t>
      </w:r>
      <w:r w:rsidRPr="00AC1D86">
        <w:t>egulation</w:t>
      </w:r>
      <w:r>
        <w:t>. This</w:t>
      </w:r>
      <w:r w:rsidRPr="00AC1D86">
        <w:t xml:space="preserve"> requires the preparation of specific financial statements. In addition, these </w:t>
      </w:r>
      <w:r>
        <w:t>f</w:t>
      </w:r>
      <w:r w:rsidRPr="00AC1D86">
        <w:t>inancial statements are aggregated so as to provide a global view of the financial situation of the resources for which the Commission is responsible.</w:t>
      </w:r>
    </w:p>
    <w:p w14:paraId="46CBF779" w14:textId="77777777" w:rsidR="00FD1E19" w:rsidRDefault="00FD1E19" w:rsidP="00FD1E19">
      <w:pPr>
        <w:pStyle w:val="Textstand-alone"/>
      </w:pPr>
      <w:r>
        <w:t xml:space="preserve">Up until 2021, </w:t>
      </w:r>
      <w:bookmarkStart w:id="10" w:name="_Hlk135741595"/>
      <w:r>
        <w:t>when the 11th EDF reached its final stage as the ‘sunset clause’ came into effect on 31 December 2020, t</w:t>
      </w:r>
      <w:r w:rsidRPr="002860F3">
        <w:t xml:space="preserve">he </w:t>
      </w:r>
      <w:r>
        <w:t>EDF</w:t>
      </w:r>
      <w:r w:rsidRPr="002860F3">
        <w:t xml:space="preserve"> </w:t>
      </w:r>
      <w:r>
        <w:t>wa</w:t>
      </w:r>
      <w:r w:rsidRPr="002860F3">
        <w:t xml:space="preserve">s the </w:t>
      </w:r>
      <w:r>
        <w:t>main instrument for providing</w:t>
      </w:r>
      <w:r w:rsidRPr="002860F3">
        <w:t xml:space="preserve"> aid for development cooperation to the African, Caribbean and Pacific </w:t>
      </w:r>
      <w:r>
        <w:t>(</w:t>
      </w:r>
      <w:r w:rsidRPr="002860F3">
        <w:t>ACP</w:t>
      </w:r>
      <w:r>
        <w:t>)</w:t>
      </w:r>
      <w:r w:rsidRPr="002860F3">
        <w:t xml:space="preserve"> </w:t>
      </w:r>
      <w:r>
        <w:t>s</w:t>
      </w:r>
      <w:r w:rsidRPr="002860F3">
        <w:t xml:space="preserve">tates and </w:t>
      </w:r>
      <w:r>
        <w:t>o</w:t>
      </w:r>
      <w:r w:rsidRPr="002860F3">
        <w:t xml:space="preserve">verseas </w:t>
      </w:r>
      <w:r>
        <w:t>c</w:t>
      </w:r>
      <w:r w:rsidRPr="002860F3">
        <w:t xml:space="preserve">ountries and </w:t>
      </w:r>
      <w:r>
        <w:t>t</w:t>
      </w:r>
      <w:r w:rsidRPr="002860F3">
        <w:t>erritories (</w:t>
      </w:r>
      <w:r>
        <w:t>‘</w:t>
      </w:r>
      <w:r w:rsidRPr="002860F3">
        <w:t>OCTs</w:t>
      </w:r>
      <w:r>
        <w:t>’</w:t>
      </w:r>
      <w:r w:rsidRPr="002860F3">
        <w:t>).</w:t>
      </w:r>
      <w:r>
        <w:t xml:space="preserve"> </w:t>
      </w:r>
      <w:r w:rsidRPr="00B331A8">
        <w:t xml:space="preserve">However, </w:t>
      </w:r>
      <w:r>
        <w:t>since</w:t>
      </w:r>
      <w:r w:rsidRPr="00B331A8">
        <w:t xml:space="preserve"> 2021 EU cooperation with ACP </w:t>
      </w:r>
      <w:r>
        <w:t>states</w:t>
      </w:r>
      <w:r w:rsidRPr="00B331A8">
        <w:t xml:space="preserve"> and OCTs </w:t>
      </w:r>
      <w:r>
        <w:t>has been</w:t>
      </w:r>
      <w:r w:rsidRPr="00B331A8">
        <w:t xml:space="preserve"> funded through the EU budget</w:t>
      </w:r>
      <w:r>
        <w:t>.</w:t>
      </w:r>
      <w:bookmarkEnd w:id="10"/>
    </w:p>
    <w:p w14:paraId="19E1C14A" w14:textId="77777777" w:rsidR="00FD1E19" w:rsidRDefault="00FD1E19" w:rsidP="00FD1E19">
      <w:pPr>
        <w:pStyle w:val="Textstand-alone"/>
      </w:pPr>
      <w:r>
        <w:t xml:space="preserve">Under </w:t>
      </w:r>
      <w:r w:rsidRPr="002860F3">
        <w:t>the ACP-EU Partnership Agreement, the Investment Facility was established</w:t>
      </w:r>
      <w:r>
        <w:t>,</w:t>
      </w:r>
      <w:r w:rsidRPr="002860F3">
        <w:t xml:space="preserve"> managed by the EIB</w:t>
      </w:r>
      <w:r>
        <w:t>,</w:t>
      </w:r>
      <w:r w:rsidRPr="002860F3">
        <w:t xml:space="preserve"> and used to support private sector development in the ACP </w:t>
      </w:r>
      <w:r>
        <w:t>s</w:t>
      </w:r>
      <w:r w:rsidRPr="002860F3">
        <w:t xml:space="preserve">tates by financing </w:t>
      </w:r>
      <w:r>
        <w:t>mostly</w:t>
      </w:r>
      <w:r w:rsidRPr="002860F3">
        <w:t xml:space="preserve"> – but not exclusively – private investments. The </w:t>
      </w:r>
      <w:r>
        <w:t xml:space="preserve">Investment </w:t>
      </w:r>
      <w:r w:rsidRPr="002860F3">
        <w:t xml:space="preserve">Facility is designed as a renewable fund, so that loan repayments can be reinvested in other operations, thus resulting in a self-renewing and financially independent facility. </w:t>
      </w:r>
      <w:r>
        <w:t>Because</w:t>
      </w:r>
      <w:r w:rsidRPr="002860F3">
        <w:t xml:space="preserve"> the Investment Facility is not managed by the Commission, it is not consolidated in the first part of the annual accounts – the financial statements of the EDF</w:t>
      </w:r>
      <w:r>
        <w:t>’s</w:t>
      </w:r>
      <w:r w:rsidRPr="002860F3">
        <w:t xml:space="preserve"> and the related report on financial implementation. The financial statements of the Investment Facility</w:t>
      </w:r>
      <w:r>
        <w:t>, prepared by the EIB,</w:t>
      </w:r>
      <w:r w:rsidRPr="002860F3">
        <w:t xml:space="preserve"> are included as a separate part of the</w:t>
      </w:r>
      <w:r>
        <w:t xml:space="preserve"> EDF’s</w:t>
      </w:r>
      <w:r w:rsidRPr="002860F3">
        <w:t xml:space="preserve"> annual accounts (part II) to provide a full picture of the development aid of the EDF.</w:t>
      </w:r>
    </w:p>
    <w:p w14:paraId="04C0EFAE" w14:textId="77777777" w:rsidR="00FD1E19" w:rsidRPr="002860F3" w:rsidRDefault="00FD1E19" w:rsidP="00FD1E19">
      <w:pPr>
        <w:pStyle w:val="HEADER1Part1"/>
        <w:numPr>
          <w:ilvl w:val="0"/>
          <w:numId w:val="11"/>
        </w:numPr>
        <w:rPr>
          <w:noProof/>
        </w:rPr>
      </w:pPr>
      <w:r w:rsidRPr="002860F3">
        <w:rPr>
          <w:noProof/>
        </w:rPr>
        <w:t>HOW IS THE EDF FUNDED?</w:t>
      </w:r>
    </w:p>
    <w:p w14:paraId="78B797BC" w14:textId="77777777" w:rsidR="00FD1E19" w:rsidRDefault="00FD1E19" w:rsidP="00FD1E19">
      <w:pPr>
        <w:pStyle w:val="Textstand-alone"/>
      </w:pPr>
      <w:r>
        <w:t>The Council of 2 December 2013 adopted Regulation (EU, Euratom) 1311/2013 laying down the Multiannual Financial Framework for 2014-2020. In this context, it was decided that geographical cooperation with the ACP states would not be integrated into the EU budget but would continue to be funded through the existing intergovernmental EDF.</w:t>
      </w:r>
    </w:p>
    <w:p w14:paraId="364509F9" w14:textId="77777777" w:rsidR="00FD1E19" w:rsidRDefault="00FD1E19" w:rsidP="00FD1E19">
      <w:pPr>
        <w:pStyle w:val="Textstand-alone"/>
      </w:pPr>
      <w:r>
        <w:t>Unlike the EU budget, the EDF is a fund that operates based on multi-annuality. Each EDF sets up an overall fund to implement development cooperation typically for a period of five years. Because resources are allocated on a multiannual basis, the allocated funds may be used over the period of the EDF. The fact that budgets are set for a period of several years – rather than being set for a single year is highlighted in the budgetary reporting, where the budgetary implementation of the EDFs is measured against the total funds.</w:t>
      </w:r>
    </w:p>
    <w:p w14:paraId="119C66E8" w14:textId="77777777" w:rsidR="00FD1E19" w:rsidRDefault="00FD1E19" w:rsidP="00FD1E19">
      <w:pPr>
        <w:pStyle w:val="Textstand-alone"/>
      </w:pPr>
      <w:r>
        <w:t xml:space="preserve">The EDF resources are ‘ad hoc’ contributions from the EU Member States. Approximately every five years, Member State representatives met at intergovernmental level and decided on an overall amount to be allocated to the fund and to oversee its implementation. </w:t>
      </w:r>
    </w:p>
    <w:p w14:paraId="382496C4" w14:textId="77777777" w:rsidR="00FD1E19" w:rsidRDefault="00FD1E19" w:rsidP="00FD1E19">
      <w:pPr>
        <w:pStyle w:val="Textstand-alone"/>
      </w:pPr>
      <w:r>
        <w:t>The Commission manages the EDF in accordance with the EU’s policy on development cooperation. Since Member States have their own development and aid policies in parallel to the EU policy, the Member States must coordinate their policies with the EU to ensure they are complementary.</w:t>
      </w:r>
    </w:p>
    <w:p w14:paraId="6EB8B7CA" w14:textId="77777777" w:rsidR="00FD1E19" w:rsidRDefault="00FD1E19" w:rsidP="00FD1E19">
      <w:pPr>
        <w:pStyle w:val="Textstand-alone"/>
      </w:pPr>
      <w:r>
        <w:t>In addition to the contributions, it is also possible for Member States to enter into co-financing arrangements or to make voluntary financial contributions to the EDF.</w:t>
      </w:r>
    </w:p>
    <w:p w14:paraId="3F6FB160" w14:textId="77777777" w:rsidR="00FD1E19" w:rsidRDefault="00FD1E19" w:rsidP="00FD1E19">
      <w:pPr>
        <w:pStyle w:val="HEADER1Part1"/>
        <w:numPr>
          <w:ilvl w:val="0"/>
          <w:numId w:val="11"/>
        </w:numPr>
        <w:rPr>
          <w:noProof/>
        </w:rPr>
      </w:pPr>
      <w:r w:rsidRPr="00BA36DA">
        <w:rPr>
          <w:noProof/>
        </w:rPr>
        <w:t>EDF ACTIVITIES AFTER 31 DECEMBER 2020</w:t>
      </w:r>
    </w:p>
    <w:p w14:paraId="3AF4866B" w14:textId="77777777" w:rsidR="00FD1E19" w:rsidRDefault="00FD1E19" w:rsidP="00FD1E19">
      <w:pPr>
        <w:pStyle w:val="Textstand-alone"/>
      </w:pPr>
      <w:r>
        <w:t>The Commission is currently working towards the closure of the 9th EDF (which ran from 2000-2007), and which incorporated remaining balances transferred from the 8th EDF (which ran from 1995 to 2000) in accordance with the provisions of Part 3 of the financial regulation</w:t>
      </w:r>
      <w:r>
        <w:rPr>
          <w:rStyle w:val="FootnoteReference"/>
        </w:rPr>
        <w:footnoteReference w:id="1"/>
      </w:r>
      <w:r>
        <w:t xml:space="preserve"> applicable to the 9th EDF. Currently, there are still 4 ongoing contracts funded under the 9th EDF, which will reach their conclusion within the specified timeframe, contributing to the finalisation of activities and projects associated with the 9th EDF. The full closure of the 9th EDF can only be accomplished once all contracts come to an end and following the completion of their evaluations and audits. </w:t>
      </w:r>
    </w:p>
    <w:p w14:paraId="51D588D8" w14:textId="77777777" w:rsidR="00FD1E19" w:rsidRDefault="00FD1E19" w:rsidP="00FD1E19">
      <w:pPr>
        <w:pStyle w:val="Textstand-alone"/>
      </w:pPr>
      <w:r>
        <w:t>The closure of the 10th EDF (which ran from 2008 to 2013) is progressing well with 97.97 % of its contracts already closed. However, the operational and financial closure of the remaining contracts will take some time. The financial closure requires the launch and completion of all necessary evaluations, audits and recoveries.</w:t>
      </w:r>
    </w:p>
    <w:p w14:paraId="07EF955F" w14:textId="77777777" w:rsidR="00FD1E19" w:rsidRPr="00BF085B" w:rsidRDefault="00FD1E19" w:rsidP="00FD1E19">
      <w:pPr>
        <w:pStyle w:val="Textstand-alone"/>
        <w:rPr>
          <w:lang w:val="en-IE"/>
        </w:rPr>
      </w:pPr>
      <w:r w:rsidRPr="00F71CE0">
        <w:t xml:space="preserve">The 11th EDF (which ran from 2014 to 2020) has reached its final stage as the sunset clause came into effect on 31 December 2020. This clause sets a cut-off date for commitments meaning that as of 2021 no further financing decisions can be adopted under the 11th EDF. </w:t>
      </w:r>
      <w:r w:rsidRPr="00F71CE0">
        <w:rPr>
          <w:lang w:val="en-IE"/>
        </w:rPr>
        <w:t xml:space="preserve">However, the implementation of actions already committed continues beyond this date. Given the long duration of certain projects, a number of contracts are expected to run until 2035 and, in some cases, even up to 2040. In addition, should a decision be taken to reuse decommitted funds, this could further extend the overall end date of the EDF. </w:t>
      </w:r>
      <w:r w:rsidRPr="00BF085B">
        <w:rPr>
          <w:lang w:val="en-IE"/>
        </w:rPr>
        <w:t>Consequently, the closure of the 11th EDF cannot be linked to a fixed date. It will depend on the full implementation of all ongoing operations, as well as the completion of subsequent audits, evaluations, and the financial clearance of all accounts.</w:t>
      </w:r>
    </w:p>
    <w:p w14:paraId="0D421B42" w14:textId="77777777" w:rsidR="00FD1E19" w:rsidRDefault="00FD1E19" w:rsidP="00FD1E19">
      <w:pPr>
        <w:pStyle w:val="Textstand-alone"/>
      </w:pPr>
      <w:r>
        <w:t xml:space="preserve">Under the current Multiannual Financial Framework 2021-2027, EU cooperation with ACP countries is integrated in the Neighbourhood, Development and International Cooperation Instrument –Global Europe. Similarly, the cooperation with OCTs is now covered by the Overseas Association Decision. This means that, although up to 2021 the EDF programmes were funded by the voluntary contributions of EU Member States, as of 2021 development programmes will be funded through the EU budget. This also implies that the funding of development programmes is subject to the authorisation of the European Parliament, and that the transactions must comply with the EU’s Financial Regulations in the same way as other EU-funded programmes.  </w:t>
      </w:r>
    </w:p>
    <w:p w14:paraId="3C1C59DD" w14:textId="77777777" w:rsidR="00FD1E19" w:rsidRPr="002860F3" w:rsidRDefault="00FD1E19" w:rsidP="00FD1E19">
      <w:pPr>
        <w:pStyle w:val="HEADER1Part1"/>
        <w:numPr>
          <w:ilvl w:val="0"/>
          <w:numId w:val="11"/>
        </w:numPr>
        <w:rPr>
          <w:noProof/>
        </w:rPr>
      </w:pPr>
      <w:r w:rsidRPr="002860F3">
        <w:rPr>
          <w:noProof/>
        </w:rPr>
        <w:t>YEAR-END REPORTING</w:t>
      </w:r>
    </w:p>
    <w:p w14:paraId="26B0578B" w14:textId="77777777" w:rsidR="00FD1E19" w:rsidRPr="002860F3" w:rsidRDefault="00FD1E19" w:rsidP="00FD1E19">
      <w:pPr>
        <w:pStyle w:val="HEADER2Part1"/>
        <w:numPr>
          <w:ilvl w:val="1"/>
          <w:numId w:val="11"/>
        </w:numPr>
        <w:rPr>
          <w:noProof/>
        </w:rPr>
      </w:pPr>
      <w:r w:rsidRPr="002860F3">
        <w:rPr>
          <w:noProof/>
        </w:rPr>
        <w:t>ANNUAL ACCOUNTS</w:t>
      </w:r>
    </w:p>
    <w:p w14:paraId="561B2452" w14:textId="77777777" w:rsidR="00FD1E19" w:rsidRPr="002860F3" w:rsidRDefault="00FD1E19" w:rsidP="00FD1E19">
      <w:pPr>
        <w:pStyle w:val="Textstand-alone"/>
      </w:pPr>
      <w:r w:rsidRPr="002860F3">
        <w:t xml:space="preserve">In accordance with Article 18(3) of the EDF Financial Regulation, the EDF financial statements are prepared based on accrual-based accounting rules that themselves are based on </w:t>
      </w:r>
      <w:r>
        <w:t xml:space="preserve">the </w:t>
      </w:r>
      <w:r w:rsidRPr="002860F3">
        <w:t>International Public Sector Accounting Standards (IPSAS). The</w:t>
      </w:r>
      <w:r>
        <w:t>se</w:t>
      </w:r>
      <w:r w:rsidRPr="002860F3">
        <w:t xml:space="preserve"> accounting rules adopted by the Accounting Officer of the Commission are applied by all the </w:t>
      </w:r>
      <w:r>
        <w:t>i</w:t>
      </w:r>
      <w:r w:rsidRPr="002860F3">
        <w:t>nstitutions and bodies of the EU in order to establish a uniform set of rules for accounting, valuation and presentation of the accounts with a view to harmonising the process for drawing up the financial statements. These EU acc</w:t>
      </w:r>
      <w:r>
        <w:t>ounting rules are also applied by</w:t>
      </w:r>
      <w:r w:rsidRPr="002860F3">
        <w:t xml:space="preserve"> the EDF while taking into account the specific nature of its activities. </w:t>
      </w:r>
    </w:p>
    <w:p w14:paraId="6A4D39CC" w14:textId="77777777" w:rsidR="00FD1E19" w:rsidRPr="002860F3" w:rsidRDefault="00FD1E19" w:rsidP="00FD1E19">
      <w:pPr>
        <w:pStyle w:val="Textstand-alone"/>
      </w:pPr>
      <w:r w:rsidRPr="002860F3">
        <w:t>The preparation of the EDF</w:t>
      </w:r>
      <w:r>
        <w:t>’s</w:t>
      </w:r>
      <w:r w:rsidRPr="002860F3">
        <w:t xml:space="preserve"> annual accounts is entrusted to the Commission's Accounting Officer who is th</w:t>
      </w:r>
      <w:r>
        <w:t xml:space="preserve">e Accounting Officer of the EDF and </w:t>
      </w:r>
      <w:r w:rsidRPr="002860F3">
        <w:t xml:space="preserve">ensures that the annual accounts of </w:t>
      </w:r>
      <w:r>
        <w:t xml:space="preserve">the </w:t>
      </w:r>
      <w:r w:rsidRPr="002860F3">
        <w:t>EDF present a true and fair view of the financial position of the EDF.</w:t>
      </w:r>
    </w:p>
    <w:p w14:paraId="2FAF4969" w14:textId="77777777" w:rsidR="00FD1E19" w:rsidRPr="002860F3" w:rsidRDefault="00FD1E19" w:rsidP="00FD1E19">
      <w:pPr>
        <w:pStyle w:val="Textstand-alone"/>
      </w:pPr>
      <w:r w:rsidRPr="002860F3">
        <w:t>The annual accounts are presented as follows:</w:t>
      </w:r>
    </w:p>
    <w:p w14:paraId="72A0161C" w14:textId="77777777" w:rsidR="00FD1E19" w:rsidRPr="002860F3" w:rsidRDefault="00FD1E19" w:rsidP="00FD1E19">
      <w:pPr>
        <w:pStyle w:val="SubTextIndentJustified"/>
        <w:rPr>
          <w:noProof/>
        </w:rPr>
      </w:pPr>
      <w:r w:rsidRPr="002860F3">
        <w:rPr>
          <w:noProof/>
        </w:rPr>
        <w:t xml:space="preserve">Part </w:t>
      </w:r>
      <w:r>
        <w:rPr>
          <w:noProof/>
        </w:rPr>
        <w:t>I: F</w:t>
      </w:r>
      <w:r w:rsidRPr="002860F3">
        <w:rPr>
          <w:noProof/>
        </w:rPr>
        <w:t>unds managed by the Commission</w:t>
      </w:r>
    </w:p>
    <w:p w14:paraId="027D2FA1" w14:textId="77777777" w:rsidR="00FD1E19" w:rsidRPr="0055601B" w:rsidRDefault="00FD1E19" w:rsidP="00FD1E19">
      <w:pPr>
        <w:pStyle w:val="SubTextIndentJustified"/>
        <w:numPr>
          <w:ilvl w:val="0"/>
          <w:numId w:val="14"/>
        </w:numPr>
        <w:tabs>
          <w:tab w:val="clear" w:pos="0"/>
          <w:tab w:val="left" w:pos="1418"/>
        </w:tabs>
        <w:ind w:left="1440" w:hanging="447"/>
        <w:jc w:val="both"/>
        <w:rPr>
          <w:noProof/>
        </w:rPr>
      </w:pPr>
      <w:r w:rsidRPr="0049190D">
        <w:rPr>
          <w:noProof/>
        </w:rPr>
        <w:t>Financial statements of the EDF, including explanatory notes and financial statements for each individual EDF. These statements also include the contributions made to the EU Trust Fund Bêkou and the EU Trust Fund for Africa.</w:t>
      </w:r>
    </w:p>
    <w:p w14:paraId="1798E5EB" w14:textId="77777777" w:rsidR="00FD1E19" w:rsidRPr="002860F3" w:rsidRDefault="00FD1E19" w:rsidP="00FD1E19">
      <w:pPr>
        <w:pStyle w:val="SubTextIndentJustified"/>
        <w:numPr>
          <w:ilvl w:val="0"/>
          <w:numId w:val="14"/>
        </w:numPr>
        <w:tabs>
          <w:tab w:val="clear" w:pos="0"/>
          <w:tab w:val="left" w:pos="1418"/>
        </w:tabs>
        <w:ind w:left="1440" w:hanging="447"/>
        <w:jc w:val="both"/>
        <w:rPr>
          <w:noProof/>
        </w:rPr>
      </w:pPr>
      <w:r w:rsidRPr="00D51C58">
        <w:rPr>
          <w:noProof/>
        </w:rPr>
        <w:t xml:space="preserve">Financial statements of the EU Trust Fund Bêkou and the EU Trust Fund for Africa, prepared under the responsibility of the Commission’s Accounting Officer and subject to external audit carried out by a private auditor. </w:t>
      </w:r>
    </w:p>
    <w:p w14:paraId="5FB92537" w14:textId="77777777" w:rsidR="00FD1E19" w:rsidRDefault="00FD1E19" w:rsidP="00FD1E19">
      <w:pPr>
        <w:pStyle w:val="SubTextIndentJustified"/>
        <w:numPr>
          <w:ilvl w:val="0"/>
          <w:numId w:val="14"/>
        </w:numPr>
        <w:tabs>
          <w:tab w:val="clear" w:pos="0"/>
          <w:tab w:val="left" w:pos="1418"/>
        </w:tabs>
        <w:ind w:left="1440" w:hanging="447"/>
        <w:rPr>
          <w:noProof/>
        </w:rPr>
      </w:pPr>
      <w:r w:rsidRPr="002860F3">
        <w:rPr>
          <w:noProof/>
        </w:rPr>
        <w:t xml:space="preserve">Consolidated financial statements of </w:t>
      </w:r>
      <w:r>
        <w:rPr>
          <w:noProof/>
        </w:rPr>
        <w:t xml:space="preserve">the </w:t>
      </w:r>
      <w:r w:rsidRPr="002860F3">
        <w:rPr>
          <w:noProof/>
        </w:rPr>
        <w:t xml:space="preserve">EDF and the EU </w:t>
      </w:r>
      <w:r>
        <w:rPr>
          <w:noProof/>
        </w:rPr>
        <w:t>t</w:t>
      </w:r>
      <w:r w:rsidRPr="002860F3">
        <w:rPr>
          <w:noProof/>
        </w:rPr>
        <w:t xml:space="preserve">rust </w:t>
      </w:r>
      <w:r>
        <w:rPr>
          <w:noProof/>
        </w:rPr>
        <w:t>f</w:t>
      </w:r>
      <w:r w:rsidRPr="002860F3">
        <w:rPr>
          <w:noProof/>
        </w:rPr>
        <w:t>unds</w:t>
      </w:r>
    </w:p>
    <w:p w14:paraId="5CD58C57" w14:textId="77777777" w:rsidR="00FD1E19" w:rsidRPr="002860F3" w:rsidRDefault="00FD1E19" w:rsidP="00FD1E19">
      <w:pPr>
        <w:pStyle w:val="SubTextIndentJustified"/>
        <w:numPr>
          <w:ilvl w:val="0"/>
          <w:numId w:val="14"/>
        </w:numPr>
        <w:tabs>
          <w:tab w:val="clear" w:pos="0"/>
          <w:tab w:val="left" w:pos="1418"/>
        </w:tabs>
        <w:ind w:left="1440" w:hanging="447"/>
        <w:rPr>
          <w:noProof/>
        </w:rPr>
      </w:pPr>
      <w:r w:rsidRPr="002860F3">
        <w:rPr>
          <w:noProof/>
        </w:rPr>
        <w:t>Report on financial implementation of the EDF</w:t>
      </w:r>
    </w:p>
    <w:p w14:paraId="0775CBE3" w14:textId="77777777" w:rsidR="00FD1E19" w:rsidRPr="002860F3" w:rsidRDefault="00FD1E19" w:rsidP="00FD1E19">
      <w:pPr>
        <w:pStyle w:val="SubTextIndentJustified"/>
        <w:rPr>
          <w:noProof/>
        </w:rPr>
      </w:pPr>
      <w:r w:rsidRPr="002860F3">
        <w:rPr>
          <w:noProof/>
        </w:rPr>
        <w:t>Part II: Funds managed by the EIB - Annual report on implementation</w:t>
      </w:r>
    </w:p>
    <w:p w14:paraId="4D1B749E" w14:textId="77777777" w:rsidR="00FD1E19" w:rsidRPr="002860F3" w:rsidRDefault="00FD1E19" w:rsidP="00FD1E19">
      <w:pPr>
        <w:pStyle w:val="SubTextIndentJustified"/>
        <w:numPr>
          <w:ilvl w:val="0"/>
          <w:numId w:val="15"/>
        </w:numPr>
        <w:tabs>
          <w:tab w:val="clear" w:pos="418"/>
          <w:tab w:val="num" w:pos="1418"/>
        </w:tabs>
        <w:ind w:left="1418" w:hanging="425"/>
        <w:rPr>
          <w:noProof/>
        </w:rPr>
      </w:pPr>
      <w:r w:rsidRPr="002860F3">
        <w:rPr>
          <w:noProof/>
        </w:rPr>
        <w:t>Financial statements of the Investment Facility</w:t>
      </w:r>
    </w:p>
    <w:p w14:paraId="3155B13C" w14:textId="77777777" w:rsidR="00FD1E19" w:rsidRPr="002860F3" w:rsidRDefault="00FD1E19" w:rsidP="00FD1E19">
      <w:pPr>
        <w:pStyle w:val="Textstand-alone"/>
      </w:pPr>
      <w:r w:rsidRPr="002860F3">
        <w:t xml:space="preserve">The </w:t>
      </w:r>
      <w:r>
        <w:t xml:space="preserve">EDF’s </w:t>
      </w:r>
      <w:r w:rsidRPr="002860F3">
        <w:t xml:space="preserve">annual accounts must be adopted by the Commission no later than 31 July of the year </w:t>
      </w:r>
      <w:r>
        <w:t xml:space="preserve">following the balance sheet date </w:t>
      </w:r>
      <w:r w:rsidRPr="002860F3">
        <w:t>and presented to the European Parliament and to the Council for discharge.</w:t>
      </w:r>
    </w:p>
    <w:p w14:paraId="3F7D0A7C" w14:textId="77777777" w:rsidR="00FD1E19" w:rsidRPr="002860F3" w:rsidRDefault="00FD1E19" w:rsidP="00FD1E19">
      <w:pPr>
        <w:pStyle w:val="HEADER1Part1"/>
        <w:numPr>
          <w:ilvl w:val="0"/>
          <w:numId w:val="11"/>
        </w:numPr>
        <w:rPr>
          <w:noProof/>
        </w:rPr>
      </w:pPr>
      <w:r w:rsidRPr="002860F3">
        <w:rPr>
          <w:noProof/>
        </w:rPr>
        <w:t>AUDIT AND DISCHARGE</w:t>
      </w:r>
    </w:p>
    <w:p w14:paraId="3B082006" w14:textId="77777777" w:rsidR="00FD1E19" w:rsidRPr="002860F3" w:rsidRDefault="00FD1E19" w:rsidP="00FD1E19">
      <w:pPr>
        <w:pStyle w:val="HEADER2Part1"/>
        <w:numPr>
          <w:ilvl w:val="1"/>
          <w:numId w:val="11"/>
        </w:numPr>
        <w:rPr>
          <w:noProof/>
        </w:rPr>
      </w:pPr>
      <w:r w:rsidRPr="002860F3">
        <w:rPr>
          <w:noProof/>
        </w:rPr>
        <w:t>AUDIT</w:t>
      </w:r>
    </w:p>
    <w:p w14:paraId="41C14C03" w14:textId="77777777" w:rsidR="00FD1E19" w:rsidRPr="002860F3" w:rsidRDefault="00FD1E19" w:rsidP="00FD1E19">
      <w:pPr>
        <w:pStyle w:val="Textstand-alone"/>
      </w:pPr>
      <w:r w:rsidRPr="002860F3">
        <w:t>The EDF</w:t>
      </w:r>
      <w:r>
        <w:t>’s</w:t>
      </w:r>
      <w:r w:rsidRPr="002860F3">
        <w:t xml:space="preserve"> annual accounts are </w:t>
      </w:r>
      <w:r>
        <w:t>audited</w:t>
      </w:r>
      <w:r w:rsidRPr="002860F3">
        <w:t xml:space="preserve"> by its external auditor, the European Court of Auditors (hereinafter referred to as the </w:t>
      </w:r>
      <w:r>
        <w:t>‘</w:t>
      </w:r>
      <w:r w:rsidRPr="002860F3">
        <w:t>ECA</w:t>
      </w:r>
      <w:r>
        <w:t>’</w:t>
      </w:r>
      <w:r w:rsidRPr="002860F3">
        <w:t>), which draws up an annual report for the European Parliament and the Council.</w:t>
      </w:r>
    </w:p>
    <w:p w14:paraId="2F8DF405" w14:textId="77777777" w:rsidR="00FD1E19" w:rsidRPr="002860F3" w:rsidRDefault="00FD1E19" w:rsidP="00FD1E19">
      <w:pPr>
        <w:pStyle w:val="HEADER2Part1"/>
        <w:numPr>
          <w:ilvl w:val="1"/>
          <w:numId w:val="11"/>
        </w:numPr>
        <w:rPr>
          <w:noProof/>
        </w:rPr>
      </w:pPr>
      <w:r w:rsidRPr="002860F3">
        <w:rPr>
          <w:noProof/>
        </w:rPr>
        <w:t>DISCHARGE</w:t>
      </w:r>
    </w:p>
    <w:p w14:paraId="73D730FD" w14:textId="77777777" w:rsidR="00FD1E19" w:rsidRDefault="00FD1E19" w:rsidP="00FD1E19">
      <w:pPr>
        <w:pStyle w:val="Textstand-alone"/>
      </w:pPr>
      <w:r w:rsidRPr="002860F3">
        <w:t>The final control of the financial implementation of the EDF resources for a given financial year</w:t>
      </w:r>
      <w:r>
        <w:t xml:space="preserve"> </w:t>
      </w:r>
      <w:r w:rsidRPr="002860F3">
        <w:t xml:space="preserve">is the discharge. </w:t>
      </w:r>
      <w:r>
        <w:t>F</w:t>
      </w:r>
      <w:r w:rsidRPr="002860F3">
        <w:t>ollowing the audit and finalisation of the annual accounts, it falls to the Council to recommend</w:t>
      </w:r>
      <w:r>
        <w:t>,</w:t>
      </w:r>
      <w:r w:rsidRPr="002860F3">
        <w:t xml:space="preserve"> and then to the European Parliament to decide</w:t>
      </w:r>
      <w:r>
        <w:t>,</w:t>
      </w:r>
      <w:r w:rsidRPr="002860F3">
        <w:t xml:space="preserve"> whether to grant discharge to the Commission for the financial implementation of the EDF resources for a given financial year. This decision is based on a review of the accounts and the annual report of the ECA (which includes an official statement of assurance) and replies of the Commission</w:t>
      </w:r>
      <w:r>
        <w:t xml:space="preserve"> to</w:t>
      </w:r>
      <w:r w:rsidRPr="002860F3">
        <w:t xml:space="preserve"> questions and further information requests</w:t>
      </w:r>
      <w:r>
        <w:t xml:space="preserve"> of the discharge authority</w:t>
      </w:r>
      <w:r w:rsidRPr="002860F3">
        <w:t>.</w:t>
      </w:r>
    </w:p>
    <w:bookmarkEnd w:id="9"/>
    <w:p w14:paraId="217F5D90" w14:textId="77777777" w:rsidR="00FD1E19" w:rsidRPr="007D4003" w:rsidRDefault="00FD1E19" w:rsidP="00FD1E19">
      <w:pPr>
        <w:rPr>
          <w:noProof/>
        </w:rPr>
        <w:sectPr w:rsidR="00FD1E19" w:rsidRPr="007D4003" w:rsidSect="00FD1E19">
          <w:headerReference w:type="default" r:id="rId23"/>
          <w:footerReference w:type="default" r:id="rId24"/>
          <w:pgSz w:w="11906" w:h="16838" w:code="9"/>
          <w:pgMar w:top="1134" w:right="1134" w:bottom="1134" w:left="1134" w:header="709" w:footer="709" w:gutter="0"/>
          <w:cols w:space="708"/>
          <w:docGrid w:linePitch="360"/>
        </w:sectPr>
      </w:pPr>
    </w:p>
    <w:p w14:paraId="2E351656" w14:textId="77777777" w:rsidR="00FD1E19" w:rsidRPr="00C61A27" w:rsidRDefault="00FD1E19" w:rsidP="00FD1E19">
      <w:pPr>
        <w:spacing w:before="240" w:after="720"/>
        <w:rPr>
          <w:rFonts w:ascii="Verdana" w:hAnsi="Verdana"/>
          <w:b/>
          <w:noProof/>
          <w:color w:val="016794"/>
          <w:sz w:val="40"/>
          <w:szCs w:val="40"/>
        </w:rPr>
      </w:pPr>
      <w:bookmarkStart w:id="11" w:name="_Toc67663956"/>
      <w:bookmarkStart w:id="12" w:name="_DMBM_37251"/>
      <w:bookmarkStart w:id="13" w:name="_CSF_TOC_1_0"/>
      <w:r w:rsidRPr="00C61A27">
        <w:rPr>
          <w:rFonts w:ascii="Verdana" w:hAnsi="Verdana"/>
          <w:b/>
          <w:noProof/>
          <w:color w:val="016794"/>
          <w:sz w:val="40"/>
          <w:szCs w:val="40"/>
        </w:rPr>
        <w:t>HIGHLIGHTS OF FINANCIAL IMPLEMENTATION 202</w:t>
      </w:r>
      <w:bookmarkEnd w:id="11"/>
      <w:r>
        <w:rPr>
          <w:rFonts w:ascii="Verdana" w:hAnsi="Verdana"/>
          <w:b/>
          <w:noProof/>
          <w:color w:val="016794"/>
          <w:sz w:val="40"/>
          <w:szCs w:val="40"/>
        </w:rPr>
        <w:t>5</w:t>
      </w:r>
    </w:p>
    <w:p w14:paraId="45A69D7C" w14:textId="77777777" w:rsidR="00FD1E19" w:rsidRDefault="00FD1E19" w:rsidP="00FD1E19">
      <w:pPr>
        <w:spacing w:before="240" w:after="240"/>
        <w:jc w:val="both"/>
        <w:rPr>
          <w:rFonts w:ascii="Verdana" w:hAnsi="Verdana"/>
          <w:b/>
          <w:bCs/>
          <w:noProof/>
          <w:color w:val="016794"/>
          <w:sz w:val="18"/>
          <w:szCs w:val="18"/>
          <w:lang w:val="en-IE"/>
        </w:rPr>
      </w:pPr>
      <w:r>
        <w:rPr>
          <w:noProof/>
          <w:lang w:eastAsia="en-GB"/>
        </w:rPr>
        <w:drawing>
          <wp:inline distT="0" distB="0" distL="0" distR="0" wp14:anchorId="60BF2FD2" wp14:editId="219A7A43">
            <wp:extent cx="6120130" cy="2177415"/>
            <wp:effectExtent l="0" t="0" r="13970" b="13335"/>
            <wp:docPr id="1967723914" name="Chart 1">
              <a:extLst xmlns:a="http://schemas.openxmlformats.org/drawingml/2006/main">
                <a:ext uri="{FF2B5EF4-FFF2-40B4-BE49-F238E27FC236}">
                  <a16:creationId xmlns:a16="http://schemas.microsoft.com/office/drawing/2014/main" id="{B9F5C12C-3599-437D-A801-E85086FE03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3F47963" w14:textId="77777777" w:rsidR="00FD1E19" w:rsidRPr="00C61A27" w:rsidRDefault="00FD1E19" w:rsidP="00FD1E19">
      <w:pPr>
        <w:spacing w:before="240" w:after="240"/>
        <w:rPr>
          <w:rFonts w:ascii="Verdana" w:hAnsi="Verdana"/>
          <w:noProof/>
          <w:sz w:val="18"/>
          <w:szCs w:val="18"/>
        </w:rPr>
      </w:pPr>
      <w:r>
        <w:rPr>
          <w:rFonts w:ascii="Verdana" w:hAnsi="Verdana"/>
          <w:noProof/>
          <w:sz w:val="18"/>
          <w:szCs w:val="18"/>
        </w:rPr>
        <w:t xml:space="preserve">* </w:t>
      </w:r>
      <w:r w:rsidRPr="00C61A27">
        <w:rPr>
          <w:rFonts w:ascii="Verdana" w:hAnsi="Verdana"/>
          <w:noProof/>
          <w:sz w:val="18"/>
          <w:szCs w:val="18"/>
        </w:rPr>
        <w:t xml:space="preserve">Net amount, only </w:t>
      </w:r>
      <w:r>
        <w:rPr>
          <w:rFonts w:ascii="Verdana" w:hAnsi="Verdana"/>
          <w:noProof/>
          <w:sz w:val="18"/>
          <w:szCs w:val="18"/>
        </w:rPr>
        <w:t>10th</w:t>
      </w:r>
      <w:r w:rsidRPr="00C61A27">
        <w:rPr>
          <w:rFonts w:ascii="Verdana" w:hAnsi="Verdana"/>
          <w:noProof/>
          <w:sz w:val="18"/>
          <w:szCs w:val="18"/>
        </w:rPr>
        <w:t xml:space="preserve"> &amp; </w:t>
      </w:r>
      <w:r>
        <w:rPr>
          <w:rFonts w:ascii="Verdana" w:hAnsi="Verdana"/>
          <w:noProof/>
          <w:sz w:val="18"/>
          <w:szCs w:val="18"/>
        </w:rPr>
        <w:t>11th</w:t>
      </w:r>
      <w:r w:rsidRPr="00C61A27">
        <w:rPr>
          <w:rFonts w:ascii="Verdana" w:hAnsi="Verdana"/>
          <w:noProof/>
          <w:sz w:val="18"/>
          <w:szCs w:val="18"/>
        </w:rPr>
        <w:t xml:space="preserve"> EDF</w:t>
      </w:r>
    </w:p>
    <w:p w14:paraId="74E18E8C" w14:textId="77777777" w:rsidR="00FD1E19" w:rsidRPr="00C61A27" w:rsidRDefault="00FD1E19" w:rsidP="00FD1E19">
      <w:pPr>
        <w:spacing w:before="240" w:after="240"/>
        <w:jc w:val="both"/>
        <w:rPr>
          <w:rFonts w:ascii="Verdana" w:hAnsi="Verdana"/>
          <w:b/>
          <w:bCs/>
          <w:noProof/>
          <w:color w:val="016794"/>
          <w:sz w:val="18"/>
          <w:szCs w:val="18"/>
          <w:lang w:val="en-IE"/>
        </w:rPr>
      </w:pPr>
      <w:r w:rsidRPr="00C61A27">
        <w:rPr>
          <w:rFonts w:ascii="Verdana" w:hAnsi="Verdana"/>
          <w:b/>
          <w:bCs/>
          <w:noProof/>
          <w:color w:val="016794"/>
          <w:sz w:val="18"/>
          <w:szCs w:val="18"/>
          <w:lang w:val="en-IE"/>
        </w:rPr>
        <w:t>Budget implementation</w:t>
      </w:r>
    </w:p>
    <w:p w14:paraId="0C268AEC" w14:textId="77777777" w:rsidR="00FD1E19" w:rsidRPr="003E60F4" w:rsidRDefault="00FD1E19" w:rsidP="00FD1E19">
      <w:pPr>
        <w:spacing w:before="240" w:after="240"/>
        <w:jc w:val="both"/>
        <w:rPr>
          <w:rFonts w:ascii="Verdana" w:hAnsi="Verdana" w:cstheme="minorHAnsi"/>
          <w:noProof/>
          <w:color w:val="000000" w:themeColor="text1"/>
          <w:sz w:val="18"/>
          <w:szCs w:val="18"/>
          <w:lang w:val="en-IE"/>
        </w:rPr>
      </w:pPr>
      <w:r w:rsidRPr="003E60F4">
        <w:rPr>
          <w:rFonts w:ascii="Verdana" w:hAnsi="Verdana" w:cstheme="minorHAnsi"/>
          <w:noProof/>
          <w:color w:val="000000" w:themeColor="text1"/>
          <w:sz w:val="18"/>
          <w:szCs w:val="18"/>
          <w:lang w:val="en-IE"/>
        </w:rPr>
        <w:t>In 2025, net payments of EUR 893 million were made under the 10th EDF and 11th EDF. The total amount of gross payments for the EDF in 2025 amounted to EUR 949.98 million, which represents 95% of the target of EUR 1 000 million communicated to the Member States.</w:t>
      </w:r>
    </w:p>
    <w:p w14:paraId="3DAC2F2A" w14:textId="77777777" w:rsidR="00FD1E19" w:rsidRDefault="00FD1E19" w:rsidP="00FD1E19">
      <w:pPr>
        <w:spacing w:before="240" w:after="240"/>
        <w:jc w:val="both"/>
        <w:rPr>
          <w:rFonts w:ascii="Verdana" w:hAnsi="Verdana" w:cstheme="minorHAnsi"/>
          <w:noProof/>
          <w:color w:val="000000" w:themeColor="text1"/>
          <w:sz w:val="18"/>
          <w:szCs w:val="18"/>
          <w:lang w:val="en-IE"/>
        </w:rPr>
      </w:pPr>
      <w:r w:rsidRPr="003E60F4">
        <w:rPr>
          <w:rFonts w:ascii="Verdana" w:hAnsi="Verdana" w:cstheme="minorHAnsi"/>
          <w:noProof/>
          <w:color w:val="000000" w:themeColor="text1"/>
          <w:sz w:val="18"/>
          <w:szCs w:val="18"/>
          <w:lang w:val="en-IE"/>
        </w:rPr>
        <w:t>In 2022, the Council unanimously decided to reuse EUR 600 million of de-committed funds from the 10th and 11th EDF to finance actions addressing the food-security crisis and economic shock in ACP countries following Russia’s war of aggression against Ukraine. The Commission committed this EUR 600 million in 2022 and disbursed EUR 450 million up until 2025.</w:t>
      </w:r>
      <w:r w:rsidRPr="00694280">
        <w:rPr>
          <w:rFonts w:ascii="Verdana" w:hAnsi="Verdana" w:cstheme="minorHAnsi"/>
          <w:noProof/>
          <w:color w:val="000000" w:themeColor="text1"/>
          <w:sz w:val="18"/>
          <w:szCs w:val="18"/>
          <w:lang w:val="en-IE"/>
        </w:rPr>
        <w:t xml:space="preserve"> </w:t>
      </w:r>
    </w:p>
    <w:p w14:paraId="119A3747" w14:textId="77777777" w:rsidR="00FD1E19" w:rsidRPr="00C61A27" w:rsidRDefault="00FD1E19" w:rsidP="00FD1E19">
      <w:pPr>
        <w:spacing w:before="240" w:after="240"/>
        <w:jc w:val="both"/>
        <w:rPr>
          <w:rFonts w:ascii="Verdana" w:hAnsi="Verdana"/>
          <w:b/>
          <w:noProof/>
          <w:color w:val="016794"/>
          <w:sz w:val="18"/>
          <w:szCs w:val="18"/>
          <w:lang w:val="en-IE"/>
        </w:rPr>
      </w:pPr>
      <w:r w:rsidRPr="00C61A27">
        <w:rPr>
          <w:rFonts w:ascii="Verdana" w:hAnsi="Verdana"/>
          <w:b/>
          <w:noProof/>
          <w:color w:val="016794"/>
          <w:sz w:val="18"/>
          <w:szCs w:val="18"/>
          <w:lang w:val="en-IE"/>
        </w:rPr>
        <w:t>Impact of the activities in the financial statements</w:t>
      </w:r>
    </w:p>
    <w:p w14:paraId="64474A2D" w14:textId="77777777" w:rsidR="00FD1E19" w:rsidRPr="00C61A27" w:rsidRDefault="00FD1E19" w:rsidP="00FD1E19">
      <w:pPr>
        <w:spacing w:before="240" w:after="240"/>
        <w:jc w:val="both"/>
        <w:rPr>
          <w:rFonts w:ascii="Verdana" w:hAnsi="Verdana"/>
          <w:noProof/>
          <w:sz w:val="18"/>
          <w:szCs w:val="18"/>
        </w:rPr>
      </w:pPr>
      <w:r w:rsidRPr="00C61A27">
        <w:rPr>
          <w:rFonts w:ascii="Verdana" w:hAnsi="Verdana"/>
          <w:noProof/>
          <w:sz w:val="18"/>
          <w:szCs w:val="18"/>
        </w:rPr>
        <w:t>In the financial statements, the impact of the above mentioned activities is most visible when looking at:</w:t>
      </w:r>
    </w:p>
    <w:p w14:paraId="1DF580B5" w14:textId="77777777" w:rsidR="00FD1E19" w:rsidRDefault="00FD1E19" w:rsidP="00FD1E19">
      <w:pPr>
        <w:pStyle w:val="DGTextstand-alonedashesjustified"/>
        <w:numPr>
          <w:ilvl w:val="0"/>
          <w:numId w:val="16"/>
        </w:numPr>
      </w:pPr>
      <w:r>
        <w:t>p</w:t>
      </w:r>
      <w:r w:rsidRPr="00112414">
        <w:t xml:space="preserve">re-financing (see </w:t>
      </w:r>
      <w:r>
        <w:t>N</w:t>
      </w:r>
      <w:r w:rsidRPr="00112414">
        <w:t xml:space="preserve">ote </w:t>
      </w:r>
      <w:r w:rsidRPr="00112414">
        <w:rPr>
          <w:b/>
        </w:rPr>
        <w:t>2.2</w:t>
      </w:r>
      <w:r>
        <w:t>): a decrease of EUR 219 </w:t>
      </w:r>
      <w:r w:rsidRPr="00112414">
        <w:t xml:space="preserve">million largely </w:t>
      </w:r>
      <w:r>
        <w:t xml:space="preserve">reflecting the progressive closure of the EDF and </w:t>
      </w:r>
      <w:r w:rsidRPr="00D038AA">
        <w:t xml:space="preserve">the </w:t>
      </w:r>
      <w:r>
        <w:t>resulting</w:t>
      </w:r>
      <w:r w:rsidRPr="00D038AA">
        <w:t xml:space="preserve"> </w:t>
      </w:r>
      <w:r>
        <w:t>reduction</w:t>
      </w:r>
      <w:r w:rsidRPr="00D038AA">
        <w:t xml:space="preserve"> in the number of new contracts</w:t>
      </w:r>
      <w:bookmarkStart w:id="14" w:name="_Hlk191969095"/>
      <w:r>
        <w:t xml:space="preserve">. </w:t>
      </w:r>
      <w:r w:rsidRPr="00F00698">
        <w:t xml:space="preserve">In 2025, only 21 contracts were signed compared </w:t>
      </w:r>
      <w:r>
        <w:t>with</w:t>
      </w:r>
      <w:r w:rsidRPr="00F00698">
        <w:t xml:space="preserve"> 181 in 2024;</w:t>
      </w:r>
      <w:r>
        <w:t xml:space="preserve"> </w:t>
      </w:r>
      <w:bookmarkEnd w:id="14"/>
    </w:p>
    <w:p w14:paraId="6E5769DB" w14:textId="77777777" w:rsidR="00FD1E19" w:rsidRDefault="00FD1E19" w:rsidP="00FD1E19">
      <w:pPr>
        <w:pStyle w:val="DGTextstand-alonedashesjustified"/>
        <w:numPr>
          <w:ilvl w:val="0"/>
          <w:numId w:val="16"/>
        </w:numPr>
      </w:pPr>
      <w:r>
        <w:t xml:space="preserve">cash and cash equivalents (see Note </w:t>
      </w:r>
      <w:r w:rsidRPr="00AA7350">
        <w:rPr>
          <w:b/>
          <w:bCs/>
        </w:rPr>
        <w:t>2.5</w:t>
      </w:r>
      <w:r>
        <w:t xml:space="preserve">): a decrease of EUR 125 million, primarily due to lower  contributions from donors, which declined from </w:t>
      </w:r>
      <w:r w:rsidRPr="00A65ACC">
        <w:t xml:space="preserve">EUR </w:t>
      </w:r>
      <w:r>
        <w:t>1 200</w:t>
      </w:r>
      <w:r w:rsidRPr="00A65ACC">
        <w:t xml:space="preserve"> million in 202</w:t>
      </w:r>
      <w:r>
        <w:t>4</w:t>
      </w:r>
      <w:r w:rsidRPr="00A65ACC">
        <w:t xml:space="preserve"> </w:t>
      </w:r>
      <w:r>
        <w:t>to</w:t>
      </w:r>
      <w:r w:rsidRPr="00A65ACC">
        <w:t xml:space="preserve"> EUR</w:t>
      </w:r>
      <w:r>
        <w:t> 8</w:t>
      </w:r>
      <w:r w:rsidRPr="00A65ACC">
        <w:t>00 million in 202</w:t>
      </w:r>
      <w:r>
        <w:t>5;</w:t>
      </w:r>
    </w:p>
    <w:p w14:paraId="2A84E90D" w14:textId="77777777" w:rsidR="00FD1E19" w:rsidRPr="005101B0" w:rsidRDefault="00FD1E19" w:rsidP="00FD1E19">
      <w:pPr>
        <w:pStyle w:val="DGTextstand-alonedashesjustified"/>
        <w:numPr>
          <w:ilvl w:val="0"/>
          <w:numId w:val="16"/>
        </w:numPr>
      </w:pPr>
      <w:r>
        <w:t>a</w:t>
      </w:r>
      <w:r w:rsidRPr="005101B0">
        <w:t xml:space="preserve">ccrued </w:t>
      </w:r>
      <w:r>
        <w:t>c</w:t>
      </w:r>
      <w:r w:rsidRPr="005101B0">
        <w:t xml:space="preserve">harges (see </w:t>
      </w:r>
      <w:r>
        <w:t>N</w:t>
      </w:r>
      <w:r w:rsidRPr="005101B0">
        <w:t xml:space="preserve">ote </w:t>
      </w:r>
      <w:r w:rsidRPr="00DE2156">
        <w:rPr>
          <w:b/>
        </w:rPr>
        <w:t>2.8</w:t>
      </w:r>
      <w:r w:rsidRPr="005101B0">
        <w:t xml:space="preserve">): </w:t>
      </w:r>
      <w:r>
        <w:t>a decrease of</w:t>
      </w:r>
      <w:r w:rsidRPr="005101B0">
        <w:t xml:space="preserve"> EUR</w:t>
      </w:r>
      <w:r>
        <w:t xml:space="preserve"> 79</w:t>
      </w:r>
      <w:r w:rsidRPr="005101B0">
        <w:t xml:space="preserve"> million </w:t>
      </w:r>
      <w:r>
        <w:t xml:space="preserve">reflecting </w:t>
      </w:r>
      <w:r w:rsidRPr="005101B0">
        <w:t xml:space="preserve">the </w:t>
      </w:r>
      <w:r>
        <w:t>reduction</w:t>
      </w:r>
      <w:r w:rsidRPr="005101B0">
        <w:t xml:space="preserve"> in the number of open contracts at year</w:t>
      </w:r>
      <w:r>
        <w:t>-end</w:t>
      </w:r>
      <w:r w:rsidRPr="005101B0">
        <w:t xml:space="preserve"> for which </w:t>
      </w:r>
      <w:r>
        <w:t xml:space="preserve">cost </w:t>
      </w:r>
      <w:r w:rsidRPr="005101B0">
        <w:t xml:space="preserve">claims </w:t>
      </w:r>
      <w:r>
        <w:t>had not yet been</w:t>
      </w:r>
      <w:r w:rsidRPr="005101B0">
        <w:t xml:space="preserve"> validated</w:t>
      </w:r>
      <w:r>
        <w:t>; and</w:t>
      </w:r>
    </w:p>
    <w:p w14:paraId="47ED602E" w14:textId="77777777" w:rsidR="00FD1E19" w:rsidRDefault="00FD1E19" w:rsidP="00FD1E19">
      <w:pPr>
        <w:pStyle w:val="DGTextstand-alonedashesjustified"/>
        <w:numPr>
          <w:ilvl w:val="0"/>
          <w:numId w:val="16"/>
        </w:numPr>
        <w:spacing w:before="240" w:after="240"/>
      </w:pPr>
      <w:r>
        <w:t>aid instruments</w:t>
      </w:r>
      <w:r w:rsidRPr="00C64DBB">
        <w:t xml:space="preserve"> (see </w:t>
      </w:r>
      <w:r>
        <w:t>N</w:t>
      </w:r>
      <w:r w:rsidRPr="00C64DBB">
        <w:t xml:space="preserve">ote </w:t>
      </w:r>
      <w:r w:rsidRPr="00834AB0">
        <w:rPr>
          <w:b/>
        </w:rPr>
        <w:t>3.4</w:t>
      </w:r>
      <w:r w:rsidRPr="00C64DBB">
        <w:t xml:space="preserve">): an overall decrease of EUR </w:t>
      </w:r>
      <w:r>
        <w:t>193</w:t>
      </w:r>
      <w:r w:rsidRPr="00C64DBB">
        <w:t xml:space="preserve"> million mainly </w:t>
      </w:r>
      <w:r>
        <w:t>due to the reduction in expenses under the 11</w:t>
      </w:r>
      <w:r w:rsidRPr="00834AB0">
        <w:rPr>
          <w:vertAlign w:val="superscript"/>
        </w:rPr>
        <w:t>th</w:t>
      </w:r>
      <w:r>
        <w:t xml:space="preserve"> EDF</w:t>
      </w:r>
      <w:r w:rsidRPr="00B174A6">
        <w:t>, from EUR 1 145 million in 2024 to EUR 953 million in 2025. This trend reflects the decreasing volume of new contracts signed since 2021</w:t>
      </w:r>
      <w:r w:rsidRPr="00834AB0">
        <w:t>.</w:t>
      </w:r>
    </w:p>
    <w:bookmarkEnd w:id="12"/>
    <w:p w14:paraId="788F90FC" w14:textId="77777777" w:rsidR="00FD1E19" w:rsidRPr="00C64DBB" w:rsidRDefault="00FD1E19" w:rsidP="00FD1E19">
      <w:pPr>
        <w:spacing w:before="240" w:after="240"/>
        <w:jc w:val="both"/>
        <w:rPr>
          <w:rFonts w:ascii="Verdana" w:hAnsi="Verdana"/>
          <w:noProof/>
          <w:sz w:val="18"/>
          <w:szCs w:val="18"/>
        </w:rPr>
        <w:sectPr w:rsidR="00FD1E19" w:rsidRPr="00C64DBB" w:rsidSect="00FD1E19">
          <w:headerReference w:type="default" r:id="rId26"/>
          <w:footerReference w:type="default" r:id="rId27"/>
          <w:pgSz w:w="11906" w:h="16838" w:code="9"/>
          <w:pgMar w:top="1134" w:right="1134" w:bottom="1134" w:left="1134" w:header="709" w:footer="709" w:gutter="0"/>
          <w:cols w:space="708"/>
          <w:docGrid w:linePitch="360"/>
        </w:sectPr>
      </w:pPr>
    </w:p>
    <w:p w14:paraId="36BA104E" w14:textId="77777777" w:rsidR="00FD1E19" w:rsidRDefault="00FD1E19" w:rsidP="00FD1E19">
      <w:pPr>
        <w:pStyle w:val="FinancialYear"/>
        <w:rPr>
          <w:noProof/>
        </w:rPr>
      </w:pPr>
      <w:bookmarkStart w:id="15" w:name="_DMBM_37213"/>
      <w:bookmarkEnd w:id="13"/>
      <w:r w:rsidRPr="0073511F">
        <w:rPr>
          <w:noProof/>
        </w:rPr>
        <w:t>EUROPEAN DEVELOPMENT FUND</w:t>
      </w:r>
    </w:p>
    <w:p w14:paraId="1B104473" w14:textId="77777777" w:rsidR="00FD1E19" w:rsidRDefault="00FD1E19" w:rsidP="00FD1E19">
      <w:pPr>
        <w:pStyle w:val="FinancialYear"/>
        <w:rPr>
          <w:noProof/>
        </w:rPr>
      </w:pPr>
      <w:r>
        <w:rPr>
          <w:noProof/>
        </w:rPr>
        <w:t>FINANCIAL YEAR 2025</w:t>
      </w:r>
    </w:p>
    <w:p w14:paraId="5A1EA786" w14:textId="77777777" w:rsidR="00FD1E19" w:rsidRDefault="00FD1E19" w:rsidP="00FD1E19">
      <w:pPr>
        <w:pStyle w:val="HEADERTABLE"/>
        <w:rPr>
          <w:noProof/>
        </w:rPr>
      </w:pPr>
    </w:p>
    <w:p w14:paraId="650D9EE9" w14:textId="77777777" w:rsidR="00FD1E19" w:rsidRDefault="00FD1E19" w:rsidP="00FD1E19">
      <w:pPr>
        <w:pStyle w:val="HEADERTABLE"/>
        <w:rPr>
          <w:noProof/>
        </w:rPr>
      </w:pPr>
    </w:p>
    <w:p w14:paraId="56964BAD" w14:textId="77777777" w:rsidR="00FD1E19" w:rsidRDefault="00FD1E19" w:rsidP="00FD1E19">
      <w:pPr>
        <w:pStyle w:val="FIRSTCHAPTERPAGE"/>
        <w:rPr>
          <w:noProof/>
        </w:rPr>
      </w:pPr>
    </w:p>
    <w:p w14:paraId="5EE20F6D" w14:textId="77777777" w:rsidR="00FD1E19" w:rsidRDefault="00FD1E19" w:rsidP="00FD1E19">
      <w:pPr>
        <w:pStyle w:val="FIRSTCHAPTERPAGE"/>
        <w:rPr>
          <w:noProof/>
        </w:rPr>
      </w:pPr>
    </w:p>
    <w:p w14:paraId="2176B1CD" w14:textId="77777777" w:rsidR="00FD1E19" w:rsidRDefault="00FD1E19" w:rsidP="00FD1E19">
      <w:pPr>
        <w:pStyle w:val="FIRSTCHAPTERPAGE"/>
        <w:rPr>
          <w:noProof/>
        </w:rPr>
      </w:pPr>
    </w:p>
    <w:p w14:paraId="618FB9D9" w14:textId="77777777" w:rsidR="00FD1E19" w:rsidRPr="00B05510" w:rsidRDefault="00FD1E19" w:rsidP="00B05510">
      <w:pPr>
        <w:spacing w:before="240" w:after="240"/>
        <w:jc w:val="both"/>
        <w:rPr>
          <w:rFonts w:ascii="Verdana" w:hAnsi="Verdana"/>
          <w:b/>
          <w:bCs/>
          <w:noProof/>
          <w:color w:val="016794"/>
          <w:sz w:val="40"/>
          <w:szCs w:val="40"/>
          <w:lang w:val="en-IE"/>
        </w:rPr>
      </w:pPr>
      <w:bookmarkStart w:id="16" w:name="_Toc229991217"/>
      <w:r w:rsidRPr="00B05510">
        <w:rPr>
          <w:rFonts w:ascii="Verdana" w:hAnsi="Verdana"/>
          <w:b/>
          <w:bCs/>
          <w:noProof/>
          <w:color w:val="016794"/>
          <w:sz w:val="40"/>
          <w:szCs w:val="40"/>
          <w:lang w:val="en-IE"/>
        </w:rPr>
        <w:t>PART I</w:t>
      </w:r>
      <w:bookmarkEnd w:id="16"/>
    </w:p>
    <w:p w14:paraId="61D99265" w14:textId="77777777" w:rsidR="00FD1E19" w:rsidRPr="00A91F70" w:rsidRDefault="00FD1E19" w:rsidP="00FD1E19">
      <w:pPr>
        <w:pStyle w:val="FIRSTCHAPTERPAGE"/>
        <w:rPr>
          <w:noProof/>
        </w:rPr>
      </w:pPr>
      <w:bookmarkStart w:id="17" w:name="_Toc232611625"/>
      <w:r w:rsidRPr="00A91F70">
        <w:rPr>
          <w:noProof/>
        </w:rPr>
        <w:t>FUNDS MANAGED BY THE EUROPEAN COMMISSION</w:t>
      </w:r>
      <w:bookmarkEnd w:id="17"/>
    </w:p>
    <w:p w14:paraId="72D2215A" w14:textId="77777777" w:rsidR="00FD1E19" w:rsidRDefault="00FD1E19" w:rsidP="00FD1E19">
      <w:pPr>
        <w:pStyle w:val="FIRSTCHAPTERPAGE"/>
        <w:rPr>
          <w:noProof/>
        </w:rPr>
        <w:sectPr w:rsidR="00FD1E19" w:rsidSect="00FD1E19">
          <w:headerReference w:type="default" r:id="rId28"/>
          <w:footerReference w:type="default" r:id="rId29"/>
          <w:pgSz w:w="11906" w:h="16838" w:code="9"/>
          <w:pgMar w:top="1134" w:right="1134" w:bottom="1134" w:left="1134" w:header="709" w:footer="709" w:gutter="0"/>
          <w:cols w:space="708"/>
          <w:docGrid w:linePitch="360"/>
        </w:sectPr>
      </w:pPr>
    </w:p>
    <w:p w14:paraId="025672C9" w14:textId="77777777" w:rsidR="00FD1E19" w:rsidRDefault="00FD1E19" w:rsidP="00FD1E19">
      <w:pPr>
        <w:pStyle w:val="HEADERTABLE"/>
        <w:rPr>
          <w:noProof/>
        </w:rPr>
      </w:pPr>
      <w:r>
        <w:rPr>
          <w:noProof/>
        </w:rPr>
        <w:t>CONTENTS</w:t>
      </w:r>
    </w:p>
    <w:sdt>
      <w:sdtPr>
        <w:rPr>
          <w:rFonts w:ascii="Times New Roman" w:eastAsia="Times New Roman" w:hAnsi="Times New Roman" w:cs="Times New Roman"/>
          <w:b w:val="0"/>
          <w:bCs w:val="0"/>
          <w:noProof/>
          <w:color w:val="auto"/>
          <w:kern w:val="2"/>
          <w:sz w:val="24"/>
          <w:szCs w:val="24"/>
          <w:lang w:val="en-GB" w:eastAsia="en-GB"/>
        </w:rPr>
        <w:id w:val="-421329050"/>
        <w:docPartObj>
          <w:docPartGallery w:val="Table of Contents"/>
          <w:docPartUnique/>
        </w:docPartObj>
      </w:sdtPr>
      <w:sdtEndPr>
        <w:rPr>
          <w:rFonts w:asciiTheme="minorHAnsi" w:eastAsiaTheme="minorHAnsi" w:hAnsiTheme="minorHAnsi" w:cstheme="minorBidi"/>
          <w:sz w:val="22"/>
          <w:szCs w:val="22"/>
          <w:lang w:eastAsia="en-US"/>
        </w:rPr>
      </w:sdtEndPr>
      <w:sdtContent>
        <w:p w14:paraId="497E2A83" w14:textId="77777777" w:rsidR="00FD1E19" w:rsidRDefault="00FD1E19" w:rsidP="00FD1E19">
          <w:pPr>
            <w:pStyle w:val="TOCHeading"/>
            <w:rPr>
              <w:noProof/>
            </w:rPr>
          </w:pPr>
        </w:p>
        <w:p w14:paraId="5676E85B" w14:textId="5D6DD438" w:rsidR="00E76A00" w:rsidRDefault="00FD1E19">
          <w:pPr>
            <w:pStyle w:val="TOC1"/>
            <w:tabs>
              <w:tab w:val="right" w:leader="dot" w:pos="9628"/>
            </w:tabs>
            <w:rPr>
              <w:rFonts w:asciiTheme="minorHAnsi" w:eastAsiaTheme="minorEastAsia" w:hAnsiTheme="minorHAnsi" w:cstheme="minorBidi"/>
              <w:noProof/>
              <w:color w:val="auto"/>
              <w:kern w:val="2"/>
              <w:sz w:val="24"/>
              <w:lang w:val="en-IE" w:eastAsia="en-IE"/>
            </w:rPr>
          </w:pPr>
          <w:r>
            <w:rPr>
              <w:caps/>
              <w:noProof/>
              <w:color w:val="016794"/>
            </w:rPr>
            <w:fldChar w:fldCharType="begin"/>
          </w:r>
          <w:r>
            <w:rPr>
              <w:caps/>
              <w:noProof/>
              <w:color w:val="016794"/>
            </w:rPr>
            <w:instrText xml:space="preserve"> TOC \o "1-3" \t "FIRST CHAPTER_PAGE_1;1;HEADER_TITLE_1;2" </w:instrText>
          </w:r>
          <w:r>
            <w:rPr>
              <w:caps/>
              <w:noProof/>
              <w:color w:val="016794"/>
            </w:rPr>
            <w:fldChar w:fldCharType="separate"/>
          </w:r>
          <w:r w:rsidR="00E76A00">
            <w:rPr>
              <w:noProof/>
            </w:rPr>
            <w:t>FINANCIAL STATEMENTS OF THE EDF</w:t>
          </w:r>
          <w:r w:rsidR="00E76A00">
            <w:rPr>
              <w:noProof/>
            </w:rPr>
            <w:tab/>
          </w:r>
          <w:r w:rsidR="00E76A00">
            <w:rPr>
              <w:noProof/>
            </w:rPr>
            <w:fldChar w:fldCharType="begin"/>
          </w:r>
          <w:r w:rsidR="00E76A00">
            <w:rPr>
              <w:noProof/>
            </w:rPr>
            <w:instrText xml:space="preserve"> PAGEREF _Toc232609776 \h </w:instrText>
          </w:r>
          <w:r w:rsidR="00E76A00">
            <w:rPr>
              <w:noProof/>
            </w:rPr>
          </w:r>
          <w:r w:rsidR="00E76A00">
            <w:rPr>
              <w:noProof/>
            </w:rPr>
            <w:fldChar w:fldCharType="separate"/>
          </w:r>
          <w:r w:rsidR="00E76A00">
            <w:rPr>
              <w:noProof/>
            </w:rPr>
            <w:t>9</w:t>
          </w:r>
          <w:r w:rsidR="00E76A00">
            <w:rPr>
              <w:noProof/>
            </w:rPr>
            <w:fldChar w:fldCharType="end"/>
          </w:r>
        </w:p>
        <w:p w14:paraId="2ABCCD37" w14:textId="3A312389"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EDF BALANCE SHEET</w:t>
          </w:r>
          <w:r>
            <w:rPr>
              <w:noProof/>
            </w:rPr>
            <w:tab/>
          </w:r>
          <w:r>
            <w:rPr>
              <w:noProof/>
            </w:rPr>
            <w:fldChar w:fldCharType="begin"/>
          </w:r>
          <w:r>
            <w:rPr>
              <w:noProof/>
            </w:rPr>
            <w:instrText xml:space="preserve"> PAGEREF _Toc232609777 \h </w:instrText>
          </w:r>
          <w:r>
            <w:rPr>
              <w:noProof/>
            </w:rPr>
          </w:r>
          <w:r>
            <w:rPr>
              <w:noProof/>
            </w:rPr>
            <w:fldChar w:fldCharType="separate"/>
          </w:r>
          <w:r>
            <w:rPr>
              <w:noProof/>
            </w:rPr>
            <w:t>10</w:t>
          </w:r>
          <w:r>
            <w:rPr>
              <w:noProof/>
            </w:rPr>
            <w:fldChar w:fldCharType="end"/>
          </w:r>
        </w:p>
        <w:p w14:paraId="28198EE0" w14:textId="7BEB4ECF"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EDF STATEMENT OF FINANCIAL PERFORMANCE</w:t>
          </w:r>
          <w:r>
            <w:rPr>
              <w:noProof/>
            </w:rPr>
            <w:tab/>
          </w:r>
          <w:r>
            <w:rPr>
              <w:noProof/>
            </w:rPr>
            <w:fldChar w:fldCharType="begin"/>
          </w:r>
          <w:r>
            <w:rPr>
              <w:noProof/>
            </w:rPr>
            <w:instrText xml:space="preserve"> PAGEREF _Toc232609778 \h </w:instrText>
          </w:r>
          <w:r>
            <w:rPr>
              <w:noProof/>
            </w:rPr>
          </w:r>
          <w:r>
            <w:rPr>
              <w:noProof/>
            </w:rPr>
            <w:fldChar w:fldCharType="separate"/>
          </w:r>
          <w:r>
            <w:rPr>
              <w:noProof/>
            </w:rPr>
            <w:t>11</w:t>
          </w:r>
          <w:r>
            <w:rPr>
              <w:noProof/>
            </w:rPr>
            <w:fldChar w:fldCharType="end"/>
          </w:r>
        </w:p>
        <w:p w14:paraId="778ADD52" w14:textId="3ACC3D8B"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EDF CASHFLOW STATEMENT</w:t>
          </w:r>
          <w:r>
            <w:rPr>
              <w:noProof/>
            </w:rPr>
            <w:tab/>
          </w:r>
          <w:r>
            <w:rPr>
              <w:noProof/>
            </w:rPr>
            <w:fldChar w:fldCharType="begin"/>
          </w:r>
          <w:r>
            <w:rPr>
              <w:noProof/>
            </w:rPr>
            <w:instrText xml:space="preserve"> PAGEREF _Toc232609779 \h </w:instrText>
          </w:r>
          <w:r>
            <w:rPr>
              <w:noProof/>
            </w:rPr>
          </w:r>
          <w:r>
            <w:rPr>
              <w:noProof/>
            </w:rPr>
            <w:fldChar w:fldCharType="separate"/>
          </w:r>
          <w:r>
            <w:rPr>
              <w:noProof/>
            </w:rPr>
            <w:t>12</w:t>
          </w:r>
          <w:r>
            <w:rPr>
              <w:noProof/>
            </w:rPr>
            <w:fldChar w:fldCharType="end"/>
          </w:r>
        </w:p>
        <w:p w14:paraId="25598A9A" w14:textId="6AD703B3"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EDF STATEMENT OF CHANGES IN NET ASSETS</w:t>
          </w:r>
          <w:r>
            <w:rPr>
              <w:noProof/>
            </w:rPr>
            <w:tab/>
          </w:r>
          <w:r>
            <w:rPr>
              <w:noProof/>
            </w:rPr>
            <w:fldChar w:fldCharType="begin"/>
          </w:r>
          <w:r>
            <w:rPr>
              <w:noProof/>
            </w:rPr>
            <w:instrText xml:space="preserve"> PAGEREF _Toc232609780 \h </w:instrText>
          </w:r>
          <w:r>
            <w:rPr>
              <w:noProof/>
            </w:rPr>
          </w:r>
          <w:r>
            <w:rPr>
              <w:noProof/>
            </w:rPr>
            <w:fldChar w:fldCharType="separate"/>
          </w:r>
          <w:r>
            <w:rPr>
              <w:noProof/>
            </w:rPr>
            <w:t>13</w:t>
          </w:r>
          <w:r>
            <w:rPr>
              <w:noProof/>
            </w:rPr>
            <w:fldChar w:fldCharType="end"/>
          </w:r>
        </w:p>
        <w:p w14:paraId="7726FA80" w14:textId="3B97B142"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BALANCE SHEET BY EDF</w:t>
          </w:r>
          <w:r>
            <w:rPr>
              <w:noProof/>
            </w:rPr>
            <w:tab/>
          </w:r>
          <w:r>
            <w:rPr>
              <w:noProof/>
            </w:rPr>
            <w:fldChar w:fldCharType="begin"/>
          </w:r>
          <w:r>
            <w:rPr>
              <w:noProof/>
            </w:rPr>
            <w:instrText xml:space="preserve"> PAGEREF _Toc232609781 \h </w:instrText>
          </w:r>
          <w:r>
            <w:rPr>
              <w:noProof/>
            </w:rPr>
          </w:r>
          <w:r>
            <w:rPr>
              <w:noProof/>
            </w:rPr>
            <w:fldChar w:fldCharType="separate"/>
          </w:r>
          <w:r>
            <w:rPr>
              <w:noProof/>
            </w:rPr>
            <w:t>14</w:t>
          </w:r>
          <w:r>
            <w:rPr>
              <w:noProof/>
            </w:rPr>
            <w:fldChar w:fldCharType="end"/>
          </w:r>
        </w:p>
        <w:p w14:paraId="2D65086C" w14:textId="27697AF0"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STATEMENT OF FINANCIAL PERFORMANCE BY EDF</w:t>
          </w:r>
          <w:r>
            <w:rPr>
              <w:noProof/>
            </w:rPr>
            <w:tab/>
          </w:r>
          <w:r>
            <w:rPr>
              <w:noProof/>
            </w:rPr>
            <w:fldChar w:fldCharType="begin"/>
          </w:r>
          <w:r>
            <w:rPr>
              <w:noProof/>
            </w:rPr>
            <w:instrText xml:space="preserve"> PAGEREF _Toc232609782 \h </w:instrText>
          </w:r>
          <w:r>
            <w:rPr>
              <w:noProof/>
            </w:rPr>
          </w:r>
          <w:r>
            <w:rPr>
              <w:noProof/>
            </w:rPr>
            <w:fldChar w:fldCharType="separate"/>
          </w:r>
          <w:r>
            <w:rPr>
              <w:noProof/>
            </w:rPr>
            <w:t>16</w:t>
          </w:r>
          <w:r>
            <w:rPr>
              <w:noProof/>
            </w:rPr>
            <w:fldChar w:fldCharType="end"/>
          </w:r>
        </w:p>
        <w:p w14:paraId="1800DDE5" w14:textId="100C083B"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STATEMENT OF CHANGES IN NET ASSETS BY EDF</w:t>
          </w:r>
          <w:r>
            <w:rPr>
              <w:noProof/>
            </w:rPr>
            <w:tab/>
          </w:r>
          <w:r>
            <w:rPr>
              <w:noProof/>
            </w:rPr>
            <w:fldChar w:fldCharType="begin"/>
          </w:r>
          <w:r>
            <w:rPr>
              <w:noProof/>
            </w:rPr>
            <w:instrText xml:space="preserve"> PAGEREF _Toc232609783 \h </w:instrText>
          </w:r>
          <w:r>
            <w:rPr>
              <w:noProof/>
            </w:rPr>
          </w:r>
          <w:r>
            <w:rPr>
              <w:noProof/>
            </w:rPr>
            <w:fldChar w:fldCharType="separate"/>
          </w:r>
          <w:r>
            <w:rPr>
              <w:noProof/>
            </w:rPr>
            <w:t>17</w:t>
          </w:r>
          <w:r>
            <w:rPr>
              <w:noProof/>
            </w:rPr>
            <w:fldChar w:fldCharType="end"/>
          </w:r>
        </w:p>
        <w:p w14:paraId="744D58AE" w14:textId="169454EF"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NOTES TO THE FINANCIAL STATEMENTS OF THE EDF</w:t>
          </w:r>
          <w:r>
            <w:rPr>
              <w:noProof/>
            </w:rPr>
            <w:tab/>
          </w:r>
          <w:r>
            <w:rPr>
              <w:noProof/>
            </w:rPr>
            <w:fldChar w:fldCharType="begin"/>
          </w:r>
          <w:r>
            <w:rPr>
              <w:noProof/>
            </w:rPr>
            <w:instrText xml:space="preserve"> PAGEREF _Toc232609784 \h </w:instrText>
          </w:r>
          <w:r>
            <w:rPr>
              <w:noProof/>
            </w:rPr>
          </w:r>
          <w:r>
            <w:rPr>
              <w:noProof/>
            </w:rPr>
            <w:fldChar w:fldCharType="separate"/>
          </w:r>
          <w:r>
            <w:rPr>
              <w:noProof/>
            </w:rPr>
            <w:t>19</w:t>
          </w:r>
          <w:r>
            <w:rPr>
              <w:noProof/>
            </w:rPr>
            <w:fldChar w:fldCharType="end"/>
          </w:r>
        </w:p>
        <w:p w14:paraId="564FF7C8" w14:textId="18851B3E" w:rsidR="00E76A00" w:rsidRDefault="00E76A00">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t>FINANCIAL STATEMENTS OF THE EU TRUST FUNDS BÊKOU AND EU TRUST FUND AFRICA</w:t>
          </w:r>
          <w:r>
            <w:rPr>
              <w:noProof/>
            </w:rPr>
            <w:tab/>
          </w:r>
          <w:r>
            <w:rPr>
              <w:noProof/>
            </w:rPr>
            <w:fldChar w:fldCharType="begin"/>
          </w:r>
          <w:r>
            <w:rPr>
              <w:noProof/>
            </w:rPr>
            <w:instrText xml:space="preserve"> PAGEREF _Toc232609785 \h </w:instrText>
          </w:r>
          <w:r>
            <w:rPr>
              <w:noProof/>
            </w:rPr>
          </w:r>
          <w:r>
            <w:rPr>
              <w:noProof/>
            </w:rPr>
            <w:fldChar w:fldCharType="separate"/>
          </w:r>
          <w:r>
            <w:rPr>
              <w:noProof/>
            </w:rPr>
            <w:t>51</w:t>
          </w:r>
          <w:r>
            <w:rPr>
              <w:noProof/>
            </w:rPr>
            <w:fldChar w:fldCharType="end"/>
          </w:r>
        </w:p>
        <w:p w14:paraId="54E19523" w14:textId="6037EA48" w:rsidR="00E76A00" w:rsidRDefault="00E76A00">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t>FINANCIAL STATEMENTS OF THE BÊKOU EU TRUST FUND 2025</w:t>
          </w:r>
          <w:r>
            <w:rPr>
              <w:noProof/>
            </w:rPr>
            <w:tab/>
          </w:r>
          <w:r>
            <w:rPr>
              <w:noProof/>
            </w:rPr>
            <w:fldChar w:fldCharType="begin"/>
          </w:r>
          <w:r>
            <w:rPr>
              <w:noProof/>
            </w:rPr>
            <w:instrText xml:space="preserve"> PAGEREF _Toc232609786 \h </w:instrText>
          </w:r>
          <w:r>
            <w:rPr>
              <w:noProof/>
            </w:rPr>
          </w:r>
          <w:r>
            <w:rPr>
              <w:noProof/>
            </w:rPr>
            <w:fldChar w:fldCharType="separate"/>
          </w:r>
          <w:r>
            <w:rPr>
              <w:noProof/>
            </w:rPr>
            <w:t>52</w:t>
          </w:r>
          <w:r>
            <w:rPr>
              <w:noProof/>
            </w:rPr>
            <w:fldChar w:fldCharType="end"/>
          </w:r>
        </w:p>
        <w:p w14:paraId="6D23459D" w14:textId="62782D35"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BALANCE SHEET</w:t>
          </w:r>
          <w:r>
            <w:rPr>
              <w:noProof/>
            </w:rPr>
            <w:tab/>
          </w:r>
          <w:r>
            <w:rPr>
              <w:noProof/>
            </w:rPr>
            <w:fldChar w:fldCharType="begin"/>
          </w:r>
          <w:r>
            <w:rPr>
              <w:noProof/>
            </w:rPr>
            <w:instrText xml:space="preserve"> PAGEREF _Toc232609787 \h </w:instrText>
          </w:r>
          <w:r>
            <w:rPr>
              <w:noProof/>
            </w:rPr>
          </w:r>
          <w:r>
            <w:rPr>
              <w:noProof/>
            </w:rPr>
            <w:fldChar w:fldCharType="separate"/>
          </w:r>
          <w:r>
            <w:rPr>
              <w:noProof/>
            </w:rPr>
            <w:t>57</w:t>
          </w:r>
          <w:r>
            <w:rPr>
              <w:noProof/>
            </w:rPr>
            <w:fldChar w:fldCharType="end"/>
          </w:r>
        </w:p>
        <w:p w14:paraId="7D32996F" w14:textId="266286BA"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STATEMENT OF FINANCIAL PERFORMANCE</w:t>
          </w:r>
          <w:r>
            <w:rPr>
              <w:noProof/>
            </w:rPr>
            <w:tab/>
          </w:r>
          <w:r>
            <w:rPr>
              <w:noProof/>
            </w:rPr>
            <w:fldChar w:fldCharType="begin"/>
          </w:r>
          <w:r>
            <w:rPr>
              <w:noProof/>
            </w:rPr>
            <w:instrText xml:space="preserve"> PAGEREF _Toc232609788 \h </w:instrText>
          </w:r>
          <w:r>
            <w:rPr>
              <w:noProof/>
            </w:rPr>
          </w:r>
          <w:r>
            <w:rPr>
              <w:noProof/>
            </w:rPr>
            <w:fldChar w:fldCharType="separate"/>
          </w:r>
          <w:r>
            <w:rPr>
              <w:noProof/>
            </w:rPr>
            <w:t>58</w:t>
          </w:r>
          <w:r>
            <w:rPr>
              <w:noProof/>
            </w:rPr>
            <w:fldChar w:fldCharType="end"/>
          </w:r>
        </w:p>
        <w:p w14:paraId="19352BD7" w14:textId="5ACD052D"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CASHFLOW STATEMENT</w:t>
          </w:r>
          <w:r>
            <w:rPr>
              <w:noProof/>
            </w:rPr>
            <w:tab/>
          </w:r>
          <w:r>
            <w:rPr>
              <w:noProof/>
            </w:rPr>
            <w:fldChar w:fldCharType="begin"/>
          </w:r>
          <w:r>
            <w:rPr>
              <w:noProof/>
            </w:rPr>
            <w:instrText xml:space="preserve"> PAGEREF _Toc232609789 \h </w:instrText>
          </w:r>
          <w:r>
            <w:rPr>
              <w:noProof/>
            </w:rPr>
          </w:r>
          <w:r>
            <w:rPr>
              <w:noProof/>
            </w:rPr>
            <w:fldChar w:fldCharType="separate"/>
          </w:r>
          <w:r>
            <w:rPr>
              <w:noProof/>
            </w:rPr>
            <w:t>59</w:t>
          </w:r>
          <w:r>
            <w:rPr>
              <w:noProof/>
            </w:rPr>
            <w:fldChar w:fldCharType="end"/>
          </w:r>
        </w:p>
        <w:p w14:paraId="27DF9BF7" w14:textId="3B77D31A" w:rsidR="00E76A00" w:rsidRDefault="00E76A00">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t>FINANCIAL STATEMENTS OF THE EUTF AFRICA 2025</w:t>
          </w:r>
          <w:r>
            <w:rPr>
              <w:noProof/>
            </w:rPr>
            <w:tab/>
          </w:r>
          <w:r>
            <w:rPr>
              <w:noProof/>
            </w:rPr>
            <w:fldChar w:fldCharType="begin"/>
          </w:r>
          <w:r>
            <w:rPr>
              <w:noProof/>
            </w:rPr>
            <w:instrText xml:space="preserve"> PAGEREF _Toc232609790 \h </w:instrText>
          </w:r>
          <w:r>
            <w:rPr>
              <w:noProof/>
            </w:rPr>
          </w:r>
          <w:r>
            <w:rPr>
              <w:noProof/>
            </w:rPr>
            <w:fldChar w:fldCharType="separate"/>
          </w:r>
          <w:r>
            <w:rPr>
              <w:noProof/>
            </w:rPr>
            <w:t>60</w:t>
          </w:r>
          <w:r>
            <w:rPr>
              <w:noProof/>
            </w:rPr>
            <w:fldChar w:fldCharType="end"/>
          </w:r>
        </w:p>
        <w:p w14:paraId="486F29CC" w14:textId="0212284E"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BALANCE SHEET</w:t>
          </w:r>
          <w:r>
            <w:rPr>
              <w:noProof/>
            </w:rPr>
            <w:tab/>
          </w:r>
          <w:r>
            <w:rPr>
              <w:noProof/>
            </w:rPr>
            <w:fldChar w:fldCharType="begin"/>
          </w:r>
          <w:r>
            <w:rPr>
              <w:noProof/>
            </w:rPr>
            <w:instrText xml:space="preserve"> PAGEREF _Toc232609791 \h </w:instrText>
          </w:r>
          <w:r>
            <w:rPr>
              <w:noProof/>
            </w:rPr>
          </w:r>
          <w:r>
            <w:rPr>
              <w:noProof/>
            </w:rPr>
            <w:fldChar w:fldCharType="separate"/>
          </w:r>
          <w:r>
            <w:rPr>
              <w:noProof/>
            </w:rPr>
            <w:t>66</w:t>
          </w:r>
          <w:r>
            <w:rPr>
              <w:noProof/>
            </w:rPr>
            <w:fldChar w:fldCharType="end"/>
          </w:r>
        </w:p>
        <w:p w14:paraId="6BA3537E" w14:textId="74073F44"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STATEMENT OF FINANCIAL PERFORMANCE</w:t>
          </w:r>
          <w:r>
            <w:rPr>
              <w:noProof/>
            </w:rPr>
            <w:tab/>
          </w:r>
          <w:r>
            <w:rPr>
              <w:noProof/>
            </w:rPr>
            <w:fldChar w:fldCharType="begin"/>
          </w:r>
          <w:r>
            <w:rPr>
              <w:noProof/>
            </w:rPr>
            <w:instrText xml:space="preserve"> PAGEREF _Toc232609792 \h </w:instrText>
          </w:r>
          <w:r>
            <w:rPr>
              <w:noProof/>
            </w:rPr>
          </w:r>
          <w:r>
            <w:rPr>
              <w:noProof/>
            </w:rPr>
            <w:fldChar w:fldCharType="separate"/>
          </w:r>
          <w:r>
            <w:rPr>
              <w:noProof/>
            </w:rPr>
            <w:t>67</w:t>
          </w:r>
          <w:r>
            <w:rPr>
              <w:noProof/>
            </w:rPr>
            <w:fldChar w:fldCharType="end"/>
          </w:r>
        </w:p>
        <w:p w14:paraId="73C7078D" w14:textId="5534FC61"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CASHFLOW STATEMENT</w:t>
          </w:r>
          <w:r>
            <w:rPr>
              <w:noProof/>
            </w:rPr>
            <w:tab/>
          </w:r>
          <w:r>
            <w:rPr>
              <w:noProof/>
            </w:rPr>
            <w:fldChar w:fldCharType="begin"/>
          </w:r>
          <w:r>
            <w:rPr>
              <w:noProof/>
            </w:rPr>
            <w:instrText xml:space="preserve"> PAGEREF _Toc232609793 \h </w:instrText>
          </w:r>
          <w:r>
            <w:rPr>
              <w:noProof/>
            </w:rPr>
          </w:r>
          <w:r>
            <w:rPr>
              <w:noProof/>
            </w:rPr>
            <w:fldChar w:fldCharType="separate"/>
          </w:r>
          <w:r>
            <w:rPr>
              <w:noProof/>
            </w:rPr>
            <w:t>68</w:t>
          </w:r>
          <w:r>
            <w:rPr>
              <w:noProof/>
            </w:rPr>
            <w:fldChar w:fldCharType="end"/>
          </w:r>
        </w:p>
        <w:p w14:paraId="357992F3" w14:textId="0DE1BDDD" w:rsidR="00E76A00" w:rsidRDefault="00E76A00">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t>CONSOLIDATED FINANCIAL STATEMENTS OF THE EDF AND THE EU TRUST FUNDS</w:t>
          </w:r>
          <w:r>
            <w:rPr>
              <w:noProof/>
            </w:rPr>
            <w:tab/>
          </w:r>
          <w:r>
            <w:rPr>
              <w:noProof/>
            </w:rPr>
            <w:fldChar w:fldCharType="begin"/>
          </w:r>
          <w:r>
            <w:rPr>
              <w:noProof/>
            </w:rPr>
            <w:instrText xml:space="preserve"> PAGEREF _Toc232609794 \h </w:instrText>
          </w:r>
          <w:r>
            <w:rPr>
              <w:noProof/>
            </w:rPr>
          </w:r>
          <w:r>
            <w:rPr>
              <w:noProof/>
            </w:rPr>
            <w:fldChar w:fldCharType="separate"/>
          </w:r>
          <w:r>
            <w:rPr>
              <w:noProof/>
            </w:rPr>
            <w:t>69</w:t>
          </w:r>
          <w:r>
            <w:rPr>
              <w:noProof/>
            </w:rPr>
            <w:fldChar w:fldCharType="end"/>
          </w:r>
        </w:p>
        <w:p w14:paraId="14074F51" w14:textId="59452064"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CONSOLIDATED BALANCE SHEET</w:t>
          </w:r>
          <w:r>
            <w:rPr>
              <w:noProof/>
            </w:rPr>
            <w:tab/>
          </w:r>
          <w:r>
            <w:rPr>
              <w:noProof/>
            </w:rPr>
            <w:fldChar w:fldCharType="begin"/>
          </w:r>
          <w:r>
            <w:rPr>
              <w:noProof/>
            </w:rPr>
            <w:instrText xml:space="preserve"> PAGEREF _Toc232609795 \h </w:instrText>
          </w:r>
          <w:r>
            <w:rPr>
              <w:noProof/>
            </w:rPr>
          </w:r>
          <w:r>
            <w:rPr>
              <w:noProof/>
            </w:rPr>
            <w:fldChar w:fldCharType="separate"/>
          </w:r>
          <w:r>
            <w:rPr>
              <w:noProof/>
            </w:rPr>
            <w:t>70</w:t>
          </w:r>
          <w:r>
            <w:rPr>
              <w:noProof/>
            </w:rPr>
            <w:fldChar w:fldCharType="end"/>
          </w:r>
        </w:p>
        <w:p w14:paraId="777AA47F" w14:textId="17109354"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sidRPr="006056A5">
            <w:rPr>
              <w:noProof/>
              <w:lang w:val="en-US"/>
            </w:rPr>
            <w:t>CONSOLIDATED STATEMENT OF FINANCIAL PERFORMANCE</w:t>
          </w:r>
          <w:r>
            <w:rPr>
              <w:noProof/>
            </w:rPr>
            <w:tab/>
          </w:r>
          <w:r>
            <w:rPr>
              <w:noProof/>
            </w:rPr>
            <w:fldChar w:fldCharType="begin"/>
          </w:r>
          <w:r>
            <w:rPr>
              <w:noProof/>
            </w:rPr>
            <w:instrText xml:space="preserve"> PAGEREF _Toc232609796 \h </w:instrText>
          </w:r>
          <w:r>
            <w:rPr>
              <w:noProof/>
            </w:rPr>
          </w:r>
          <w:r>
            <w:rPr>
              <w:noProof/>
            </w:rPr>
            <w:fldChar w:fldCharType="separate"/>
          </w:r>
          <w:r>
            <w:rPr>
              <w:noProof/>
            </w:rPr>
            <w:t>71</w:t>
          </w:r>
          <w:r>
            <w:rPr>
              <w:noProof/>
            </w:rPr>
            <w:fldChar w:fldCharType="end"/>
          </w:r>
        </w:p>
        <w:p w14:paraId="3705A6AE" w14:textId="3BFBF857"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sidRPr="006056A5">
            <w:rPr>
              <w:noProof/>
              <w:lang w:val="en-US"/>
            </w:rPr>
            <w:t>CONSOLIDATED CASH FLOW STATEMENT</w:t>
          </w:r>
          <w:r>
            <w:rPr>
              <w:noProof/>
            </w:rPr>
            <w:tab/>
          </w:r>
          <w:r>
            <w:rPr>
              <w:noProof/>
            </w:rPr>
            <w:fldChar w:fldCharType="begin"/>
          </w:r>
          <w:r>
            <w:rPr>
              <w:noProof/>
            </w:rPr>
            <w:instrText xml:space="preserve"> PAGEREF _Toc232609797 \h </w:instrText>
          </w:r>
          <w:r>
            <w:rPr>
              <w:noProof/>
            </w:rPr>
          </w:r>
          <w:r>
            <w:rPr>
              <w:noProof/>
            </w:rPr>
            <w:fldChar w:fldCharType="separate"/>
          </w:r>
          <w:r>
            <w:rPr>
              <w:noProof/>
            </w:rPr>
            <w:t>72</w:t>
          </w:r>
          <w:r>
            <w:rPr>
              <w:noProof/>
            </w:rPr>
            <w:fldChar w:fldCharType="end"/>
          </w:r>
        </w:p>
        <w:p w14:paraId="6ED83581" w14:textId="708728B5" w:rsidR="00E76A00" w:rsidRDefault="00E76A00">
          <w:pPr>
            <w:pStyle w:val="TOC2"/>
            <w:tabs>
              <w:tab w:val="right" w:leader="dot" w:pos="9628"/>
            </w:tabs>
            <w:rPr>
              <w:rFonts w:asciiTheme="minorHAnsi" w:eastAsiaTheme="minorEastAsia" w:hAnsiTheme="minorHAnsi" w:cstheme="minorBidi"/>
              <w:noProof/>
              <w:color w:val="auto"/>
              <w:kern w:val="2"/>
              <w:sz w:val="24"/>
              <w:lang w:val="en-IE" w:eastAsia="en-IE"/>
            </w:rPr>
          </w:pPr>
          <w:r>
            <w:rPr>
              <w:noProof/>
            </w:rPr>
            <w:t>CONSOLIDATED STATEMENT OF CHANGES IN NET ASSETS</w:t>
          </w:r>
          <w:r>
            <w:rPr>
              <w:noProof/>
            </w:rPr>
            <w:tab/>
          </w:r>
          <w:r>
            <w:rPr>
              <w:noProof/>
            </w:rPr>
            <w:fldChar w:fldCharType="begin"/>
          </w:r>
          <w:r>
            <w:rPr>
              <w:noProof/>
            </w:rPr>
            <w:instrText xml:space="preserve"> PAGEREF _Toc232609798 \h </w:instrText>
          </w:r>
          <w:r>
            <w:rPr>
              <w:noProof/>
            </w:rPr>
          </w:r>
          <w:r>
            <w:rPr>
              <w:noProof/>
            </w:rPr>
            <w:fldChar w:fldCharType="separate"/>
          </w:r>
          <w:r>
            <w:rPr>
              <w:noProof/>
            </w:rPr>
            <w:t>73</w:t>
          </w:r>
          <w:r>
            <w:rPr>
              <w:noProof/>
            </w:rPr>
            <w:fldChar w:fldCharType="end"/>
          </w:r>
        </w:p>
        <w:p w14:paraId="77897CF6" w14:textId="64E617B4" w:rsidR="00E76A00" w:rsidRDefault="00E76A00">
          <w:pPr>
            <w:pStyle w:val="TOC1"/>
            <w:tabs>
              <w:tab w:val="right" w:leader="dot" w:pos="9628"/>
            </w:tabs>
            <w:rPr>
              <w:rFonts w:asciiTheme="minorHAnsi" w:eastAsiaTheme="minorEastAsia" w:hAnsiTheme="minorHAnsi" w:cstheme="minorBidi"/>
              <w:noProof/>
              <w:color w:val="auto"/>
              <w:kern w:val="2"/>
              <w:sz w:val="24"/>
              <w:lang w:val="en-IE" w:eastAsia="en-IE"/>
            </w:rPr>
          </w:pPr>
          <w:r>
            <w:rPr>
              <w:noProof/>
            </w:rPr>
            <w:t>EDF REPORT ON FINANCIAL IMPLEMENTATION</w:t>
          </w:r>
          <w:r>
            <w:rPr>
              <w:noProof/>
            </w:rPr>
            <w:tab/>
          </w:r>
          <w:r>
            <w:rPr>
              <w:noProof/>
            </w:rPr>
            <w:fldChar w:fldCharType="begin"/>
          </w:r>
          <w:r>
            <w:rPr>
              <w:noProof/>
            </w:rPr>
            <w:instrText xml:space="preserve"> PAGEREF _Toc232609799 \h </w:instrText>
          </w:r>
          <w:r>
            <w:rPr>
              <w:noProof/>
            </w:rPr>
          </w:r>
          <w:r>
            <w:rPr>
              <w:noProof/>
            </w:rPr>
            <w:fldChar w:fldCharType="separate"/>
          </w:r>
          <w:r>
            <w:rPr>
              <w:noProof/>
            </w:rPr>
            <w:t>74</w:t>
          </w:r>
          <w:r>
            <w:rPr>
              <w:noProof/>
            </w:rPr>
            <w:fldChar w:fldCharType="end"/>
          </w:r>
        </w:p>
        <w:p w14:paraId="45E7F15C" w14:textId="708BE72B" w:rsidR="00FD1E19" w:rsidRDefault="00FD1E19" w:rsidP="00FD1E19">
          <w:pPr>
            <w:rPr>
              <w:noProof/>
            </w:rPr>
          </w:pPr>
          <w:r>
            <w:rPr>
              <w:caps/>
              <w:noProof/>
              <w:color w:val="016794"/>
            </w:rPr>
            <w:fldChar w:fldCharType="end"/>
          </w:r>
        </w:p>
      </w:sdtContent>
    </w:sdt>
    <w:p w14:paraId="6E23241F" w14:textId="77777777" w:rsidR="00FD1E19" w:rsidRDefault="00FD1E19" w:rsidP="00FD1E19">
      <w:pPr>
        <w:pStyle w:val="Textstand-alone"/>
      </w:pPr>
    </w:p>
    <w:p w14:paraId="552DA0F6" w14:textId="77777777" w:rsidR="00FD1E19" w:rsidRDefault="00FD1E19" w:rsidP="00FD1E19">
      <w:pPr>
        <w:pStyle w:val="Textstand-alone"/>
      </w:pPr>
    </w:p>
    <w:p w14:paraId="5284E631" w14:textId="77777777" w:rsidR="00FD1E19" w:rsidRDefault="00FD1E19" w:rsidP="00FD1E19">
      <w:pPr>
        <w:pStyle w:val="HEADERTITLE"/>
        <w:spacing w:before="240" w:after="720"/>
        <w:rPr>
          <w:sz w:val="40"/>
        </w:rPr>
        <w:sectPr w:rsidR="00FD1E19" w:rsidSect="00FD1E19">
          <w:headerReference w:type="default" r:id="rId30"/>
          <w:footerReference w:type="default" r:id="rId31"/>
          <w:pgSz w:w="11906" w:h="16838" w:code="9"/>
          <w:pgMar w:top="1134" w:right="1134" w:bottom="1134" w:left="1134" w:header="709" w:footer="709" w:gutter="0"/>
          <w:cols w:space="708"/>
          <w:docGrid w:linePitch="360"/>
        </w:sectPr>
      </w:pPr>
    </w:p>
    <w:p w14:paraId="4F7FC40F" w14:textId="77777777" w:rsidR="00FD1E19" w:rsidRDefault="00FD1E19" w:rsidP="00FD1E19">
      <w:pPr>
        <w:pStyle w:val="FIRSTCHAPTERPAGE1"/>
      </w:pPr>
    </w:p>
    <w:p w14:paraId="7391609E" w14:textId="77777777" w:rsidR="00FD1E19" w:rsidRDefault="00FD1E19" w:rsidP="00FD1E19">
      <w:pPr>
        <w:pStyle w:val="FIRSTCHAPTERPAGE1"/>
      </w:pPr>
    </w:p>
    <w:p w14:paraId="2B348031" w14:textId="77777777" w:rsidR="00FD1E19" w:rsidRDefault="00FD1E19" w:rsidP="00FD1E19">
      <w:pPr>
        <w:pStyle w:val="FIRSTCHAPTERPAGE1"/>
      </w:pPr>
    </w:p>
    <w:p w14:paraId="182695C5" w14:textId="77777777" w:rsidR="00FD1E19" w:rsidRDefault="00FD1E19" w:rsidP="00FD1E19">
      <w:pPr>
        <w:pStyle w:val="FIRSTCHAPTERPAGE1"/>
      </w:pPr>
    </w:p>
    <w:p w14:paraId="1B4C625D" w14:textId="77777777" w:rsidR="00FD1E19" w:rsidRPr="00B05510" w:rsidRDefault="00FD1E19" w:rsidP="00B05510">
      <w:pPr>
        <w:spacing w:before="240" w:after="240"/>
        <w:jc w:val="both"/>
        <w:rPr>
          <w:rFonts w:ascii="Verdana" w:hAnsi="Verdana"/>
          <w:b/>
          <w:bCs/>
          <w:noProof/>
          <w:color w:val="016794"/>
          <w:sz w:val="40"/>
          <w:szCs w:val="40"/>
          <w:lang w:val="en-IE"/>
        </w:rPr>
      </w:pPr>
      <w:bookmarkStart w:id="18" w:name="_Toc229991219"/>
      <w:r w:rsidRPr="00B05510">
        <w:rPr>
          <w:rFonts w:ascii="Verdana" w:hAnsi="Verdana"/>
          <w:b/>
          <w:bCs/>
          <w:noProof/>
          <w:color w:val="016794"/>
          <w:sz w:val="40"/>
          <w:szCs w:val="40"/>
          <w:lang w:val="en-IE"/>
        </w:rPr>
        <w:t>PART I.1</w:t>
      </w:r>
      <w:bookmarkEnd w:id="18"/>
    </w:p>
    <w:p w14:paraId="5C663B50" w14:textId="77777777" w:rsidR="00FD1E19" w:rsidRPr="00DA7844" w:rsidRDefault="00FD1E19" w:rsidP="00FD1E19">
      <w:pPr>
        <w:pStyle w:val="FIRSTCHAPTERPAGE1"/>
      </w:pPr>
      <w:bookmarkStart w:id="19" w:name="_Toc232609776"/>
      <w:bookmarkStart w:id="20" w:name="_Toc232611626"/>
      <w:r w:rsidRPr="00DA7844">
        <w:t>FINANCIAL STATEMENTS OF THE EDF</w:t>
      </w:r>
      <w:bookmarkEnd w:id="19"/>
      <w:bookmarkEnd w:id="20"/>
    </w:p>
    <w:p w14:paraId="58FE485F" w14:textId="77777777" w:rsidR="00FD1E19" w:rsidRDefault="00FD1E19" w:rsidP="00FD1E19">
      <w:pPr>
        <w:pStyle w:val="FIRSTCHAPTERPAGE"/>
        <w:rPr>
          <w:noProof/>
        </w:rPr>
      </w:pPr>
    </w:p>
    <w:p w14:paraId="2E2B5C53" w14:textId="77777777" w:rsidR="00FD1E19" w:rsidRDefault="00FD1E19" w:rsidP="00FD1E19">
      <w:pPr>
        <w:pStyle w:val="FIRSTCHAPTERPAGE"/>
        <w:rPr>
          <w:noProof/>
        </w:rPr>
      </w:pPr>
    </w:p>
    <w:p w14:paraId="5081A0A3" w14:textId="77777777" w:rsidR="00FD1E19" w:rsidRDefault="00FD1E19" w:rsidP="00FD1E19">
      <w:pPr>
        <w:pStyle w:val="FIRSTCHAPTERPAGE"/>
        <w:rPr>
          <w:noProof/>
        </w:rPr>
      </w:pPr>
    </w:p>
    <w:p w14:paraId="17FC67CE" w14:textId="77777777" w:rsidR="00FD1E19" w:rsidRDefault="00FD1E19" w:rsidP="00FD1E19">
      <w:pPr>
        <w:pStyle w:val="FIRSTCHAPTERPAGE"/>
        <w:rPr>
          <w:noProof/>
        </w:rPr>
      </w:pPr>
    </w:p>
    <w:p w14:paraId="49271477" w14:textId="77777777" w:rsidR="00FD1E19" w:rsidRDefault="00FD1E19" w:rsidP="00FD1E19">
      <w:pPr>
        <w:pStyle w:val="FIRSTCHAPTERPAGE"/>
        <w:rPr>
          <w:noProof/>
        </w:rPr>
      </w:pPr>
    </w:p>
    <w:p w14:paraId="7B48EFC5" w14:textId="77777777" w:rsidR="00FD1E19" w:rsidRDefault="00FD1E19" w:rsidP="00FD1E19">
      <w:pPr>
        <w:pStyle w:val="TOPHEADERNOTE"/>
        <w:rPr>
          <w:noProof/>
        </w:rPr>
      </w:pPr>
    </w:p>
    <w:p w14:paraId="382350E7" w14:textId="77777777" w:rsidR="00FD1E19" w:rsidRDefault="00FD1E19" w:rsidP="00FD1E19">
      <w:pPr>
        <w:pStyle w:val="TOPHEADERNOTE"/>
        <w:rPr>
          <w:noProof/>
        </w:rPr>
      </w:pPr>
      <w:r>
        <w:rPr>
          <w:noProof/>
        </w:rPr>
        <w:t>It should be noted that due to the rounding of figures into millions of euros, some financial data in the tables below may appear not to add-up.</w:t>
      </w:r>
    </w:p>
    <w:p w14:paraId="3DE37CF8" w14:textId="77777777" w:rsidR="00FD1E19" w:rsidRDefault="00FD1E19" w:rsidP="00FD1E19">
      <w:pPr>
        <w:pStyle w:val="TOPHEADERNOTE"/>
        <w:rPr>
          <w:noProof/>
        </w:rPr>
        <w:sectPr w:rsidR="00FD1E19" w:rsidSect="00FD1E19">
          <w:headerReference w:type="default" r:id="rId32"/>
          <w:footerReference w:type="default" r:id="rId33"/>
          <w:pgSz w:w="11906" w:h="16838" w:code="9"/>
          <w:pgMar w:top="1134" w:right="1134" w:bottom="1134" w:left="1134" w:header="709" w:footer="709" w:gutter="0"/>
          <w:cols w:space="708"/>
          <w:docGrid w:linePitch="360"/>
        </w:sectPr>
      </w:pPr>
    </w:p>
    <w:p w14:paraId="5B3E01C5" w14:textId="77777777" w:rsidR="00FD1E19" w:rsidRDefault="00FD1E19" w:rsidP="00FD1E19">
      <w:pPr>
        <w:pStyle w:val="HEADERTITLE1"/>
      </w:pPr>
      <w:bookmarkStart w:id="21" w:name="_Toc232609777"/>
      <w:r>
        <w:t>EDF BALANCE SHEET</w:t>
      </w:r>
      <w:bookmarkEnd w:id="21"/>
    </w:p>
    <w:tbl>
      <w:tblPr>
        <w:tblW w:w="9810"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85"/>
        <w:gridCol w:w="885"/>
        <w:gridCol w:w="1320"/>
        <w:gridCol w:w="1320"/>
      </w:tblGrid>
      <w:tr w:rsidR="00FD1E19" w14:paraId="7979B3D1" w14:textId="77777777" w:rsidTr="00BE7E4A">
        <w:trPr>
          <w:trHeight w:hRule="exact" w:val="255"/>
        </w:trPr>
        <w:tc>
          <w:tcPr>
            <w:tcW w:w="6285" w:type="dxa"/>
            <w:tcBorders>
              <w:top w:val="nil"/>
              <w:left w:val="nil"/>
              <w:bottom w:val="nil"/>
              <w:right w:val="nil"/>
              <w:tl2br w:val="nil"/>
              <w:tr2bl w:val="nil"/>
            </w:tcBorders>
            <w:shd w:val="clear" w:color="auto" w:fill="auto"/>
            <w:tcMar>
              <w:left w:w="60" w:type="dxa"/>
              <w:right w:w="60" w:type="dxa"/>
            </w:tcMar>
            <w:vAlign w:val="bottom"/>
          </w:tcPr>
          <w:p w14:paraId="74D6CDF0" w14:textId="77777777" w:rsidR="00FD1E19" w:rsidRDefault="00FD1E19" w:rsidP="00BE7E4A">
            <w:pPr>
              <w:pStyle w:val="DMETW37214BIPAGGBS"/>
              <w:rPr>
                <w:rFonts w:ascii="Arial" w:eastAsia="Arial" w:hAnsi="Arial" w:cs="Arial"/>
                <w:noProof/>
                <w:color w:val="000000"/>
                <w:lang w:bidi="en-GB"/>
              </w:rPr>
            </w:pPr>
            <w:bookmarkStart w:id="22" w:name="DOC_TBL00005_1_1"/>
            <w:bookmarkEnd w:id="22"/>
          </w:p>
        </w:tc>
        <w:tc>
          <w:tcPr>
            <w:tcW w:w="885" w:type="dxa"/>
            <w:tcBorders>
              <w:top w:val="nil"/>
              <w:left w:val="nil"/>
              <w:bottom w:val="nil"/>
              <w:right w:val="nil"/>
              <w:tl2br w:val="nil"/>
              <w:tr2bl w:val="nil"/>
            </w:tcBorders>
            <w:shd w:val="clear" w:color="auto" w:fill="auto"/>
            <w:tcMar>
              <w:left w:w="60" w:type="dxa"/>
              <w:right w:w="60" w:type="dxa"/>
            </w:tcMar>
            <w:vAlign w:val="bottom"/>
          </w:tcPr>
          <w:p w14:paraId="6FA75530" w14:textId="77777777" w:rsidR="00FD1E19" w:rsidRDefault="00FD1E19" w:rsidP="00BE7E4A">
            <w:pPr>
              <w:pStyle w:val="DMETW37214BIPAGGBS"/>
              <w:jc w:val="center"/>
              <w:rPr>
                <w:rFonts w:ascii="Arial" w:eastAsia="Arial" w:hAnsi="Arial" w:cs="Arial"/>
                <w:noProof/>
                <w:color w:val="000000"/>
              </w:rPr>
            </w:pPr>
          </w:p>
        </w:tc>
        <w:tc>
          <w:tcPr>
            <w:tcW w:w="1320" w:type="dxa"/>
            <w:tcBorders>
              <w:top w:val="nil"/>
              <w:left w:val="nil"/>
              <w:bottom w:val="nil"/>
              <w:right w:val="nil"/>
              <w:tl2br w:val="nil"/>
              <w:tr2bl w:val="nil"/>
            </w:tcBorders>
            <w:shd w:val="clear" w:color="auto" w:fill="auto"/>
            <w:tcMar>
              <w:left w:w="60" w:type="dxa"/>
              <w:right w:w="60" w:type="dxa"/>
            </w:tcMar>
            <w:vAlign w:val="bottom"/>
          </w:tcPr>
          <w:p w14:paraId="017C0CF3" w14:textId="77777777" w:rsidR="00FD1E19" w:rsidRDefault="00FD1E19" w:rsidP="00BE7E4A">
            <w:pPr>
              <w:pStyle w:val="DMETW37214BIPAGGBS"/>
              <w:jc w:val="right"/>
              <w:rPr>
                <w:rFonts w:ascii="Arial" w:eastAsia="Arial" w:hAnsi="Arial" w:cs="Arial"/>
                <w:noProof/>
                <w:color w:val="000000"/>
              </w:rPr>
            </w:pPr>
          </w:p>
        </w:tc>
        <w:tc>
          <w:tcPr>
            <w:tcW w:w="1320" w:type="dxa"/>
            <w:tcBorders>
              <w:top w:val="nil"/>
              <w:left w:val="nil"/>
              <w:bottom w:val="nil"/>
              <w:right w:val="nil"/>
              <w:tl2br w:val="nil"/>
              <w:tr2bl w:val="nil"/>
            </w:tcBorders>
            <w:shd w:val="clear" w:color="auto" w:fill="auto"/>
            <w:tcMar>
              <w:left w:w="60" w:type="dxa"/>
              <w:right w:w="60" w:type="dxa"/>
            </w:tcMar>
            <w:vAlign w:val="bottom"/>
          </w:tcPr>
          <w:p w14:paraId="0F097928" w14:textId="77777777" w:rsidR="00FD1E19" w:rsidRDefault="00FD1E19" w:rsidP="00BE7E4A">
            <w:pPr>
              <w:pStyle w:val="DMETW37214BIPAGGB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49AF564D" w14:textId="77777777" w:rsidTr="00BE7E4A">
        <w:trPr>
          <w:trHeight w:hRule="exact" w:val="255"/>
        </w:trPr>
        <w:tc>
          <w:tcPr>
            <w:tcW w:w="6285" w:type="dxa"/>
            <w:tcBorders>
              <w:top w:val="nil"/>
              <w:left w:val="nil"/>
              <w:bottom w:val="nil"/>
              <w:right w:val="nil"/>
              <w:tl2br w:val="nil"/>
              <w:tr2bl w:val="nil"/>
            </w:tcBorders>
            <w:shd w:val="solid" w:color="016794" w:fill="FFFFFF"/>
            <w:tcMar>
              <w:left w:w="60" w:type="dxa"/>
              <w:right w:w="60" w:type="dxa"/>
            </w:tcMar>
            <w:vAlign w:val="bottom"/>
          </w:tcPr>
          <w:p w14:paraId="4CF45EC9" w14:textId="77777777" w:rsidR="00FD1E19" w:rsidRDefault="00FD1E19" w:rsidP="00BE7E4A">
            <w:pPr>
              <w:pStyle w:val="DMETW37214BIPAGGBS"/>
              <w:rPr>
                <w:rFonts w:ascii="Verdana" w:eastAsia="Verdana" w:hAnsi="Verdana" w:cs="Verdana"/>
                <w:noProof/>
                <w:color w:val="FFFFFF"/>
              </w:rPr>
            </w:pPr>
          </w:p>
        </w:tc>
        <w:tc>
          <w:tcPr>
            <w:tcW w:w="885" w:type="dxa"/>
            <w:tcBorders>
              <w:top w:val="nil"/>
              <w:left w:val="nil"/>
              <w:bottom w:val="nil"/>
              <w:right w:val="nil"/>
              <w:tl2br w:val="nil"/>
              <w:tr2bl w:val="nil"/>
            </w:tcBorders>
            <w:shd w:val="solid" w:color="016794" w:fill="FFFFFF"/>
            <w:tcMar>
              <w:left w:w="60" w:type="dxa"/>
              <w:right w:w="60" w:type="dxa"/>
            </w:tcMar>
            <w:vAlign w:val="bottom"/>
          </w:tcPr>
          <w:p w14:paraId="55E51F02" w14:textId="77777777" w:rsidR="00FD1E19" w:rsidRDefault="00FD1E19" w:rsidP="00BE7E4A">
            <w:pPr>
              <w:pStyle w:val="DMETW37214BIPAGGBS"/>
              <w:rPr>
                <w:rFonts w:ascii="Verdana" w:eastAsia="Verdana" w:hAnsi="Verdana" w:cs="Verdana"/>
                <w:noProof/>
                <w:color w:val="FFFFFF"/>
              </w:rPr>
            </w:pPr>
            <w:r>
              <w:rPr>
                <w:rFonts w:ascii="Verdana" w:eastAsia="Verdana" w:hAnsi="Verdana" w:cs="Verdana"/>
                <w:noProof/>
                <w:color w:val="FFFFFF"/>
              </w:rPr>
              <w:t>Note</w:t>
            </w:r>
          </w:p>
        </w:tc>
        <w:tc>
          <w:tcPr>
            <w:tcW w:w="1320" w:type="dxa"/>
            <w:tcBorders>
              <w:top w:val="nil"/>
              <w:left w:val="nil"/>
              <w:bottom w:val="nil"/>
              <w:right w:val="nil"/>
              <w:tl2br w:val="nil"/>
              <w:tr2bl w:val="nil"/>
            </w:tcBorders>
            <w:shd w:val="solid" w:color="016794" w:fill="FFFFFF"/>
            <w:tcMar>
              <w:left w:w="60" w:type="dxa"/>
              <w:right w:w="60" w:type="dxa"/>
            </w:tcMar>
            <w:vAlign w:val="bottom"/>
          </w:tcPr>
          <w:p w14:paraId="51E36F56" w14:textId="77777777" w:rsidR="00FD1E19" w:rsidRDefault="00FD1E19" w:rsidP="00BE7E4A">
            <w:pPr>
              <w:pStyle w:val="DMETW37214BIPAGGBS"/>
              <w:jc w:val="right"/>
              <w:rPr>
                <w:rFonts w:ascii="Verdana" w:eastAsia="Verdana" w:hAnsi="Verdana" w:cs="Verdana"/>
                <w:noProof/>
                <w:color w:val="FFFFFF"/>
              </w:rPr>
            </w:pPr>
            <w:r>
              <w:rPr>
                <w:rFonts w:ascii="Verdana" w:eastAsia="Verdana" w:hAnsi="Verdana" w:cs="Verdana"/>
                <w:noProof/>
                <w:color w:val="FFFFFF"/>
              </w:rPr>
              <w:t>31.12.2025</w:t>
            </w:r>
          </w:p>
        </w:tc>
        <w:tc>
          <w:tcPr>
            <w:tcW w:w="1320" w:type="dxa"/>
            <w:tcBorders>
              <w:top w:val="nil"/>
              <w:left w:val="nil"/>
              <w:bottom w:val="nil"/>
              <w:right w:val="nil"/>
              <w:tl2br w:val="nil"/>
              <w:tr2bl w:val="nil"/>
            </w:tcBorders>
            <w:shd w:val="solid" w:color="016794" w:fill="FFFFFF"/>
            <w:tcMar>
              <w:left w:w="60" w:type="dxa"/>
              <w:right w:w="60" w:type="dxa"/>
            </w:tcMar>
            <w:vAlign w:val="bottom"/>
          </w:tcPr>
          <w:p w14:paraId="1D330764" w14:textId="77777777" w:rsidR="00FD1E19" w:rsidRDefault="00FD1E19" w:rsidP="00BE7E4A">
            <w:pPr>
              <w:pStyle w:val="DMETW37214BIPAGGB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54629861"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668EB30B"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NON-CURRENT ASSETS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0B779C7E"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06BB4C0B"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5A60F34C" w14:textId="77777777" w:rsidR="00FD1E19" w:rsidRDefault="00FD1E19" w:rsidP="00BE7E4A">
            <w:pPr>
              <w:pStyle w:val="DMETW37214BIPAGGBS"/>
              <w:rPr>
                <w:rFonts w:ascii="Verdana" w:eastAsia="Verdana" w:hAnsi="Verdana" w:cs="Verdana"/>
                <w:noProof/>
                <w:color w:val="000000"/>
                <w:sz w:val="18"/>
                <w:lang w:bidi="en-GB"/>
              </w:rPr>
            </w:pPr>
          </w:p>
        </w:tc>
      </w:tr>
      <w:tr w:rsidR="00FD1E19" w14:paraId="49464C66"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657C9F0C"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78EE7914"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2.1</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6FA7FFC8"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116</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1B0C7DE4"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128</w:t>
            </w:r>
          </w:p>
        </w:tc>
      </w:tr>
      <w:tr w:rsidR="00FD1E19" w14:paraId="4FF705EE"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28EDC437"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448D3FAE"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2.2</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79D0DDE9"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492</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5CDE1C78"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500</w:t>
            </w:r>
          </w:p>
        </w:tc>
      </w:tr>
      <w:tr w:rsidR="00FD1E19" w14:paraId="6A7F7B27"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52AB493C"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Trust Fund contributions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10257178"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2.3</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077EC6F0"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87</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25A29D76"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188</w:t>
            </w:r>
          </w:p>
        </w:tc>
      </w:tr>
      <w:tr w:rsidR="00FD1E19" w14:paraId="02401ABD" w14:textId="77777777" w:rsidTr="00BE7E4A">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37A4655B"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 xml:space="preserve">Exchange receivables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38D113E6"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2.4</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47F52F1A"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241CDC67"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2FCE32A9" w14:textId="77777777" w:rsidTr="00BE7E4A">
        <w:trPr>
          <w:trHeight w:hRule="exact" w:val="225"/>
        </w:trPr>
        <w:tc>
          <w:tcPr>
            <w:tcW w:w="628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04E646D" w14:textId="77777777" w:rsidR="00FD1E19" w:rsidRDefault="00FD1E19" w:rsidP="00BE7E4A">
            <w:pPr>
              <w:pStyle w:val="DMETW37214BIPAGGBS"/>
              <w:rPr>
                <w:rFonts w:ascii="Verdana" w:eastAsia="Verdana" w:hAnsi="Verdana" w:cs="Verdana"/>
                <w:i/>
                <w:noProof/>
                <w:color w:val="000000"/>
                <w:sz w:val="18"/>
              </w:rPr>
            </w:pPr>
          </w:p>
        </w:tc>
        <w:tc>
          <w:tcPr>
            <w:tcW w:w="88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A6FAA68"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8E9051C"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700</w:t>
            </w:r>
          </w:p>
        </w:tc>
        <w:tc>
          <w:tcPr>
            <w:tcW w:w="13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E75FF41" w14:textId="77777777" w:rsidR="00FD1E19" w:rsidRDefault="00FD1E19" w:rsidP="00BE7E4A">
            <w:pPr>
              <w:pStyle w:val="DMETW37214BIPAGG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821</w:t>
            </w:r>
          </w:p>
        </w:tc>
      </w:tr>
      <w:tr w:rsidR="00FD1E19" w14:paraId="57821420" w14:textId="77777777" w:rsidTr="00BE7E4A">
        <w:trPr>
          <w:trHeight w:hRule="exact" w:val="225"/>
        </w:trPr>
        <w:tc>
          <w:tcPr>
            <w:tcW w:w="6285"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147A5344"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CURRENT ASSETS</w:t>
            </w:r>
          </w:p>
        </w:tc>
        <w:tc>
          <w:tcPr>
            <w:tcW w:w="885" w:type="dxa"/>
            <w:tcBorders>
              <w:top w:val="single" w:sz="4" w:space="0" w:color="016794"/>
              <w:left w:val="nil"/>
              <w:bottom w:val="nil"/>
              <w:right w:val="nil"/>
              <w:tl2br w:val="nil"/>
              <w:tr2bl w:val="nil"/>
            </w:tcBorders>
            <w:shd w:val="solid" w:color="FFFFFF" w:fill="FFFFFF"/>
            <w:tcMar>
              <w:left w:w="60" w:type="dxa"/>
              <w:right w:w="60" w:type="dxa"/>
            </w:tcMar>
            <w:vAlign w:val="center"/>
          </w:tcPr>
          <w:p w14:paraId="33D91153"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297A6AC8" w14:textId="77777777" w:rsidR="00FD1E19" w:rsidRDefault="00FD1E19" w:rsidP="00BE7E4A">
            <w:pPr>
              <w:pStyle w:val="DMETW37214BIPAGGBS"/>
              <w:jc w:val="right"/>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585F3506" w14:textId="77777777" w:rsidR="00FD1E19" w:rsidRDefault="00FD1E19" w:rsidP="00BE7E4A">
            <w:pPr>
              <w:pStyle w:val="DMETW37214BIPAGGBS"/>
              <w:jc w:val="right"/>
              <w:rPr>
                <w:rFonts w:ascii="Verdana" w:eastAsia="Verdana" w:hAnsi="Verdana" w:cs="Verdana"/>
                <w:noProof/>
                <w:color w:val="000000"/>
                <w:sz w:val="18"/>
                <w:lang w:bidi="en-GB"/>
              </w:rPr>
            </w:pPr>
          </w:p>
        </w:tc>
      </w:tr>
      <w:tr w:rsidR="00FD1E19" w14:paraId="6DB937EC"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344AED83"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398684EB"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2.1</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78A60C66"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1536ADE0"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67B6AD8F"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75A358DC"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1694E124"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2.2</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688DE73C"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532</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26ECDBBD"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742</w:t>
            </w:r>
          </w:p>
        </w:tc>
      </w:tr>
      <w:tr w:rsidR="00FD1E19" w14:paraId="69F2ADA5"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662D4739"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Exchange receivables and non-exchange recoverables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721254B5"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2.4</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44489F63"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37</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311767B7"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37</w:t>
            </w:r>
          </w:p>
        </w:tc>
      </w:tr>
      <w:tr w:rsidR="00FD1E19" w14:paraId="296E6760" w14:textId="77777777" w:rsidTr="00BE7E4A">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1DFC8ECD"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 xml:space="preserve">Cash and cash equivalents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7CFF0B9C"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5F6D6844"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286</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0345D7A4"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411</w:t>
            </w:r>
          </w:p>
        </w:tc>
      </w:tr>
      <w:tr w:rsidR="00FD1E19" w14:paraId="04F3C093" w14:textId="77777777" w:rsidTr="00BE7E4A">
        <w:trPr>
          <w:trHeight w:hRule="exact" w:val="225"/>
        </w:trPr>
        <w:tc>
          <w:tcPr>
            <w:tcW w:w="6285" w:type="dxa"/>
            <w:tcBorders>
              <w:top w:val="single" w:sz="4" w:space="0" w:color="016794"/>
              <w:left w:val="nil"/>
              <w:bottom w:val="nil"/>
              <w:right w:val="nil"/>
              <w:tl2br w:val="nil"/>
              <w:tr2bl w:val="nil"/>
            </w:tcBorders>
            <w:shd w:val="clear" w:color="auto" w:fill="auto"/>
            <w:tcMar>
              <w:left w:w="60" w:type="dxa"/>
              <w:right w:w="60" w:type="dxa"/>
            </w:tcMar>
            <w:vAlign w:val="bottom"/>
          </w:tcPr>
          <w:p w14:paraId="0B809B95" w14:textId="77777777" w:rsidR="00FD1E19" w:rsidRDefault="00FD1E19" w:rsidP="00BE7E4A">
            <w:pPr>
              <w:pStyle w:val="DMETW37214BIPAGGBS"/>
              <w:rPr>
                <w:rFonts w:ascii="Verdana" w:eastAsia="Verdana" w:hAnsi="Verdana" w:cs="Verdana"/>
                <w:i/>
                <w:noProof/>
                <w:color w:val="000000"/>
                <w:sz w:val="18"/>
              </w:rPr>
            </w:pPr>
          </w:p>
        </w:tc>
        <w:tc>
          <w:tcPr>
            <w:tcW w:w="885" w:type="dxa"/>
            <w:tcBorders>
              <w:top w:val="single" w:sz="4" w:space="0" w:color="016794"/>
              <w:left w:val="nil"/>
              <w:bottom w:val="nil"/>
              <w:right w:val="nil"/>
              <w:tl2br w:val="nil"/>
              <w:tr2bl w:val="nil"/>
            </w:tcBorders>
            <w:shd w:val="clear" w:color="auto" w:fill="auto"/>
            <w:tcMar>
              <w:left w:w="60" w:type="dxa"/>
              <w:right w:w="60" w:type="dxa"/>
            </w:tcMar>
            <w:vAlign w:val="center"/>
          </w:tcPr>
          <w:p w14:paraId="5FDD551B"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clear" w:color="auto" w:fill="auto"/>
            <w:tcMar>
              <w:left w:w="60" w:type="dxa"/>
              <w:right w:w="60" w:type="dxa"/>
            </w:tcMar>
            <w:vAlign w:val="center"/>
          </w:tcPr>
          <w:p w14:paraId="4916CC91"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856</w:t>
            </w:r>
          </w:p>
        </w:tc>
        <w:tc>
          <w:tcPr>
            <w:tcW w:w="1320" w:type="dxa"/>
            <w:tcBorders>
              <w:top w:val="single" w:sz="4" w:space="0" w:color="016794"/>
              <w:left w:val="nil"/>
              <w:bottom w:val="nil"/>
              <w:right w:val="nil"/>
              <w:tl2br w:val="nil"/>
              <w:tr2bl w:val="nil"/>
            </w:tcBorders>
            <w:shd w:val="clear" w:color="auto" w:fill="auto"/>
            <w:tcMar>
              <w:left w:w="60" w:type="dxa"/>
              <w:right w:w="60" w:type="dxa"/>
            </w:tcMar>
            <w:vAlign w:val="center"/>
          </w:tcPr>
          <w:p w14:paraId="0AB2B5C3" w14:textId="77777777" w:rsidR="00FD1E19" w:rsidRDefault="00FD1E19" w:rsidP="00BE7E4A">
            <w:pPr>
              <w:pStyle w:val="DMETW37214BIPAGGBS"/>
              <w:jc w:val="right"/>
              <w:rPr>
                <w:rFonts w:ascii="Verdana" w:eastAsia="Verdana" w:hAnsi="Verdana" w:cs="Verdana"/>
                <w:b/>
                <w:noProof/>
                <w:color w:val="000000"/>
                <w:sz w:val="18"/>
                <w:lang w:bidi="en-GB"/>
              </w:rPr>
            </w:pPr>
            <w:r>
              <w:rPr>
                <w:rFonts w:ascii="Verdana" w:eastAsia="Verdana" w:hAnsi="Verdana" w:cs="Verdana"/>
                <w:b/>
                <w:noProof/>
                <w:color w:val="000000"/>
                <w:sz w:val="18"/>
              </w:rPr>
              <w:t>1 194</w:t>
            </w:r>
          </w:p>
        </w:tc>
      </w:tr>
      <w:tr w:rsidR="00FD1E19" w14:paraId="72F20FF2" w14:textId="77777777" w:rsidTr="00BE7E4A">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14:paraId="162F8CDD"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TOTAL ASSETS</w:t>
            </w:r>
          </w:p>
        </w:tc>
        <w:tc>
          <w:tcPr>
            <w:tcW w:w="885" w:type="dxa"/>
            <w:tcBorders>
              <w:top w:val="nil"/>
              <w:left w:val="nil"/>
              <w:bottom w:val="nil"/>
              <w:right w:val="nil"/>
              <w:tl2br w:val="nil"/>
              <w:tr2bl w:val="nil"/>
            </w:tcBorders>
            <w:shd w:val="solid" w:color="CCE1EA" w:fill="FFFFFF"/>
            <w:tcMar>
              <w:left w:w="60" w:type="dxa"/>
              <w:right w:w="60" w:type="dxa"/>
            </w:tcMar>
            <w:vAlign w:val="center"/>
          </w:tcPr>
          <w:p w14:paraId="393BBC5F"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43B66A4B"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1 556</w:t>
            </w: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48189AA9" w14:textId="77777777" w:rsidR="00FD1E19" w:rsidRDefault="00FD1E19" w:rsidP="00BE7E4A">
            <w:pPr>
              <w:pStyle w:val="DMETW37214BIPAGGBS"/>
              <w:jc w:val="right"/>
              <w:rPr>
                <w:rFonts w:ascii="Verdana" w:eastAsia="Verdana" w:hAnsi="Verdana" w:cs="Verdana"/>
                <w:b/>
                <w:noProof/>
                <w:color w:val="000000"/>
                <w:sz w:val="18"/>
                <w:lang w:bidi="en-GB"/>
              </w:rPr>
            </w:pPr>
            <w:r>
              <w:rPr>
                <w:rFonts w:ascii="Verdana" w:eastAsia="Verdana" w:hAnsi="Verdana" w:cs="Verdana"/>
                <w:b/>
                <w:noProof/>
                <w:color w:val="000000"/>
                <w:sz w:val="18"/>
              </w:rPr>
              <w:t>2 016</w:t>
            </w:r>
          </w:p>
        </w:tc>
      </w:tr>
      <w:tr w:rsidR="00FD1E19" w14:paraId="625BFEC8"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4B5AACDA" w14:textId="77777777" w:rsidR="00FD1E19" w:rsidRDefault="00FD1E19" w:rsidP="00BE7E4A">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70A5FD6F"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2AF88E27" w14:textId="77777777" w:rsidR="00FD1E19" w:rsidRDefault="00FD1E19" w:rsidP="00BE7E4A">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1C722757" w14:textId="77777777" w:rsidR="00FD1E19" w:rsidRDefault="00FD1E19" w:rsidP="00BE7E4A">
            <w:pPr>
              <w:pStyle w:val="DMETW37214BIPAGGBS"/>
              <w:jc w:val="right"/>
              <w:rPr>
                <w:rFonts w:ascii="Verdana" w:eastAsia="Verdana" w:hAnsi="Verdana" w:cs="Verdana"/>
                <w:noProof/>
                <w:color w:val="000000"/>
                <w:sz w:val="18"/>
                <w:lang w:bidi="en-GB"/>
              </w:rPr>
            </w:pPr>
          </w:p>
        </w:tc>
      </w:tr>
      <w:tr w:rsidR="00FD1E19" w14:paraId="2F307B7C"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7E4A381D"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NON-CURRENT LIABILITIES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00579B3D"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3BEB1973" w14:textId="77777777" w:rsidR="00FD1E19" w:rsidRDefault="00FD1E19" w:rsidP="00BE7E4A">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453C23A6" w14:textId="77777777" w:rsidR="00FD1E19" w:rsidRDefault="00FD1E19" w:rsidP="00BE7E4A">
            <w:pPr>
              <w:pStyle w:val="DMETW37214BIPAGGBS"/>
              <w:jc w:val="right"/>
              <w:rPr>
                <w:rFonts w:ascii="Verdana" w:eastAsia="Verdana" w:hAnsi="Verdana" w:cs="Verdana"/>
                <w:noProof/>
                <w:color w:val="000000"/>
                <w:sz w:val="18"/>
                <w:lang w:bidi="en-GB"/>
              </w:rPr>
            </w:pPr>
          </w:p>
        </w:tc>
      </w:tr>
      <w:tr w:rsidR="00FD1E19" w14:paraId="61D85B3C" w14:textId="77777777" w:rsidTr="00BE7E4A">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71FE1843"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Financial liabilities</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3BF5C8D6"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2.6</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5F269561"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663D89B2"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409D79C9" w14:textId="77777777" w:rsidTr="00BE7E4A">
        <w:trPr>
          <w:trHeight w:hRule="exact" w:val="225"/>
        </w:trPr>
        <w:tc>
          <w:tcPr>
            <w:tcW w:w="628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44310A60" w14:textId="77777777" w:rsidR="00FD1E19" w:rsidRDefault="00FD1E19" w:rsidP="00BE7E4A">
            <w:pPr>
              <w:pStyle w:val="DMETW37214BIPAGGBS"/>
              <w:rPr>
                <w:rFonts w:ascii="Verdana" w:eastAsia="Verdana" w:hAnsi="Verdana" w:cs="Verdana"/>
                <w:i/>
                <w:noProof/>
                <w:color w:val="000000"/>
                <w:sz w:val="18"/>
              </w:rPr>
            </w:pPr>
          </w:p>
        </w:tc>
        <w:tc>
          <w:tcPr>
            <w:tcW w:w="88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867EF33"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65047B4"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3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0DB8581" w14:textId="77777777" w:rsidR="00FD1E19" w:rsidRDefault="00FD1E19" w:rsidP="00BE7E4A">
            <w:pPr>
              <w:pStyle w:val="DMETW37214BIPAGG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w:t>
            </w:r>
          </w:p>
        </w:tc>
      </w:tr>
      <w:tr w:rsidR="00FD1E19" w14:paraId="5E498CD1" w14:textId="77777777" w:rsidTr="00BE7E4A">
        <w:trPr>
          <w:trHeight w:hRule="exact" w:val="225"/>
        </w:trPr>
        <w:tc>
          <w:tcPr>
            <w:tcW w:w="6285"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7455D847"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CURRENT LIABILITIES</w:t>
            </w:r>
          </w:p>
        </w:tc>
        <w:tc>
          <w:tcPr>
            <w:tcW w:w="885" w:type="dxa"/>
            <w:tcBorders>
              <w:top w:val="single" w:sz="4" w:space="0" w:color="016794"/>
              <w:left w:val="nil"/>
              <w:bottom w:val="nil"/>
              <w:right w:val="nil"/>
              <w:tl2br w:val="nil"/>
              <w:tr2bl w:val="nil"/>
            </w:tcBorders>
            <w:shd w:val="solid" w:color="FFFFFF" w:fill="FFFFFF"/>
            <w:tcMar>
              <w:left w:w="60" w:type="dxa"/>
              <w:right w:w="60" w:type="dxa"/>
            </w:tcMar>
            <w:vAlign w:val="center"/>
          </w:tcPr>
          <w:p w14:paraId="1C5707D8"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51D49A3F" w14:textId="77777777" w:rsidR="00FD1E19" w:rsidRDefault="00FD1E19" w:rsidP="00BE7E4A">
            <w:pPr>
              <w:pStyle w:val="DMETW37214BIPAGGBS"/>
              <w:jc w:val="right"/>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642E463D" w14:textId="77777777" w:rsidR="00FD1E19" w:rsidRDefault="00FD1E19" w:rsidP="00BE7E4A">
            <w:pPr>
              <w:pStyle w:val="DMETW37214BIPAGGBS"/>
              <w:jc w:val="right"/>
              <w:rPr>
                <w:rFonts w:ascii="Verdana" w:eastAsia="Verdana" w:hAnsi="Verdana" w:cs="Verdana"/>
                <w:noProof/>
                <w:color w:val="000000"/>
                <w:sz w:val="18"/>
                <w:lang w:bidi="en-GB"/>
              </w:rPr>
            </w:pPr>
          </w:p>
        </w:tc>
      </w:tr>
      <w:tr w:rsidR="00FD1E19" w14:paraId="599B6A06" w14:textId="77777777" w:rsidTr="00BE7E4A">
        <w:trPr>
          <w:trHeight w:hRule="exact" w:val="225"/>
        </w:trPr>
        <w:tc>
          <w:tcPr>
            <w:tcW w:w="6285" w:type="dxa"/>
            <w:tcBorders>
              <w:top w:val="nil"/>
              <w:left w:val="nil"/>
              <w:bottom w:val="nil"/>
              <w:right w:val="nil"/>
              <w:tl2br w:val="nil"/>
              <w:tr2bl w:val="nil"/>
            </w:tcBorders>
            <w:shd w:val="clear" w:color="auto" w:fill="auto"/>
            <w:tcMar>
              <w:left w:w="60" w:type="dxa"/>
              <w:right w:w="60" w:type="dxa"/>
            </w:tcMar>
            <w:vAlign w:val="bottom"/>
          </w:tcPr>
          <w:p w14:paraId="46AC1507"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 xml:space="preserve">Provisions </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52AF84FC"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2.6</w:t>
            </w:r>
          </w:p>
        </w:tc>
        <w:tc>
          <w:tcPr>
            <w:tcW w:w="1320" w:type="dxa"/>
            <w:tcBorders>
              <w:top w:val="nil"/>
              <w:left w:val="nil"/>
              <w:bottom w:val="nil"/>
              <w:right w:val="nil"/>
              <w:tl2br w:val="nil"/>
              <w:tr2bl w:val="nil"/>
            </w:tcBorders>
            <w:shd w:val="clear" w:color="auto" w:fill="auto"/>
            <w:tcMar>
              <w:left w:w="60" w:type="dxa"/>
              <w:right w:w="60" w:type="dxa"/>
            </w:tcMar>
            <w:vAlign w:val="bottom"/>
          </w:tcPr>
          <w:p w14:paraId="328D906A"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20" w:type="dxa"/>
            <w:tcBorders>
              <w:top w:val="nil"/>
              <w:left w:val="nil"/>
              <w:bottom w:val="nil"/>
              <w:right w:val="nil"/>
              <w:tl2br w:val="nil"/>
              <w:tr2bl w:val="nil"/>
            </w:tcBorders>
            <w:shd w:val="clear" w:color="auto" w:fill="auto"/>
            <w:tcMar>
              <w:left w:w="60" w:type="dxa"/>
              <w:right w:w="60" w:type="dxa"/>
            </w:tcMar>
            <w:vAlign w:val="bottom"/>
          </w:tcPr>
          <w:p w14:paraId="7BE9F651"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6C1EDF86"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3A3F57E6"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Payables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2B1BE5BA"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2.7</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6848DBDF"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(187)</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4E27E8E8"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(256)</w:t>
            </w:r>
          </w:p>
        </w:tc>
      </w:tr>
      <w:tr w:rsidR="00FD1E19" w14:paraId="00C2AE1C" w14:textId="77777777" w:rsidTr="00BE7E4A">
        <w:trPr>
          <w:trHeight w:hRule="exact" w:val="225"/>
        </w:trPr>
        <w:tc>
          <w:tcPr>
            <w:tcW w:w="6285"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77721050"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 xml:space="preserve">Accrued charges </w:t>
            </w:r>
          </w:p>
        </w:tc>
        <w:tc>
          <w:tcPr>
            <w:tcW w:w="885"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6DE8B7FC"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2.8</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13E7202E"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 xml:space="preserve"> (695)</w:t>
            </w:r>
          </w:p>
        </w:tc>
        <w:tc>
          <w:tcPr>
            <w:tcW w:w="1320"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24CA5244"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(774)</w:t>
            </w:r>
          </w:p>
        </w:tc>
      </w:tr>
      <w:tr w:rsidR="00FD1E19" w14:paraId="3A7403F5" w14:textId="77777777" w:rsidTr="00BE7E4A">
        <w:trPr>
          <w:trHeight w:hRule="exact" w:val="225"/>
        </w:trPr>
        <w:tc>
          <w:tcPr>
            <w:tcW w:w="6285" w:type="dxa"/>
            <w:tcBorders>
              <w:top w:val="single" w:sz="4" w:space="0" w:color="016794"/>
              <w:left w:val="nil"/>
              <w:bottom w:val="nil"/>
              <w:right w:val="nil"/>
              <w:tl2br w:val="nil"/>
              <w:tr2bl w:val="nil"/>
            </w:tcBorders>
            <w:shd w:val="clear" w:color="auto" w:fill="auto"/>
            <w:tcMar>
              <w:left w:w="60" w:type="dxa"/>
              <w:right w:w="60" w:type="dxa"/>
            </w:tcMar>
            <w:vAlign w:val="bottom"/>
          </w:tcPr>
          <w:p w14:paraId="479E0C83" w14:textId="77777777" w:rsidR="00FD1E19" w:rsidRDefault="00FD1E19" w:rsidP="00BE7E4A">
            <w:pPr>
              <w:pStyle w:val="DMETW37214BIPAGGBS"/>
              <w:rPr>
                <w:rFonts w:ascii="Verdana" w:eastAsia="Verdana" w:hAnsi="Verdana" w:cs="Verdana"/>
                <w:i/>
                <w:noProof/>
                <w:color w:val="000000"/>
                <w:sz w:val="18"/>
              </w:rPr>
            </w:pPr>
          </w:p>
        </w:tc>
        <w:tc>
          <w:tcPr>
            <w:tcW w:w="885" w:type="dxa"/>
            <w:tcBorders>
              <w:top w:val="single" w:sz="4" w:space="0" w:color="016794"/>
              <w:left w:val="nil"/>
              <w:bottom w:val="nil"/>
              <w:right w:val="nil"/>
              <w:tl2br w:val="nil"/>
              <w:tr2bl w:val="nil"/>
            </w:tcBorders>
            <w:shd w:val="clear" w:color="auto" w:fill="auto"/>
            <w:tcMar>
              <w:left w:w="60" w:type="dxa"/>
              <w:right w:w="60" w:type="dxa"/>
            </w:tcMar>
            <w:vAlign w:val="center"/>
          </w:tcPr>
          <w:p w14:paraId="1552DB1B"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single" w:sz="4" w:space="0" w:color="016794"/>
              <w:left w:val="nil"/>
              <w:bottom w:val="nil"/>
              <w:right w:val="nil"/>
              <w:tl2br w:val="nil"/>
              <w:tr2bl w:val="nil"/>
            </w:tcBorders>
            <w:shd w:val="clear" w:color="auto" w:fill="auto"/>
            <w:tcMar>
              <w:left w:w="60" w:type="dxa"/>
              <w:right w:w="60" w:type="dxa"/>
            </w:tcMar>
            <w:vAlign w:val="center"/>
          </w:tcPr>
          <w:p w14:paraId="26AC4DC3"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(882)</w:t>
            </w:r>
          </w:p>
        </w:tc>
        <w:tc>
          <w:tcPr>
            <w:tcW w:w="1320" w:type="dxa"/>
            <w:tcBorders>
              <w:top w:val="single" w:sz="4" w:space="0" w:color="016794"/>
              <w:left w:val="nil"/>
              <w:bottom w:val="nil"/>
              <w:right w:val="nil"/>
              <w:tl2br w:val="nil"/>
              <w:tr2bl w:val="nil"/>
            </w:tcBorders>
            <w:shd w:val="clear" w:color="auto" w:fill="auto"/>
            <w:tcMar>
              <w:left w:w="60" w:type="dxa"/>
              <w:right w:w="60" w:type="dxa"/>
            </w:tcMar>
            <w:vAlign w:val="center"/>
          </w:tcPr>
          <w:p w14:paraId="3B2FF919" w14:textId="77777777" w:rsidR="00FD1E19" w:rsidRDefault="00FD1E19" w:rsidP="00BE7E4A">
            <w:pPr>
              <w:pStyle w:val="DMETW37214BIPAGGBS"/>
              <w:jc w:val="right"/>
              <w:rPr>
                <w:rFonts w:ascii="Verdana" w:eastAsia="Verdana" w:hAnsi="Verdana" w:cs="Verdana"/>
                <w:b/>
                <w:noProof/>
                <w:color w:val="000000"/>
                <w:sz w:val="18"/>
                <w:lang w:bidi="en-GB"/>
              </w:rPr>
            </w:pPr>
            <w:r>
              <w:rPr>
                <w:rFonts w:ascii="Verdana" w:eastAsia="Verdana" w:hAnsi="Verdana" w:cs="Verdana"/>
                <w:b/>
                <w:noProof/>
                <w:color w:val="000000"/>
                <w:sz w:val="18"/>
              </w:rPr>
              <w:t>(1 032)</w:t>
            </w:r>
          </w:p>
        </w:tc>
      </w:tr>
      <w:tr w:rsidR="00FD1E19" w14:paraId="7A4D6614" w14:textId="77777777" w:rsidTr="00BE7E4A">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14:paraId="0FC8999C"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TOTAL LIABILITIES</w:t>
            </w:r>
          </w:p>
        </w:tc>
        <w:tc>
          <w:tcPr>
            <w:tcW w:w="885" w:type="dxa"/>
            <w:tcBorders>
              <w:top w:val="nil"/>
              <w:left w:val="nil"/>
              <w:bottom w:val="nil"/>
              <w:right w:val="nil"/>
              <w:tl2br w:val="nil"/>
              <w:tr2bl w:val="nil"/>
            </w:tcBorders>
            <w:shd w:val="solid" w:color="CCE1EA" w:fill="FFFFFF"/>
            <w:tcMar>
              <w:left w:w="60" w:type="dxa"/>
              <w:right w:w="60" w:type="dxa"/>
            </w:tcMar>
            <w:vAlign w:val="center"/>
          </w:tcPr>
          <w:p w14:paraId="1DB9B3B7"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7830363D"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(883)</w:t>
            </w: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6C9DBC4A" w14:textId="77777777" w:rsidR="00FD1E19" w:rsidRDefault="00FD1E19" w:rsidP="00BE7E4A">
            <w:pPr>
              <w:pStyle w:val="DMETW37214BIPAGGBS"/>
              <w:jc w:val="right"/>
              <w:rPr>
                <w:rFonts w:ascii="Verdana" w:eastAsia="Verdana" w:hAnsi="Verdana" w:cs="Verdana"/>
                <w:b/>
                <w:noProof/>
                <w:color w:val="000000"/>
                <w:sz w:val="18"/>
                <w:lang w:bidi="en-GB"/>
              </w:rPr>
            </w:pPr>
            <w:r>
              <w:rPr>
                <w:rFonts w:ascii="Verdana" w:eastAsia="Verdana" w:hAnsi="Verdana" w:cs="Verdana"/>
                <w:b/>
                <w:noProof/>
                <w:color w:val="000000"/>
                <w:sz w:val="18"/>
              </w:rPr>
              <w:t>(1 032)</w:t>
            </w:r>
          </w:p>
        </w:tc>
      </w:tr>
      <w:tr w:rsidR="00FD1E19" w14:paraId="34A07434"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06520F92" w14:textId="77777777" w:rsidR="00FD1E19" w:rsidRDefault="00FD1E19" w:rsidP="00BE7E4A">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152C02B9"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54712CE7" w14:textId="77777777" w:rsidR="00FD1E19" w:rsidRDefault="00FD1E19" w:rsidP="00BE7E4A">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14D46E84" w14:textId="77777777" w:rsidR="00FD1E19" w:rsidRDefault="00FD1E19" w:rsidP="00BE7E4A">
            <w:pPr>
              <w:pStyle w:val="DMETW37214BIPAGGBS"/>
              <w:jc w:val="right"/>
              <w:rPr>
                <w:rFonts w:ascii="Verdana" w:eastAsia="Verdana" w:hAnsi="Verdana" w:cs="Verdana"/>
                <w:noProof/>
                <w:color w:val="000000"/>
                <w:sz w:val="18"/>
                <w:lang w:bidi="en-GB"/>
              </w:rPr>
            </w:pPr>
          </w:p>
        </w:tc>
      </w:tr>
      <w:tr w:rsidR="00FD1E19" w14:paraId="66BD6B60" w14:textId="77777777" w:rsidTr="00BE7E4A">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14:paraId="0A96B5DA"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885" w:type="dxa"/>
            <w:tcBorders>
              <w:top w:val="nil"/>
              <w:left w:val="nil"/>
              <w:bottom w:val="nil"/>
              <w:right w:val="nil"/>
              <w:tl2br w:val="nil"/>
              <w:tr2bl w:val="nil"/>
            </w:tcBorders>
            <w:shd w:val="solid" w:color="CCE1EA" w:fill="FFFFFF"/>
            <w:tcMar>
              <w:left w:w="60" w:type="dxa"/>
              <w:right w:w="60" w:type="dxa"/>
            </w:tcMar>
            <w:vAlign w:val="center"/>
          </w:tcPr>
          <w:p w14:paraId="52CB2032"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559EFA40"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4EF34C28" w14:textId="77777777" w:rsidR="00FD1E19" w:rsidRDefault="00FD1E19" w:rsidP="00BE7E4A">
            <w:pPr>
              <w:pStyle w:val="DMETW37214BIPAGG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983</w:t>
            </w:r>
          </w:p>
        </w:tc>
      </w:tr>
      <w:tr w:rsidR="00FD1E19" w14:paraId="63D9182E"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0BCD41B5" w14:textId="77777777" w:rsidR="00FD1E19" w:rsidRDefault="00FD1E19" w:rsidP="00BE7E4A">
            <w:pPr>
              <w:pStyle w:val="DMETW37214BIPAGGBS"/>
              <w:rPr>
                <w:rFonts w:ascii="Verdana" w:eastAsia="Verdana" w:hAnsi="Verdana" w:cs="Verdana"/>
                <w:noProof/>
                <w:color w:val="000000"/>
                <w:sz w:val="18"/>
              </w:rPr>
            </w:pP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5C5E6B95"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2D522120" w14:textId="77777777" w:rsidR="00FD1E19" w:rsidRDefault="00FD1E19" w:rsidP="00BE7E4A">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42CD94FA" w14:textId="77777777" w:rsidR="00FD1E19" w:rsidRDefault="00FD1E19" w:rsidP="00BE7E4A">
            <w:pPr>
              <w:pStyle w:val="DMETW37214BIPAGGBS"/>
              <w:jc w:val="right"/>
              <w:rPr>
                <w:rFonts w:ascii="Verdana" w:eastAsia="Verdana" w:hAnsi="Verdana" w:cs="Verdana"/>
                <w:noProof/>
                <w:color w:val="000000"/>
                <w:sz w:val="18"/>
                <w:lang w:bidi="en-GB"/>
              </w:rPr>
            </w:pPr>
          </w:p>
        </w:tc>
      </w:tr>
      <w:tr w:rsidR="00FD1E19" w14:paraId="77275A02"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1A8182FE"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FUNDS &amp; RESERVES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758AFB6C"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6FDC646E" w14:textId="77777777" w:rsidR="00FD1E19" w:rsidRDefault="00FD1E19" w:rsidP="00BE7E4A">
            <w:pPr>
              <w:pStyle w:val="DMETW37214BIPAGGBS"/>
              <w:jc w:val="right"/>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7505B616" w14:textId="77777777" w:rsidR="00FD1E19" w:rsidRDefault="00FD1E19" w:rsidP="00BE7E4A">
            <w:pPr>
              <w:pStyle w:val="DMETW37214BIPAGGBS"/>
              <w:jc w:val="right"/>
              <w:rPr>
                <w:rFonts w:ascii="Verdana" w:eastAsia="Verdana" w:hAnsi="Verdana" w:cs="Verdana"/>
                <w:noProof/>
                <w:color w:val="000000"/>
                <w:sz w:val="18"/>
                <w:lang w:bidi="en-GB"/>
              </w:rPr>
            </w:pPr>
          </w:p>
        </w:tc>
      </w:tr>
      <w:tr w:rsidR="00FD1E19" w14:paraId="7276B125"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3BB4EDD9"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Called fund capital - active EDFs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27155FB2"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2.9</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7A04FC8A"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56 488</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2C5921E9"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55 704</w:t>
            </w:r>
          </w:p>
        </w:tc>
      </w:tr>
      <w:tr w:rsidR="00FD1E19" w14:paraId="62972B32"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4E76DFE9"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Called fund capital from closed EDFs carried forward</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4178D712" w14:textId="77777777" w:rsidR="00FD1E19" w:rsidRDefault="00FD1E19" w:rsidP="00BE7E4A">
            <w:pPr>
              <w:pStyle w:val="DMETW37214BIPAGGBS"/>
              <w:rPr>
                <w:rFonts w:ascii="Verdana" w:eastAsia="Verdana" w:hAnsi="Verdana" w:cs="Verdana"/>
                <w:noProof/>
                <w:color w:val="000000"/>
                <w:sz w:val="18"/>
              </w:rPr>
            </w:pPr>
            <w:r>
              <w:rPr>
                <w:rFonts w:ascii="Verdana" w:eastAsia="Verdana" w:hAnsi="Verdana" w:cs="Verdana"/>
                <w:noProof/>
                <w:color w:val="000000"/>
                <w:sz w:val="18"/>
              </w:rPr>
              <w:t>2.9</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53DF96D1"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2 252</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43A9C27E"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2 252</w:t>
            </w:r>
          </w:p>
        </w:tc>
      </w:tr>
      <w:tr w:rsidR="00FD1E19" w14:paraId="2CE78F5C" w14:textId="77777777" w:rsidTr="00BE7E4A">
        <w:trPr>
          <w:trHeight w:hRule="exact" w:val="225"/>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5C610BAF"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Economic result carried forward from previous years</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120A0F58"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26FB637C"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(56 973)</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15244E96"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(55 733)</w:t>
            </w:r>
          </w:p>
        </w:tc>
      </w:tr>
      <w:tr w:rsidR="00FD1E19" w14:paraId="1BE2FB74" w14:textId="77777777" w:rsidTr="00BE7E4A">
        <w:trPr>
          <w:trHeight w:hRule="exact" w:val="230"/>
        </w:trPr>
        <w:tc>
          <w:tcPr>
            <w:tcW w:w="6285" w:type="dxa"/>
            <w:tcBorders>
              <w:top w:val="nil"/>
              <w:left w:val="nil"/>
              <w:bottom w:val="nil"/>
              <w:right w:val="nil"/>
              <w:tl2br w:val="nil"/>
              <w:tr2bl w:val="nil"/>
            </w:tcBorders>
            <w:shd w:val="solid" w:color="FFFFFF" w:fill="FFFFFF"/>
            <w:tcMar>
              <w:left w:w="60" w:type="dxa"/>
              <w:right w:w="60" w:type="dxa"/>
            </w:tcMar>
            <w:vAlign w:val="bottom"/>
          </w:tcPr>
          <w:p w14:paraId="4A737F1C" w14:textId="77777777" w:rsidR="00FD1E19" w:rsidRDefault="00FD1E19" w:rsidP="00BE7E4A">
            <w:pPr>
              <w:pStyle w:val="DMETW37214BIPAGGBS"/>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885" w:type="dxa"/>
            <w:tcBorders>
              <w:top w:val="nil"/>
              <w:left w:val="nil"/>
              <w:bottom w:val="nil"/>
              <w:right w:val="nil"/>
              <w:tl2br w:val="nil"/>
              <w:tr2bl w:val="nil"/>
            </w:tcBorders>
            <w:shd w:val="solid" w:color="FFFFFF" w:fill="FFFFFF"/>
            <w:tcMar>
              <w:left w:w="60" w:type="dxa"/>
              <w:right w:w="60" w:type="dxa"/>
            </w:tcMar>
            <w:vAlign w:val="center"/>
          </w:tcPr>
          <w:p w14:paraId="4BE021F9"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70842E43" w14:textId="77777777" w:rsidR="00FD1E19" w:rsidRDefault="00FD1E19" w:rsidP="00BE7E4A">
            <w:pPr>
              <w:pStyle w:val="DMETW37214BIPAGGBS"/>
              <w:jc w:val="right"/>
              <w:rPr>
                <w:rFonts w:ascii="Verdana" w:eastAsia="Verdana" w:hAnsi="Verdana" w:cs="Verdana"/>
                <w:i/>
                <w:noProof/>
                <w:color w:val="000000"/>
                <w:sz w:val="18"/>
              </w:rPr>
            </w:pPr>
            <w:r>
              <w:rPr>
                <w:rFonts w:ascii="Verdana" w:eastAsia="Verdana" w:hAnsi="Verdana" w:cs="Verdana"/>
                <w:i/>
                <w:noProof/>
                <w:color w:val="000000"/>
                <w:sz w:val="18"/>
              </w:rPr>
              <w:t>(1 094)</w:t>
            </w:r>
          </w:p>
        </w:tc>
        <w:tc>
          <w:tcPr>
            <w:tcW w:w="1320" w:type="dxa"/>
            <w:tcBorders>
              <w:top w:val="nil"/>
              <w:left w:val="nil"/>
              <w:bottom w:val="nil"/>
              <w:right w:val="nil"/>
              <w:tl2br w:val="nil"/>
              <w:tr2bl w:val="nil"/>
            </w:tcBorders>
            <w:shd w:val="solid" w:color="FFFFFF" w:fill="FFFFFF"/>
            <w:tcMar>
              <w:left w:w="60" w:type="dxa"/>
              <w:right w:w="60" w:type="dxa"/>
            </w:tcMar>
            <w:vAlign w:val="bottom"/>
          </w:tcPr>
          <w:p w14:paraId="19EFB442" w14:textId="77777777" w:rsidR="00FD1E19" w:rsidRDefault="00FD1E19" w:rsidP="00BE7E4A">
            <w:pPr>
              <w:pStyle w:val="DMETW37214BIPAGGBS"/>
              <w:jc w:val="right"/>
              <w:rPr>
                <w:rFonts w:ascii="Verdana" w:eastAsia="Verdana" w:hAnsi="Verdana" w:cs="Verdana"/>
                <w:i/>
                <w:noProof/>
                <w:color w:val="000000"/>
                <w:sz w:val="18"/>
                <w:lang w:bidi="en-GB"/>
              </w:rPr>
            </w:pPr>
            <w:r>
              <w:rPr>
                <w:rFonts w:ascii="Verdana" w:eastAsia="Verdana" w:hAnsi="Verdana" w:cs="Verdana"/>
                <w:i/>
                <w:noProof/>
                <w:color w:val="000000"/>
                <w:sz w:val="18"/>
              </w:rPr>
              <w:t>(1 240)</w:t>
            </w:r>
          </w:p>
        </w:tc>
      </w:tr>
      <w:tr w:rsidR="00FD1E19" w14:paraId="2A46594A" w14:textId="77777777" w:rsidTr="00BE7E4A">
        <w:trPr>
          <w:trHeight w:hRule="exact" w:val="225"/>
        </w:trPr>
        <w:tc>
          <w:tcPr>
            <w:tcW w:w="6285" w:type="dxa"/>
            <w:tcBorders>
              <w:top w:val="nil"/>
              <w:left w:val="nil"/>
              <w:bottom w:val="nil"/>
              <w:right w:val="nil"/>
              <w:tl2br w:val="nil"/>
              <w:tr2bl w:val="nil"/>
            </w:tcBorders>
            <w:shd w:val="solid" w:color="CCE1EA" w:fill="FFFFFF"/>
            <w:tcMar>
              <w:left w:w="60" w:type="dxa"/>
              <w:right w:w="60" w:type="dxa"/>
            </w:tcMar>
            <w:vAlign w:val="bottom"/>
          </w:tcPr>
          <w:p w14:paraId="6DD562CF" w14:textId="77777777" w:rsidR="00FD1E19" w:rsidRDefault="00FD1E19" w:rsidP="00BE7E4A">
            <w:pPr>
              <w:pStyle w:val="DMETW37214BIPAGG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885" w:type="dxa"/>
            <w:tcBorders>
              <w:top w:val="nil"/>
              <w:left w:val="nil"/>
              <w:bottom w:val="nil"/>
              <w:right w:val="nil"/>
              <w:tl2br w:val="nil"/>
              <w:tr2bl w:val="nil"/>
            </w:tcBorders>
            <w:shd w:val="solid" w:color="CCE1EA" w:fill="FFFFFF"/>
            <w:tcMar>
              <w:left w:w="60" w:type="dxa"/>
              <w:right w:w="60" w:type="dxa"/>
            </w:tcMar>
            <w:vAlign w:val="bottom"/>
          </w:tcPr>
          <w:p w14:paraId="2E3C9EF4" w14:textId="77777777" w:rsidR="00FD1E19" w:rsidRDefault="00FD1E19" w:rsidP="00BE7E4A">
            <w:pPr>
              <w:pStyle w:val="DMETW37214BIPAGGBS"/>
              <w:rPr>
                <w:rFonts w:ascii="Verdana" w:eastAsia="Verdana" w:hAnsi="Verdana" w:cs="Verdana"/>
                <w:noProof/>
                <w:color w:val="000000"/>
                <w:sz w:val="18"/>
              </w:rPr>
            </w:pP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66AAC4F0"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c>
          <w:tcPr>
            <w:tcW w:w="1320" w:type="dxa"/>
            <w:tcBorders>
              <w:top w:val="nil"/>
              <w:left w:val="nil"/>
              <w:bottom w:val="nil"/>
              <w:right w:val="nil"/>
              <w:tl2br w:val="nil"/>
              <w:tr2bl w:val="nil"/>
            </w:tcBorders>
            <w:shd w:val="solid" w:color="CCE1EA" w:fill="FFFFFF"/>
            <w:tcMar>
              <w:left w:w="60" w:type="dxa"/>
              <w:right w:w="60" w:type="dxa"/>
            </w:tcMar>
            <w:vAlign w:val="center"/>
          </w:tcPr>
          <w:p w14:paraId="40522446" w14:textId="77777777" w:rsidR="00FD1E19" w:rsidRDefault="00FD1E19" w:rsidP="00BE7E4A">
            <w:pPr>
              <w:pStyle w:val="DMETW37214BIPAGGBS"/>
              <w:jc w:val="right"/>
              <w:rPr>
                <w:rFonts w:ascii="Verdana" w:eastAsia="Verdana" w:hAnsi="Verdana" w:cs="Verdana"/>
                <w:b/>
                <w:noProof/>
                <w:color w:val="000000"/>
                <w:sz w:val="18"/>
              </w:rPr>
            </w:pPr>
            <w:r>
              <w:rPr>
                <w:rFonts w:ascii="Verdana" w:eastAsia="Verdana" w:hAnsi="Verdana" w:cs="Verdana"/>
                <w:b/>
                <w:noProof/>
                <w:color w:val="000000"/>
                <w:sz w:val="18"/>
              </w:rPr>
              <w:t xml:space="preserve"> 983</w:t>
            </w:r>
          </w:p>
        </w:tc>
      </w:tr>
    </w:tbl>
    <w:p w14:paraId="67DC26C6" w14:textId="77777777" w:rsidR="00FD1E19" w:rsidRDefault="00FD1E19" w:rsidP="00FD1E19">
      <w:pPr>
        <w:pStyle w:val="HEADERTITLE1"/>
      </w:pPr>
    </w:p>
    <w:p w14:paraId="03C8714B" w14:textId="77777777" w:rsidR="00FD1E19" w:rsidRDefault="00FD1E19" w:rsidP="00FD1E19">
      <w:pPr>
        <w:pStyle w:val="Textstand-alone"/>
      </w:pPr>
    </w:p>
    <w:p w14:paraId="3BAF0B49" w14:textId="77777777" w:rsidR="00FD1E19" w:rsidRDefault="00FD1E19" w:rsidP="00FD1E19">
      <w:pPr>
        <w:pStyle w:val="Textstand-alone"/>
        <w:sectPr w:rsidR="00FD1E19" w:rsidSect="00FD1E19">
          <w:headerReference w:type="default" r:id="rId34"/>
          <w:footerReference w:type="default" r:id="rId35"/>
          <w:pgSz w:w="11906" w:h="16838" w:code="9"/>
          <w:pgMar w:top="1134" w:right="1134" w:bottom="1134" w:left="1134" w:header="709" w:footer="709" w:gutter="0"/>
          <w:cols w:space="708"/>
          <w:docGrid w:linePitch="360"/>
        </w:sectPr>
      </w:pPr>
    </w:p>
    <w:p w14:paraId="4550BC79" w14:textId="77777777" w:rsidR="00FD1E19" w:rsidRDefault="00FD1E19" w:rsidP="00FD1E19">
      <w:pPr>
        <w:pStyle w:val="HEADERTITLE1"/>
      </w:pPr>
      <w:bookmarkStart w:id="23" w:name="_Toc232609778"/>
      <w:r>
        <w:t>EDF STATEMENT OF FINANCIAL PERFORMANCE</w:t>
      </w:r>
      <w:bookmarkEnd w:id="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2"/>
        <w:gridCol w:w="1128"/>
        <w:gridCol w:w="1716"/>
        <w:gridCol w:w="1282"/>
      </w:tblGrid>
      <w:tr w:rsidR="00FD1E19" w14:paraId="70D8FB44" w14:textId="77777777" w:rsidTr="00BE7E4A">
        <w:trPr>
          <w:trHeight w:hRule="exact" w:val="300"/>
        </w:trPr>
        <w:tc>
          <w:tcPr>
            <w:tcW w:w="5632" w:type="dxa"/>
            <w:tcBorders>
              <w:top w:val="nil"/>
              <w:left w:val="nil"/>
              <w:bottom w:val="nil"/>
              <w:right w:val="nil"/>
              <w:tl2br w:val="nil"/>
              <w:tr2bl w:val="nil"/>
            </w:tcBorders>
            <w:shd w:val="clear" w:color="auto" w:fill="auto"/>
            <w:tcMar>
              <w:left w:w="60" w:type="dxa"/>
              <w:right w:w="60" w:type="dxa"/>
            </w:tcMar>
            <w:vAlign w:val="bottom"/>
          </w:tcPr>
          <w:p w14:paraId="455B3656" w14:textId="77777777" w:rsidR="00FD1E19" w:rsidRDefault="00FD1E19" w:rsidP="00BE7E4A">
            <w:pPr>
              <w:pStyle w:val="DMETW37214BIPAGGPL"/>
              <w:rPr>
                <w:rFonts w:ascii="Arial" w:eastAsia="Arial" w:hAnsi="Arial" w:cs="Arial"/>
                <w:noProof/>
                <w:color w:val="000000"/>
                <w:lang w:bidi="en-GB"/>
              </w:rPr>
            </w:pPr>
            <w:bookmarkStart w:id="24" w:name="DOC_TBL00001_1_1"/>
            <w:bookmarkEnd w:id="24"/>
          </w:p>
        </w:tc>
        <w:tc>
          <w:tcPr>
            <w:tcW w:w="1128" w:type="dxa"/>
            <w:tcBorders>
              <w:top w:val="nil"/>
              <w:left w:val="nil"/>
              <w:bottom w:val="nil"/>
              <w:right w:val="nil"/>
              <w:tl2br w:val="nil"/>
              <w:tr2bl w:val="nil"/>
            </w:tcBorders>
            <w:shd w:val="clear" w:color="auto" w:fill="auto"/>
            <w:tcMar>
              <w:left w:w="60" w:type="dxa"/>
              <w:right w:w="60" w:type="dxa"/>
            </w:tcMar>
            <w:vAlign w:val="bottom"/>
          </w:tcPr>
          <w:p w14:paraId="57406CEA" w14:textId="77777777" w:rsidR="00FD1E19" w:rsidRDefault="00FD1E19" w:rsidP="00BE7E4A">
            <w:pPr>
              <w:pStyle w:val="DMETW37214BIPAGGPL"/>
              <w:jc w:val="center"/>
              <w:rPr>
                <w:rFonts w:ascii="Arial" w:eastAsia="Arial" w:hAnsi="Arial" w:cs="Arial"/>
                <w:noProof/>
                <w:color w:val="000000"/>
              </w:rPr>
            </w:pPr>
          </w:p>
        </w:tc>
        <w:tc>
          <w:tcPr>
            <w:tcW w:w="1716" w:type="dxa"/>
            <w:tcBorders>
              <w:top w:val="nil"/>
              <w:left w:val="nil"/>
              <w:bottom w:val="nil"/>
              <w:right w:val="nil"/>
              <w:tl2br w:val="nil"/>
              <w:tr2bl w:val="nil"/>
            </w:tcBorders>
            <w:shd w:val="clear" w:color="auto" w:fill="auto"/>
            <w:tcMar>
              <w:left w:w="60" w:type="dxa"/>
              <w:right w:w="60" w:type="dxa"/>
            </w:tcMar>
            <w:vAlign w:val="bottom"/>
          </w:tcPr>
          <w:p w14:paraId="5D9F2785" w14:textId="77777777" w:rsidR="00FD1E19" w:rsidRDefault="00FD1E19" w:rsidP="00BE7E4A">
            <w:pPr>
              <w:pStyle w:val="DMETW37214BIPAGGPL"/>
              <w:jc w:val="right"/>
              <w:rPr>
                <w:rFonts w:ascii="Arial" w:eastAsia="Arial" w:hAnsi="Arial" w:cs="Arial"/>
                <w:noProof/>
                <w:color w:val="000000"/>
              </w:rPr>
            </w:pPr>
          </w:p>
        </w:tc>
        <w:tc>
          <w:tcPr>
            <w:tcW w:w="1282" w:type="dxa"/>
            <w:tcBorders>
              <w:top w:val="nil"/>
              <w:left w:val="nil"/>
              <w:bottom w:val="nil"/>
              <w:right w:val="nil"/>
              <w:tl2br w:val="nil"/>
              <w:tr2bl w:val="nil"/>
            </w:tcBorders>
            <w:shd w:val="clear" w:color="auto" w:fill="auto"/>
            <w:tcMar>
              <w:left w:w="60" w:type="dxa"/>
              <w:right w:w="60" w:type="dxa"/>
            </w:tcMar>
            <w:vAlign w:val="bottom"/>
          </w:tcPr>
          <w:p w14:paraId="3DBC0357" w14:textId="77777777" w:rsidR="00FD1E19" w:rsidRDefault="00FD1E19" w:rsidP="00BE7E4A">
            <w:pPr>
              <w:pStyle w:val="DMETW37214BIPAGGPL"/>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7954B8CA" w14:textId="77777777" w:rsidTr="00BE7E4A">
        <w:trPr>
          <w:trHeight w:hRule="exact" w:val="255"/>
        </w:trPr>
        <w:tc>
          <w:tcPr>
            <w:tcW w:w="5632" w:type="dxa"/>
            <w:tcBorders>
              <w:top w:val="nil"/>
              <w:left w:val="nil"/>
              <w:bottom w:val="nil"/>
              <w:right w:val="nil"/>
              <w:tl2br w:val="nil"/>
              <w:tr2bl w:val="nil"/>
            </w:tcBorders>
            <w:shd w:val="solid" w:color="016794" w:fill="FFFFFF"/>
            <w:tcMar>
              <w:left w:w="60" w:type="dxa"/>
              <w:right w:w="60" w:type="dxa"/>
            </w:tcMar>
            <w:vAlign w:val="bottom"/>
          </w:tcPr>
          <w:p w14:paraId="4F2C57AA" w14:textId="77777777" w:rsidR="00FD1E19" w:rsidRDefault="00FD1E19" w:rsidP="00BE7E4A">
            <w:pPr>
              <w:pStyle w:val="DMETW37214BIPAGGPL"/>
              <w:rPr>
                <w:rFonts w:ascii="Verdana" w:eastAsia="Verdana" w:hAnsi="Verdana" w:cs="Verdana"/>
                <w:noProof/>
                <w:color w:val="FFFFFF"/>
              </w:rPr>
            </w:pPr>
          </w:p>
        </w:tc>
        <w:tc>
          <w:tcPr>
            <w:tcW w:w="1128" w:type="dxa"/>
            <w:tcBorders>
              <w:top w:val="nil"/>
              <w:left w:val="nil"/>
              <w:bottom w:val="nil"/>
              <w:right w:val="nil"/>
              <w:tl2br w:val="nil"/>
              <w:tr2bl w:val="nil"/>
            </w:tcBorders>
            <w:shd w:val="solid" w:color="016794" w:fill="FFFFFF"/>
            <w:tcMar>
              <w:left w:w="60" w:type="dxa"/>
              <w:right w:w="60" w:type="dxa"/>
            </w:tcMar>
            <w:vAlign w:val="bottom"/>
          </w:tcPr>
          <w:p w14:paraId="732BE740" w14:textId="77777777" w:rsidR="00FD1E19" w:rsidRDefault="00FD1E19" w:rsidP="00BE7E4A">
            <w:pPr>
              <w:pStyle w:val="DMETW37214BIPAGGPL"/>
              <w:jc w:val="center"/>
              <w:rPr>
                <w:rFonts w:ascii="Verdana" w:eastAsia="Verdana" w:hAnsi="Verdana" w:cs="Verdana"/>
                <w:noProof/>
                <w:color w:val="FFFFFF"/>
              </w:rPr>
            </w:pPr>
            <w:r>
              <w:rPr>
                <w:rFonts w:ascii="Verdana" w:eastAsia="Verdana" w:hAnsi="Verdana" w:cs="Verdana"/>
                <w:noProof/>
                <w:color w:val="FFFFFF"/>
              </w:rPr>
              <w:t>Note</w:t>
            </w:r>
          </w:p>
        </w:tc>
        <w:tc>
          <w:tcPr>
            <w:tcW w:w="1716" w:type="dxa"/>
            <w:tcBorders>
              <w:top w:val="nil"/>
              <w:left w:val="nil"/>
              <w:bottom w:val="nil"/>
              <w:right w:val="nil"/>
              <w:tl2br w:val="nil"/>
              <w:tr2bl w:val="nil"/>
            </w:tcBorders>
            <w:shd w:val="solid" w:color="016794" w:fill="FFFFFF"/>
            <w:tcMar>
              <w:left w:w="60" w:type="dxa"/>
              <w:right w:w="60" w:type="dxa"/>
            </w:tcMar>
            <w:vAlign w:val="bottom"/>
          </w:tcPr>
          <w:p w14:paraId="765381ED" w14:textId="77777777" w:rsidR="00FD1E19" w:rsidRDefault="00FD1E19" w:rsidP="00BE7E4A">
            <w:pPr>
              <w:pStyle w:val="DMETW37214BIPAGGPL"/>
              <w:jc w:val="right"/>
              <w:rPr>
                <w:rFonts w:ascii="Verdana" w:eastAsia="Verdana" w:hAnsi="Verdana" w:cs="Verdana"/>
                <w:noProof/>
                <w:color w:val="FFFFFF"/>
              </w:rPr>
            </w:pPr>
            <w:r>
              <w:rPr>
                <w:rFonts w:ascii="Verdana" w:eastAsia="Verdana" w:hAnsi="Verdana" w:cs="Verdana"/>
                <w:noProof/>
                <w:color w:val="FFFFFF"/>
              </w:rPr>
              <w:t>2025</w:t>
            </w:r>
          </w:p>
        </w:tc>
        <w:tc>
          <w:tcPr>
            <w:tcW w:w="1282" w:type="dxa"/>
            <w:tcBorders>
              <w:top w:val="nil"/>
              <w:left w:val="nil"/>
              <w:bottom w:val="nil"/>
              <w:right w:val="nil"/>
              <w:tl2br w:val="nil"/>
              <w:tr2bl w:val="nil"/>
            </w:tcBorders>
            <w:shd w:val="solid" w:color="016794" w:fill="FFFFFF"/>
            <w:tcMar>
              <w:left w:w="60" w:type="dxa"/>
              <w:right w:w="60" w:type="dxa"/>
            </w:tcMar>
            <w:vAlign w:val="bottom"/>
          </w:tcPr>
          <w:p w14:paraId="7CAC4EB7" w14:textId="77777777" w:rsidR="00FD1E19" w:rsidRDefault="00FD1E19" w:rsidP="00BE7E4A">
            <w:pPr>
              <w:pStyle w:val="DMETW37214BIPAGGPL"/>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66F71CAD"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42421664" w14:textId="77777777" w:rsidR="00FD1E19" w:rsidRDefault="00FD1E19" w:rsidP="00BE7E4A">
            <w:pPr>
              <w:pStyle w:val="DMETW37214BIPAGGPL"/>
              <w:rPr>
                <w:rFonts w:ascii="Verdana" w:eastAsia="Verdana" w:hAnsi="Verdana" w:cs="Verdana"/>
                <w:b/>
                <w:noProof/>
                <w:color w:val="000000"/>
                <w:sz w:val="18"/>
              </w:rPr>
            </w:pPr>
            <w:r>
              <w:rPr>
                <w:rFonts w:ascii="Verdana" w:eastAsia="Verdana" w:hAnsi="Verdana" w:cs="Verdana"/>
                <w:b/>
                <w:noProof/>
                <w:color w:val="000000"/>
                <w:sz w:val="18"/>
              </w:rPr>
              <w:t>REVENUE</w:t>
            </w:r>
          </w:p>
        </w:tc>
        <w:tc>
          <w:tcPr>
            <w:tcW w:w="1128" w:type="dxa"/>
            <w:tcBorders>
              <w:top w:val="nil"/>
              <w:left w:val="nil"/>
              <w:bottom w:val="nil"/>
              <w:right w:val="nil"/>
              <w:tl2br w:val="nil"/>
              <w:tr2bl w:val="nil"/>
            </w:tcBorders>
            <w:shd w:val="clear" w:color="auto" w:fill="auto"/>
            <w:tcMar>
              <w:left w:w="60" w:type="dxa"/>
              <w:right w:w="60" w:type="dxa"/>
            </w:tcMar>
            <w:vAlign w:val="center"/>
          </w:tcPr>
          <w:p w14:paraId="7C61E1A7"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shd w:val="clear" w:color="auto" w:fill="auto"/>
            <w:tcMar>
              <w:left w:w="60" w:type="dxa"/>
              <w:right w:w="60" w:type="dxa"/>
            </w:tcMar>
            <w:vAlign w:val="center"/>
          </w:tcPr>
          <w:p w14:paraId="521AB003" w14:textId="77777777" w:rsidR="00FD1E19" w:rsidRDefault="00FD1E19" w:rsidP="00BE7E4A">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shd w:val="clear" w:color="auto" w:fill="auto"/>
            <w:tcMar>
              <w:left w:w="60" w:type="dxa"/>
              <w:right w:w="60" w:type="dxa"/>
            </w:tcMar>
            <w:vAlign w:val="center"/>
          </w:tcPr>
          <w:p w14:paraId="64DF561A" w14:textId="77777777" w:rsidR="00FD1E19" w:rsidRDefault="00FD1E19" w:rsidP="00BE7E4A">
            <w:pPr>
              <w:pStyle w:val="DMETW37214BIPAGGPL"/>
              <w:jc w:val="right"/>
              <w:rPr>
                <w:rFonts w:ascii="Verdana" w:eastAsia="Verdana" w:hAnsi="Verdana" w:cs="Verdana"/>
                <w:noProof/>
                <w:color w:val="000000"/>
                <w:sz w:val="18"/>
                <w:lang w:bidi="en-GB"/>
              </w:rPr>
            </w:pPr>
          </w:p>
        </w:tc>
      </w:tr>
      <w:tr w:rsidR="00FD1E19" w14:paraId="42038F63"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31141501" w14:textId="77777777" w:rsidR="00FD1E19" w:rsidRDefault="00FD1E19" w:rsidP="00BE7E4A">
            <w:pPr>
              <w:pStyle w:val="DMETW37214BIPAGGPL"/>
              <w:rPr>
                <w:rFonts w:ascii="Verdana" w:eastAsia="Verdana" w:hAnsi="Verdana" w:cs="Verdana"/>
                <w:b/>
                <w:noProof/>
                <w:color w:val="000000"/>
                <w:sz w:val="18"/>
              </w:rPr>
            </w:pPr>
            <w:r>
              <w:rPr>
                <w:rFonts w:ascii="Verdana" w:eastAsia="Verdana" w:hAnsi="Verdana" w:cs="Verdana"/>
                <w:b/>
                <w:noProof/>
                <w:color w:val="000000"/>
                <w:sz w:val="18"/>
              </w:rPr>
              <w:t>Revenue from non-exchange transactions</w:t>
            </w:r>
          </w:p>
        </w:tc>
        <w:tc>
          <w:tcPr>
            <w:tcW w:w="1128" w:type="dxa"/>
            <w:tcBorders>
              <w:top w:val="nil"/>
              <w:left w:val="nil"/>
              <w:bottom w:val="nil"/>
              <w:right w:val="nil"/>
              <w:tl2br w:val="nil"/>
              <w:tr2bl w:val="nil"/>
            </w:tcBorders>
            <w:shd w:val="clear" w:color="auto" w:fill="auto"/>
            <w:tcMar>
              <w:left w:w="60" w:type="dxa"/>
              <w:right w:w="60" w:type="dxa"/>
            </w:tcMar>
            <w:vAlign w:val="bottom"/>
          </w:tcPr>
          <w:p w14:paraId="6A76A060"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shd w:val="clear" w:color="auto" w:fill="auto"/>
            <w:tcMar>
              <w:left w:w="60" w:type="dxa"/>
              <w:right w:w="60" w:type="dxa"/>
            </w:tcMar>
            <w:vAlign w:val="bottom"/>
          </w:tcPr>
          <w:p w14:paraId="63F37AFC" w14:textId="77777777" w:rsidR="00FD1E19" w:rsidRDefault="00FD1E19" w:rsidP="00BE7E4A">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shd w:val="clear" w:color="auto" w:fill="auto"/>
            <w:tcMar>
              <w:left w:w="60" w:type="dxa"/>
              <w:right w:w="60" w:type="dxa"/>
            </w:tcMar>
            <w:vAlign w:val="bottom"/>
          </w:tcPr>
          <w:p w14:paraId="0EC1F5E8" w14:textId="77777777" w:rsidR="00FD1E19" w:rsidRDefault="00FD1E19" w:rsidP="00BE7E4A">
            <w:pPr>
              <w:pStyle w:val="DMETW37214BIPAGGPL"/>
              <w:jc w:val="right"/>
              <w:rPr>
                <w:rFonts w:ascii="Verdana" w:eastAsia="Verdana" w:hAnsi="Verdana" w:cs="Verdana"/>
                <w:noProof/>
                <w:color w:val="000000"/>
                <w:sz w:val="18"/>
                <w:lang w:bidi="en-GB"/>
              </w:rPr>
            </w:pPr>
          </w:p>
        </w:tc>
      </w:tr>
      <w:tr w:rsidR="00FD1E19" w14:paraId="45C0265A" w14:textId="77777777" w:rsidTr="00BE7E4A">
        <w:trPr>
          <w:trHeight w:hRule="exact" w:val="225"/>
        </w:trPr>
        <w:tc>
          <w:tcPr>
            <w:tcW w:w="5632" w:type="dxa"/>
            <w:tcBorders>
              <w:top w:val="nil"/>
              <w:left w:val="nil"/>
              <w:bottom w:val="single" w:sz="4" w:space="0" w:color="016794"/>
              <w:right w:val="nil"/>
              <w:tl2br w:val="nil"/>
              <w:tr2bl w:val="nil"/>
            </w:tcBorders>
            <w:shd w:val="clear" w:color="auto" w:fill="auto"/>
            <w:tcMar>
              <w:left w:w="60" w:type="dxa"/>
              <w:right w:w="60" w:type="dxa"/>
            </w:tcMar>
            <w:vAlign w:val="center"/>
          </w:tcPr>
          <w:p w14:paraId="1DA09518"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Recovery activities</w:t>
            </w:r>
          </w:p>
        </w:tc>
        <w:tc>
          <w:tcPr>
            <w:tcW w:w="1128" w:type="dxa"/>
            <w:tcBorders>
              <w:top w:val="nil"/>
              <w:left w:val="nil"/>
              <w:bottom w:val="single" w:sz="4" w:space="0" w:color="016794"/>
              <w:right w:val="nil"/>
              <w:tl2br w:val="nil"/>
              <w:tr2bl w:val="nil"/>
            </w:tcBorders>
            <w:shd w:val="clear" w:color="auto" w:fill="auto"/>
            <w:tcMar>
              <w:left w:w="60" w:type="dxa"/>
              <w:right w:w="60" w:type="dxa"/>
            </w:tcMar>
            <w:vAlign w:val="bottom"/>
          </w:tcPr>
          <w:p w14:paraId="3484822D"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3.1</w:t>
            </w:r>
          </w:p>
        </w:tc>
        <w:tc>
          <w:tcPr>
            <w:tcW w:w="1716" w:type="dxa"/>
            <w:tcBorders>
              <w:top w:val="nil"/>
              <w:left w:val="nil"/>
              <w:bottom w:val="single" w:sz="4" w:space="0" w:color="016794"/>
              <w:right w:val="nil"/>
              <w:tl2br w:val="nil"/>
              <w:tr2bl w:val="nil"/>
            </w:tcBorders>
            <w:shd w:val="clear" w:color="auto" w:fill="auto"/>
            <w:tcMar>
              <w:left w:w="60" w:type="dxa"/>
              <w:right w:w="60" w:type="dxa"/>
            </w:tcMar>
            <w:vAlign w:val="center"/>
          </w:tcPr>
          <w:p w14:paraId="5A82C4A0"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282" w:type="dxa"/>
            <w:tcBorders>
              <w:top w:val="nil"/>
              <w:left w:val="nil"/>
              <w:bottom w:val="single" w:sz="4" w:space="0" w:color="016794"/>
              <w:right w:val="nil"/>
              <w:tl2br w:val="nil"/>
              <w:tr2bl w:val="nil"/>
            </w:tcBorders>
            <w:shd w:val="clear" w:color="auto" w:fill="auto"/>
            <w:tcMar>
              <w:left w:w="60" w:type="dxa"/>
              <w:right w:w="60" w:type="dxa"/>
            </w:tcMar>
            <w:vAlign w:val="center"/>
          </w:tcPr>
          <w:p w14:paraId="65BE0484"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w:t>
            </w:r>
          </w:p>
        </w:tc>
      </w:tr>
      <w:tr w:rsidR="00FD1E19" w14:paraId="37FFCC0B" w14:textId="77777777" w:rsidTr="00BE7E4A">
        <w:trPr>
          <w:trHeight w:hRule="exact" w:val="225"/>
        </w:trPr>
        <w:tc>
          <w:tcPr>
            <w:tcW w:w="5632" w:type="dxa"/>
            <w:tcBorders>
              <w:top w:val="single" w:sz="4" w:space="0" w:color="016794"/>
              <w:left w:val="nil"/>
              <w:bottom w:val="nil"/>
              <w:right w:val="nil"/>
              <w:tl2br w:val="nil"/>
              <w:tr2bl w:val="nil"/>
            </w:tcBorders>
            <w:shd w:val="clear" w:color="auto" w:fill="auto"/>
            <w:tcMar>
              <w:left w:w="60" w:type="dxa"/>
              <w:right w:w="60" w:type="dxa"/>
            </w:tcMar>
            <w:vAlign w:val="bottom"/>
          </w:tcPr>
          <w:p w14:paraId="778C21D5" w14:textId="77777777" w:rsidR="00FD1E19" w:rsidRDefault="00FD1E19" w:rsidP="00BE7E4A">
            <w:pPr>
              <w:pStyle w:val="DMETW37214BIPAGGPL"/>
              <w:rPr>
                <w:rFonts w:ascii="Verdana" w:eastAsia="Verdana" w:hAnsi="Verdana" w:cs="Verdana"/>
                <w:i/>
                <w:noProof/>
                <w:color w:val="000000"/>
                <w:sz w:val="18"/>
              </w:rPr>
            </w:pPr>
          </w:p>
        </w:tc>
        <w:tc>
          <w:tcPr>
            <w:tcW w:w="1128" w:type="dxa"/>
            <w:tcBorders>
              <w:top w:val="single" w:sz="4" w:space="0" w:color="016794"/>
              <w:left w:val="nil"/>
              <w:bottom w:val="nil"/>
              <w:right w:val="nil"/>
              <w:tl2br w:val="nil"/>
              <w:tr2bl w:val="nil"/>
            </w:tcBorders>
            <w:shd w:val="clear" w:color="auto" w:fill="auto"/>
            <w:tcMar>
              <w:left w:w="60" w:type="dxa"/>
              <w:right w:w="60" w:type="dxa"/>
            </w:tcMar>
            <w:vAlign w:val="bottom"/>
          </w:tcPr>
          <w:p w14:paraId="55FAF219"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shd w:val="clear" w:color="auto" w:fill="auto"/>
            <w:tcMar>
              <w:left w:w="60" w:type="dxa"/>
              <w:right w:w="60" w:type="dxa"/>
            </w:tcMar>
            <w:vAlign w:val="center"/>
          </w:tcPr>
          <w:p w14:paraId="17267D87" w14:textId="77777777" w:rsidR="00FD1E19" w:rsidRDefault="00FD1E19" w:rsidP="00BE7E4A">
            <w:pPr>
              <w:pStyle w:val="DMETW37214BIPAGGPL"/>
              <w:jc w:val="right"/>
              <w:rPr>
                <w:rFonts w:ascii="Verdana" w:eastAsia="Verdana" w:hAnsi="Verdana" w:cs="Verdana"/>
                <w:b/>
                <w:noProof/>
                <w:color w:val="000000"/>
                <w:sz w:val="18"/>
              </w:rPr>
            </w:pPr>
            <w:r>
              <w:rPr>
                <w:rFonts w:ascii="Verdana" w:eastAsia="Verdana" w:hAnsi="Verdana" w:cs="Verdana"/>
                <w:b/>
                <w:noProof/>
                <w:color w:val="000000"/>
                <w:sz w:val="18"/>
              </w:rPr>
              <w:t xml:space="preserve"> 12</w:t>
            </w:r>
          </w:p>
        </w:tc>
        <w:tc>
          <w:tcPr>
            <w:tcW w:w="1282" w:type="dxa"/>
            <w:tcBorders>
              <w:top w:val="single" w:sz="4" w:space="0" w:color="016794"/>
              <w:left w:val="nil"/>
              <w:bottom w:val="nil"/>
              <w:right w:val="nil"/>
              <w:tl2br w:val="nil"/>
              <w:tr2bl w:val="nil"/>
            </w:tcBorders>
            <w:shd w:val="clear" w:color="auto" w:fill="auto"/>
            <w:tcMar>
              <w:left w:w="60" w:type="dxa"/>
              <w:right w:w="60" w:type="dxa"/>
            </w:tcMar>
            <w:vAlign w:val="center"/>
          </w:tcPr>
          <w:p w14:paraId="3AAA72B8" w14:textId="77777777" w:rsidR="00FD1E19" w:rsidRDefault="00FD1E19" w:rsidP="00BE7E4A">
            <w:pPr>
              <w:pStyle w:val="DMETW37214BIPAGGP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41</w:t>
            </w:r>
          </w:p>
        </w:tc>
      </w:tr>
      <w:tr w:rsidR="00FD1E19" w14:paraId="365D8631"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6B439B9C" w14:textId="77777777" w:rsidR="00FD1E19" w:rsidRDefault="00FD1E19" w:rsidP="00BE7E4A">
            <w:pPr>
              <w:pStyle w:val="DMETW37214BIPAGGPL"/>
              <w:rPr>
                <w:rFonts w:ascii="Verdana" w:eastAsia="Verdana" w:hAnsi="Verdana" w:cs="Verdana"/>
                <w:b/>
                <w:noProof/>
                <w:color w:val="000000"/>
                <w:sz w:val="18"/>
              </w:rPr>
            </w:pPr>
            <w:r>
              <w:rPr>
                <w:rFonts w:ascii="Verdana" w:eastAsia="Verdana" w:hAnsi="Verdana" w:cs="Verdana"/>
                <w:b/>
                <w:noProof/>
                <w:color w:val="000000"/>
                <w:sz w:val="18"/>
              </w:rPr>
              <w:t>Revenue from exchange transactions</w:t>
            </w:r>
          </w:p>
        </w:tc>
        <w:tc>
          <w:tcPr>
            <w:tcW w:w="1128" w:type="dxa"/>
            <w:tcBorders>
              <w:top w:val="nil"/>
              <w:left w:val="nil"/>
              <w:bottom w:val="nil"/>
              <w:right w:val="nil"/>
              <w:tl2br w:val="nil"/>
              <w:tr2bl w:val="nil"/>
            </w:tcBorders>
            <w:shd w:val="clear" w:color="auto" w:fill="auto"/>
            <w:tcMar>
              <w:left w:w="60" w:type="dxa"/>
              <w:right w:w="60" w:type="dxa"/>
            </w:tcMar>
            <w:vAlign w:val="bottom"/>
          </w:tcPr>
          <w:p w14:paraId="1BB592CE"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shd w:val="clear" w:color="auto" w:fill="auto"/>
            <w:tcMar>
              <w:left w:w="60" w:type="dxa"/>
              <w:right w:w="60" w:type="dxa"/>
            </w:tcMar>
            <w:vAlign w:val="bottom"/>
          </w:tcPr>
          <w:p w14:paraId="1FCDA84D" w14:textId="77777777" w:rsidR="00FD1E19" w:rsidRDefault="00FD1E19" w:rsidP="00BE7E4A">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shd w:val="clear" w:color="auto" w:fill="auto"/>
            <w:tcMar>
              <w:left w:w="60" w:type="dxa"/>
              <w:right w:w="60" w:type="dxa"/>
            </w:tcMar>
            <w:vAlign w:val="bottom"/>
          </w:tcPr>
          <w:p w14:paraId="2FBE660B" w14:textId="77777777" w:rsidR="00FD1E19" w:rsidRDefault="00FD1E19" w:rsidP="00BE7E4A">
            <w:pPr>
              <w:pStyle w:val="DMETW37214BIPAGGPL"/>
              <w:jc w:val="right"/>
              <w:rPr>
                <w:rFonts w:ascii="Verdana" w:eastAsia="Verdana" w:hAnsi="Verdana" w:cs="Verdana"/>
                <w:noProof/>
                <w:color w:val="000000"/>
                <w:sz w:val="18"/>
                <w:lang w:bidi="en-GB"/>
              </w:rPr>
            </w:pPr>
          </w:p>
        </w:tc>
      </w:tr>
      <w:tr w:rsidR="00FD1E19" w14:paraId="4AD6C3AA"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3CF1E99B"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Financial revenue</w:t>
            </w:r>
          </w:p>
        </w:tc>
        <w:tc>
          <w:tcPr>
            <w:tcW w:w="1128" w:type="dxa"/>
            <w:tcBorders>
              <w:top w:val="nil"/>
              <w:left w:val="nil"/>
              <w:bottom w:val="nil"/>
              <w:right w:val="nil"/>
              <w:tl2br w:val="nil"/>
              <w:tr2bl w:val="nil"/>
            </w:tcBorders>
            <w:shd w:val="clear" w:color="auto" w:fill="auto"/>
            <w:tcMar>
              <w:left w:w="60" w:type="dxa"/>
              <w:right w:w="60" w:type="dxa"/>
            </w:tcMar>
            <w:vAlign w:val="bottom"/>
          </w:tcPr>
          <w:p w14:paraId="279BB70D"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3.2</w:t>
            </w:r>
          </w:p>
        </w:tc>
        <w:tc>
          <w:tcPr>
            <w:tcW w:w="1716" w:type="dxa"/>
            <w:tcBorders>
              <w:top w:val="nil"/>
              <w:left w:val="nil"/>
              <w:bottom w:val="nil"/>
              <w:right w:val="nil"/>
              <w:tl2br w:val="nil"/>
              <w:tr2bl w:val="nil"/>
            </w:tcBorders>
            <w:shd w:val="clear" w:color="auto" w:fill="auto"/>
            <w:tcMar>
              <w:left w:w="60" w:type="dxa"/>
              <w:right w:w="60" w:type="dxa"/>
            </w:tcMar>
            <w:vAlign w:val="center"/>
          </w:tcPr>
          <w:p w14:paraId="1BCA3C1A"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282" w:type="dxa"/>
            <w:tcBorders>
              <w:top w:val="nil"/>
              <w:left w:val="nil"/>
              <w:bottom w:val="nil"/>
              <w:right w:val="nil"/>
              <w:tl2br w:val="nil"/>
              <w:tr2bl w:val="nil"/>
            </w:tcBorders>
            <w:shd w:val="clear" w:color="auto" w:fill="auto"/>
            <w:tcMar>
              <w:left w:w="60" w:type="dxa"/>
              <w:right w:w="60" w:type="dxa"/>
            </w:tcMar>
            <w:vAlign w:val="center"/>
          </w:tcPr>
          <w:p w14:paraId="387064C6"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r w:rsidR="00FD1E19" w14:paraId="094202DC" w14:textId="77777777" w:rsidTr="00BE7E4A">
        <w:trPr>
          <w:trHeight w:hRule="exact" w:val="225"/>
        </w:trPr>
        <w:tc>
          <w:tcPr>
            <w:tcW w:w="5632" w:type="dxa"/>
            <w:tcBorders>
              <w:top w:val="nil"/>
              <w:left w:val="nil"/>
              <w:bottom w:val="single" w:sz="4" w:space="0" w:color="016794"/>
              <w:right w:val="nil"/>
              <w:tl2br w:val="nil"/>
              <w:tr2bl w:val="nil"/>
            </w:tcBorders>
            <w:shd w:val="clear" w:color="auto" w:fill="auto"/>
            <w:tcMar>
              <w:left w:w="60" w:type="dxa"/>
              <w:right w:w="60" w:type="dxa"/>
            </w:tcMar>
            <w:vAlign w:val="center"/>
          </w:tcPr>
          <w:p w14:paraId="2C1D3264"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Other revenue</w:t>
            </w:r>
          </w:p>
        </w:tc>
        <w:tc>
          <w:tcPr>
            <w:tcW w:w="1128" w:type="dxa"/>
            <w:tcBorders>
              <w:top w:val="nil"/>
              <w:left w:val="nil"/>
              <w:bottom w:val="single" w:sz="4" w:space="0" w:color="016794"/>
              <w:right w:val="nil"/>
              <w:tl2br w:val="nil"/>
              <w:tr2bl w:val="nil"/>
            </w:tcBorders>
            <w:shd w:val="clear" w:color="auto" w:fill="auto"/>
            <w:tcMar>
              <w:left w:w="60" w:type="dxa"/>
              <w:right w:w="60" w:type="dxa"/>
            </w:tcMar>
            <w:vAlign w:val="bottom"/>
          </w:tcPr>
          <w:p w14:paraId="7722F3CD"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3.2</w:t>
            </w:r>
          </w:p>
        </w:tc>
        <w:tc>
          <w:tcPr>
            <w:tcW w:w="1716" w:type="dxa"/>
            <w:tcBorders>
              <w:top w:val="nil"/>
              <w:left w:val="nil"/>
              <w:bottom w:val="single" w:sz="4" w:space="0" w:color="016794"/>
              <w:right w:val="nil"/>
              <w:tl2br w:val="nil"/>
              <w:tr2bl w:val="nil"/>
            </w:tcBorders>
            <w:shd w:val="clear" w:color="auto" w:fill="auto"/>
            <w:tcMar>
              <w:left w:w="60" w:type="dxa"/>
              <w:right w:w="60" w:type="dxa"/>
            </w:tcMar>
            <w:vAlign w:val="center"/>
          </w:tcPr>
          <w:p w14:paraId="12EFF8A3"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1282" w:type="dxa"/>
            <w:tcBorders>
              <w:top w:val="nil"/>
              <w:left w:val="nil"/>
              <w:bottom w:val="single" w:sz="4" w:space="0" w:color="016794"/>
              <w:right w:val="nil"/>
              <w:tl2br w:val="nil"/>
              <w:tr2bl w:val="nil"/>
            </w:tcBorders>
            <w:shd w:val="clear" w:color="auto" w:fill="auto"/>
            <w:tcMar>
              <w:left w:w="60" w:type="dxa"/>
              <w:right w:w="60" w:type="dxa"/>
            </w:tcMar>
            <w:vAlign w:val="center"/>
          </w:tcPr>
          <w:p w14:paraId="1B222DC1"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71</w:t>
            </w:r>
          </w:p>
        </w:tc>
      </w:tr>
      <w:tr w:rsidR="00FD1E19" w14:paraId="6E59CAFA" w14:textId="77777777" w:rsidTr="00BE7E4A">
        <w:trPr>
          <w:trHeight w:hRule="exact" w:val="225"/>
        </w:trPr>
        <w:tc>
          <w:tcPr>
            <w:tcW w:w="563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447458CF" w14:textId="77777777" w:rsidR="00FD1E19" w:rsidRDefault="00FD1E19" w:rsidP="00BE7E4A">
            <w:pPr>
              <w:pStyle w:val="DMETW37214BIPAGGPL"/>
              <w:rPr>
                <w:rFonts w:ascii="Verdana" w:eastAsia="Verdana" w:hAnsi="Verdana" w:cs="Verdana"/>
                <w:i/>
                <w:noProof/>
                <w:color w:val="000000"/>
                <w:sz w:val="18"/>
              </w:rPr>
            </w:pPr>
          </w:p>
        </w:tc>
        <w:tc>
          <w:tcPr>
            <w:tcW w:w="112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3E7FE174"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AF8FA54" w14:textId="77777777" w:rsidR="00FD1E19" w:rsidRDefault="00FD1E19" w:rsidP="00BE7E4A">
            <w:pPr>
              <w:pStyle w:val="DMETW37214BIPAGGPL"/>
              <w:jc w:val="right"/>
              <w:rPr>
                <w:rFonts w:ascii="Verdana" w:eastAsia="Verdana" w:hAnsi="Verdana" w:cs="Verdana"/>
                <w:b/>
                <w:noProof/>
                <w:color w:val="000000"/>
                <w:sz w:val="18"/>
              </w:rPr>
            </w:pPr>
            <w:r>
              <w:rPr>
                <w:rFonts w:ascii="Verdana" w:eastAsia="Verdana" w:hAnsi="Verdana" w:cs="Verdana"/>
                <w:b/>
                <w:noProof/>
                <w:color w:val="000000"/>
                <w:sz w:val="18"/>
              </w:rPr>
              <w:t xml:space="preserve"> 28</w:t>
            </w:r>
          </w:p>
        </w:tc>
        <w:tc>
          <w:tcPr>
            <w:tcW w:w="128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CA84487" w14:textId="77777777" w:rsidR="00FD1E19" w:rsidRDefault="00FD1E19" w:rsidP="00BE7E4A">
            <w:pPr>
              <w:pStyle w:val="DMETW37214BIPAGGP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90</w:t>
            </w:r>
          </w:p>
        </w:tc>
      </w:tr>
      <w:tr w:rsidR="00FD1E19" w14:paraId="5364D804" w14:textId="77777777" w:rsidTr="00BE7E4A">
        <w:trPr>
          <w:trHeight w:hRule="exact" w:val="225"/>
        </w:trPr>
        <w:tc>
          <w:tcPr>
            <w:tcW w:w="563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5CCD428" w14:textId="77777777" w:rsidR="00FD1E19" w:rsidRDefault="00FD1E19" w:rsidP="00BE7E4A">
            <w:pPr>
              <w:pStyle w:val="DMETW37214BIPAGGPL"/>
              <w:rPr>
                <w:rFonts w:ascii="Verdana" w:eastAsia="Verdana" w:hAnsi="Verdana" w:cs="Verdana"/>
                <w:b/>
                <w:noProof/>
                <w:color w:val="000000"/>
                <w:sz w:val="18"/>
              </w:rPr>
            </w:pPr>
            <w:r>
              <w:rPr>
                <w:rFonts w:ascii="Verdana" w:eastAsia="Verdana" w:hAnsi="Verdana" w:cs="Verdana"/>
                <w:b/>
                <w:noProof/>
                <w:color w:val="000000"/>
                <w:sz w:val="18"/>
              </w:rPr>
              <w:t>Total Revenue</w:t>
            </w:r>
          </w:p>
        </w:tc>
        <w:tc>
          <w:tcPr>
            <w:tcW w:w="112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1DF3B569"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9833D6F" w14:textId="77777777" w:rsidR="00FD1E19" w:rsidRDefault="00FD1E19" w:rsidP="00BE7E4A">
            <w:pPr>
              <w:pStyle w:val="DMETW37214BIPAGGPL"/>
              <w:jc w:val="right"/>
              <w:rPr>
                <w:rFonts w:ascii="Verdana" w:eastAsia="Verdana" w:hAnsi="Verdana" w:cs="Verdana"/>
                <w:b/>
                <w:noProof/>
                <w:color w:val="000000"/>
                <w:sz w:val="18"/>
              </w:rPr>
            </w:pPr>
            <w:r>
              <w:rPr>
                <w:rFonts w:ascii="Verdana" w:eastAsia="Verdana" w:hAnsi="Verdana" w:cs="Verdana"/>
                <w:b/>
                <w:noProof/>
                <w:color w:val="000000"/>
                <w:sz w:val="18"/>
              </w:rPr>
              <w:t xml:space="preserve"> 40</w:t>
            </w:r>
          </w:p>
        </w:tc>
        <w:tc>
          <w:tcPr>
            <w:tcW w:w="128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AD89F52" w14:textId="77777777" w:rsidR="00FD1E19" w:rsidRDefault="00FD1E19" w:rsidP="00BE7E4A">
            <w:pPr>
              <w:pStyle w:val="DMETW37214BIPAGGP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131</w:t>
            </w:r>
          </w:p>
        </w:tc>
      </w:tr>
      <w:tr w:rsidR="00FD1E19" w14:paraId="27ACBD4D" w14:textId="77777777" w:rsidTr="00BE7E4A">
        <w:trPr>
          <w:trHeight w:hRule="exact" w:val="225"/>
        </w:trPr>
        <w:tc>
          <w:tcPr>
            <w:tcW w:w="5632" w:type="dxa"/>
            <w:tcBorders>
              <w:top w:val="single" w:sz="4" w:space="0" w:color="016794"/>
              <w:left w:val="nil"/>
              <w:bottom w:val="nil"/>
              <w:right w:val="nil"/>
              <w:tl2br w:val="nil"/>
              <w:tr2bl w:val="nil"/>
            </w:tcBorders>
            <w:shd w:val="clear" w:color="auto" w:fill="auto"/>
            <w:tcMar>
              <w:left w:w="60" w:type="dxa"/>
              <w:right w:w="60" w:type="dxa"/>
            </w:tcMar>
            <w:vAlign w:val="center"/>
          </w:tcPr>
          <w:p w14:paraId="5EBFF961" w14:textId="77777777" w:rsidR="00FD1E19" w:rsidRDefault="00FD1E19" w:rsidP="00BE7E4A">
            <w:pPr>
              <w:pStyle w:val="DMETW37214BIPAGGPL"/>
              <w:rPr>
                <w:rFonts w:ascii="Verdana" w:eastAsia="Verdana" w:hAnsi="Verdana" w:cs="Verdana"/>
                <w:b/>
                <w:noProof/>
                <w:color w:val="000000"/>
                <w:sz w:val="18"/>
              </w:rPr>
            </w:pPr>
            <w:r>
              <w:rPr>
                <w:rFonts w:ascii="Verdana" w:eastAsia="Verdana" w:hAnsi="Verdana" w:cs="Verdana"/>
                <w:b/>
                <w:noProof/>
                <w:color w:val="000000"/>
                <w:sz w:val="18"/>
              </w:rPr>
              <w:t>EXPENSES</w:t>
            </w:r>
          </w:p>
        </w:tc>
        <w:tc>
          <w:tcPr>
            <w:tcW w:w="1128" w:type="dxa"/>
            <w:tcBorders>
              <w:top w:val="single" w:sz="4" w:space="0" w:color="016794"/>
              <w:left w:val="nil"/>
              <w:bottom w:val="nil"/>
              <w:right w:val="nil"/>
              <w:tl2br w:val="nil"/>
              <w:tr2bl w:val="nil"/>
            </w:tcBorders>
            <w:shd w:val="clear" w:color="auto" w:fill="auto"/>
            <w:tcMar>
              <w:left w:w="60" w:type="dxa"/>
              <w:right w:w="60" w:type="dxa"/>
            </w:tcMar>
            <w:vAlign w:val="center"/>
          </w:tcPr>
          <w:p w14:paraId="05CED59C"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shd w:val="clear" w:color="auto" w:fill="auto"/>
            <w:tcMar>
              <w:left w:w="60" w:type="dxa"/>
              <w:right w:w="60" w:type="dxa"/>
            </w:tcMar>
            <w:vAlign w:val="center"/>
          </w:tcPr>
          <w:p w14:paraId="6AE56D34" w14:textId="77777777" w:rsidR="00FD1E19" w:rsidRDefault="00FD1E19" w:rsidP="00BE7E4A">
            <w:pPr>
              <w:pStyle w:val="DMETW37214BIPAGGPL"/>
              <w:jc w:val="right"/>
              <w:rPr>
                <w:rFonts w:ascii="Verdana" w:eastAsia="Verdana" w:hAnsi="Verdana" w:cs="Verdana"/>
                <w:noProof/>
                <w:color w:val="000000"/>
                <w:sz w:val="18"/>
              </w:rPr>
            </w:pPr>
          </w:p>
        </w:tc>
        <w:tc>
          <w:tcPr>
            <w:tcW w:w="1282" w:type="dxa"/>
            <w:tcBorders>
              <w:top w:val="single" w:sz="4" w:space="0" w:color="016794"/>
              <w:left w:val="nil"/>
              <w:bottom w:val="nil"/>
              <w:right w:val="nil"/>
              <w:tl2br w:val="nil"/>
              <w:tr2bl w:val="nil"/>
            </w:tcBorders>
            <w:shd w:val="clear" w:color="auto" w:fill="auto"/>
            <w:tcMar>
              <w:left w:w="60" w:type="dxa"/>
              <w:right w:w="60" w:type="dxa"/>
            </w:tcMar>
            <w:vAlign w:val="center"/>
          </w:tcPr>
          <w:p w14:paraId="7E9B522E" w14:textId="77777777" w:rsidR="00FD1E19" w:rsidRDefault="00FD1E19" w:rsidP="00BE7E4A">
            <w:pPr>
              <w:pStyle w:val="DMETW37214BIPAGGPL"/>
              <w:jc w:val="right"/>
              <w:rPr>
                <w:rFonts w:ascii="Verdana" w:eastAsia="Verdana" w:hAnsi="Verdana" w:cs="Verdana"/>
                <w:noProof/>
                <w:color w:val="000000"/>
                <w:sz w:val="18"/>
                <w:lang w:bidi="en-GB"/>
              </w:rPr>
            </w:pPr>
          </w:p>
        </w:tc>
      </w:tr>
      <w:tr w:rsidR="00FD1E19" w14:paraId="090CC10C"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28E6FFED" w14:textId="77777777" w:rsidR="00FD1E19" w:rsidRDefault="00FD1E19" w:rsidP="00BE7E4A">
            <w:pPr>
              <w:pStyle w:val="DMETW37214BIPAGGPL"/>
              <w:rPr>
                <w:rFonts w:ascii="Verdana" w:eastAsia="Verdana" w:hAnsi="Verdana" w:cs="Verdana"/>
                <w:i/>
                <w:noProof/>
                <w:color w:val="000000"/>
                <w:sz w:val="18"/>
              </w:rPr>
            </w:pPr>
          </w:p>
        </w:tc>
        <w:tc>
          <w:tcPr>
            <w:tcW w:w="1128" w:type="dxa"/>
            <w:tcBorders>
              <w:top w:val="nil"/>
              <w:left w:val="nil"/>
              <w:bottom w:val="nil"/>
              <w:right w:val="nil"/>
              <w:tl2br w:val="nil"/>
              <w:tr2bl w:val="nil"/>
            </w:tcBorders>
            <w:shd w:val="clear" w:color="auto" w:fill="auto"/>
            <w:tcMar>
              <w:left w:w="60" w:type="dxa"/>
              <w:right w:w="60" w:type="dxa"/>
            </w:tcMar>
            <w:vAlign w:val="center"/>
          </w:tcPr>
          <w:p w14:paraId="40F4EF7B"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shd w:val="clear" w:color="auto" w:fill="auto"/>
            <w:tcMar>
              <w:left w:w="60" w:type="dxa"/>
              <w:right w:w="60" w:type="dxa"/>
            </w:tcMar>
            <w:vAlign w:val="center"/>
          </w:tcPr>
          <w:p w14:paraId="0F9406FF" w14:textId="77777777" w:rsidR="00FD1E19" w:rsidRDefault="00FD1E19" w:rsidP="00BE7E4A">
            <w:pPr>
              <w:pStyle w:val="DMETW37214BIPAGGPL"/>
              <w:jc w:val="right"/>
              <w:rPr>
                <w:rFonts w:ascii="Verdana" w:eastAsia="Verdana" w:hAnsi="Verdana" w:cs="Verdana"/>
                <w:noProof/>
                <w:color w:val="000000"/>
                <w:sz w:val="18"/>
              </w:rPr>
            </w:pPr>
          </w:p>
        </w:tc>
        <w:tc>
          <w:tcPr>
            <w:tcW w:w="1282" w:type="dxa"/>
            <w:tcBorders>
              <w:top w:val="nil"/>
              <w:left w:val="nil"/>
              <w:bottom w:val="nil"/>
              <w:right w:val="nil"/>
              <w:tl2br w:val="nil"/>
              <w:tr2bl w:val="nil"/>
            </w:tcBorders>
            <w:shd w:val="clear" w:color="auto" w:fill="auto"/>
            <w:tcMar>
              <w:left w:w="60" w:type="dxa"/>
              <w:right w:w="60" w:type="dxa"/>
            </w:tcMar>
            <w:vAlign w:val="center"/>
          </w:tcPr>
          <w:p w14:paraId="3CDD18CA" w14:textId="77777777" w:rsidR="00FD1E19" w:rsidRDefault="00FD1E19" w:rsidP="00BE7E4A">
            <w:pPr>
              <w:pStyle w:val="DMETW37214BIPAGGPL"/>
              <w:jc w:val="right"/>
              <w:rPr>
                <w:rFonts w:ascii="Verdana" w:eastAsia="Verdana" w:hAnsi="Verdana" w:cs="Verdana"/>
                <w:noProof/>
                <w:color w:val="000000"/>
                <w:sz w:val="18"/>
                <w:lang w:bidi="en-GB"/>
              </w:rPr>
            </w:pPr>
          </w:p>
        </w:tc>
      </w:tr>
      <w:tr w:rsidR="00FD1E19" w14:paraId="37CDB478"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49569DA9"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Implemented by other entities</w:t>
            </w:r>
          </w:p>
        </w:tc>
        <w:tc>
          <w:tcPr>
            <w:tcW w:w="1128" w:type="dxa"/>
            <w:tcBorders>
              <w:top w:val="nil"/>
              <w:left w:val="nil"/>
              <w:bottom w:val="nil"/>
              <w:right w:val="nil"/>
              <w:tl2br w:val="nil"/>
              <w:tr2bl w:val="nil"/>
            </w:tcBorders>
            <w:shd w:val="clear" w:color="auto" w:fill="auto"/>
            <w:tcMar>
              <w:left w:w="60" w:type="dxa"/>
              <w:right w:w="60" w:type="dxa"/>
            </w:tcMar>
            <w:vAlign w:val="center"/>
          </w:tcPr>
          <w:p w14:paraId="1AEB2DFE"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3.3</w:t>
            </w:r>
          </w:p>
        </w:tc>
        <w:tc>
          <w:tcPr>
            <w:tcW w:w="1716" w:type="dxa"/>
            <w:tcBorders>
              <w:top w:val="nil"/>
              <w:left w:val="nil"/>
              <w:bottom w:val="nil"/>
              <w:right w:val="nil"/>
              <w:tl2br w:val="nil"/>
              <w:tr2bl w:val="nil"/>
            </w:tcBorders>
            <w:shd w:val="clear" w:color="auto" w:fill="auto"/>
            <w:tcMar>
              <w:left w:w="60" w:type="dxa"/>
              <w:right w:w="60" w:type="dxa"/>
            </w:tcMar>
            <w:vAlign w:val="center"/>
          </w:tcPr>
          <w:p w14:paraId="4B503BB2"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282" w:type="dxa"/>
            <w:tcBorders>
              <w:top w:val="nil"/>
              <w:left w:val="nil"/>
              <w:bottom w:val="nil"/>
              <w:right w:val="nil"/>
              <w:tl2br w:val="nil"/>
              <w:tr2bl w:val="nil"/>
            </w:tcBorders>
            <w:shd w:val="clear" w:color="auto" w:fill="auto"/>
            <w:tcMar>
              <w:left w:w="60" w:type="dxa"/>
              <w:right w:w="60" w:type="dxa"/>
            </w:tcMar>
            <w:vAlign w:val="center"/>
          </w:tcPr>
          <w:p w14:paraId="600EEE02"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FD1E19" w14:paraId="78ABD965"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69912F17"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Aid instruments</w:t>
            </w:r>
          </w:p>
        </w:tc>
        <w:tc>
          <w:tcPr>
            <w:tcW w:w="1128" w:type="dxa"/>
            <w:tcBorders>
              <w:top w:val="nil"/>
              <w:left w:val="nil"/>
              <w:bottom w:val="nil"/>
              <w:right w:val="nil"/>
              <w:tl2br w:val="nil"/>
              <w:tr2bl w:val="nil"/>
            </w:tcBorders>
            <w:shd w:val="clear" w:color="auto" w:fill="auto"/>
            <w:tcMar>
              <w:left w:w="60" w:type="dxa"/>
              <w:right w:w="60" w:type="dxa"/>
            </w:tcMar>
            <w:vAlign w:val="center"/>
          </w:tcPr>
          <w:p w14:paraId="01C87AD9"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3.4</w:t>
            </w:r>
          </w:p>
        </w:tc>
        <w:tc>
          <w:tcPr>
            <w:tcW w:w="1716" w:type="dxa"/>
            <w:tcBorders>
              <w:top w:val="nil"/>
              <w:left w:val="nil"/>
              <w:bottom w:val="nil"/>
              <w:right w:val="nil"/>
              <w:tl2br w:val="nil"/>
              <w:tr2bl w:val="nil"/>
            </w:tcBorders>
            <w:shd w:val="clear" w:color="auto" w:fill="auto"/>
            <w:tcMar>
              <w:left w:w="60" w:type="dxa"/>
              <w:right w:w="60" w:type="dxa"/>
            </w:tcMar>
            <w:vAlign w:val="center"/>
          </w:tcPr>
          <w:p w14:paraId="031D831E"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(1 043)</w:t>
            </w:r>
          </w:p>
        </w:tc>
        <w:tc>
          <w:tcPr>
            <w:tcW w:w="1282" w:type="dxa"/>
            <w:tcBorders>
              <w:top w:val="nil"/>
              <w:left w:val="nil"/>
              <w:bottom w:val="nil"/>
              <w:right w:val="nil"/>
              <w:tl2br w:val="nil"/>
              <w:tr2bl w:val="nil"/>
            </w:tcBorders>
            <w:shd w:val="clear" w:color="auto" w:fill="auto"/>
            <w:tcMar>
              <w:left w:w="60" w:type="dxa"/>
              <w:right w:w="60" w:type="dxa"/>
            </w:tcMar>
            <w:vAlign w:val="center"/>
          </w:tcPr>
          <w:p w14:paraId="1E3BD6CB"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(1 237)</w:t>
            </w:r>
          </w:p>
        </w:tc>
      </w:tr>
      <w:tr w:rsidR="00FD1E19" w14:paraId="401A7813"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73BFDDF7"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Co-financing expenses</w:t>
            </w:r>
          </w:p>
        </w:tc>
        <w:tc>
          <w:tcPr>
            <w:tcW w:w="1128" w:type="dxa"/>
            <w:tcBorders>
              <w:top w:val="nil"/>
              <w:left w:val="nil"/>
              <w:bottom w:val="nil"/>
              <w:right w:val="nil"/>
              <w:tl2br w:val="nil"/>
              <w:tr2bl w:val="nil"/>
            </w:tcBorders>
            <w:shd w:val="clear" w:color="auto" w:fill="auto"/>
            <w:tcMar>
              <w:left w:w="60" w:type="dxa"/>
              <w:right w:w="60" w:type="dxa"/>
            </w:tcMar>
            <w:vAlign w:val="center"/>
          </w:tcPr>
          <w:p w14:paraId="22B34AB0"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3.5</w:t>
            </w:r>
          </w:p>
        </w:tc>
        <w:tc>
          <w:tcPr>
            <w:tcW w:w="1716" w:type="dxa"/>
            <w:tcBorders>
              <w:top w:val="nil"/>
              <w:left w:val="nil"/>
              <w:bottom w:val="nil"/>
              <w:right w:val="nil"/>
              <w:tl2br w:val="nil"/>
              <w:tr2bl w:val="nil"/>
            </w:tcBorders>
            <w:shd w:val="clear" w:color="auto" w:fill="auto"/>
            <w:tcMar>
              <w:left w:w="60" w:type="dxa"/>
              <w:right w:w="60" w:type="dxa"/>
            </w:tcMar>
            <w:vAlign w:val="center"/>
          </w:tcPr>
          <w:p w14:paraId="53450273"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282" w:type="dxa"/>
            <w:tcBorders>
              <w:top w:val="nil"/>
              <w:left w:val="nil"/>
              <w:bottom w:val="nil"/>
              <w:right w:val="nil"/>
              <w:tl2br w:val="nil"/>
              <w:tr2bl w:val="nil"/>
            </w:tcBorders>
            <w:shd w:val="clear" w:color="auto" w:fill="auto"/>
            <w:tcMar>
              <w:left w:w="60" w:type="dxa"/>
              <w:right w:w="60" w:type="dxa"/>
            </w:tcMar>
            <w:vAlign w:val="center"/>
          </w:tcPr>
          <w:p w14:paraId="197BDEAE"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w:t>
            </w:r>
          </w:p>
        </w:tc>
      </w:tr>
      <w:tr w:rsidR="00FD1E19" w14:paraId="29FB8DB9" w14:textId="77777777" w:rsidTr="00BE7E4A">
        <w:trPr>
          <w:trHeight w:hRule="exact" w:val="225"/>
        </w:trPr>
        <w:tc>
          <w:tcPr>
            <w:tcW w:w="5632" w:type="dxa"/>
            <w:tcBorders>
              <w:top w:val="nil"/>
              <w:left w:val="nil"/>
              <w:bottom w:val="nil"/>
              <w:right w:val="nil"/>
              <w:tl2br w:val="nil"/>
              <w:tr2bl w:val="nil"/>
            </w:tcBorders>
            <w:shd w:val="clear" w:color="auto" w:fill="auto"/>
            <w:tcMar>
              <w:left w:w="60" w:type="dxa"/>
              <w:right w:w="60" w:type="dxa"/>
            </w:tcMar>
            <w:vAlign w:val="center"/>
          </w:tcPr>
          <w:p w14:paraId="527D59F3"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Finance costs</w:t>
            </w:r>
          </w:p>
        </w:tc>
        <w:tc>
          <w:tcPr>
            <w:tcW w:w="1128" w:type="dxa"/>
            <w:tcBorders>
              <w:top w:val="nil"/>
              <w:left w:val="nil"/>
              <w:bottom w:val="nil"/>
              <w:right w:val="nil"/>
              <w:tl2br w:val="nil"/>
              <w:tr2bl w:val="nil"/>
            </w:tcBorders>
            <w:shd w:val="clear" w:color="auto" w:fill="auto"/>
            <w:tcMar>
              <w:left w:w="60" w:type="dxa"/>
              <w:right w:w="60" w:type="dxa"/>
            </w:tcMar>
            <w:vAlign w:val="center"/>
          </w:tcPr>
          <w:p w14:paraId="2DF0B272"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3.6</w:t>
            </w:r>
          </w:p>
        </w:tc>
        <w:tc>
          <w:tcPr>
            <w:tcW w:w="1716" w:type="dxa"/>
            <w:tcBorders>
              <w:top w:val="nil"/>
              <w:left w:val="nil"/>
              <w:bottom w:val="nil"/>
              <w:right w:val="nil"/>
              <w:tl2br w:val="nil"/>
              <w:tr2bl w:val="nil"/>
            </w:tcBorders>
            <w:shd w:val="clear" w:color="auto" w:fill="auto"/>
            <w:tcMar>
              <w:left w:w="60" w:type="dxa"/>
              <w:right w:w="60" w:type="dxa"/>
            </w:tcMar>
            <w:vAlign w:val="center"/>
          </w:tcPr>
          <w:p w14:paraId="05FA79DD"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 xml:space="preserve"> (40)</w:t>
            </w:r>
          </w:p>
        </w:tc>
        <w:tc>
          <w:tcPr>
            <w:tcW w:w="1282" w:type="dxa"/>
            <w:tcBorders>
              <w:top w:val="nil"/>
              <w:left w:val="nil"/>
              <w:bottom w:val="nil"/>
              <w:right w:val="nil"/>
              <w:tl2br w:val="nil"/>
              <w:tr2bl w:val="nil"/>
            </w:tcBorders>
            <w:shd w:val="clear" w:color="auto" w:fill="auto"/>
            <w:tcMar>
              <w:left w:w="60" w:type="dxa"/>
              <w:right w:w="60" w:type="dxa"/>
            </w:tcMar>
            <w:vAlign w:val="center"/>
          </w:tcPr>
          <w:p w14:paraId="7521BA78"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68E376B2" w14:textId="77777777" w:rsidTr="00BE7E4A">
        <w:trPr>
          <w:trHeight w:hRule="exact" w:val="225"/>
        </w:trPr>
        <w:tc>
          <w:tcPr>
            <w:tcW w:w="5632" w:type="dxa"/>
            <w:tcBorders>
              <w:top w:val="nil"/>
              <w:left w:val="nil"/>
              <w:bottom w:val="single" w:sz="4" w:space="0" w:color="016794"/>
              <w:right w:val="nil"/>
              <w:tl2br w:val="nil"/>
              <w:tr2bl w:val="nil"/>
            </w:tcBorders>
            <w:shd w:val="clear" w:color="auto" w:fill="auto"/>
            <w:tcMar>
              <w:left w:w="60" w:type="dxa"/>
              <w:right w:w="60" w:type="dxa"/>
            </w:tcMar>
            <w:vAlign w:val="center"/>
          </w:tcPr>
          <w:p w14:paraId="3278BD10" w14:textId="77777777" w:rsidR="00FD1E19" w:rsidRDefault="00FD1E19" w:rsidP="00BE7E4A">
            <w:pPr>
              <w:pStyle w:val="DMETW37214BIPAGGPL"/>
              <w:rPr>
                <w:rFonts w:ascii="Verdana" w:eastAsia="Verdana" w:hAnsi="Verdana" w:cs="Verdana"/>
                <w:i/>
                <w:noProof/>
                <w:color w:val="000000"/>
                <w:sz w:val="18"/>
              </w:rPr>
            </w:pPr>
            <w:r>
              <w:rPr>
                <w:rFonts w:ascii="Verdana" w:eastAsia="Verdana" w:hAnsi="Verdana" w:cs="Verdana"/>
                <w:i/>
                <w:noProof/>
                <w:color w:val="000000"/>
                <w:sz w:val="18"/>
              </w:rPr>
              <w:t>Other expenses</w:t>
            </w:r>
          </w:p>
        </w:tc>
        <w:tc>
          <w:tcPr>
            <w:tcW w:w="1128" w:type="dxa"/>
            <w:tcBorders>
              <w:top w:val="nil"/>
              <w:left w:val="nil"/>
              <w:bottom w:val="single" w:sz="4" w:space="0" w:color="016794"/>
              <w:right w:val="nil"/>
              <w:tl2br w:val="nil"/>
              <w:tr2bl w:val="nil"/>
            </w:tcBorders>
            <w:shd w:val="clear" w:color="auto" w:fill="auto"/>
            <w:tcMar>
              <w:left w:w="60" w:type="dxa"/>
              <w:right w:w="60" w:type="dxa"/>
            </w:tcMar>
            <w:vAlign w:val="center"/>
          </w:tcPr>
          <w:p w14:paraId="5CF9D3E5" w14:textId="77777777" w:rsidR="00FD1E19" w:rsidRDefault="00FD1E19" w:rsidP="00BE7E4A">
            <w:pPr>
              <w:pStyle w:val="DMETW37214BIPAGGPL"/>
              <w:jc w:val="center"/>
              <w:rPr>
                <w:rFonts w:ascii="Verdana" w:eastAsia="Verdana" w:hAnsi="Verdana" w:cs="Verdana"/>
                <w:noProof/>
                <w:color w:val="000000"/>
                <w:sz w:val="18"/>
              </w:rPr>
            </w:pPr>
            <w:r>
              <w:rPr>
                <w:rFonts w:ascii="Verdana" w:eastAsia="Verdana" w:hAnsi="Verdana" w:cs="Verdana"/>
                <w:noProof/>
                <w:color w:val="000000"/>
                <w:sz w:val="18"/>
              </w:rPr>
              <w:t>3.7</w:t>
            </w:r>
          </w:p>
        </w:tc>
        <w:tc>
          <w:tcPr>
            <w:tcW w:w="1716" w:type="dxa"/>
            <w:tcBorders>
              <w:top w:val="nil"/>
              <w:left w:val="nil"/>
              <w:bottom w:val="single" w:sz="4" w:space="0" w:color="016794"/>
              <w:right w:val="nil"/>
              <w:tl2br w:val="nil"/>
              <w:tr2bl w:val="nil"/>
            </w:tcBorders>
            <w:shd w:val="clear" w:color="auto" w:fill="auto"/>
            <w:tcMar>
              <w:left w:w="60" w:type="dxa"/>
              <w:right w:w="60" w:type="dxa"/>
            </w:tcMar>
            <w:vAlign w:val="center"/>
          </w:tcPr>
          <w:p w14:paraId="7742E429" w14:textId="77777777" w:rsidR="00FD1E19" w:rsidRDefault="00FD1E19" w:rsidP="00BE7E4A">
            <w:pPr>
              <w:pStyle w:val="DMETW37214BIPAGGPL"/>
              <w:jc w:val="right"/>
              <w:rPr>
                <w:rFonts w:ascii="Verdana" w:eastAsia="Verdana" w:hAnsi="Verdana" w:cs="Verdana"/>
                <w:i/>
                <w:noProof/>
                <w:color w:val="000000"/>
                <w:sz w:val="18"/>
              </w:rPr>
            </w:pPr>
            <w:r>
              <w:rPr>
                <w:rFonts w:ascii="Verdana" w:eastAsia="Verdana" w:hAnsi="Verdana" w:cs="Verdana"/>
                <w:i/>
                <w:noProof/>
                <w:color w:val="000000"/>
                <w:sz w:val="18"/>
              </w:rPr>
              <w:t xml:space="preserve"> (46)</w:t>
            </w:r>
          </w:p>
        </w:tc>
        <w:tc>
          <w:tcPr>
            <w:tcW w:w="1282" w:type="dxa"/>
            <w:tcBorders>
              <w:top w:val="nil"/>
              <w:left w:val="nil"/>
              <w:bottom w:val="single" w:sz="4" w:space="0" w:color="016794"/>
              <w:right w:val="nil"/>
              <w:tl2br w:val="nil"/>
              <w:tr2bl w:val="nil"/>
            </w:tcBorders>
            <w:shd w:val="clear" w:color="auto" w:fill="auto"/>
            <w:tcMar>
              <w:left w:w="60" w:type="dxa"/>
              <w:right w:w="60" w:type="dxa"/>
            </w:tcMar>
            <w:vAlign w:val="center"/>
          </w:tcPr>
          <w:p w14:paraId="5C37EF48" w14:textId="77777777" w:rsidR="00FD1E19" w:rsidRDefault="00FD1E19" w:rsidP="00BE7E4A">
            <w:pPr>
              <w:pStyle w:val="DMETW37214BIPAGG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(110)</w:t>
            </w:r>
          </w:p>
        </w:tc>
      </w:tr>
      <w:tr w:rsidR="00FD1E19" w14:paraId="7053C157" w14:textId="77777777" w:rsidTr="00BE7E4A">
        <w:trPr>
          <w:trHeight w:hRule="exact" w:val="225"/>
        </w:trPr>
        <w:tc>
          <w:tcPr>
            <w:tcW w:w="563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94D66D3" w14:textId="77777777" w:rsidR="00FD1E19" w:rsidRDefault="00FD1E19" w:rsidP="00BE7E4A">
            <w:pPr>
              <w:pStyle w:val="DMETW37214BIPAGGPL"/>
              <w:rPr>
                <w:rFonts w:ascii="Verdana" w:eastAsia="Verdana" w:hAnsi="Verdana" w:cs="Verdana"/>
                <w:b/>
                <w:noProof/>
                <w:color w:val="000000"/>
                <w:sz w:val="18"/>
              </w:rPr>
            </w:pPr>
            <w:r>
              <w:rPr>
                <w:rFonts w:ascii="Verdana" w:eastAsia="Verdana" w:hAnsi="Verdana" w:cs="Verdana"/>
                <w:b/>
                <w:noProof/>
                <w:color w:val="000000"/>
                <w:sz w:val="18"/>
              </w:rPr>
              <w:t>Total Expenses</w:t>
            </w:r>
          </w:p>
        </w:tc>
        <w:tc>
          <w:tcPr>
            <w:tcW w:w="112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296E9687" w14:textId="77777777" w:rsidR="00FD1E19" w:rsidRDefault="00FD1E19" w:rsidP="00BE7E4A">
            <w:pPr>
              <w:pStyle w:val="DMETW37214BIPAGGPL"/>
              <w:jc w:val="right"/>
              <w:rPr>
                <w:rFonts w:ascii="Verdana" w:eastAsia="Verdana" w:hAnsi="Verdana" w:cs="Verdana"/>
                <w:b/>
                <w:noProof/>
                <w:color w:val="000000"/>
                <w:sz w:val="18"/>
              </w:rPr>
            </w:pPr>
          </w:p>
        </w:tc>
        <w:tc>
          <w:tcPr>
            <w:tcW w:w="171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129185D9" w14:textId="77777777" w:rsidR="00FD1E19" w:rsidRDefault="00FD1E19" w:rsidP="00BE7E4A">
            <w:pPr>
              <w:pStyle w:val="DMETW37214BIPAGGPL"/>
              <w:jc w:val="right"/>
              <w:rPr>
                <w:rFonts w:ascii="Verdana" w:eastAsia="Verdana" w:hAnsi="Verdana" w:cs="Verdana"/>
                <w:b/>
                <w:noProof/>
                <w:color w:val="000000"/>
                <w:sz w:val="18"/>
              </w:rPr>
            </w:pPr>
            <w:r>
              <w:rPr>
                <w:rFonts w:ascii="Verdana" w:eastAsia="Verdana" w:hAnsi="Verdana" w:cs="Verdana"/>
                <w:b/>
                <w:noProof/>
                <w:color w:val="000000"/>
                <w:sz w:val="18"/>
              </w:rPr>
              <w:t>(1 133)</w:t>
            </w:r>
          </w:p>
        </w:tc>
        <w:tc>
          <w:tcPr>
            <w:tcW w:w="128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3C89046" w14:textId="77777777" w:rsidR="00FD1E19" w:rsidRDefault="00FD1E19" w:rsidP="00BE7E4A">
            <w:pPr>
              <w:pStyle w:val="DMETW37214BIPAGGPL"/>
              <w:jc w:val="right"/>
              <w:rPr>
                <w:rFonts w:ascii="Verdana" w:eastAsia="Verdana" w:hAnsi="Verdana" w:cs="Verdana"/>
                <w:b/>
                <w:noProof/>
                <w:color w:val="000000"/>
                <w:sz w:val="18"/>
                <w:lang w:bidi="en-GB"/>
              </w:rPr>
            </w:pPr>
            <w:r>
              <w:rPr>
                <w:rFonts w:ascii="Verdana" w:eastAsia="Verdana" w:hAnsi="Verdana" w:cs="Verdana"/>
                <w:b/>
                <w:noProof/>
                <w:color w:val="000000"/>
                <w:sz w:val="18"/>
              </w:rPr>
              <w:t>(1 371)</w:t>
            </w:r>
          </w:p>
        </w:tc>
      </w:tr>
      <w:tr w:rsidR="00FD1E19" w14:paraId="747A96E5" w14:textId="77777777" w:rsidTr="00BE7E4A">
        <w:trPr>
          <w:trHeight w:hRule="exact" w:val="225"/>
        </w:trPr>
        <w:tc>
          <w:tcPr>
            <w:tcW w:w="5632" w:type="dxa"/>
            <w:tcBorders>
              <w:top w:val="single" w:sz="4" w:space="0" w:color="016794"/>
              <w:left w:val="nil"/>
              <w:bottom w:val="nil"/>
              <w:right w:val="nil"/>
              <w:tl2br w:val="nil"/>
              <w:tr2bl w:val="nil"/>
            </w:tcBorders>
            <w:shd w:val="clear" w:color="auto" w:fill="auto"/>
            <w:tcMar>
              <w:left w:w="60" w:type="dxa"/>
              <w:right w:w="60" w:type="dxa"/>
            </w:tcMar>
            <w:vAlign w:val="center"/>
          </w:tcPr>
          <w:p w14:paraId="582D26CE" w14:textId="77777777" w:rsidR="00FD1E19" w:rsidRDefault="00FD1E19" w:rsidP="00BE7E4A">
            <w:pPr>
              <w:pStyle w:val="DMETW37214BIPAGGPL"/>
              <w:rPr>
                <w:rFonts w:ascii="Verdana" w:eastAsia="Verdana" w:hAnsi="Verdana" w:cs="Verdana"/>
                <w:b/>
                <w:noProof/>
                <w:color w:val="000000"/>
                <w:sz w:val="18"/>
              </w:rPr>
            </w:pPr>
          </w:p>
        </w:tc>
        <w:tc>
          <w:tcPr>
            <w:tcW w:w="1128" w:type="dxa"/>
            <w:tcBorders>
              <w:top w:val="single" w:sz="4" w:space="0" w:color="016794"/>
              <w:left w:val="nil"/>
              <w:bottom w:val="nil"/>
              <w:right w:val="nil"/>
              <w:tl2br w:val="nil"/>
              <w:tr2bl w:val="nil"/>
            </w:tcBorders>
            <w:shd w:val="clear" w:color="auto" w:fill="auto"/>
            <w:tcMar>
              <w:left w:w="60" w:type="dxa"/>
              <w:right w:w="60" w:type="dxa"/>
            </w:tcMar>
            <w:vAlign w:val="center"/>
          </w:tcPr>
          <w:p w14:paraId="5736A4F2"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single" w:sz="4" w:space="0" w:color="016794"/>
              <w:left w:val="nil"/>
              <w:bottom w:val="nil"/>
              <w:right w:val="nil"/>
              <w:tl2br w:val="nil"/>
              <w:tr2bl w:val="nil"/>
            </w:tcBorders>
            <w:shd w:val="clear" w:color="auto" w:fill="auto"/>
            <w:tcMar>
              <w:left w:w="60" w:type="dxa"/>
              <w:right w:w="60" w:type="dxa"/>
            </w:tcMar>
            <w:vAlign w:val="center"/>
          </w:tcPr>
          <w:p w14:paraId="6662B845" w14:textId="77777777" w:rsidR="00FD1E19" w:rsidRDefault="00FD1E19" w:rsidP="00BE7E4A">
            <w:pPr>
              <w:pStyle w:val="DMETW37214BIPAGGPL"/>
              <w:jc w:val="right"/>
              <w:rPr>
                <w:rFonts w:ascii="Verdana" w:eastAsia="Verdana" w:hAnsi="Verdana" w:cs="Verdana"/>
                <w:noProof/>
                <w:color w:val="000000"/>
                <w:sz w:val="18"/>
              </w:rPr>
            </w:pPr>
          </w:p>
        </w:tc>
        <w:tc>
          <w:tcPr>
            <w:tcW w:w="1282" w:type="dxa"/>
            <w:tcBorders>
              <w:top w:val="single" w:sz="4" w:space="0" w:color="016794"/>
              <w:left w:val="nil"/>
              <w:bottom w:val="nil"/>
              <w:right w:val="nil"/>
              <w:tl2br w:val="nil"/>
              <w:tr2bl w:val="nil"/>
            </w:tcBorders>
            <w:shd w:val="clear" w:color="auto" w:fill="auto"/>
            <w:tcMar>
              <w:left w:w="60" w:type="dxa"/>
              <w:right w:w="60" w:type="dxa"/>
            </w:tcMar>
            <w:vAlign w:val="center"/>
          </w:tcPr>
          <w:p w14:paraId="74441F88" w14:textId="77777777" w:rsidR="00FD1E19" w:rsidRDefault="00FD1E19" w:rsidP="00BE7E4A">
            <w:pPr>
              <w:pStyle w:val="DMETW37214BIPAGGPL"/>
              <w:jc w:val="right"/>
              <w:rPr>
                <w:rFonts w:ascii="Verdana" w:eastAsia="Verdana" w:hAnsi="Verdana" w:cs="Verdana"/>
                <w:noProof/>
                <w:color w:val="000000"/>
                <w:sz w:val="18"/>
                <w:lang w:bidi="en-GB"/>
              </w:rPr>
            </w:pPr>
          </w:p>
        </w:tc>
      </w:tr>
      <w:tr w:rsidR="00FD1E19" w14:paraId="040365C1" w14:textId="77777777" w:rsidTr="00BE7E4A">
        <w:trPr>
          <w:trHeight w:hRule="exact" w:val="225"/>
        </w:trPr>
        <w:tc>
          <w:tcPr>
            <w:tcW w:w="5632" w:type="dxa"/>
            <w:tcBorders>
              <w:top w:val="nil"/>
              <w:left w:val="nil"/>
              <w:bottom w:val="nil"/>
              <w:right w:val="nil"/>
              <w:tl2br w:val="nil"/>
              <w:tr2bl w:val="nil"/>
            </w:tcBorders>
            <w:shd w:val="solid" w:color="CCE1EA" w:fill="FFFFFF"/>
            <w:tcMar>
              <w:left w:w="60" w:type="dxa"/>
              <w:right w:w="60" w:type="dxa"/>
            </w:tcMar>
            <w:vAlign w:val="bottom"/>
          </w:tcPr>
          <w:p w14:paraId="1DFBBE03" w14:textId="77777777" w:rsidR="00FD1E19" w:rsidRDefault="00FD1E19" w:rsidP="00BE7E4A">
            <w:pPr>
              <w:pStyle w:val="DMETW37214BIPAGGPL"/>
              <w:rPr>
                <w:rFonts w:ascii="Verdana" w:eastAsia="Verdana" w:hAnsi="Verdana" w:cs="Verdana"/>
                <w:b/>
                <w:noProof/>
                <w:color w:val="000000"/>
                <w:sz w:val="18"/>
              </w:rPr>
            </w:pPr>
            <w:r>
              <w:rPr>
                <w:rFonts w:ascii="Verdana" w:eastAsia="Verdana" w:hAnsi="Verdana" w:cs="Verdana"/>
                <w:b/>
                <w:noProof/>
                <w:color w:val="000000"/>
                <w:sz w:val="18"/>
              </w:rPr>
              <w:t>ECONOMIC RESULT OF THE YEAR</w:t>
            </w:r>
          </w:p>
        </w:tc>
        <w:tc>
          <w:tcPr>
            <w:tcW w:w="1128" w:type="dxa"/>
            <w:tcBorders>
              <w:top w:val="nil"/>
              <w:left w:val="nil"/>
              <w:bottom w:val="nil"/>
              <w:right w:val="nil"/>
              <w:tl2br w:val="nil"/>
              <w:tr2bl w:val="nil"/>
            </w:tcBorders>
            <w:shd w:val="solid" w:color="CCE1EA" w:fill="FFFFFF"/>
            <w:tcMar>
              <w:left w:w="60" w:type="dxa"/>
              <w:right w:w="60" w:type="dxa"/>
            </w:tcMar>
            <w:vAlign w:val="bottom"/>
          </w:tcPr>
          <w:p w14:paraId="5DB54571" w14:textId="77777777" w:rsidR="00FD1E19" w:rsidRDefault="00FD1E19" w:rsidP="00BE7E4A">
            <w:pPr>
              <w:pStyle w:val="DMETW37214BIPAGGPL"/>
              <w:jc w:val="center"/>
              <w:rPr>
                <w:rFonts w:ascii="Verdana" w:eastAsia="Verdana" w:hAnsi="Verdana" w:cs="Verdana"/>
                <w:noProof/>
                <w:color w:val="000000"/>
                <w:sz w:val="18"/>
              </w:rPr>
            </w:pPr>
          </w:p>
        </w:tc>
        <w:tc>
          <w:tcPr>
            <w:tcW w:w="1716" w:type="dxa"/>
            <w:tcBorders>
              <w:top w:val="nil"/>
              <w:left w:val="nil"/>
              <w:bottom w:val="nil"/>
              <w:right w:val="nil"/>
              <w:tl2br w:val="nil"/>
              <w:tr2bl w:val="nil"/>
            </w:tcBorders>
            <w:shd w:val="solid" w:color="CCE1EA" w:fill="FFFFFF"/>
            <w:tcMar>
              <w:left w:w="60" w:type="dxa"/>
              <w:right w:w="60" w:type="dxa"/>
            </w:tcMar>
            <w:vAlign w:val="center"/>
          </w:tcPr>
          <w:p w14:paraId="0E35DD6A" w14:textId="77777777" w:rsidR="00FD1E19" w:rsidRDefault="00FD1E19" w:rsidP="00BE7E4A">
            <w:pPr>
              <w:pStyle w:val="DMETW37214BIPAGGPL"/>
              <w:jc w:val="right"/>
              <w:rPr>
                <w:rFonts w:ascii="Verdana" w:eastAsia="Verdana" w:hAnsi="Verdana" w:cs="Verdana"/>
                <w:b/>
                <w:noProof/>
                <w:color w:val="000000"/>
                <w:sz w:val="18"/>
              </w:rPr>
            </w:pPr>
            <w:r>
              <w:rPr>
                <w:rFonts w:ascii="Verdana" w:eastAsia="Verdana" w:hAnsi="Verdana" w:cs="Verdana"/>
                <w:b/>
                <w:noProof/>
                <w:color w:val="000000"/>
                <w:sz w:val="18"/>
              </w:rPr>
              <w:t>(1 094)</w:t>
            </w:r>
          </w:p>
        </w:tc>
        <w:tc>
          <w:tcPr>
            <w:tcW w:w="1282" w:type="dxa"/>
            <w:tcBorders>
              <w:top w:val="nil"/>
              <w:left w:val="nil"/>
              <w:bottom w:val="nil"/>
              <w:right w:val="nil"/>
              <w:tl2br w:val="nil"/>
              <w:tr2bl w:val="nil"/>
            </w:tcBorders>
            <w:shd w:val="solid" w:color="CCE1EA" w:fill="FFFFFF"/>
            <w:tcMar>
              <w:left w:w="60" w:type="dxa"/>
              <w:right w:w="60" w:type="dxa"/>
            </w:tcMar>
            <w:vAlign w:val="center"/>
          </w:tcPr>
          <w:p w14:paraId="437BEB6C" w14:textId="77777777" w:rsidR="00FD1E19" w:rsidRDefault="00FD1E19" w:rsidP="00BE7E4A">
            <w:pPr>
              <w:pStyle w:val="DMETW37214BIPAGGPL"/>
              <w:jc w:val="right"/>
              <w:rPr>
                <w:rFonts w:ascii="Verdana" w:eastAsia="Verdana" w:hAnsi="Verdana" w:cs="Verdana"/>
                <w:b/>
                <w:noProof/>
                <w:color w:val="000000"/>
                <w:sz w:val="18"/>
              </w:rPr>
            </w:pPr>
            <w:r>
              <w:rPr>
                <w:rFonts w:ascii="Verdana" w:eastAsia="Verdana" w:hAnsi="Verdana" w:cs="Verdana"/>
                <w:b/>
                <w:noProof/>
                <w:color w:val="000000"/>
                <w:sz w:val="18"/>
              </w:rPr>
              <w:t>(1 240)</w:t>
            </w:r>
          </w:p>
        </w:tc>
      </w:tr>
    </w:tbl>
    <w:p w14:paraId="11635696" w14:textId="77777777" w:rsidR="00FD1E19" w:rsidRDefault="00FD1E19" w:rsidP="00FD1E19">
      <w:pPr>
        <w:pStyle w:val="HEADERTITLE1"/>
      </w:pPr>
    </w:p>
    <w:p w14:paraId="2AFD782F" w14:textId="77777777" w:rsidR="00FD1E19" w:rsidRPr="00D27646" w:rsidRDefault="00FD1E19" w:rsidP="00FD1E19">
      <w:pPr>
        <w:pStyle w:val="Textstand-alone"/>
      </w:pPr>
    </w:p>
    <w:p w14:paraId="58F865AF" w14:textId="77777777" w:rsidR="00FD1E19" w:rsidRPr="00D27646" w:rsidRDefault="00FD1E19" w:rsidP="00FD1E19">
      <w:pPr>
        <w:pStyle w:val="Textstand-alone"/>
      </w:pPr>
    </w:p>
    <w:p w14:paraId="4C61D6C5" w14:textId="77777777" w:rsidR="00FD1E19" w:rsidRPr="00D27646" w:rsidRDefault="00FD1E19" w:rsidP="00FD1E19">
      <w:pPr>
        <w:pStyle w:val="Textstand-alone"/>
        <w:sectPr w:rsidR="00FD1E19" w:rsidRPr="00D27646" w:rsidSect="00FD1E19">
          <w:headerReference w:type="default" r:id="rId36"/>
          <w:footerReference w:type="default" r:id="rId37"/>
          <w:pgSz w:w="11906" w:h="16838" w:code="9"/>
          <w:pgMar w:top="1134" w:right="1134" w:bottom="1134" w:left="1134" w:header="709" w:footer="709" w:gutter="0"/>
          <w:cols w:space="708"/>
          <w:docGrid w:linePitch="360"/>
        </w:sectPr>
      </w:pPr>
    </w:p>
    <w:p w14:paraId="6079287E" w14:textId="77777777" w:rsidR="00FD1E19" w:rsidRDefault="00FD1E19" w:rsidP="00FD1E19">
      <w:pPr>
        <w:pStyle w:val="HEADERTITLE1"/>
      </w:pPr>
      <w:bookmarkStart w:id="25" w:name="_Toc232609779"/>
      <w:r>
        <w:t>EDF CASHFLOW STATEMENT</w:t>
      </w:r>
      <w:bookmarkEnd w:id="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3"/>
        <w:gridCol w:w="850"/>
        <w:gridCol w:w="1134"/>
        <w:gridCol w:w="1051"/>
      </w:tblGrid>
      <w:tr w:rsidR="00FD1E19" w14:paraId="5EE33C70"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bottom"/>
          </w:tcPr>
          <w:p w14:paraId="23135D51" w14:textId="77777777" w:rsidR="00FD1E19" w:rsidRDefault="00FD1E19" w:rsidP="00BE7E4A">
            <w:pPr>
              <w:pStyle w:val="DMETW37214BIPAGGCF"/>
              <w:jc w:val="center"/>
              <w:rPr>
                <w:rFonts w:ascii="Verdana" w:eastAsia="Verdana" w:hAnsi="Verdana" w:cs="Verdana"/>
                <w:i/>
                <w:noProof/>
                <w:color w:val="000000"/>
                <w:sz w:val="16"/>
                <w:lang w:bidi="en-GB"/>
              </w:rPr>
            </w:pPr>
            <w:bookmarkStart w:id="26" w:name="DOC_TBL00002_1_1"/>
            <w:bookmarkEnd w:id="26"/>
          </w:p>
        </w:tc>
        <w:tc>
          <w:tcPr>
            <w:tcW w:w="850" w:type="dxa"/>
            <w:tcBorders>
              <w:top w:val="nil"/>
              <w:left w:val="nil"/>
              <w:bottom w:val="nil"/>
              <w:right w:val="nil"/>
              <w:tl2br w:val="nil"/>
              <w:tr2bl w:val="nil"/>
            </w:tcBorders>
            <w:shd w:val="clear" w:color="auto" w:fill="auto"/>
            <w:tcMar>
              <w:left w:w="60" w:type="dxa"/>
              <w:right w:w="60" w:type="dxa"/>
            </w:tcMar>
            <w:vAlign w:val="bottom"/>
          </w:tcPr>
          <w:p w14:paraId="38EFA359" w14:textId="77777777" w:rsidR="00FD1E19" w:rsidRDefault="00FD1E19" w:rsidP="00BE7E4A">
            <w:pPr>
              <w:pStyle w:val="DMETW37214BIPAGGCF"/>
              <w:jc w:val="right"/>
              <w:rPr>
                <w:rFonts w:ascii="Verdana" w:eastAsia="Verdana" w:hAnsi="Verdana" w:cs="Verdana"/>
                <w:i/>
                <w:noProof/>
                <w:color w:val="000000"/>
                <w:sz w:val="16"/>
              </w:rPr>
            </w:pPr>
          </w:p>
        </w:tc>
        <w:tc>
          <w:tcPr>
            <w:tcW w:w="1134" w:type="dxa"/>
            <w:tcBorders>
              <w:top w:val="nil"/>
              <w:left w:val="nil"/>
              <w:bottom w:val="nil"/>
              <w:right w:val="nil"/>
              <w:tl2br w:val="nil"/>
              <w:tr2bl w:val="nil"/>
            </w:tcBorders>
            <w:shd w:val="clear" w:color="auto" w:fill="auto"/>
            <w:tcMar>
              <w:left w:w="60" w:type="dxa"/>
              <w:right w:w="60" w:type="dxa"/>
            </w:tcMar>
            <w:vAlign w:val="bottom"/>
          </w:tcPr>
          <w:p w14:paraId="5C5A6CA4" w14:textId="77777777" w:rsidR="00FD1E19" w:rsidRDefault="00FD1E19" w:rsidP="00BE7E4A">
            <w:pPr>
              <w:pStyle w:val="DMETW37214BIPAGGCF"/>
              <w:jc w:val="right"/>
              <w:rPr>
                <w:rFonts w:ascii="Verdana" w:eastAsia="Verdana" w:hAnsi="Verdana" w:cs="Verdana"/>
                <w:i/>
                <w:noProof/>
                <w:color w:val="000000"/>
                <w:sz w:val="16"/>
              </w:rPr>
            </w:pPr>
          </w:p>
        </w:tc>
        <w:tc>
          <w:tcPr>
            <w:tcW w:w="1051" w:type="dxa"/>
            <w:tcBorders>
              <w:top w:val="nil"/>
              <w:left w:val="nil"/>
              <w:bottom w:val="nil"/>
              <w:right w:val="nil"/>
              <w:tl2br w:val="nil"/>
              <w:tr2bl w:val="nil"/>
            </w:tcBorders>
            <w:shd w:val="clear" w:color="auto" w:fill="auto"/>
            <w:tcMar>
              <w:left w:w="60" w:type="dxa"/>
              <w:right w:w="60" w:type="dxa"/>
            </w:tcMar>
            <w:vAlign w:val="bottom"/>
          </w:tcPr>
          <w:p w14:paraId="1406AB38" w14:textId="77777777" w:rsidR="00FD1E19" w:rsidRDefault="00FD1E19" w:rsidP="00BE7E4A">
            <w:pPr>
              <w:pStyle w:val="DMETW37214BIPAGGCF"/>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5CA98766" w14:textId="77777777" w:rsidTr="00BE7E4A">
        <w:trPr>
          <w:trHeight w:hRule="exact" w:val="255"/>
        </w:trPr>
        <w:tc>
          <w:tcPr>
            <w:tcW w:w="6723" w:type="dxa"/>
            <w:tcBorders>
              <w:top w:val="nil"/>
              <w:left w:val="nil"/>
              <w:bottom w:val="nil"/>
              <w:right w:val="nil"/>
              <w:tl2br w:val="nil"/>
              <w:tr2bl w:val="nil"/>
            </w:tcBorders>
            <w:shd w:val="solid" w:color="016794" w:fill="FFFFFF"/>
            <w:tcMar>
              <w:left w:w="60" w:type="dxa"/>
              <w:right w:w="60" w:type="dxa"/>
            </w:tcMar>
            <w:vAlign w:val="bottom"/>
          </w:tcPr>
          <w:p w14:paraId="4E927E43" w14:textId="77777777" w:rsidR="00FD1E19" w:rsidRDefault="00FD1E19" w:rsidP="00BE7E4A">
            <w:pPr>
              <w:pStyle w:val="DMETW37214BIPAGGCF"/>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bottom"/>
          </w:tcPr>
          <w:p w14:paraId="6502A78E" w14:textId="77777777" w:rsidR="00FD1E19" w:rsidRDefault="00FD1E19" w:rsidP="00BE7E4A">
            <w:pPr>
              <w:pStyle w:val="DMETW37214BIPAGGCF"/>
              <w:jc w:val="center"/>
              <w:rPr>
                <w:rFonts w:ascii="Verdana" w:eastAsia="Verdana" w:hAnsi="Verdana" w:cs="Verdana"/>
                <w:noProof/>
                <w:color w:val="FFFFFF"/>
              </w:rPr>
            </w:pPr>
            <w:r>
              <w:rPr>
                <w:rFonts w:ascii="Verdana" w:eastAsia="Verdana" w:hAnsi="Verdana" w:cs="Verdana"/>
                <w:noProof/>
                <w:color w:val="FFFFFF"/>
              </w:rPr>
              <w:t>Note</w:t>
            </w:r>
          </w:p>
        </w:tc>
        <w:tc>
          <w:tcPr>
            <w:tcW w:w="1134" w:type="dxa"/>
            <w:tcBorders>
              <w:top w:val="nil"/>
              <w:left w:val="nil"/>
              <w:bottom w:val="nil"/>
              <w:right w:val="nil"/>
              <w:tl2br w:val="nil"/>
              <w:tr2bl w:val="nil"/>
            </w:tcBorders>
            <w:shd w:val="solid" w:color="016794" w:fill="FFFFFF"/>
            <w:tcMar>
              <w:left w:w="60" w:type="dxa"/>
              <w:right w:w="60" w:type="dxa"/>
            </w:tcMar>
            <w:vAlign w:val="bottom"/>
          </w:tcPr>
          <w:p w14:paraId="31E2DCE9" w14:textId="77777777" w:rsidR="00FD1E19" w:rsidRDefault="00FD1E19" w:rsidP="00BE7E4A">
            <w:pPr>
              <w:pStyle w:val="DMETW37214BIPAGGCF"/>
              <w:jc w:val="right"/>
              <w:rPr>
                <w:rFonts w:ascii="Verdana" w:eastAsia="Verdana" w:hAnsi="Verdana" w:cs="Verdana"/>
                <w:noProof/>
                <w:color w:val="FFFFFF"/>
              </w:rPr>
            </w:pPr>
            <w:r>
              <w:rPr>
                <w:rFonts w:ascii="Verdana" w:eastAsia="Verdana" w:hAnsi="Verdana" w:cs="Verdana"/>
                <w:noProof/>
                <w:color w:val="FFFFFF"/>
              </w:rPr>
              <w:t>2025</w:t>
            </w:r>
          </w:p>
        </w:tc>
        <w:tc>
          <w:tcPr>
            <w:tcW w:w="1051" w:type="dxa"/>
            <w:tcBorders>
              <w:top w:val="nil"/>
              <w:left w:val="nil"/>
              <w:bottom w:val="nil"/>
              <w:right w:val="nil"/>
              <w:tl2br w:val="nil"/>
              <w:tr2bl w:val="nil"/>
            </w:tcBorders>
            <w:shd w:val="solid" w:color="016794" w:fill="FFFFFF"/>
            <w:tcMar>
              <w:left w:w="60" w:type="dxa"/>
              <w:right w:w="60" w:type="dxa"/>
            </w:tcMar>
            <w:vAlign w:val="bottom"/>
          </w:tcPr>
          <w:p w14:paraId="6741A6D1" w14:textId="77777777" w:rsidR="00FD1E19" w:rsidRDefault="00FD1E19" w:rsidP="00BE7E4A">
            <w:pPr>
              <w:pStyle w:val="DMETW37214BIPAGGCF"/>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09DF9A79"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6EBC4E56"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491623DD"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bottom"/>
          </w:tcPr>
          <w:p w14:paraId="716AC167"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(1 094)</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278A90BE"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(1 240)</w:t>
            </w:r>
          </w:p>
        </w:tc>
      </w:tr>
      <w:tr w:rsidR="00FD1E19" w14:paraId="5F78C214"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6235D871" w14:textId="77777777" w:rsidR="00FD1E19" w:rsidRDefault="00FD1E19" w:rsidP="00BE7E4A">
            <w:pPr>
              <w:pStyle w:val="DMETW37214BIPAGGCF"/>
              <w:rPr>
                <w:rFonts w:ascii="Verdana" w:eastAsia="Verdana" w:hAnsi="Verdana" w:cs="Verdana"/>
                <w:b/>
                <w:noProof/>
                <w:color w:val="000000"/>
                <w:sz w:val="18"/>
              </w:rPr>
            </w:pPr>
            <w:r>
              <w:rPr>
                <w:rFonts w:ascii="Verdana" w:eastAsia="Verdana" w:hAnsi="Verdana" w:cs="Verdana"/>
                <w:b/>
                <w:noProof/>
                <w:color w:val="000000"/>
                <w:sz w:val="18"/>
              </w:rPr>
              <w:t>Operating activities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46BD41A4"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658BFB34" w14:textId="77777777" w:rsidR="00FD1E19" w:rsidRDefault="00FD1E19" w:rsidP="00BE7E4A">
            <w:pPr>
              <w:pStyle w:val="DMETW37214BIPAGG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4630F6CC" w14:textId="77777777" w:rsidR="00FD1E19" w:rsidRDefault="00FD1E19" w:rsidP="00BE7E4A">
            <w:pPr>
              <w:pStyle w:val="DMETW37214BIPAGGCF"/>
              <w:jc w:val="right"/>
              <w:rPr>
                <w:rFonts w:ascii="Verdana" w:eastAsia="Verdana" w:hAnsi="Verdana" w:cs="Verdana"/>
                <w:noProof/>
                <w:color w:val="000000"/>
                <w:sz w:val="18"/>
                <w:lang w:bidi="en-GB"/>
              </w:rPr>
            </w:pPr>
          </w:p>
        </w:tc>
      </w:tr>
      <w:tr w:rsidR="00FD1E19" w14:paraId="38B5EDCB"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36BA6E87"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Capital increase - contributions (net)</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292F1526"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0E4B200F"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784</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73199D56"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1 138</w:t>
            </w:r>
          </w:p>
        </w:tc>
      </w:tr>
      <w:tr w:rsidR="00FD1E19" w14:paraId="3CB91E61"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367060D5"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(Increase)/decrease in trust funds contributions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103FAE4A"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760DF75D"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101</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10D7AA9E"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w:t>
            </w:r>
          </w:p>
        </w:tc>
      </w:tr>
      <w:tr w:rsidR="00FD1E19" w14:paraId="26A60FFF"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24CF44CF"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(Increase)/decrease in pre-financing</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3E8F7D4F"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21C71DD0"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219</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6ECF6D6E"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287</w:t>
            </w:r>
          </w:p>
        </w:tc>
      </w:tr>
      <w:tr w:rsidR="00FD1E19" w14:paraId="32E60B15"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4BC06701"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(Increase)/decrease in exchange receivables and non-exchange recoverables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2F3C6223"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3A8DAB36"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67EE0FEE"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w:t>
            </w:r>
          </w:p>
        </w:tc>
      </w:tr>
      <w:tr w:rsidR="00FD1E19" w14:paraId="2AA97297"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3E43F481"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Increase/(decrease) in provisions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5007C477"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5508EDA2"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529148FA"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(0)</w:t>
            </w:r>
          </w:p>
        </w:tc>
      </w:tr>
      <w:tr w:rsidR="00FD1E19" w14:paraId="545F9A0A"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419DE78B"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Increase/(decrease) in financial liabilities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61C88D6B"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65E63E7A"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4CF7AAC8"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340D73B2"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72A5543C"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Increase/(decrease) in payables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4B9D837F"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74CA8928"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(68)</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18FCC48F"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(136)</w:t>
            </w:r>
          </w:p>
        </w:tc>
      </w:tr>
      <w:tr w:rsidR="00FD1E19" w14:paraId="5A5D055C"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031C5407"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Increase/(decrease) in accrued charges and deferred income</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70D03448"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7E72A0A5"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(79)</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0E89DFD7"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(210)</w:t>
            </w:r>
          </w:p>
        </w:tc>
      </w:tr>
      <w:tr w:rsidR="00FD1E19" w14:paraId="3C4FB481"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3DA3747C" w14:textId="77777777" w:rsidR="00FD1E19" w:rsidRDefault="00FD1E19" w:rsidP="00BE7E4A">
            <w:pPr>
              <w:pStyle w:val="DMETW37214BIPAGGCF"/>
              <w:rPr>
                <w:rFonts w:ascii="Verdana" w:eastAsia="Verdana" w:hAnsi="Verdana" w:cs="Verdana"/>
                <w:b/>
                <w:noProof/>
                <w:color w:val="000000"/>
                <w:sz w:val="18"/>
              </w:rPr>
            </w:pPr>
            <w:r>
              <w:rPr>
                <w:rFonts w:ascii="Verdana" w:eastAsia="Verdana" w:hAnsi="Verdana" w:cs="Verdana"/>
                <w:b/>
                <w:noProof/>
                <w:color w:val="000000"/>
                <w:sz w:val="18"/>
              </w:rPr>
              <w:t>Investing activities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42B89FA0"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3FD08A27" w14:textId="77777777" w:rsidR="00FD1E19" w:rsidRDefault="00FD1E19" w:rsidP="00BE7E4A">
            <w:pPr>
              <w:pStyle w:val="DMETW37214BIPAGG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3E50C984" w14:textId="77777777" w:rsidR="00FD1E19" w:rsidRDefault="00FD1E19" w:rsidP="00BE7E4A">
            <w:pPr>
              <w:pStyle w:val="DMETW37214BIPAGGCF"/>
              <w:jc w:val="right"/>
              <w:rPr>
                <w:rFonts w:ascii="Verdana" w:eastAsia="Verdana" w:hAnsi="Verdana" w:cs="Verdana"/>
                <w:noProof/>
                <w:color w:val="000000"/>
                <w:sz w:val="18"/>
                <w:lang w:bidi="en-GB"/>
              </w:rPr>
            </w:pPr>
          </w:p>
        </w:tc>
      </w:tr>
      <w:tr w:rsidR="00FD1E19" w14:paraId="5BAA46D1" w14:textId="77777777" w:rsidTr="00BE7E4A">
        <w:trPr>
          <w:trHeight w:hRule="exact" w:val="578"/>
        </w:trPr>
        <w:tc>
          <w:tcPr>
            <w:tcW w:w="6723" w:type="dxa"/>
            <w:tcBorders>
              <w:top w:val="nil"/>
              <w:left w:val="nil"/>
              <w:bottom w:val="nil"/>
              <w:right w:val="nil"/>
              <w:tl2br w:val="nil"/>
              <w:tr2bl w:val="nil"/>
            </w:tcBorders>
            <w:shd w:val="clear" w:color="auto" w:fill="auto"/>
            <w:tcMar>
              <w:left w:w="60" w:type="dxa"/>
              <w:right w:w="60" w:type="dxa"/>
            </w:tcMar>
            <w:vAlign w:val="center"/>
          </w:tcPr>
          <w:p w14:paraId="58CC93C0"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 xml:space="preserve">(Increase)/decrease in non-derivative financial assets at fair value through surplus or deficit* </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3B4D1341"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16E86AAD"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6D511BF4"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(42)</w:t>
            </w:r>
          </w:p>
        </w:tc>
      </w:tr>
      <w:tr w:rsidR="00FD1E19" w14:paraId="6681BC89" w14:textId="77777777" w:rsidTr="00BE7E4A">
        <w:trPr>
          <w:trHeight w:hRule="exact" w:val="290"/>
        </w:trPr>
        <w:tc>
          <w:tcPr>
            <w:tcW w:w="6723" w:type="dxa"/>
            <w:tcBorders>
              <w:top w:val="nil"/>
              <w:left w:val="nil"/>
              <w:bottom w:val="nil"/>
              <w:right w:val="nil"/>
              <w:tl2br w:val="nil"/>
              <w:tr2bl w:val="nil"/>
            </w:tcBorders>
            <w:shd w:val="solid" w:color="CCE1EA" w:fill="FFFFFF"/>
            <w:tcMar>
              <w:left w:w="60" w:type="dxa"/>
              <w:right w:w="60" w:type="dxa"/>
            </w:tcMar>
            <w:vAlign w:val="bottom"/>
          </w:tcPr>
          <w:p w14:paraId="2E6B9E69" w14:textId="77777777" w:rsidR="00FD1E19" w:rsidRDefault="00FD1E19" w:rsidP="00BE7E4A">
            <w:pPr>
              <w:pStyle w:val="DMETW37214BIPAGGCF"/>
              <w:rPr>
                <w:rFonts w:ascii="Verdana" w:eastAsia="Verdana" w:hAnsi="Verdana" w:cs="Verdana"/>
                <w:b/>
                <w:noProof/>
                <w:color w:val="000000"/>
                <w:sz w:val="18"/>
              </w:rPr>
            </w:pPr>
            <w:r>
              <w:rPr>
                <w:rFonts w:ascii="Verdana" w:eastAsia="Verdana" w:hAnsi="Verdana" w:cs="Verdana"/>
                <w:b/>
                <w:noProof/>
                <w:color w:val="000000"/>
                <w:sz w:val="18"/>
              </w:rPr>
              <w:t>NET CASHFLOW</w:t>
            </w:r>
          </w:p>
        </w:tc>
        <w:tc>
          <w:tcPr>
            <w:tcW w:w="850" w:type="dxa"/>
            <w:tcBorders>
              <w:top w:val="nil"/>
              <w:left w:val="nil"/>
              <w:bottom w:val="nil"/>
              <w:right w:val="nil"/>
              <w:tl2br w:val="nil"/>
              <w:tr2bl w:val="nil"/>
            </w:tcBorders>
            <w:shd w:val="solid" w:color="CCE1EA" w:fill="FFFFFF"/>
            <w:tcMar>
              <w:left w:w="60" w:type="dxa"/>
              <w:right w:w="60" w:type="dxa"/>
            </w:tcMar>
            <w:vAlign w:val="bottom"/>
          </w:tcPr>
          <w:p w14:paraId="71A8FDDB"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7B1FA0FB" w14:textId="77777777" w:rsidR="00FD1E19" w:rsidRDefault="00FD1E19" w:rsidP="00BE7E4A">
            <w:pPr>
              <w:pStyle w:val="DMETW37214BIPAGGCF"/>
              <w:jc w:val="right"/>
              <w:rPr>
                <w:rFonts w:ascii="Verdana" w:eastAsia="Verdana" w:hAnsi="Verdana" w:cs="Verdana"/>
                <w:b/>
                <w:noProof/>
                <w:color w:val="000000"/>
                <w:sz w:val="18"/>
              </w:rPr>
            </w:pPr>
            <w:r>
              <w:rPr>
                <w:rFonts w:ascii="Verdana" w:eastAsia="Verdana" w:hAnsi="Verdana" w:cs="Verdana"/>
                <w:b/>
                <w:noProof/>
                <w:color w:val="000000"/>
                <w:sz w:val="18"/>
              </w:rPr>
              <w:t>(125)</w:t>
            </w:r>
          </w:p>
        </w:tc>
        <w:tc>
          <w:tcPr>
            <w:tcW w:w="1051" w:type="dxa"/>
            <w:tcBorders>
              <w:top w:val="nil"/>
              <w:left w:val="nil"/>
              <w:bottom w:val="nil"/>
              <w:right w:val="nil"/>
              <w:tl2br w:val="nil"/>
              <w:tr2bl w:val="nil"/>
            </w:tcBorders>
            <w:shd w:val="solid" w:color="CCE1EA" w:fill="FFFFFF"/>
            <w:tcMar>
              <w:left w:w="60" w:type="dxa"/>
              <w:right w:w="60" w:type="dxa"/>
            </w:tcMar>
            <w:vAlign w:val="center"/>
          </w:tcPr>
          <w:p w14:paraId="076FC914" w14:textId="77777777" w:rsidR="00FD1E19" w:rsidRDefault="00FD1E19" w:rsidP="00BE7E4A">
            <w:pPr>
              <w:pStyle w:val="DMETW37214BIPAGGC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(190)</w:t>
            </w:r>
          </w:p>
        </w:tc>
      </w:tr>
      <w:tr w:rsidR="00FD1E19" w14:paraId="411751EA"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1A2ABD6C" w14:textId="77777777" w:rsidR="00FD1E19" w:rsidRDefault="00FD1E19" w:rsidP="00BE7E4A">
            <w:pPr>
              <w:pStyle w:val="DMETW37214BIPAGGCF"/>
              <w:rPr>
                <w:rFonts w:ascii="Verdana" w:eastAsia="Verdana" w:hAnsi="Verdana" w:cs="Verdana"/>
                <w:b/>
                <w:i/>
                <w:noProof/>
                <w:color w:val="000000"/>
                <w:sz w:val="18"/>
              </w:rPr>
            </w:pPr>
          </w:p>
        </w:tc>
        <w:tc>
          <w:tcPr>
            <w:tcW w:w="850" w:type="dxa"/>
            <w:tcBorders>
              <w:top w:val="nil"/>
              <w:left w:val="nil"/>
              <w:bottom w:val="nil"/>
              <w:right w:val="nil"/>
              <w:tl2br w:val="nil"/>
              <w:tr2bl w:val="nil"/>
            </w:tcBorders>
            <w:shd w:val="clear" w:color="auto" w:fill="auto"/>
            <w:tcMar>
              <w:left w:w="60" w:type="dxa"/>
              <w:right w:w="60" w:type="dxa"/>
            </w:tcMar>
            <w:vAlign w:val="center"/>
          </w:tcPr>
          <w:p w14:paraId="74B1900E" w14:textId="77777777" w:rsidR="00FD1E19" w:rsidRDefault="00FD1E19" w:rsidP="00BE7E4A">
            <w:pPr>
              <w:pStyle w:val="DMETW37214BIPAGGCF"/>
              <w:jc w:val="center"/>
              <w:rPr>
                <w:rFonts w:ascii="Verdana" w:eastAsia="Verdana" w:hAnsi="Verdana" w:cs="Verdana"/>
                <w:b/>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5AF04F49" w14:textId="77777777" w:rsidR="00FD1E19" w:rsidRDefault="00FD1E19" w:rsidP="00BE7E4A">
            <w:pPr>
              <w:pStyle w:val="DMETW37214BIPAGG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501E9A6E" w14:textId="77777777" w:rsidR="00FD1E19" w:rsidRDefault="00FD1E19" w:rsidP="00BE7E4A">
            <w:pPr>
              <w:pStyle w:val="DMETW37214BIPAGGCF"/>
              <w:jc w:val="right"/>
              <w:rPr>
                <w:rFonts w:ascii="Verdana" w:eastAsia="Verdana" w:hAnsi="Verdana" w:cs="Verdana"/>
                <w:i/>
                <w:noProof/>
                <w:color w:val="000000"/>
                <w:sz w:val="18"/>
                <w:lang w:bidi="en-GB"/>
              </w:rPr>
            </w:pPr>
          </w:p>
        </w:tc>
      </w:tr>
      <w:tr w:rsidR="00FD1E19" w14:paraId="40E74229"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36AE63B0"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Net increase/(decrease) in cash and cash equivalents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5B331D12" w14:textId="77777777" w:rsidR="00FD1E19" w:rsidRDefault="00FD1E19" w:rsidP="00BE7E4A">
            <w:pPr>
              <w:pStyle w:val="DMETW37214BIPAGGCF"/>
              <w:jc w:val="center"/>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bottom"/>
          </w:tcPr>
          <w:p w14:paraId="52EF15FA"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(125)</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392AFAE0"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(190)</w:t>
            </w:r>
          </w:p>
        </w:tc>
      </w:tr>
      <w:tr w:rsidR="00FD1E19" w14:paraId="0495BD0C"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02E1F01F"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Cash and cash equivalents at the beginning of the year</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30C584D8" w14:textId="77777777" w:rsidR="00FD1E19" w:rsidRDefault="00FD1E19" w:rsidP="00BE7E4A">
            <w:pPr>
              <w:pStyle w:val="DMETW37214BIPAGGCF"/>
              <w:jc w:val="center"/>
              <w:rPr>
                <w:rFonts w:ascii="Verdana" w:eastAsia="Verdana" w:hAnsi="Verdana" w:cs="Verdana"/>
                <w:noProof/>
                <w:color w:val="000000"/>
                <w:sz w:val="18"/>
              </w:rPr>
            </w:pPr>
            <w:r>
              <w:rPr>
                <w:rFonts w:ascii="Verdana" w:eastAsia="Verdana" w:hAnsi="Verdana" w:cs="Verdana"/>
                <w:noProof/>
                <w:color w:val="000000"/>
                <w:sz w:val="18"/>
              </w:rPr>
              <w:t>2.5</w:t>
            </w:r>
          </w:p>
        </w:tc>
        <w:tc>
          <w:tcPr>
            <w:tcW w:w="1134" w:type="dxa"/>
            <w:tcBorders>
              <w:top w:val="nil"/>
              <w:left w:val="nil"/>
              <w:bottom w:val="nil"/>
              <w:right w:val="nil"/>
              <w:tl2br w:val="nil"/>
              <w:tr2bl w:val="nil"/>
            </w:tcBorders>
            <w:shd w:val="clear" w:color="auto" w:fill="auto"/>
            <w:tcMar>
              <w:left w:w="60" w:type="dxa"/>
              <w:right w:w="60" w:type="dxa"/>
            </w:tcMar>
            <w:vAlign w:val="bottom"/>
          </w:tcPr>
          <w:p w14:paraId="24861310"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411</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469606F5" w14:textId="77777777" w:rsidR="00FD1E19" w:rsidRDefault="00FD1E19" w:rsidP="00BE7E4A">
            <w:pPr>
              <w:pStyle w:val="DMETW37214BIPAGG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601</w:t>
            </w:r>
          </w:p>
        </w:tc>
      </w:tr>
      <w:tr w:rsidR="00FD1E19" w14:paraId="47A4671C" w14:textId="77777777" w:rsidTr="00BE7E4A">
        <w:trPr>
          <w:trHeight w:hRule="exact" w:val="255"/>
        </w:trPr>
        <w:tc>
          <w:tcPr>
            <w:tcW w:w="6723" w:type="dxa"/>
            <w:tcBorders>
              <w:top w:val="nil"/>
              <w:left w:val="nil"/>
              <w:bottom w:val="nil"/>
              <w:right w:val="nil"/>
              <w:tl2br w:val="nil"/>
              <w:tr2bl w:val="nil"/>
            </w:tcBorders>
            <w:shd w:val="clear" w:color="auto" w:fill="auto"/>
            <w:tcMar>
              <w:left w:w="60" w:type="dxa"/>
              <w:right w:w="60" w:type="dxa"/>
            </w:tcMar>
            <w:vAlign w:val="center"/>
          </w:tcPr>
          <w:p w14:paraId="7F82393E" w14:textId="77777777" w:rsidR="00FD1E19" w:rsidRDefault="00FD1E19" w:rsidP="00BE7E4A">
            <w:pPr>
              <w:pStyle w:val="DMETW37214BIPAGGCF"/>
              <w:rPr>
                <w:rFonts w:ascii="Verdana" w:eastAsia="Verdana" w:hAnsi="Verdana" w:cs="Verdana"/>
                <w:i/>
                <w:noProof/>
                <w:color w:val="000000"/>
                <w:sz w:val="18"/>
              </w:rPr>
            </w:pPr>
            <w:r>
              <w:rPr>
                <w:rFonts w:ascii="Verdana" w:eastAsia="Verdana" w:hAnsi="Verdana" w:cs="Verdana"/>
                <w:i/>
                <w:noProof/>
                <w:color w:val="000000"/>
                <w:sz w:val="18"/>
              </w:rPr>
              <w:t>Cash and cash equivalents at year-end</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41DAEF18" w14:textId="77777777" w:rsidR="00FD1E19" w:rsidRDefault="00FD1E19" w:rsidP="00BE7E4A">
            <w:pPr>
              <w:pStyle w:val="DMETW37214BIPAGGCF"/>
              <w:jc w:val="center"/>
              <w:rPr>
                <w:rFonts w:ascii="Verdana" w:eastAsia="Verdana" w:hAnsi="Verdana" w:cs="Verdana"/>
                <w:noProof/>
                <w:color w:val="000000"/>
                <w:sz w:val="18"/>
              </w:rPr>
            </w:pPr>
            <w:r>
              <w:rPr>
                <w:rFonts w:ascii="Verdana" w:eastAsia="Verdana" w:hAnsi="Verdana" w:cs="Verdana"/>
                <w:noProof/>
                <w:color w:val="000000"/>
                <w:sz w:val="18"/>
              </w:rPr>
              <w:t>2.5</w:t>
            </w:r>
          </w:p>
        </w:tc>
        <w:tc>
          <w:tcPr>
            <w:tcW w:w="1134" w:type="dxa"/>
            <w:tcBorders>
              <w:top w:val="nil"/>
              <w:left w:val="nil"/>
              <w:bottom w:val="nil"/>
              <w:right w:val="nil"/>
              <w:tl2br w:val="nil"/>
              <w:tr2bl w:val="nil"/>
            </w:tcBorders>
            <w:shd w:val="clear" w:color="auto" w:fill="auto"/>
            <w:tcMar>
              <w:left w:w="60" w:type="dxa"/>
              <w:right w:w="60" w:type="dxa"/>
            </w:tcMar>
            <w:vAlign w:val="bottom"/>
          </w:tcPr>
          <w:p w14:paraId="07133108"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286</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064CB40F" w14:textId="77777777" w:rsidR="00FD1E19" w:rsidRDefault="00FD1E19" w:rsidP="00BE7E4A">
            <w:pPr>
              <w:pStyle w:val="DMETW37214BIPAGGCF"/>
              <w:jc w:val="right"/>
              <w:rPr>
                <w:rFonts w:ascii="Verdana" w:eastAsia="Verdana" w:hAnsi="Verdana" w:cs="Verdana"/>
                <w:i/>
                <w:noProof/>
                <w:color w:val="000000"/>
                <w:sz w:val="18"/>
              </w:rPr>
            </w:pPr>
            <w:r>
              <w:rPr>
                <w:rFonts w:ascii="Verdana" w:eastAsia="Verdana" w:hAnsi="Verdana" w:cs="Verdana"/>
                <w:i/>
                <w:noProof/>
                <w:color w:val="000000"/>
                <w:sz w:val="18"/>
              </w:rPr>
              <w:t xml:space="preserve"> 411</w:t>
            </w:r>
          </w:p>
        </w:tc>
      </w:tr>
    </w:tbl>
    <w:p w14:paraId="091477D7" w14:textId="77777777" w:rsidR="00FD1E19" w:rsidRDefault="00FD1E19" w:rsidP="00FD1E19">
      <w:pPr>
        <w:pStyle w:val="HEADERTITLE1"/>
      </w:pPr>
    </w:p>
    <w:p w14:paraId="71461E56" w14:textId="77777777" w:rsidR="00FD1E19" w:rsidRDefault="00FD1E19" w:rsidP="00FD1E19">
      <w:pPr>
        <w:pStyle w:val="Textstand-alone"/>
      </w:pPr>
    </w:p>
    <w:p w14:paraId="2A06C207" w14:textId="77777777" w:rsidR="00FD1E19" w:rsidRDefault="00FD1E19" w:rsidP="00FD1E19">
      <w:pPr>
        <w:pStyle w:val="HEADERTITLE1"/>
      </w:pPr>
    </w:p>
    <w:p w14:paraId="604E58E3" w14:textId="77777777" w:rsidR="00FD1E19" w:rsidRDefault="00FD1E19" w:rsidP="00FD1E19">
      <w:pPr>
        <w:pStyle w:val="HEADERTITLE1"/>
      </w:pPr>
    </w:p>
    <w:p w14:paraId="38B4EE35" w14:textId="77777777" w:rsidR="00FD1E19" w:rsidRDefault="00FD1E19" w:rsidP="00FD1E19">
      <w:pPr>
        <w:pStyle w:val="HEADERTITLE1"/>
      </w:pPr>
    </w:p>
    <w:p w14:paraId="102336C2" w14:textId="77777777" w:rsidR="00FD1E19" w:rsidRDefault="00FD1E19" w:rsidP="00FD1E19">
      <w:pPr>
        <w:pStyle w:val="HEADERTITLE1"/>
      </w:pPr>
    </w:p>
    <w:p w14:paraId="31F8593D" w14:textId="77777777" w:rsidR="00FD1E19" w:rsidRDefault="00FD1E19" w:rsidP="00FD1E19">
      <w:pPr>
        <w:pStyle w:val="HEADERTITLE1"/>
      </w:pPr>
    </w:p>
    <w:p w14:paraId="1F844BCF" w14:textId="77777777" w:rsidR="00FD1E19" w:rsidRDefault="00FD1E19" w:rsidP="00FD1E19">
      <w:pPr>
        <w:pStyle w:val="HEADERTITLE1"/>
      </w:pPr>
    </w:p>
    <w:p w14:paraId="315D0517" w14:textId="77777777" w:rsidR="00FD1E19" w:rsidRDefault="00FD1E19" w:rsidP="00FD1E19">
      <w:pPr>
        <w:pStyle w:val="HEADERTITLE1"/>
      </w:pPr>
    </w:p>
    <w:bookmarkEnd w:id="15"/>
    <w:p w14:paraId="5899025E" w14:textId="77777777" w:rsidR="00FD1E19" w:rsidRDefault="00FD1E19" w:rsidP="00FD1E19">
      <w:pPr>
        <w:pStyle w:val="HEADERTITLE1"/>
        <w:sectPr w:rsidR="00FD1E19" w:rsidSect="00FD1E19">
          <w:headerReference w:type="default" r:id="rId38"/>
          <w:footerReference w:type="default" r:id="rId39"/>
          <w:pgSz w:w="11906" w:h="16838" w:code="9"/>
          <w:pgMar w:top="1134" w:right="1134" w:bottom="1134" w:left="1134" w:header="709" w:footer="709" w:gutter="0"/>
          <w:cols w:space="708"/>
          <w:docGrid w:linePitch="360"/>
        </w:sectPr>
      </w:pPr>
    </w:p>
    <w:p w14:paraId="00FCC724" w14:textId="77777777" w:rsidR="00FD1E19" w:rsidRPr="00BF4108" w:rsidRDefault="00FD1E19" w:rsidP="00FD1E19">
      <w:pPr>
        <w:pStyle w:val="HEADERTITLE1"/>
      </w:pPr>
      <w:bookmarkStart w:id="27" w:name="_Toc232609780"/>
      <w:bookmarkStart w:id="28" w:name="_DMBM_37223"/>
      <w:r w:rsidRPr="00BF4108">
        <w:t>EDF STATEMENT OF CHANGES IN NET ASSETS</w:t>
      </w:r>
      <w:bookmarkEnd w:id="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6"/>
        <w:gridCol w:w="1402"/>
        <w:gridCol w:w="1275"/>
        <w:gridCol w:w="1838"/>
        <w:gridCol w:w="2015"/>
        <w:gridCol w:w="2207"/>
        <w:gridCol w:w="1577"/>
      </w:tblGrid>
      <w:tr w:rsidR="00FD1E19" w14:paraId="11A54ACD" w14:textId="77777777" w:rsidTr="00BE7E4A">
        <w:trPr>
          <w:trHeight w:val="255"/>
        </w:trPr>
        <w:tc>
          <w:tcPr>
            <w:tcW w:w="3481" w:type="dxa"/>
            <w:tcBorders>
              <w:top w:val="nil"/>
              <w:left w:val="nil"/>
              <w:bottom w:val="nil"/>
              <w:right w:val="nil"/>
              <w:tl2br w:val="nil"/>
              <w:tr2bl w:val="nil"/>
            </w:tcBorders>
            <w:shd w:val="clear" w:color="auto" w:fill="auto"/>
            <w:tcMar>
              <w:left w:w="60" w:type="dxa"/>
              <w:right w:w="60" w:type="dxa"/>
            </w:tcMar>
            <w:vAlign w:val="bottom"/>
          </w:tcPr>
          <w:p w14:paraId="7C704E45" w14:textId="77777777" w:rsidR="00FD1E19" w:rsidRDefault="00FD1E19" w:rsidP="00BE7E4A">
            <w:pPr>
              <w:pStyle w:val="DMETW37214BIPAGGNA"/>
              <w:rPr>
                <w:rFonts w:ascii="Arial" w:eastAsia="Arial" w:hAnsi="Arial" w:cs="Arial"/>
                <w:i/>
                <w:noProof/>
                <w:color w:val="000000"/>
                <w:sz w:val="16"/>
                <w:lang w:bidi="en-GB"/>
              </w:rPr>
            </w:pPr>
            <w:bookmarkStart w:id="29" w:name="DOC_TBL00007_1_1"/>
            <w:bookmarkEnd w:id="29"/>
          </w:p>
        </w:tc>
        <w:tc>
          <w:tcPr>
            <w:tcW w:w="1115" w:type="dxa"/>
            <w:tcBorders>
              <w:top w:val="nil"/>
              <w:left w:val="nil"/>
              <w:bottom w:val="nil"/>
              <w:right w:val="nil"/>
              <w:tl2br w:val="nil"/>
              <w:tr2bl w:val="nil"/>
            </w:tcBorders>
            <w:shd w:val="clear" w:color="auto" w:fill="auto"/>
            <w:tcMar>
              <w:left w:w="60" w:type="dxa"/>
              <w:right w:w="60" w:type="dxa"/>
            </w:tcMar>
            <w:vAlign w:val="bottom"/>
          </w:tcPr>
          <w:p w14:paraId="7B77B4FC" w14:textId="77777777" w:rsidR="00FD1E19" w:rsidRDefault="00FD1E19" w:rsidP="00BE7E4A">
            <w:pPr>
              <w:pStyle w:val="DMETW37214BIPAGGNA"/>
              <w:jc w:val="center"/>
              <w:rPr>
                <w:rFonts w:ascii="Arial" w:eastAsia="Arial" w:hAnsi="Arial" w:cs="Arial"/>
                <w:i/>
                <w:noProof/>
                <w:color w:val="000000"/>
                <w:sz w:val="16"/>
              </w:rPr>
            </w:pPr>
          </w:p>
        </w:tc>
        <w:tc>
          <w:tcPr>
            <w:tcW w:w="1014" w:type="dxa"/>
            <w:tcBorders>
              <w:top w:val="nil"/>
              <w:left w:val="nil"/>
              <w:bottom w:val="nil"/>
              <w:right w:val="nil"/>
              <w:tl2br w:val="nil"/>
              <w:tr2bl w:val="nil"/>
            </w:tcBorders>
            <w:shd w:val="clear" w:color="auto" w:fill="auto"/>
            <w:tcMar>
              <w:left w:w="60" w:type="dxa"/>
              <w:right w:w="60" w:type="dxa"/>
            </w:tcMar>
            <w:vAlign w:val="bottom"/>
          </w:tcPr>
          <w:p w14:paraId="3A671FF5" w14:textId="77777777" w:rsidR="00FD1E19" w:rsidRDefault="00FD1E19" w:rsidP="00BE7E4A">
            <w:pPr>
              <w:pStyle w:val="DMETW37214BIPAGGNA"/>
              <w:jc w:val="right"/>
              <w:rPr>
                <w:rFonts w:ascii="Arial" w:eastAsia="Arial" w:hAnsi="Arial" w:cs="Arial"/>
                <w:i/>
                <w:noProof/>
                <w:color w:val="000000"/>
                <w:sz w:val="16"/>
              </w:rPr>
            </w:pPr>
          </w:p>
        </w:tc>
        <w:tc>
          <w:tcPr>
            <w:tcW w:w="1462" w:type="dxa"/>
            <w:tcBorders>
              <w:top w:val="nil"/>
              <w:left w:val="nil"/>
              <w:bottom w:val="nil"/>
              <w:right w:val="nil"/>
              <w:tl2br w:val="nil"/>
              <w:tr2bl w:val="nil"/>
            </w:tcBorders>
            <w:shd w:val="clear" w:color="auto" w:fill="auto"/>
            <w:tcMar>
              <w:left w:w="60" w:type="dxa"/>
              <w:right w:w="60" w:type="dxa"/>
            </w:tcMar>
            <w:vAlign w:val="bottom"/>
          </w:tcPr>
          <w:p w14:paraId="2141CFF3" w14:textId="77777777" w:rsidR="00FD1E19" w:rsidRDefault="00FD1E19" w:rsidP="00BE7E4A">
            <w:pPr>
              <w:pStyle w:val="DMETW37214BIPAGGNA"/>
              <w:jc w:val="right"/>
              <w:rPr>
                <w:rFonts w:ascii="Verdana" w:eastAsia="Verdana" w:hAnsi="Verdana" w:cs="Verdana"/>
                <w:i/>
                <w:noProof/>
                <w:color w:val="000000"/>
                <w:sz w:val="16"/>
              </w:rPr>
            </w:pPr>
          </w:p>
        </w:tc>
        <w:tc>
          <w:tcPr>
            <w:tcW w:w="1603" w:type="dxa"/>
            <w:tcBorders>
              <w:top w:val="nil"/>
              <w:left w:val="nil"/>
              <w:bottom w:val="nil"/>
              <w:right w:val="nil"/>
              <w:tl2br w:val="nil"/>
              <w:tr2bl w:val="nil"/>
            </w:tcBorders>
            <w:shd w:val="clear" w:color="auto" w:fill="auto"/>
            <w:tcMar>
              <w:left w:w="60" w:type="dxa"/>
              <w:right w:w="60" w:type="dxa"/>
            </w:tcMar>
            <w:vAlign w:val="bottom"/>
          </w:tcPr>
          <w:p w14:paraId="74D35DDD" w14:textId="77777777" w:rsidR="00FD1E19" w:rsidRDefault="00FD1E19" w:rsidP="00BE7E4A">
            <w:pPr>
              <w:pStyle w:val="DMETW37214BIPAGGNA"/>
              <w:rPr>
                <w:rFonts w:ascii="Arial" w:eastAsia="Arial" w:hAnsi="Arial" w:cs="Arial"/>
                <w:i/>
                <w:noProof/>
                <w:color w:val="000000"/>
                <w:sz w:val="16"/>
              </w:rPr>
            </w:pPr>
          </w:p>
        </w:tc>
        <w:tc>
          <w:tcPr>
            <w:tcW w:w="1755" w:type="dxa"/>
            <w:tcBorders>
              <w:top w:val="nil"/>
              <w:left w:val="nil"/>
              <w:bottom w:val="nil"/>
              <w:right w:val="nil"/>
              <w:tl2br w:val="nil"/>
              <w:tr2bl w:val="nil"/>
            </w:tcBorders>
            <w:shd w:val="clear" w:color="auto" w:fill="auto"/>
            <w:tcMar>
              <w:left w:w="60" w:type="dxa"/>
              <w:right w:w="60" w:type="dxa"/>
            </w:tcMar>
            <w:vAlign w:val="bottom"/>
          </w:tcPr>
          <w:p w14:paraId="6BC4D727" w14:textId="77777777" w:rsidR="00FD1E19" w:rsidRDefault="00FD1E19" w:rsidP="00BE7E4A">
            <w:pPr>
              <w:pStyle w:val="DMETW37214BIPAGGNA"/>
              <w:jc w:val="center"/>
              <w:rPr>
                <w:rFonts w:ascii="Arial" w:eastAsia="Arial" w:hAnsi="Arial" w:cs="Arial"/>
                <w:i/>
                <w:noProof/>
                <w:color w:val="000000"/>
                <w:sz w:val="16"/>
              </w:rPr>
            </w:pPr>
          </w:p>
        </w:tc>
        <w:tc>
          <w:tcPr>
            <w:tcW w:w="1254" w:type="dxa"/>
            <w:tcBorders>
              <w:top w:val="nil"/>
              <w:left w:val="nil"/>
              <w:bottom w:val="nil"/>
              <w:right w:val="nil"/>
              <w:tl2br w:val="nil"/>
              <w:tr2bl w:val="nil"/>
            </w:tcBorders>
            <w:shd w:val="clear" w:color="auto" w:fill="auto"/>
            <w:tcMar>
              <w:left w:w="60" w:type="dxa"/>
              <w:right w:w="60" w:type="dxa"/>
            </w:tcMar>
            <w:vAlign w:val="bottom"/>
          </w:tcPr>
          <w:p w14:paraId="797ED459" w14:textId="77777777" w:rsidR="00FD1E19" w:rsidRDefault="00FD1E19" w:rsidP="00BE7E4A">
            <w:pPr>
              <w:pStyle w:val="DMETW37214BIPAGGNA"/>
              <w:jc w:val="right"/>
              <w:rPr>
                <w:rFonts w:ascii="Arial" w:eastAsia="Arial" w:hAnsi="Arial" w:cs="Arial"/>
                <w:i/>
                <w:noProof/>
                <w:color w:val="000000"/>
                <w:sz w:val="16"/>
                <w:lang w:bidi="en-GB"/>
              </w:rPr>
            </w:pPr>
            <w:r>
              <w:rPr>
                <w:rFonts w:ascii="Arial" w:eastAsia="Arial" w:hAnsi="Arial" w:cs="Arial"/>
                <w:i/>
                <w:noProof/>
                <w:color w:val="000000"/>
                <w:sz w:val="16"/>
              </w:rPr>
              <w:t>EUR million</w:t>
            </w:r>
          </w:p>
        </w:tc>
      </w:tr>
      <w:tr w:rsidR="00FD1E19" w:rsidRPr="00F72CC2" w14:paraId="6AE877F6" w14:textId="77777777" w:rsidTr="00BE7E4A">
        <w:trPr>
          <w:trHeight w:val="1386"/>
        </w:trPr>
        <w:tc>
          <w:tcPr>
            <w:tcW w:w="3481" w:type="dxa"/>
            <w:tcBorders>
              <w:top w:val="nil"/>
              <w:left w:val="nil"/>
              <w:bottom w:val="nil"/>
              <w:right w:val="nil"/>
              <w:tl2br w:val="nil"/>
              <w:tr2bl w:val="nil"/>
            </w:tcBorders>
            <w:shd w:val="solid" w:color="016794" w:fill="FFFFFF"/>
            <w:tcMar>
              <w:left w:w="60" w:type="dxa"/>
              <w:right w:w="60" w:type="dxa"/>
            </w:tcMar>
            <w:vAlign w:val="center"/>
          </w:tcPr>
          <w:p w14:paraId="0D3366AE" w14:textId="77777777" w:rsidR="00FD1E19" w:rsidRDefault="00FD1E19" w:rsidP="00BE7E4A">
            <w:pPr>
              <w:pStyle w:val="DMETW37214BIPAGGNA"/>
              <w:jc w:val="center"/>
              <w:rPr>
                <w:rFonts w:ascii="Verdana" w:eastAsia="Verdana" w:hAnsi="Verdana" w:cs="Verdana"/>
                <w:noProof/>
                <w:color w:val="FFFFFF"/>
              </w:rPr>
            </w:pPr>
          </w:p>
        </w:tc>
        <w:tc>
          <w:tcPr>
            <w:tcW w:w="1115" w:type="dxa"/>
            <w:tcBorders>
              <w:top w:val="nil"/>
              <w:left w:val="nil"/>
              <w:bottom w:val="nil"/>
              <w:right w:val="nil"/>
              <w:tl2br w:val="nil"/>
              <w:tr2bl w:val="nil"/>
            </w:tcBorders>
            <w:shd w:val="solid" w:color="016794" w:fill="FFFFFF"/>
            <w:tcMar>
              <w:left w:w="60" w:type="dxa"/>
              <w:right w:w="60" w:type="dxa"/>
            </w:tcMar>
            <w:vAlign w:val="center"/>
          </w:tcPr>
          <w:p w14:paraId="07F6CA47" w14:textId="77777777" w:rsidR="00FD1E19" w:rsidRDefault="00FD1E19" w:rsidP="00BE7E4A">
            <w:pPr>
              <w:pStyle w:val="DMETW37214BIPAGGNA"/>
              <w:jc w:val="center"/>
              <w:rPr>
                <w:rFonts w:ascii="Verdana" w:eastAsia="Verdana" w:hAnsi="Verdana" w:cs="Verdana"/>
                <w:noProof/>
                <w:color w:val="FFFFFF"/>
              </w:rPr>
            </w:pPr>
            <w:r>
              <w:rPr>
                <w:rFonts w:ascii="Verdana" w:eastAsia="Verdana" w:hAnsi="Verdana" w:cs="Verdana"/>
                <w:noProof/>
                <w:color w:val="FFFFFF"/>
              </w:rPr>
              <w:t>Fund capital - active EDFs (A)</w:t>
            </w:r>
          </w:p>
        </w:tc>
        <w:tc>
          <w:tcPr>
            <w:tcW w:w="1014" w:type="dxa"/>
            <w:tcBorders>
              <w:top w:val="nil"/>
              <w:left w:val="nil"/>
              <w:bottom w:val="nil"/>
              <w:right w:val="nil"/>
              <w:tl2br w:val="nil"/>
              <w:tr2bl w:val="nil"/>
            </w:tcBorders>
            <w:shd w:val="solid" w:color="016794" w:fill="FFFFFF"/>
            <w:tcMar>
              <w:left w:w="60" w:type="dxa"/>
              <w:right w:w="60" w:type="dxa"/>
            </w:tcMar>
            <w:vAlign w:val="center"/>
          </w:tcPr>
          <w:p w14:paraId="21BAA796" w14:textId="77777777" w:rsidR="00FD1E19" w:rsidRDefault="00FD1E19" w:rsidP="00BE7E4A">
            <w:pPr>
              <w:pStyle w:val="DMETW37214BIPAGGNA"/>
              <w:jc w:val="center"/>
              <w:rPr>
                <w:rFonts w:ascii="Verdana" w:eastAsia="Verdana" w:hAnsi="Verdana" w:cs="Verdana"/>
                <w:noProof/>
                <w:color w:val="FFFFFF"/>
              </w:rPr>
            </w:pPr>
            <w:r>
              <w:rPr>
                <w:rFonts w:ascii="Verdana" w:eastAsia="Verdana" w:hAnsi="Verdana" w:cs="Verdana"/>
                <w:noProof/>
                <w:color w:val="FFFFFF"/>
              </w:rPr>
              <w:t>Uncalled funds - active EDFs (B)</w:t>
            </w:r>
          </w:p>
        </w:tc>
        <w:tc>
          <w:tcPr>
            <w:tcW w:w="1462" w:type="dxa"/>
            <w:tcBorders>
              <w:top w:val="nil"/>
              <w:left w:val="nil"/>
              <w:bottom w:val="nil"/>
              <w:right w:val="nil"/>
              <w:tl2br w:val="nil"/>
              <w:tr2bl w:val="nil"/>
            </w:tcBorders>
            <w:shd w:val="solid" w:color="016794" w:fill="FFFFFF"/>
            <w:tcMar>
              <w:left w:w="60" w:type="dxa"/>
              <w:right w:w="60" w:type="dxa"/>
            </w:tcMar>
            <w:vAlign w:val="center"/>
          </w:tcPr>
          <w:p w14:paraId="10BBFC43" w14:textId="77777777" w:rsidR="00FD1E19" w:rsidRDefault="00FD1E19" w:rsidP="00BE7E4A">
            <w:pPr>
              <w:pStyle w:val="DMETW37214BIPAGGNA"/>
              <w:jc w:val="center"/>
              <w:rPr>
                <w:rFonts w:ascii="Verdana" w:eastAsia="Verdana" w:hAnsi="Verdana" w:cs="Verdana"/>
                <w:noProof/>
                <w:color w:val="FFFFFF"/>
              </w:rPr>
            </w:pPr>
            <w:r>
              <w:rPr>
                <w:rFonts w:ascii="Verdana" w:eastAsia="Verdana" w:hAnsi="Verdana" w:cs="Verdana"/>
                <w:noProof/>
                <w:color w:val="FFFFFF"/>
              </w:rPr>
              <w:t>Called fund capital - active EDFs (C) = (A)-(B)</w:t>
            </w:r>
          </w:p>
        </w:tc>
        <w:tc>
          <w:tcPr>
            <w:tcW w:w="1603" w:type="dxa"/>
            <w:tcBorders>
              <w:top w:val="nil"/>
              <w:left w:val="nil"/>
              <w:bottom w:val="nil"/>
              <w:right w:val="nil"/>
              <w:tl2br w:val="nil"/>
              <w:tr2bl w:val="nil"/>
            </w:tcBorders>
            <w:shd w:val="solid" w:color="016794" w:fill="FFFFFF"/>
            <w:tcMar>
              <w:left w:w="60" w:type="dxa"/>
              <w:right w:w="60" w:type="dxa"/>
            </w:tcMar>
            <w:vAlign w:val="center"/>
          </w:tcPr>
          <w:p w14:paraId="16C956DB" w14:textId="77777777" w:rsidR="00FD1E19" w:rsidRDefault="00FD1E19" w:rsidP="00BE7E4A">
            <w:pPr>
              <w:pStyle w:val="DMETW37214BIPAGGNA"/>
              <w:jc w:val="center"/>
              <w:rPr>
                <w:rFonts w:ascii="Verdana" w:eastAsia="Verdana" w:hAnsi="Verdana" w:cs="Verdana"/>
                <w:noProof/>
                <w:color w:val="FFFFFF"/>
              </w:rPr>
            </w:pPr>
            <w:r>
              <w:rPr>
                <w:rFonts w:ascii="Verdana" w:eastAsia="Verdana" w:hAnsi="Verdana" w:cs="Verdana"/>
                <w:noProof/>
                <w:color w:val="FFFFFF"/>
              </w:rPr>
              <w:t>Cumulative reserves (D)</w:t>
            </w:r>
          </w:p>
        </w:tc>
        <w:tc>
          <w:tcPr>
            <w:tcW w:w="1755" w:type="dxa"/>
            <w:tcBorders>
              <w:top w:val="nil"/>
              <w:left w:val="nil"/>
              <w:bottom w:val="nil"/>
              <w:right w:val="nil"/>
              <w:tl2br w:val="nil"/>
              <w:tr2bl w:val="nil"/>
            </w:tcBorders>
            <w:shd w:val="solid" w:color="016794" w:fill="FFFFFF"/>
            <w:tcMar>
              <w:left w:w="60" w:type="dxa"/>
              <w:right w:w="60" w:type="dxa"/>
            </w:tcMar>
            <w:vAlign w:val="center"/>
          </w:tcPr>
          <w:p w14:paraId="4515D218" w14:textId="77777777" w:rsidR="00FD1E19" w:rsidRDefault="00FD1E19" w:rsidP="00BE7E4A">
            <w:pPr>
              <w:pStyle w:val="DMETW37214BIPAGGNA"/>
              <w:jc w:val="center"/>
              <w:rPr>
                <w:rFonts w:ascii="Verdana" w:eastAsia="Verdana" w:hAnsi="Verdana" w:cs="Verdana"/>
                <w:noProof/>
                <w:color w:val="FFFFFF"/>
              </w:rPr>
            </w:pPr>
            <w:r>
              <w:rPr>
                <w:rFonts w:ascii="Verdana" w:eastAsia="Verdana" w:hAnsi="Verdana" w:cs="Verdana"/>
                <w:noProof/>
                <w:color w:val="FFFFFF"/>
              </w:rPr>
              <w:t>Called fund capital from closed EDFs carried forward (E)</w:t>
            </w:r>
          </w:p>
        </w:tc>
        <w:tc>
          <w:tcPr>
            <w:tcW w:w="1254" w:type="dxa"/>
            <w:tcBorders>
              <w:top w:val="nil"/>
              <w:left w:val="nil"/>
              <w:bottom w:val="nil"/>
              <w:right w:val="nil"/>
              <w:tl2br w:val="nil"/>
              <w:tr2bl w:val="nil"/>
            </w:tcBorders>
            <w:shd w:val="solid" w:color="016794" w:fill="FFFFFF"/>
            <w:tcMar>
              <w:left w:w="60" w:type="dxa"/>
              <w:right w:w="60" w:type="dxa"/>
            </w:tcMar>
            <w:vAlign w:val="center"/>
          </w:tcPr>
          <w:p w14:paraId="7129C7F2" w14:textId="77777777" w:rsidR="00FD1E19" w:rsidRPr="00F72CC2" w:rsidRDefault="00FD1E19" w:rsidP="00BE7E4A">
            <w:pPr>
              <w:pStyle w:val="DMETW37214BIPAGGNA"/>
              <w:jc w:val="center"/>
              <w:rPr>
                <w:rFonts w:ascii="Verdana" w:eastAsia="Verdana" w:hAnsi="Verdana" w:cs="Verdana"/>
                <w:noProof/>
                <w:color w:val="FFFFFF"/>
                <w:lang w:val="fr-FR" w:bidi="en-GB"/>
              </w:rPr>
            </w:pPr>
            <w:r w:rsidRPr="00F72CC2">
              <w:rPr>
                <w:rFonts w:ascii="Verdana" w:eastAsia="Verdana" w:hAnsi="Verdana" w:cs="Verdana"/>
                <w:noProof/>
                <w:color w:val="FFFFFF"/>
                <w:lang w:val="fr-FR"/>
              </w:rPr>
              <w:t>Total net assets (C)+(D)+(E)</w:t>
            </w:r>
          </w:p>
        </w:tc>
      </w:tr>
      <w:tr w:rsidR="00FD1E19" w14:paraId="37F513AC" w14:textId="77777777" w:rsidTr="00BE7E4A">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14:paraId="734F0BAE" w14:textId="77777777" w:rsidR="00FD1E19" w:rsidRDefault="00FD1E19" w:rsidP="00BE7E4A">
            <w:pPr>
              <w:pStyle w:val="DMETW37214BIPAGGNA"/>
              <w:rPr>
                <w:rFonts w:ascii="Verdana" w:eastAsia="Verdana" w:hAnsi="Verdana" w:cs="Verdana"/>
                <w:b/>
                <w:noProof/>
                <w:color w:val="000000"/>
                <w:sz w:val="18"/>
              </w:rPr>
            </w:pPr>
            <w:r>
              <w:rPr>
                <w:rFonts w:ascii="Verdana" w:eastAsia="Verdana" w:hAnsi="Verdana" w:cs="Verdana"/>
                <w:b/>
                <w:noProof/>
                <w:color w:val="000000"/>
                <w:sz w:val="18"/>
              </w:rPr>
              <w:t>BALANCE AS AT 31.12.2023</w:t>
            </w:r>
          </w:p>
        </w:tc>
        <w:tc>
          <w:tcPr>
            <w:tcW w:w="1115" w:type="dxa"/>
            <w:tcBorders>
              <w:top w:val="nil"/>
              <w:left w:val="nil"/>
              <w:bottom w:val="nil"/>
              <w:right w:val="nil"/>
              <w:tl2br w:val="nil"/>
              <w:tr2bl w:val="nil"/>
            </w:tcBorders>
            <w:shd w:val="solid" w:color="CCE1EA" w:fill="FFFFFF"/>
            <w:tcMar>
              <w:left w:w="60" w:type="dxa"/>
              <w:right w:w="60" w:type="dxa"/>
            </w:tcMar>
            <w:vAlign w:val="bottom"/>
          </w:tcPr>
          <w:p w14:paraId="3A800108"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60 607</w:t>
            </w:r>
          </w:p>
        </w:tc>
        <w:tc>
          <w:tcPr>
            <w:tcW w:w="1014" w:type="dxa"/>
            <w:tcBorders>
              <w:top w:val="nil"/>
              <w:left w:val="nil"/>
              <w:bottom w:val="nil"/>
              <w:right w:val="nil"/>
              <w:tl2br w:val="nil"/>
              <w:tr2bl w:val="nil"/>
            </w:tcBorders>
            <w:shd w:val="solid" w:color="CCE1EA" w:fill="FFFFFF"/>
            <w:tcMar>
              <w:left w:w="60" w:type="dxa"/>
              <w:right w:w="60" w:type="dxa"/>
            </w:tcMar>
            <w:vAlign w:val="center"/>
          </w:tcPr>
          <w:p w14:paraId="5BB45C42"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6 040</w:t>
            </w:r>
          </w:p>
        </w:tc>
        <w:tc>
          <w:tcPr>
            <w:tcW w:w="1462" w:type="dxa"/>
            <w:tcBorders>
              <w:top w:val="nil"/>
              <w:left w:val="nil"/>
              <w:bottom w:val="nil"/>
              <w:right w:val="nil"/>
              <w:tl2br w:val="nil"/>
              <w:tr2bl w:val="nil"/>
            </w:tcBorders>
            <w:shd w:val="solid" w:color="CCE1EA" w:fill="FFFFFF"/>
            <w:tcMar>
              <w:left w:w="60" w:type="dxa"/>
              <w:right w:w="60" w:type="dxa"/>
            </w:tcMar>
            <w:vAlign w:val="center"/>
          </w:tcPr>
          <w:p w14:paraId="31442D57"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54 566</w:t>
            </w:r>
          </w:p>
        </w:tc>
        <w:tc>
          <w:tcPr>
            <w:tcW w:w="1603" w:type="dxa"/>
            <w:tcBorders>
              <w:top w:val="nil"/>
              <w:left w:val="nil"/>
              <w:bottom w:val="nil"/>
              <w:right w:val="nil"/>
              <w:tl2br w:val="nil"/>
              <w:tr2bl w:val="nil"/>
            </w:tcBorders>
            <w:shd w:val="solid" w:color="CCE1EA" w:fill="FFFFFF"/>
            <w:tcMar>
              <w:left w:w="60" w:type="dxa"/>
              <w:right w:w="60" w:type="dxa"/>
            </w:tcMar>
            <w:vAlign w:val="bottom"/>
          </w:tcPr>
          <w:p w14:paraId="1F8C2286"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(55 732)</w:t>
            </w:r>
          </w:p>
        </w:tc>
        <w:tc>
          <w:tcPr>
            <w:tcW w:w="1755" w:type="dxa"/>
            <w:tcBorders>
              <w:top w:val="nil"/>
              <w:left w:val="nil"/>
              <w:bottom w:val="nil"/>
              <w:right w:val="nil"/>
              <w:tl2br w:val="nil"/>
              <w:tr2bl w:val="nil"/>
            </w:tcBorders>
            <w:shd w:val="solid" w:color="CCE1EA" w:fill="FFFFFF"/>
            <w:tcMar>
              <w:left w:w="60" w:type="dxa"/>
              <w:right w:w="60" w:type="dxa"/>
            </w:tcMar>
            <w:vAlign w:val="bottom"/>
          </w:tcPr>
          <w:p w14:paraId="5E151FD5"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center"/>
          </w:tcPr>
          <w:p w14:paraId="6B730E36" w14:textId="77777777" w:rsidR="00FD1E19" w:rsidRDefault="00FD1E19" w:rsidP="00BE7E4A">
            <w:pPr>
              <w:pStyle w:val="DMETW37214BIPAGGNA"/>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1 086</w:t>
            </w:r>
          </w:p>
        </w:tc>
      </w:tr>
      <w:tr w:rsidR="00FD1E19" w14:paraId="3961D7E6" w14:textId="77777777" w:rsidTr="00BE7E4A">
        <w:trPr>
          <w:trHeight w:val="255"/>
        </w:trPr>
        <w:tc>
          <w:tcPr>
            <w:tcW w:w="3481" w:type="dxa"/>
            <w:tcBorders>
              <w:top w:val="nil"/>
              <w:left w:val="nil"/>
              <w:bottom w:val="nil"/>
              <w:right w:val="nil"/>
              <w:tl2br w:val="nil"/>
              <w:tr2bl w:val="nil"/>
            </w:tcBorders>
            <w:shd w:val="clear" w:color="auto" w:fill="auto"/>
            <w:tcMar>
              <w:left w:w="60" w:type="dxa"/>
              <w:right w:w="60" w:type="dxa"/>
            </w:tcMar>
            <w:vAlign w:val="center"/>
          </w:tcPr>
          <w:p w14:paraId="5000703F" w14:textId="77777777" w:rsidR="00FD1E19" w:rsidRDefault="00FD1E19" w:rsidP="00BE7E4A">
            <w:pPr>
              <w:pStyle w:val="DMETW37214BIPAGGNA"/>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115" w:type="dxa"/>
            <w:tcBorders>
              <w:top w:val="nil"/>
              <w:left w:val="nil"/>
              <w:bottom w:val="nil"/>
              <w:right w:val="nil"/>
              <w:tl2br w:val="nil"/>
              <w:tr2bl w:val="nil"/>
            </w:tcBorders>
            <w:shd w:val="clear" w:color="auto" w:fill="auto"/>
            <w:tcMar>
              <w:left w:w="60" w:type="dxa"/>
              <w:right w:w="60" w:type="dxa"/>
            </w:tcMar>
            <w:vAlign w:val="bottom"/>
          </w:tcPr>
          <w:p w14:paraId="3BDEF4A8"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(62)</w:t>
            </w:r>
          </w:p>
        </w:tc>
        <w:tc>
          <w:tcPr>
            <w:tcW w:w="1014" w:type="dxa"/>
            <w:tcBorders>
              <w:top w:val="nil"/>
              <w:left w:val="nil"/>
              <w:bottom w:val="nil"/>
              <w:right w:val="nil"/>
              <w:tl2br w:val="nil"/>
              <w:tr2bl w:val="nil"/>
            </w:tcBorders>
            <w:shd w:val="clear" w:color="auto" w:fill="auto"/>
            <w:tcMar>
              <w:left w:w="60" w:type="dxa"/>
              <w:right w:w="60" w:type="dxa"/>
            </w:tcMar>
            <w:vAlign w:val="bottom"/>
          </w:tcPr>
          <w:p w14:paraId="735CADB7"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(1 200)</w:t>
            </w:r>
          </w:p>
        </w:tc>
        <w:tc>
          <w:tcPr>
            <w:tcW w:w="1462" w:type="dxa"/>
            <w:tcBorders>
              <w:top w:val="nil"/>
              <w:left w:val="nil"/>
              <w:bottom w:val="nil"/>
              <w:right w:val="nil"/>
              <w:tl2br w:val="nil"/>
              <w:tr2bl w:val="nil"/>
            </w:tcBorders>
            <w:shd w:val="clear" w:color="auto" w:fill="auto"/>
            <w:tcMar>
              <w:left w:w="60" w:type="dxa"/>
              <w:right w:w="60" w:type="dxa"/>
            </w:tcMar>
            <w:vAlign w:val="bottom"/>
          </w:tcPr>
          <w:p w14:paraId="458139C5"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1 138</w:t>
            </w:r>
          </w:p>
        </w:tc>
        <w:tc>
          <w:tcPr>
            <w:tcW w:w="1603" w:type="dxa"/>
            <w:tcBorders>
              <w:top w:val="nil"/>
              <w:left w:val="nil"/>
              <w:bottom w:val="nil"/>
              <w:right w:val="nil"/>
              <w:tl2br w:val="nil"/>
              <w:tr2bl w:val="nil"/>
            </w:tcBorders>
            <w:shd w:val="clear" w:color="auto" w:fill="auto"/>
            <w:tcMar>
              <w:left w:w="60" w:type="dxa"/>
              <w:right w:w="60" w:type="dxa"/>
            </w:tcMar>
            <w:vAlign w:val="bottom"/>
          </w:tcPr>
          <w:p w14:paraId="099210D0"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55" w:type="dxa"/>
            <w:tcBorders>
              <w:top w:val="nil"/>
              <w:left w:val="nil"/>
              <w:bottom w:val="nil"/>
              <w:right w:val="nil"/>
              <w:tl2br w:val="nil"/>
              <w:tr2bl w:val="nil"/>
            </w:tcBorders>
            <w:shd w:val="clear" w:color="auto" w:fill="auto"/>
            <w:tcMar>
              <w:left w:w="60" w:type="dxa"/>
              <w:right w:w="60" w:type="dxa"/>
            </w:tcMar>
            <w:vAlign w:val="bottom"/>
          </w:tcPr>
          <w:p w14:paraId="439BB1A9"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54" w:type="dxa"/>
            <w:tcBorders>
              <w:top w:val="nil"/>
              <w:left w:val="nil"/>
              <w:bottom w:val="nil"/>
              <w:right w:val="nil"/>
              <w:tl2br w:val="nil"/>
              <w:tr2bl w:val="nil"/>
            </w:tcBorders>
            <w:shd w:val="clear" w:color="auto" w:fill="auto"/>
            <w:tcMar>
              <w:left w:w="60" w:type="dxa"/>
              <w:right w:w="60" w:type="dxa"/>
            </w:tcMar>
            <w:vAlign w:val="bottom"/>
          </w:tcPr>
          <w:p w14:paraId="46FB7FC7" w14:textId="77777777" w:rsidR="00FD1E19" w:rsidRDefault="00FD1E19" w:rsidP="00BE7E4A">
            <w:pPr>
              <w:pStyle w:val="DMETW37214BIPAGG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1 138</w:t>
            </w:r>
          </w:p>
        </w:tc>
      </w:tr>
      <w:tr w:rsidR="00FD1E19" w14:paraId="618E2C22" w14:textId="77777777" w:rsidTr="00BE7E4A">
        <w:trPr>
          <w:trHeight w:val="255"/>
        </w:trPr>
        <w:tc>
          <w:tcPr>
            <w:tcW w:w="3481" w:type="dxa"/>
            <w:tcBorders>
              <w:top w:val="nil"/>
              <w:left w:val="nil"/>
              <w:bottom w:val="nil"/>
              <w:right w:val="nil"/>
              <w:tl2br w:val="nil"/>
              <w:tr2bl w:val="nil"/>
            </w:tcBorders>
            <w:shd w:val="clear" w:color="auto" w:fill="auto"/>
            <w:tcMar>
              <w:left w:w="60" w:type="dxa"/>
              <w:right w:w="60" w:type="dxa"/>
            </w:tcMar>
            <w:vAlign w:val="center"/>
          </w:tcPr>
          <w:p w14:paraId="79A46DE4" w14:textId="77777777" w:rsidR="00FD1E19" w:rsidRDefault="00FD1E19" w:rsidP="00BE7E4A">
            <w:pPr>
              <w:pStyle w:val="DMETW37214BIPAGGNA"/>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115" w:type="dxa"/>
            <w:tcBorders>
              <w:top w:val="nil"/>
              <w:left w:val="nil"/>
              <w:bottom w:val="nil"/>
              <w:right w:val="nil"/>
              <w:tl2br w:val="nil"/>
              <w:tr2bl w:val="nil"/>
            </w:tcBorders>
            <w:shd w:val="clear" w:color="auto" w:fill="auto"/>
            <w:tcMar>
              <w:left w:w="60" w:type="dxa"/>
              <w:right w:w="60" w:type="dxa"/>
            </w:tcMar>
            <w:vAlign w:val="bottom"/>
          </w:tcPr>
          <w:p w14:paraId="3418ADC7"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14" w:type="dxa"/>
            <w:tcBorders>
              <w:top w:val="nil"/>
              <w:left w:val="nil"/>
              <w:bottom w:val="nil"/>
              <w:right w:val="nil"/>
              <w:tl2br w:val="nil"/>
              <w:tr2bl w:val="nil"/>
            </w:tcBorders>
            <w:shd w:val="clear" w:color="auto" w:fill="auto"/>
            <w:tcMar>
              <w:left w:w="60" w:type="dxa"/>
              <w:right w:w="60" w:type="dxa"/>
            </w:tcMar>
            <w:vAlign w:val="bottom"/>
          </w:tcPr>
          <w:p w14:paraId="31CF7F24"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62" w:type="dxa"/>
            <w:tcBorders>
              <w:top w:val="nil"/>
              <w:left w:val="nil"/>
              <w:bottom w:val="nil"/>
              <w:right w:val="nil"/>
              <w:tl2br w:val="nil"/>
              <w:tr2bl w:val="nil"/>
            </w:tcBorders>
            <w:shd w:val="clear" w:color="auto" w:fill="auto"/>
            <w:tcMar>
              <w:left w:w="60" w:type="dxa"/>
              <w:right w:w="60" w:type="dxa"/>
            </w:tcMar>
            <w:vAlign w:val="bottom"/>
          </w:tcPr>
          <w:p w14:paraId="004D4560"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03" w:type="dxa"/>
            <w:tcBorders>
              <w:top w:val="nil"/>
              <w:left w:val="nil"/>
              <w:bottom w:val="nil"/>
              <w:right w:val="nil"/>
              <w:tl2br w:val="nil"/>
              <w:tr2bl w:val="nil"/>
            </w:tcBorders>
            <w:shd w:val="clear" w:color="auto" w:fill="auto"/>
            <w:tcMar>
              <w:left w:w="60" w:type="dxa"/>
              <w:right w:w="60" w:type="dxa"/>
            </w:tcMar>
            <w:vAlign w:val="bottom"/>
          </w:tcPr>
          <w:p w14:paraId="2F6B1751"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(1 240)</w:t>
            </w:r>
          </w:p>
        </w:tc>
        <w:tc>
          <w:tcPr>
            <w:tcW w:w="1755" w:type="dxa"/>
            <w:tcBorders>
              <w:top w:val="nil"/>
              <w:left w:val="nil"/>
              <w:bottom w:val="nil"/>
              <w:right w:val="nil"/>
              <w:tl2br w:val="nil"/>
              <w:tr2bl w:val="nil"/>
            </w:tcBorders>
            <w:shd w:val="clear" w:color="auto" w:fill="auto"/>
            <w:tcMar>
              <w:left w:w="60" w:type="dxa"/>
              <w:right w:w="60" w:type="dxa"/>
            </w:tcMar>
            <w:vAlign w:val="bottom"/>
          </w:tcPr>
          <w:p w14:paraId="3A6A550C"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54" w:type="dxa"/>
            <w:tcBorders>
              <w:top w:val="nil"/>
              <w:left w:val="nil"/>
              <w:bottom w:val="nil"/>
              <w:right w:val="nil"/>
              <w:tl2br w:val="nil"/>
              <w:tr2bl w:val="nil"/>
            </w:tcBorders>
            <w:shd w:val="clear" w:color="auto" w:fill="auto"/>
            <w:tcMar>
              <w:left w:w="60" w:type="dxa"/>
              <w:right w:w="60" w:type="dxa"/>
            </w:tcMar>
            <w:vAlign w:val="bottom"/>
          </w:tcPr>
          <w:p w14:paraId="1C4D6E53" w14:textId="77777777" w:rsidR="00FD1E19" w:rsidRDefault="00FD1E19" w:rsidP="00BE7E4A">
            <w:pPr>
              <w:pStyle w:val="DMETW37214BIPAGG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(1 240)</w:t>
            </w:r>
          </w:p>
        </w:tc>
      </w:tr>
      <w:tr w:rsidR="00FD1E19" w14:paraId="774F28B3" w14:textId="77777777" w:rsidTr="00BE7E4A">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14:paraId="26400738" w14:textId="77777777" w:rsidR="00FD1E19" w:rsidRDefault="00FD1E19" w:rsidP="00BE7E4A">
            <w:pPr>
              <w:pStyle w:val="DMETW37214BIPAGGNA"/>
              <w:rPr>
                <w:rFonts w:ascii="Verdana" w:eastAsia="Verdana" w:hAnsi="Verdana" w:cs="Verdana"/>
                <w:b/>
                <w:noProof/>
                <w:color w:val="000000"/>
                <w:sz w:val="18"/>
              </w:rPr>
            </w:pPr>
            <w:r>
              <w:rPr>
                <w:rFonts w:ascii="Verdana" w:eastAsia="Verdana" w:hAnsi="Verdana" w:cs="Verdana"/>
                <w:b/>
                <w:noProof/>
                <w:color w:val="000000"/>
                <w:sz w:val="18"/>
              </w:rPr>
              <w:t>BALANCE AS AT 31.12.2024</w:t>
            </w:r>
          </w:p>
        </w:tc>
        <w:tc>
          <w:tcPr>
            <w:tcW w:w="1115" w:type="dxa"/>
            <w:tcBorders>
              <w:top w:val="nil"/>
              <w:left w:val="nil"/>
              <w:bottom w:val="nil"/>
              <w:right w:val="nil"/>
              <w:tl2br w:val="nil"/>
              <w:tr2bl w:val="nil"/>
            </w:tcBorders>
            <w:shd w:val="solid" w:color="CCE1EA" w:fill="FFFFFF"/>
            <w:tcMar>
              <w:left w:w="60" w:type="dxa"/>
              <w:right w:w="60" w:type="dxa"/>
            </w:tcMar>
            <w:vAlign w:val="bottom"/>
          </w:tcPr>
          <w:p w14:paraId="0161B448"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60 544</w:t>
            </w:r>
          </w:p>
        </w:tc>
        <w:tc>
          <w:tcPr>
            <w:tcW w:w="1014" w:type="dxa"/>
            <w:tcBorders>
              <w:top w:val="nil"/>
              <w:left w:val="nil"/>
              <w:bottom w:val="nil"/>
              <w:right w:val="nil"/>
              <w:tl2br w:val="nil"/>
              <w:tr2bl w:val="nil"/>
            </w:tcBorders>
            <w:shd w:val="solid" w:color="CCE1EA" w:fill="FFFFFF"/>
            <w:tcMar>
              <w:left w:w="60" w:type="dxa"/>
              <w:right w:w="60" w:type="dxa"/>
            </w:tcMar>
            <w:vAlign w:val="bottom"/>
          </w:tcPr>
          <w:p w14:paraId="1C4DE5D5"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4 840</w:t>
            </w:r>
          </w:p>
        </w:tc>
        <w:tc>
          <w:tcPr>
            <w:tcW w:w="1462" w:type="dxa"/>
            <w:tcBorders>
              <w:top w:val="nil"/>
              <w:left w:val="nil"/>
              <w:bottom w:val="nil"/>
              <w:right w:val="nil"/>
              <w:tl2br w:val="nil"/>
              <w:tr2bl w:val="nil"/>
            </w:tcBorders>
            <w:shd w:val="solid" w:color="CCE1EA" w:fill="FFFFFF"/>
            <w:tcMar>
              <w:left w:w="60" w:type="dxa"/>
              <w:right w:w="60" w:type="dxa"/>
            </w:tcMar>
            <w:vAlign w:val="bottom"/>
          </w:tcPr>
          <w:p w14:paraId="7376CE48"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55 704</w:t>
            </w:r>
          </w:p>
        </w:tc>
        <w:tc>
          <w:tcPr>
            <w:tcW w:w="1603" w:type="dxa"/>
            <w:tcBorders>
              <w:top w:val="nil"/>
              <w:left w:val="nil"/>
              <w:bottom w:val="nil"/>
              <w:right w:val="nil"/>
              <w:tl2br w:val="nil"/>
              <w:tr2bl w:val="nil"/>
            </w:tcBorders>
            <w:shd w:val="solid" w:color="CCE1EA" w:fill="FFFFFF"/>
            <w:tcMar>
              <w:left w:w="60" w:type="dxa"/>
              <w:right w:w="60" w:type="dxa"/>
            </w:tcMar>
            <w:vAlign w:val="bottom"/>
          </w:tcPr>
          <w:p w14:paraId="2FD48473"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(56 973)</w:t>
            </w:r>
          </w:p>
        </w:tc>
        <w:tc>
          <w:tcPr>
            <w:tcW w:w="1755" w:type="dxa"/>
            <w:tcBorders>
              <w:top w:val="nil"/>
              <w:left w:val="nil"/>
              <w:bottom w:val="nil"/>
              <w:right w:val="nil"/>
              <w:tl2br w:val="nil"/>
              <w:tr2bl w:val="nil"/>
            </w:tcBorders>
            <w:shd w:val="solid" w:color="CCE1EA" w:fill="FFFFFF"/>
            <w:tcMar>
              <w:left w:w="60" w:type="dxa"/>
              <w:right w:w="60" w:type="dxa"/>
            </w:tcMar>
            <w:vAlign w:val="bottom"/>
          </w:tcPr>
          <w:p w14:paraId="06E9FB62"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center"/>
          </w:tcPr>
          <w:p w14:paraId="595D9CA4" w14:textId="77777777" w:rsidR="00FD1E19" w:rsidRDefault="00FD1E19" w:rsidP="00BE7E4A">
            <w:pPr>
              <w:pStyle w:val="DMETW37214BIPAGGNA"/>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983</w:t>
            </w:r>
          </w:p>
        </w:tc>
      </w:tr>
      <w:tr w:rsidR="00FD1E19" w14:paraId="5F9FA7C8" w14:textId="77777777" w:rsidTr="00BE7E4A">
        <w:trPr>
          <w:trHeight w:val="255"/>
        </w:trPr>
        <w:tc>
          <w:tcPr>
            <w:tcW w:w="3481" w:type="dxa"/>
            <w:tcBorders>
              <w:top w:val="nil"/>
              <w:left w:val="nil"/>
              <w:bottom w:val="nil"/>
              <w:right w:val="nil"/>
              <w:tl2br w:val="nil"/>
              <w:tr2bl w:val="nil"/>
            </w:tcBorders>
            <w:shd w:val="clear" w:color="auto" w:fill="auto"/>
            <w:tcMar>
              <w:left w:w="60" w:type="dxa"/>
              <w:right w:w="60" w:type="dxa"/>
            </w:tcMar>
            <w:vAlign w:val="center"/>
          </w:tcPr>
          <w:p w14:paraId="32D95529" w14:textId="77777777" w:rsidR="00FD1E19" w:rsidRDefault="00FD1E19" w:rsidP="00BE7E4A">
            <w:pPr>
              <w:pStyle w:val="DMETW37214BIPAGGNA"/>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115" w:type="dxa"/>
            <w:tcBorders>
              <w:top w:val="nil"/>
              <w:left w:val="nil"/>
              <w:bottom w:val="nil"/>
              <w:right w:val="nil"/>
              <w:tl2br w:val="nil"/>
              <w:tr2bl w:val="nil"/>
            </w:tcBorders>
            <w:shd w:val="clear" w:color="auto" w:fill="auto"/>
            <w:tcMar>
              <w:left w:w="60" w:type="dxa"/>
              <w:right w:w="60" w:type="dxa"/>
            </w:tcMar>
            <w:vAlign w:val="bottom"/>
          </w:tcPr>
          <w:p w14:paraId="56A4E2BB"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014" w:type="dxa"/>
            <w:tcBorders>
              <w:top w:val="nil"/>
              <w:left w:val="nil"/>
              <w:bottom w:val="nil"/>
              <w:right w:val="nil"/>
              <w:tl2br w:val="nil"/>
              <w:tr2bl w:val="nil"/>
            </w:tcBorders>
            <w:shd w:val="clear" w:color="auto" w:fill="auto"/>
            <w:tcMar>
              <w:left w:w="60" w:type="dxa"/>
              <w:right w:w="60" w:type="dxa"/>
            </w:tcMar>
            <w:vAlign w:val="bottom"/>
          </w:tcPr>
          <w:p w14:paraId="0E9AFBCD"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(800)</w:t>
            </w:r>
          </w:p>
        </w:tc>
        <w:tc>
          <w:tcPr>
            <w:tcW w:w="1462" w:type="dxa"/>
            <w:tcBorders>
              <w:top w:val="nil"/>
              <w:left w:val="nil"/>
              <w:bottom w:val="nil"/>
              <w:right w:val="nil"/>
              <w:tl2br w:val="nil"/>
              <w:tr2bl w:val="nil"/>
            </w:tcBorders>
            <w:shd w:val="clear" w:color="auto" w:fill="auto"/>
            <w:tcMar>
              <w:left w:w="60" w:type="dxa"/>
              <w:right w:w="60" w:type="dxa"/>
            </w:tcMar>
            <w:vAlign w:val="bottom"/>
          </w:tcPr>
          <w:p w14:paraId="6ABA8F1C"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784</w:t>
            </w:r>
          </w:p>
        </w:tc>
        <w:tc>
          <w:tcPr>
            <w:tcW w:w="1603" w:type="dxa"/>
            <w:tcBorders>
              <w:top w:val="nil"/>
              <w:left w:val="nil"/>
              <w:bottom w:val="nil"/>
              <w:right w:val="nil"/>
              <w:tl2br w:val="nil"/>
              <w:tr2bl w:val="nil"/>
            </w:tcBorders>
            <w:shd w:val="clear" w:color="auto" w:fill="auto"/>
            <w:tcMar>
              <w:left w:w="60" w:type="dxa"/>
              <w:right w:w="60" w:type="dxa"/>
            </w:tcMar>
            <w:vAlign w:val="bottom"/>
          </w:tcPr>
          <w:p w14:paraId="12110263"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55" w:type="dxa"/>
            <w:tcBorders>
              <w:top w:val="nil"/>
              <w:left w:val="nil"/>
              <w:bottom w:val="nil"/>
              <w:right w:val="nil"/>
              <w:tl2br w:val="nil"/>
              <w:tr2bl w:val="nil"/>
            </w:tcBorders>
            <w:shd w:val="clear" w:color="auto" w:fill="auto"/>
            <w:tcMar>
              <w:left w:w="60" w:type="dxa"/>
              <w:right w:w="60" w:type="dxa"/>
            </w:tcMar>
            <w:vAlign w:val="bottom"/>
          </w:tcPr>
          <w:p w14:paraId="319541F1"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54" w:type="dxa"/>
            <w:tcBorders>
              <w:top w:val="nil"/>
              <w:left w:val="nil"/>
              <w:bottom w:val="nil"/>
              <w:right w:val="nil"/>
              <w:tl2br w:val="nil"/>
              <w:tr2bl w:val="nil"/>
            </w:tcBorders>
            <w:shd w:val="clear" w:color="auto" w:fill="auto"/>
            <w:tcMar>
              <w:left w:w="60" w:type="dxa"/>
              <w:right w:w="60" w:type="dxa"/>
            </w:tcMar>
            <w:vAlign w:val="bottom"/>
          </w:tcPr>
          <w:p w14:paraId="460F9A4F" w14:textId="77777777" w:rsidR="00FD1E19" w:rsidRDefault="00FD1E19" w:rsidP="00BE7E4A">
            <w:pPr>
              <w:pStyle w:val="DMETW37214BIPAGG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784</w:t>
            </w:r>
          </w:p>
        </w:tc>
      </w:tr>
      <w:tr w:rsidR="00FD1E19" w14:paraId="23F822EF" w14:textId="77777777" w:rsidTr="00BE7E4A">
        <w:trPr>
          <w:trHeight w:val="255"/>
        </w:trPr>
        <w:tc>
          <w:tcPr>
            <w:tcW w:w="3481" w:type="dxa"/>
            <w:tcBorders>
              <w:top w:val="nil"/>
              <w:left w:val="nil"/>
              <w:bottom w:val="nil"/>
              <w:right w:val="nil"/>
              <w:tl2br w:val="nil"/>
              <w:tr2bl w:val="nil"/>
            </w:tcBorders>
            <w:shd w:val="clear" w:color="auto" w:fill="auto"/>
            <w:tcMar>
              <w:left w:w="60" w:type="dxa"/>
              <w:right w:w="60" w:type="dxa"/>
            </w:tcMar>
            <w:vAlign w:val="center"/>
          </w:tcPr>
          <w:p w14:paraId="0AF490C1" w14:textId="77777777" w:rsidR="00FD1E19" w:rsidRDefault="00FD1E19" w:rsidP="00BE7E4A">
            <w:pPr>
              <w:pStyle w:val="DMETW37214BIPAGGNA"/>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115" w:type="dxa"/>
            <w:tcBorders>
              <w:top w:val="nil"/>
              <w:left w:val="nil"/>
              <w:bottom w:val="nil"/>
              <w:right w:val="nil"/>
              <w:tl2br w:val="nil"/>
              <w:tr2bl w:val="nil"/>
            </w:tcBorders>
            <w:shd w:val="clear" w:color="auto" w:fill="auto"/>
            <w:tcMar>
              <w:left w:w="60" w:type="dxa"/>
              <w:right w:w="60" w:type="dxa"/>
            </w:tcMar>
            <w:vAlign w:val="bottom"/>
          </w:tcPr>
          <w:p w14:paraId="63620192"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14" w:type="dxa"/>
            <w:tcBorders>
              <w:top w:val="nil"/>
              <w:left w:val="nil"/>
              <w:bottom w:val="nil"/>
              <w:right w:val="nil"/>
              <w:tl2br w:val="nil"/>
              <w:tr2bl w:val="nil"/>
            </w:tcBorders>
            <w:shd w:val="clear" w:color="auto" w:fill="auto"/>
            <w:tcMar>
              <w:left w:w="60" w:type="dxa"/>
              <w:right w:w="60" w:type="dxa"/>
            </w:tcMar>
            <w:vAlign w:val="bottom"/>
          </w:tcPr>
          <w:p w14:paraId="41E3267D"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62" w:type="dxa"/>
            <w:tcBorders>
              <w:top w:val="nil"/>
              <w:left w:val="nil"/>
              <w:bottom w:val="nil"/>
              <w:right w:val="nil"/>
              <w:tl2br w:val="nil"/>
              <w:tr2bl w:val="nil"/>
            </w:tcBorders>
            <w:shd w:val="clear" w:color="auto" w:fill="auto"/>
            <w:tcMar>
              <w:left w:w="60" w:type="dxa"/>
              <w:right w:w="60" w:type="dxa"/>
            </w:tcMar>
            <w:vAlign w:val="bottom"/>
          </w:tcPr>
          <w:p w14:paraId="42486B31"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03" w:type="dxa"/>
            <w:tcBorders>
              <w:top w:val="nil"/>
              <w:left w:val="nil"/>
              <w:bottom w:val="nil"/>
              <w:right w:val="nil"/>
              <w:tl2br w:val="nil"/>
              <w:tr2bl w:val="nil"/>
            </w:tcBorders>
            <w:shd w:val="clear" w:color="auto" w:fill="auto"/>
            <w:tcMar>
              <w:left w:w="60" w:type="dxa"/>
              <w:right w:w="60" w:type="dxa"/>
            </w:tcMar>
            <w:vAlign w:val="bottom"/>
          </w:tcPr>
          <w:p w14:paraId="6F451236"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 xml:space="preserve"> (1 094)</w:t>
            </w:r>
          </w:p>
        </w:tc>
        <w:tc>
          <w:tcPr>
            <w:tcW w:w="1755" w:type="dxa"/>
            <w:tcBorders>
              <w:top w:val="nil"/>
              <w:left w:val="nil"/>
              <w:bottom w:val="nil"/>
              <w:right w:val="nil"/>
              <w:tl2br w:val="nil"/>
              <w:tr2bl w:val="nil"/>
            </w:tcBorders>
            <w:shd w:val="clear" w:color="auto" w:fill="auto"/>
            <w:tcMar>
              <w:left w:w="60" w:type="dxa"/>
              <w:right w:w="60" w:type="dxa"/>
            </w:tcMar>
            <w:vAlign w:val="bottom"/>
          </w:tcPr>
          <w:p w14:paraId="47D89289" w14:textId="77777777" w:rsidR="00FD1E19" w:rsidRDefault="00FD1E19" w:rsidP="00BE7E4A">
            <w:pPr>
              <w:pStyle w:val="DMETW37214BIPAGG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54" w:type="dxa"/>
            <w:tcBorders>
              <w:top w:val="nil"/>
              <w:left w:val="nil"/>
              <w:bottom w:val="nil"/>
              <w:right w:val="nil"/>
              <w:tl2br w:val="nil"/>
              <w:tr2bl w:val="nil"/>
            </w:tcBorders>
            <w:shd w:val="clear" w:color="auto" w:fill="auto"/>
            <w:tcMar>
              <w:left w:w="60" w:type="dxa"/>
              <w:right w:w="60" w:type="dxa"/>
            </w:tcMar>
            <w:vAlign w:val="bottom"/>
          </w:tcPr>
          <w:p w14:paraId="5A7A616B" w14:textId="77777777" w:rsidR="00FD1E19" w:rsidRDefault="00FD1E19" w:rsidP="00BE7E4A">
            <w:pPr>
              <w:pStyle w:val="DMETW37214BIPAGG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(1 094)</w:t>
            </w:r>
          </w:p>
        </w:tc>
      </w:tr>
      <w:tr w:rsidR="00FD1E19" w14:paraId="131B4564" w14:textId="77777777" w:rsidTr="00BE7E4A">
        <w:trPr>
          <w:trHeight w:val="255"/>
        </w:trPr>
        <w:tc>
          <w:tcPr>
            <w:tcW w:w="3481" w:type="dxa"/>
            <w:tcBorders>
              <w:top w:val="nil"/>
              <w:left w:val="nil"/>
              <w:bottom w:val="nil"/>
              <w:right w:val="nil"/>
              <w:tl2br w:val="nil"/>
              <w:tr2bl w:val="nil"/>
            </w:tcBorders>
            <w:shd w:val="solid" w:color="CCE1EA" w:fill="FFFFFF"/>
            <w:tcMar>
              <w:left w:w="60" w:type="dxa"/>
              <w:right w:w="60" w:type="dxa"/>
            </w:tcMar>
            <w:vAlign w:val="bottom"/>
          </w:tcPr>
          <w:p w14:paraId="0160F53B" w14:textId="77777777" w:rsidR="00FD1E19" w:rsidRDefault="00FD1E19" w:rsidP="00BE7E4A">
            <w:pPr>
              <w:pStyle w:val="DMETW37214BIPAGGNA"/>
              <w:rPr>
                <w:rFonts w:ascii="Verdana" w:eastAsia="Verdana" w:hAnsi="Verdana" w:cs="Verdana"/>
                <w:b/>
                <w:noProof/>
                <w:color w:val="000000"/>
                <w:sz w:val="18"/>
              </w:rPr>
            </w:pPr>
            <w:r>
              <w:rPr>
                <w:rFonts w:ascii="Verdana" w:eastAsia="Verdana" w:hAnsi="Verdana" w:cs="Verdana"/>
                <w:b/>
                <w:noProof/>
                <w:color w:val="000000"/>
                <w:sz w:val="18"/>
              </w:rPr>
              <w:t>BALANCE AS AT 31.12.2025</w:t>
            </w:r>
          </w:p>
        </w:tc>
        <w:tc>
          <w:tcPr>
            <w:tcW w:w="1115" w:type="dxa"/>
            <w:tcBorders>
              <w:top w:val="nil"/>
              <w:left w:val="nil"/>
              <w:bottom w:val="nil"/>
              <w:right w:val="nil"/>
              <w:tl2br w:val="nil"/>
              <w:tr2bl w:val="nil"/>
            </w:tcBorders>
            <w:shd w:val="solid" w:color="CCE1EA" w:fill="FFFFFF"/>
            <w:tcMar>
              <w:left w:w="60" w:type="dxa"/>
              <w:right w:w="60" w:type="dxa"/>
            </w:tcMar>
            <w:vAlign w:val="bottom"/>
          </w:tcPr>
          <w:p w14:paraId="7FAC9A11"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60 528</w:t>
            </w:r>
          </w:p>
        </w:tc>
        <w:tc>
          <w:tcPr>
            <w:tcW w:w="1014" w:type="dxa"/>
            <w:tcBorders>
              <w:top w:val="nil"/>
              <w:left w:val="nil"/>
              <w:bottom w:val="nil"/>
              <w:right w:val="nil"/>
              <w:tl2br w:val="nil"/>
              <w:tr2bl w:val="nil"/>
            </w:tcBorders>
            <w:shd w:val="solid" w:color="CCE1EA" w:fill="FFFFFF"/>
            <w:tcMar>
              <w:left w:w="60" w:type="dxa"/>
              <w:right w:w="60" w:type="dxa"/>
            </w:tcMar>
            <w:vAlign w:val="bottom"/>
          </w:tcPr>
          <w:p w14:paraId="1B9F82E1"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4 040</w:t>
            </w:r>
          </w:p>
        </w:tc>
        <w:tc>
          <w:tcPr>
            <w:tcW w:w="1462" w:type="dxa"/>
            <w:tcBorders>
              <w:top w:val="nil"/>
              <w:left w:val="nil"/>
              <w:bottom w:val="nil"/>
              <w:right w:val="nil"/>
              <w:tl2br w:val="nil"/>
              <w:tr2bl w:val="nil"/>
            </w:tcBorders>
            <w:shd w:val="solid" w:color="CCE1EA" w:fill="FFFFFF"/>
            <w:tcMar>
              <w:left w:w="60" w:type="dxa"/>
              <w:right w:w="60" w:type="dxa"/>
            </w:tcMar>
            <w:vAlign w:val="bottom"/>
          </w:tcPr>
          <w:p w14:paraId="516CA4C4"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56 488</w:t>
            </w:r>
          </w:p>
        </w:tc>
        <w:tc>
          <w:tcPr>
            <w:tcW w:w="1603" w:type="dxa"/>
            <w:tcBorders>
              <w:top w:val="nil"/>
              <w:left w:val="nil"/>
              <w:bottom w:val="nil"/>
              <w:right w:val="nil"/>
              <w:tl2br w:val="nil"/>
              <w:tr2bl w:val="nil"/>
            </w:tcBorders>
            <w:shd w:val="solid" w:color="CCE1EA" w:fill="FFFFFF"/>
            <w:tcMar>
              <w:left w:w="60" w:type="dxa"/>
              <w:right w:w="60" w:type="dxa"/>
            </w:tcMar>
            <w:vAlign w:val="bottom"/>
          </w:tcPr>
          <w:p w14:paraId="4FF9C16D"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(58 066)</w:t>
            </w:r>
          </w:p>
        </w:tc>
        <w:tc>
          <w:tcPr>
            <w:tcW w:w="1755" w:type="dxa"/>
            <w:tcBorders>
              <w:top w:val="nil"/>
              <w:left w:val="nil"/>
              <w:bottom w:val="nil"/>
              <w:right w:val="nil"/>
              <w:tl2br w:val="nil"/>
              <w:tr2bl w:val="nil"/>
            </w:tcBorders>
            <w:shd w:val="solid" w:color="CCE1EA" w:fill="FFFFFF"/>
            <w:tcMar>
              <w:left w:w="60" w:type="dxa"/>
              <w:right w:w="60" w:type="dxa"/>
            </w:tcMar>
            <w:vAlign w:val="bottom"/>
          </w:tcPr>
          <w:p w14:paraId="3B7E64B7"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254" w:type="dxa"/>
            <w:tcBorders>
              <w:top w:val="nil"/>
              <w:left w:val="nil"/>
              <w:bottom w:val="nil"/>
              <w:right w:val="nil"/>
              <w:tl2br w:val="nil"/>
              <w:tr2bl w:val="nil"/>
            </w:tcBorders>
            <w:shd w:val="solid" w:color="CCE1EA" w:fill="FFFFFF"/>
            <w:tcMar>
              <w:left w:w="60" w:type="dxa"/>
              <w:right w:w="60" w:type="dxa"/>
            </w:tcMar>
            <w:vAlign w:val="bottom"/>
          </w:tcPr>
          <w:p w14:paraId="7AEA8C74" w14:textId="77777777" w:rsidR="00FD1E19" w:rsidRDefault="00FD1E19" w:rsidP="00BE7E4A">
            <w:pPr>
              <w:pStyle w:val="DMETW37214BIPAGGNA"/>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r>
    </w:tbl>
    <w:p w14:paraId="1841BB90" w14:textId="77777777" w:rsidR="00FD1E19" w:rsidRDefault="00FD1E19" w:rsidP="00FD1E19">
      <w:pPr>
        <w:pStyle w:val="Textstand-alone"/>
      </w:pPr>
    </w:p>
    <w:p w14:paraId="2CC53990" w14:textId="77777777" w:rsidR="00FD1E19" w:rsidRDefault="00FD1E19" w:rsidP="00FD1E19">
      <w:pPr>
        <w:pStyle w:val="Textstand-alone"/>
      </w:pPr>
    </w:p>
    <w:p w14:paraId="253E1046" w14:textId="77777777" w:rsidR="00FD1E19" w:rsidRDefault="00FD1E19" w:rsidP="00FD1E19">
      <w:pPr>
        <w:pStyle w:val="Textstand-alone"/>
        <w:sectPr w:rsidR="00FD1E19" w:rsidSect="00FD1E19">
          <w:headerReference w:type="even" r:id="rId40"/>
          <w:headerReference w:type="default" r:id="rId41"/>
          <w:footerReference w:type="even" r:id="rId42"/>
          <w:footerReference w:type="default" r:id="rId43"/>
          <w:headerReference w:type="first" r:id="rId44"/>
          <w:footerReference w:type="first" r:id="rId45"/>
          <w:pgSz w:w="16838" w:h="11906" w:orient="landscape" w:code="9"/>
          <w:pgMar w:top="1134" w:right="1134" w:bottom="1134" w:left="1134" w:header="709" w:footer="709" w:gutter="0"/>
          <w:cols w:space="708"/>
          <w:docGrid w:linePitch="360"/>
        </w:sectPr>
      </w:pPr>
    </w:p>
    <w:p w14:paraId="5903016E" w14:textId="77777777" w:rsidR="00FD1E19" w:rsidRDefault="00FD1E19" w:rsidP="00FD1E19">
      <w:pPr>
        <w:pStyle w:val="HEADERTITLE1"/>
      </w:pPr>
      <w:bookmarkStart w:id="30" w:name="_Toc232609781"/>
      <w:r w:rsidRPr="004D794B">
        <w:t>BALANCE SHEET BY EDF</w:t>
      </w:r>
      <w:bookmarkEnd w:id="30"/>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89"/>
        <w:gridCol w:w="755"/>
        <w:gridCol w:w="1158"/>
        <w:gridCol w:w="1059"/>
        <w:gridCol w:w="1513"/>
        <w:gridCol w:w="1969"/>
        <w:gridCol w:w="1059"/>
        <w:gridCol w:w="1059"/>
        <w:gridCol w:w="1532"/>
        <w:gridCol w:w="1436"/>
        <w:gridCol w:w="14"/>
      </w:tblGrid>
      <w:tr w:rsidR="00FD1E19" w14:paraId="29E07044" w14:textId="77777777" w:rsidTr="00BE7E4A">
        <w:trPr>
          <w:trHeight w:val="255"/>
          <w:tblHeader/>
        </w:trPr>
        <w:tc>
          <w:tcPr>
            <w:tcW w:w="14944" w:type="dxa"/>
            <w:gridSpan w:val="11"/>
            <w:tcBorders>
              <w:top w:val="nil"/>
              <w:left w:val="nil"/>
              <w:bottom w:val="nil"/>
              <w:right w:val="nil"/>
              <w:tl2br w:val="nil"/>
              <w:tr2bl w:val="nil"/>
            </w:tcBorders>
            <w:shd w:val="solid" w:color="FFFFFF" w:fill="FFFFFF"/>
            <w:tcMar>
              <w:left w:w="60" w:type="dxa"/>
              <w:right w:w="60" w:type="dxa"/>
            </w:tcMar>
            <w:vAlign w:val="center"/>
          </w:tcPr>
          <w:p w14:paraId="635AB50C" w14:textId="77777777" w:rsidR="00FD1E19" w:rsidRDefault="00FD1E19" w:rsidP="00BE7E4A">
            <w:pPr>
              <w:pStyle w:val="DMETW37225BIPBSEDF"/>
              <w:jc w:val="right"/>
              <w:rPr>
                <w:rFonts w:ascii="Verdana" w:eastAsia="Verdana" w:hAnsi="Verdana" w:cs="Verdana"/>
                <w:i/>
                <w:noProof/>
                <w:color w:val="000000"/>
                <w:sz w:val="18"/>
                <w:lang w:bidi="en-GB"/>
              </w:rPr>
            </w:pPr>
            <w:bookmarkStart w:id="31" w:name="DOC_TBL00008_1_1"/>
            <w:bookmarkEnd w:id="31"/>
            <w:r>
              <w:rPr>
                <w:rFonts w:ascii="Verdana" w:eastAsia="Verdana" w:hAnsi="Verdana" w:cs="Verdana"/>
                <w:i/>
                <w:noProof/>
                <w:color w:val="000000"/>
                <w:sz w:val="18"/>
                <w:lang w:bidi="en-GB"/>
              </w:rPr>
              <w:t xml:space="preserve"> EUR million</w:t>
            </w:r>
          </w:p>
        </w:tc>
      </w:tr>
      <w:tr w:rsidR="00FD1E19" w14:paraId="03F3DFFD" w14:textId="77777777" w:rsidTr="00BE7E4A">
        <w:trPr>
          <w:gridAfter w:val="1"/>
          <w:wAfter w:w="11" w:type="dxa"/>
          <w:trHeight w:val="408"/>
          <w:tblHeader/>
        </w:trPr>
        <w:tc>
          <w:tcPr>
            <w:tcW w:w="3391" w:type="dxa"/>
            <w:tcBorders>
              <w:top w:val="nil"/>
              <w:left w:val="nil"/>
              <w:bottom w:val="nil"/>
              <w:right w:val="nil"/>
              <w:tl2br w:val="nil"/>
              <w:tr2bl w:val="nil"/>
            </w:tcBorders>
            <w:shd w:val="solid" w:color="016794" w:fill="FFFFFF"/>
            <w:tcMar>
              <w:left w:w="60" w:type="dxa"/>
              <w:right w:w="60" w:type="dxa"/>
            </w:tcMar>
            <w:vAlign w:val="center"/>
          </w:tcPr>
          <w:p w14:paraId="223FB18E" w14:textId="77777777" w:rsidR="00FD1E19" w:rsidRDefault="00FD1E19" w:rsidP="00BE7E4A">
            <w:pPr>
              <w:pStyle w:val="DMETW37225BIPBSEDF"/>
              <w:jc w:val="center"/>
              <w:rPr>
                <w:rFonts w:ascii="Verdana" w:eastAsia="Verdana" w:hAnsi="Verdana" w:cs="Verdana"/>
                <w:noProof/>
                <w:color w:val="FFFFFF"/>
              </w:rPr>
            </w:pPr>
          </w:p>
        </w:tc>
        <w:tc>
          <w:tcPr>
            <w:tcW w:w="6456" w:type="dxa"/>
            <w:gridSpan w:val="5"/>
            <w:tcBorders>
              <w:top w:val="nil"/>
              <w:left w:val="nil"/>
              <w:bottom w:val="nil"/>
              <w:right w:val="nil"/>
              <w:tl2br w:val="nil"/>
              <w:tr2bl w:val="nil"/>
            </w:tcBorders>
            <w:shd w:val="solid" w:color="016794" w:fill="FFFFFF"/>
            <w:tcMar>
              <w:left w:w="60" w:type="dxa"/>
              <w:right w:w="60" w:type="dxa"/>
            </w:tcMar>
            <w:vAlign w:val="center"/>
          </w:tcPr>
          <w:p w14:paraId="008B47B1" w14:textId="77777777" w:rsidR="00FD1E19" w:rsidRDefault="00FD1E19" w:rsidP="00BE7E4A">
            <w:pPr>
              <w:pStyle w:val="DMETW37225BIPBSEDF"/>
              <w:jc w:val="center"/>
              <w:rPr>
                <w:rFonts w:ascii="Verdana" w:eastAsia="Verdana" w:hAnsi="Verdana" w:cs="Verdana"/>
                <w:noProof/>
                <w:color w:val="FFFFFF"/>
              </w:rPr>
            </w:pPr>
            <w:r>
              <w:rPr>
                <w:rFonts w:ascii="Verdana" w:eastAsia="Verdana" w:hAnsi="Verdana" w:cs="Verdana"/>
                <w:noProof/>
                <w:color w:val="FFFFFF"/>
              </w:rPr>
              <w:t>31.12.2025</w:t>
            </w:r>
          </w:p>
        </w:tc>
        <w:tc>
          <w:tcPr>
            <w:tcW w:w="5086" w:type="dxa"/>
            <w:gridSpan w:val="4"/>
            <w:tcBorders>
              <w:top w:val="nil"/>
              <w:left w:val="nil"/>
              <w:bottom w:val="nil"/>
              <w:right w:val="nil"/>
              <w:tl2br w:val="nil"/>
              <w:tr2bl w:val="nil"/>
            </w:tcBorders>
            <w:shd w:val="solid" w:color="016794" w:fill="FFFFFF"/>
            <w:tcMar>
              <w:left w:w="60" w:type="dxa"/>
              <w:right w:w="60" w:type="dxa"/>
            </w:tcMar>
            <w:vAlign w:val="center"/>
          </w:tcPr>
          <w:p w14:paraId="7A4A0021" w14:textId="77777777" w:rsidR="00FD1E19" w:rsidRDefault="00FD1E19" w:rsidP="00BE7E4A">
            <w:pPr>
              <w:pStyle w:val="DMETW37225BIPBSEDF"/>
              <w:jc w:val="center"/>
              <w:rPr>
                <w:rFonts w:ascii="Verdana" w:eastAsia="Verdana" w:hAnsi="Verdana" w:cs="Verdana"/>
                <w:noProof/>
                <w:color w:val="FFFFFF"/>
              </w:rPr>
            </w:pPr>
            <w:r>
              <w:rPr>
                <w:rFonts w:ascii="Verdana" w:eastAsia="Verdana" w:hAnsi="Verdana" w:cs="Verdana"/>
                <w:noProof/>
                <w:color w:val="FFFFFF"/>
              </w:rPr>
              <w:t>31.12.2024</w:t>
            </w:r>
          </w:p>
        </w:tc>
      </w:tr>
      <w:tr w:rsidR="00FD1E19" w14:paraId="27BC686A" w14:textId="77777777" w:rsidTr="00BE7E4A">
        <w:trPr>
          <w:gridAfter w:val="1"/>
          <w:wAfter w:w="14" w:type="dxa"/>
          <w:trHeight w:val="896"/>
        </w:trPr>
        <w:tc>
          <w:tcPr>
            <w:tcW w:w="3391" w:type="dxa"/>
            <w:tcBorders>
              <w:top w:val="nil"/>
              <w:left w:val="nil"/>
              <w:bottom w:val="nil"/>
              <w:right w:val="nil"/>
              <w:tl2br w:val="nil"/>
              <w:tr2bl w:val="nil"/>
            </w:tcBorders>
            <w:shd w:val="solid" w:color="016794" w:fill="FFFFFF"/>
            <w:tcMar>
              <w:left w:w="60" w:type="dxa"/>
              <w:right w:w="60" w:type="dxa"/>
            </w:tcMar>
            <w:vAlign w:val="center"/>
          </w:tcPr>
          <w:p w14:paraId="3DE49E70" w14:textId="77777777" w:rsidR="00FD1E19" w:rsidRDefault="00FD1E19" w:rsidP="00BE7E4A">
            <w:pPr>
              <w:pStyle w:val="DMETW37225BIPBSEDF"/>
              <w:jc w:val="center"/>
              <w:rPr>
                <w:rFonts w:ascii="Verdana" w:eastAsia="Verdana" w:hAnsi="Verdana" w:cs="Verdana"/>
                <w:noProof/>
                <w:color w:val="FFFFFF"/>
              </w:rPr>
            </w:pPr>
          </w:p>
        </w:tc>
        <w:tc>
          <w:tcPr>
            <w:tcW w:w="756" w:type="dxa"/>
            <w:tcBorders>
              <w:top w:val="nil"/>
              <w:left w:val="nil"/>
              <w:bottom w:val="nil"/>
              <w:right w:val="nil"/>
              <w:tl2br w:val="nil"/>
              <w:tr2bl w:val="nil"/>
            </w:tcBorders>
            <w:shd w:val="solid" w:color="016794" w:fill="FFFFFF"/>
            <w:tcMar>
              <w:left w:w="60" w:type="dxa"/>
              <w:right w:w="60" w:type="dxa"/>
            </w:tcMar>
            <w:vAlign w:val="center"/>
          </w:tcPr>
          <w:p w14:paraId="069F0B01" w14:textId="77777777" w:rsidR="00FD1E19" w:rsidRDefault="00FD1E19" w:rsidP="00BE7E4A">
            <w:pPr>
              <w:pStyle w:val="DMETW37225BIPBSEDF"/>
              <w:rPr>
                <w:rFonts w:ascii="Verdana" w:eastAsia="Verdana" w:hAnsi="Verdana" w:cs="Verdana"/>
                <w:noProof/>
                <w:color w:val="FFFFFF"/>
              </w:rPr>
            </w:pPr>
            <w:r>
              <w:rPr>
                <w:rFonts w:ascii="Verdana" w:eastAsia="Verdana" w:hAnsi="Verdana" w:cs="Verdana"/>
                <w:noProof/>
                <w:color w:val="FFFFFF"/>
              </w:rPr>
              <w:t>Note</w:t>
            </w:r>
          </w:p>
        </w:tc>
        <w:tc>
          <w:tcPr>
            <w:tcW w:w="1158" w:type="dxa"/>
            <w:tcBorders>
              <w:top w:val="nil"/>
              <w:left w:val="nil"/>
              <w:bottom w:val="nil"/>
              <w:right w:val="nil"/>
              <w:tl2br w:val="nil"/>
              <w:tr2bl w:val="nil"/>
            </w:tcBorders>
            <w:shd w:val="solid" w:color="016794" w:fill="FFFFFF"/>
            <w:tcMar>
              <w:left w:w="60" w:type="dxa"/>
              <w:right w:w="60" w:type="dxa"/>
            </w:tcMar>
            <w:vAlign w:val="center"/>
          </w:tcPr>
          <w:p w14:paraId="1E75D073"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 xml:space="preserve">Ninth </w:t>
            </w:r>
          </w:p>
          <w:p w14:paraId="28CA9043"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EDF</w:t>
            </w:r>
          </w:p>
        </w:tc>
        <w:tc>
          <w:tcPr>
            <w:tcW w:w="1059" w:type="dxa"/>
            <w:tcBorders>
              <w:top w:val="nil"/>
              <w:left w:val="nil"/>
              <w:bottom w:val="nil"/>
              <w:right w:val="nil"/>
              <w:tl2br w:val="nil"/>
              <w:tr2bl w:val="nil"/>
            </w:tcBorders>
            <w:shd w:val="solid" w:color="016794" w:fill="FFFFFF"/>
            <w:tcMar>
              <w:left w:w="60" w:type="dxa"/>
              <w:right w:w="60" w:type="dxa"/>
            </w:tcMar>
            <w:vAlign w:val="center"/>
          </w:tcPr>
          <w:p w14:paraId="7E0D34ED"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10th EDF</w:t>
            </w:r>
          </w:p>
        </w:tc>
        <w:tc>
          <w:tcPr>
            <w:tcW w:w="1513" w:type="dxa"/>
            <w:tcBorders>
              <w:top w:val="nil"/>
              <w:left w:val="nil"/>
              <w:bottom w:val="nil"/>
              <w:right w:val="nil"/>
              <w:tl2br w:val="nil"/>
              <w:tr2bl w:val="nil"/>
            </w:tcBorders>
            <w:shd w:val="solid" w:color="016794" w:fill="FFFFFF"/>
            <w:tcMar>
              <w:left w:w="60" w:type="dxa"/>
              <w:right w:w="60" w:type="dxa"/>
            </w:tcMar>
            <w:vAlign w:val="center"/>
          </w:tcPr>
          <w:p w14:paraId="5BB45917"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11th EDF</w:t>
            </w:r>
          </w:p>
        </w:tc>
        <w:tc>
          <w:tcPr>
            <w:tcW w:w="1967" w:type="dxa"/>
            <w:tcBorders>
              <w:top w:val="nil"/>
              <w:left w:val="nil"/>
              <w:bottom w:val="nil"/>
              <w:right w:val="nil"/>
              <w:tl2br w:val="nil"/>
              <w:tr2bl w:val="nil"/>
            </w:tcBorders>
            <w:shd w:val="solid" w:color="016794" w:fill="FFFFFF"/>
            <w:tcMar>
              <w:left w:w="60" w:type="dxa"/>
              <w:right w:w="60" w:type="dxa"/>
            </w:tcMar>
            <w:vAlign w:val="center"/>
          </w:tcPr>
          <w:p w14:paraId="30CA9DE6"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Total</w:t>
            </w:r>
          </w:p>
        </w:tc>
        <w:tc>
          <w:tcPr>
            <w:tcW w:w="1059" w:type="dxa"/>
            <w:tcBorders>
              <w:top w:val="nil"/>
              <w:left w:val="nil"/>
              <w:bottom w:val="nil"/>
              <w:right w:val="nil"/>
              <w:tl2br w:val="nil"/>
              <w:tr2bl w:val="nil"/>
            </w:tcBorders>
            <w:shd w:val="solid" w:color="016794" w:fill="FFFFFF"/>
            <w:tcMar>
              <w:left w:w="60" w:type="dxa"/>
              <w:right w:w="60" w:type="dxa"/>
            </w:tcMar>
            <w:vAlign w:val="center"/>
          </w:tcPr>
          <w:p w14:paraId="68185286"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Ninth EDF</w:t>
            </w:r>
          </w:p>
        </w:tc>
        <w:tc>
          <w:tcPr>
            <w:tcW w:w="1059" w:type="dxa"/>
            <w:tcBorders>
              <w:top w:val="nil"/>
              <w:left w:val="nil"/>
              <w:bottom w:val="nil"/>
              <w:right w:val="nil"/>
              <w:tl2br w:val="nil"/>
              <w:tr2bl w:val="nil"/>
            </w:tcBorders>
            <w:shd w:val="solid" w:color="016794" w:fill="FFFFFF"/>
            <w:tcMar>
              <w:left w:w="60" w:type="dxa"/>
              <w:right w:w="60" w:type="dxa"/>
            </w:tcMar>
            <w:vAlign w:val="center"/>
          </w:tcPr>
          <w:p w14:paraId="0822D3F2"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10th EDF</w:t>
            </w:r>
          </w:p>
        </w:tc>
        <w:tc>
          <w:tcPr>
            <w:tcW w:w="1532" w:type="dxa"/>
            <w:tcBorders>
              <w:top w:val="nil"/>
              <w:left w:val="nil"/>
              <w:bottom w:val="nil"/>
              <w:right w:val="nil"/>
              <w:tl2br w:val="nil"/>
              <w:tr2bl w:val="nil"/>
            </w:tcBorders>
            <w:shd w:val="solid" w:color="016794" w:fill="FFFFFF"/>
            <w:tcMar>
              <w:left w:w="60" w:type="dxa"/>
              <w:right w:w="60" w:type="dxa"/>
            </w:tcMar>
            <w:vAlign w:val="center"/>
          </w:tcPr>
          <w:p w14:paraId="3B29A8A8" w14:textId="77777777" w:rsidR="00FD1E19" w:rsidRDefault="00FD1E19" w:rsidP="00BE7E4A">
            <w:pPr>
              <w:pStyle w:val="DMETW37225BIPBSEDF"/>
              <w:jc w:val="right"/>
              <w:rPr>
                <w:rFonts w:ascii="Verdana" w:eastAsia="Verdana" w:hAnsi="Verdana" w:cs="Verdana"/>
                <w:noProof/>
                <w:color w:val="FFFFFF"/>
              </w:rPr>
            </w:pPr>
            <w:r>
              <w:rPr>
                <w:rFonts w:ascii="Verdana" w:eastAsia="Verdana" w:hAnsi="Verdana" w:cs="Verdana"/>
                <w:noProof/>
                <w:color w:val="FFFFFF"/>
              </w:rPr>
              <w:t>11th EDF</w:t>
            </w:r>
          </w:p>
        </w:tc>
        <w:tc>
          <w:tcPr>
            <w:tcW w:w="1436" w:type="dxa"/>
            <w:tcBorders>
              <w:top w:val="nil"/>
              <w:left w:val="nil"/>
              <w:bottom w:val="nil"/>
              <w:right w:val="nil"/>
              <w:tl2br w:val="nil"/>
              <w:tr2bl w:val="nil"/>
            </w:tcBorders>
            <w:shd w:val="solid" w:color="016794" w:fill="FFFFFF"/>
            <w:tcMar>
              <w:left w:w="60" w:type="dxa"/>
              <w:right w:w="60" w:type="dxa"/>
            </w:tcMar>
            <w:vAlign w:val="center"/>
          </w:tcPr>
          <w:p w14:paraId="48380248" w14:textId="77777777" w:rsidR="00FD1E19" w:rsidRDefault="00FD1E19" w:rsidP="00BE7E4A">
            <w:pPr>
              <w:pStyle w:val="DMETW37225BIPBSEDF"/>
              <w:jc w:val="right"/>
              <w:rPr>
                <w:rFonts w:ascii="Verdana" w:eastAsia="Verdana" w:hAnsi="Verdana" w:cs="Verdana"/>
                <w:noProof/>
                <w:color w:val="FFFFFF"/>
                <w:lang w:bidi="en-GB"/>
              </w:rPr>
            </w:pPr>
            <w:r>
              <w:rPr>
                <w:rFonts w:ascii="Verdana" w:eastAsia="Verdana" w:hAnsi="Verdana" w:cs="Verdana"/>
                <w:noProof/>
                <w:color w:val="FFFFFF"/>
              </w:rPr>
              <w:t>Total</w:t>
            </w:r>
          </w:p>
        </w:tc>
      </w:tr>
      <w:tr w:rsidR="00FD1E19" w14:paraId="534B6CDA"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01FE5F56" w14:textId="77777777" w:rsidR="00FD1E19" w:rsidRDefault="00FD1E19" w:rsidP="00BE7E4A">
            <w:pPr>
              <w:pStyle w:val="DMETW37225BIPBSEDF"/>
              <w:rPr>
                <w:rFonts w:ascii="Verdana" w:eastAsia="Verdana" w:hAnsi="Verdana" w:cs="Verdana"/>
                <w:b/>
                <w:noProof/>
                <w:color w:val="000000"/>
                <w:sz w:val="18"/>
              </w:rPr>
            </w:pPr>
            <w:r>
              <w:rPr>
                <w:rFonts w:ascii="Verdana" w:eastAsia="Verdana" w:hAnsi="Verdana" w:cs="Verdana"/>
                <w:b/>
                <w:noProof/>
                <w:color w:val="000000"/>
                <w:sz w:val="18"/>
              </w:rPr>
              <w:t>NON-CURRENT ASSETS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169C1BE5" w14:textId="77777777" w:rsidR="00FD1E19" w:rsidRDefault="00FD1E19" w:rsidP="00BE7E4A">
            <w:pPr>
              <w:pStyle w:val="DMETW37225BIPBSEDF"/>
              <w:jc w:val="center"/>
              <w:rPr>
                <w:rFonts w:ascii="Verdana" w:eastAsia="Verdana" w:hAnsi="Verdana" w:cs="Verdana"/>
                <w:b/>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7DE6D5C4" w14:textId="77777777" w:rsidR="00FD1E19" w:rsidRDefault="00FD1E19" w:rsidP="00BE7E4A">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1BA3AC2D" w14:textId="77777777" w:rsidR="00FD1E19" w:rsidRDefault="00FD1E19" w:rsidP="00BE7E4A">
            <w:pPr>
              <w:pStyle w:val="DMETW37225BIPBSEDF"/>
              <w:jc w:val="right"/>
              <w:rPr>
                <w:rFonts w:ascii="Verdana" w:eastAsia="Verdana" w:hAnsi="Verdana" w:cs="Verdana"/>
                <w:b/>
                <w:noProof/>
                <w:color w:val="000000"/>
                <w:sz w:val="18"/>
              </w:rPr>
            </w:pPr>
          </w:p>
        </w:tc>
        <w:tc>
          <w:tcPr>
            <w:tcW w:w="1513" w:type="dxa"/>
            <w:tcBorders>
              <w:top w:val="nil"/>
              <w:left w:val="nil"/>
              <w:bottom w:val="nil"/>
              <w:right w:val="nil"/>
              <w:tl2br w:val="nil"/>
              <w:tr2bl w:val="nil"/>
            </w:tcBorders>
            <w:shd w:val="clear" w:color="auto" w:fill="auto"/>
            <w:tcMar>
              <w:left w:w="60" w:type="dxa"/>
              <w:right w:w="60" w:type="dxa"/>
            </w:tcMar>
            <w:vAlign w:val="center"/>
          </w:tcPr>
          <w:p w14:paraId="71110A71" w14:textId="77777777" w:rsidR="00FD1E19" w:rsidRDefault="00FD1E19" w:rsidP="00BE7E4A">
            <w:pPr>
              <w:pStyle w:val="DMETW37225BIPBSEDF"/>
              <w:jc w:val="right"/>
              <w:rPr>
                <w:rFonts w:ascii="Verdana" w:eastAsia="Verdana" w:hAnsi="Verdana" w:cs="Verdana"/>
                <w:b/>
                <w:noProof/>
                <w:color w:val="000000"/>
                <w:sz w:val="18"/>
              </w:rPr>
            </w:pPr>
          </w:p>
        </w:tc>
        <w:tc>
          <w:tcPr>
            <w:tcW w:w="1967" w:type="dxa"/>
            <w:tcBorders>
              <w:top w:val="nil"/>
              <w:left w:val="nil"/>
              <w:bottom w:val="nil"/>
              <w:right w:val="nil"/>
              <w:tl2br w:val="nil"/>
              <w:tr2bl w:val="nil"/>
            </w:tcBorders>
            <w:shd w:val="clear" w:color="auto" w:fill="auto"/>
            <w:tcMar>
              <w:left w:w="60" w:type="dxa"/>
              <w:right w:w="60" w:type="dxa"/>
            </w:tcMar>
            <w:vAlign w:val="center"/>
          </w:tcPr>
          <w:p w14:paraId="35CA97EC" w14:textId="77777777" w:rsidR="00FD1E19" w:rsidRDefault="00FD1E19" w:rsidP="00BE7E4A">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383310C7" w14:textId="77777777" w:rsidR="00FD1E19" w:rsidRDefault="00FD1E19" w:rsidP="00BE7E4A">
            <w:pPr>
              <w:pStyle w:val="DMETW37225BIPBSEDF"/>
              <w:jc w:val="right"/>
              <w:rPr>
                <w:rFonts w:ascii="Verdana" w:eastAsia="Verdana" w:hAnsi="Verdana" w:cs="Verdana"/>
                <w:b/>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1A17662E" w14:textId="77777777" w:rsidR="00FD1E19" w:rsidRDefault="00FD1E19" w:rsidP="00BE7E4A">
            <w:pPr>
              <w:pStyle w:val="DMETW37225BIPBSEDF"/>
              <w:jc w:val="right"/>
              <w:rPr>
                <w:rFonts w:ascii="Verdana" w:eastAsia="Verdana" w:hAnsi="Verdana" w:cs="Verdana"/>
                <w:b/>
                <w:noProof/>
                <w:color w:val="000000"/>
                <w:sz w:val="18"/>
              </w:rPr>
            </w:pPr>
          </w:p>
        </w:tc>
        <w:tc>
          <w:tcPr>
            <w:tcW w:w="1532" w:type="dxa"/>
            <w:tcBorders>
              <w:top w:val="nil"/>
              <w:left w:val="nil"/>
              <w:bottom w:val="nil"/>
              <w:right w:val="nil"/>
              <w:tl2br w:val="nil"/>
              <w:tr2bl w:val="nil"/>
            </w:tcBorders>
            <w:shd w:val="clear" w:color="auto" w:fill="auto"/>
            <w:tcMar>
              <w:left w:w="60" w:type="dxa"/>
              <w:right w:w="60" w:type="dxa"/>
            </w:tcMar>
            <w:vAlign w:val="center"/>
          </w:tcPr>
          <w:p w14:paraId="0EB7BBEB" w14:textId="77777777" w:rsidR="00FD1E19" w:rsidRDefault="00FD1E19" w:rsidP="00BE7E4A">
            <w:pPr>
              <w:pStyle w:val="DMETW37225BIPBSEDF"/>
              <w:jc w:val="right"/>
              <w:rPr>
                <w:rFonts w:ascii="Verdana" w:eastAsia="Verdana" w:hAnsi="Verdana" w:cs="Verdana"/>
                <w:b/>
                <w:noProof/>
                <w:color w:val="000000"/>
                <w:sz w:val="18"/>
              </w:rPr>
            </w:pPr>
          </w:p>
        </w:tc>
        <w:tc>
          <w:tcPr>
            <w:tcW w:w="1436" w:type="dxa"/>
            <w:tcBorders>
              <w:top w:val="nil"/>
              <w:left w:val="nil"/>
              <w:bottom w:val="nil"/>
              <w:right w:val="nil"/>
              <w:tl2br w:val="nil"/>
              <w:tr2bl w:val="nil"/>
            </w:tcBorders>
            <w:shd w:val="clear" w:color="auto" w:fill="auto"/>
            <w:tcMar>
              <w:left w:w="60" w:type="dxa"/>
              <w:right w:w="60" w:type="dxa"/>
            </w:tcMar>
            <w:vAlign w:val="center"/>
          </w:tcPr>
          <w:p w14:paraId="39B0EB9B" w14:textId="77777777" w:rsidR="00FD1E19" w:rsidRDefault="00FD1E19" w:rsidP="00BE7E4A">
            <w:pPr>
              <w:pStyle w:val="DMETW37225BIPBSEDF"/>
              <w:jc w:val="right"/>
              <w:rPr>
                <w:rFonts w:ascii="Verdana" w:eastAsia="Verdana" w:hAnsi="Verdana" w:cs="Verdana"/>
                <w:b/>
                <w:noProof/>
                <w:color w:val="000000"/>
                <w:sz w:val="18"/>
                <w:lang w:bidi="en-GB"/>
              </w:rPr>
            </w:pPr>
          </w:p>
        </w:tc>
      </w:tr>
      <w:tr w:rsidR="00FD1E19" w14:paraId="15BAA516"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0F9BD558"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685444E4"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2.1</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03E3DA50"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573AEFB9"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0B0B830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104</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53AF19F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116</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7F849BF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D60D84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14</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2757065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114</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509C42C7"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128</w:t>
            </w:r>
          </w:p>
        </w:tc>
      </w:tr>
      <w:tr w:rsidR="00FD1E19" w14:paraId="4A0209FA"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345BF9D6"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478C4D1A"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2.2</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6C76A76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F01D74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382</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24AD11D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110</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1E933F4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492</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1EF412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22A3AED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418</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7C774BF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82</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07AB199B"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500</w:t>
            </w:r>
          </w:p>
        </w:tc>
      </w:tr>
      <w:tr w:rsidR="00FD1E19" w14:paraId="281650EA"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4B459E47"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Trust Fund contributions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48D5D732"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2.3</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4EAD64F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6D08373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6F3B3C1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47</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4E7DACD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87</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465D0754"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79EEFD1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606FC0C1"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148</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3A4299E2"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188</w:t>
            </w:r>
          </w:p>
        </w:tc>
      </w:tr>
      <w:tr w:rsidR="00FD1E19" w14:paraId="73EF26E6" w14:textId="77777777" w:rsidTr="00BE7E4A">
        <w:trPr>
          <w:gridAfter w:val="1"/>
          <w:wAfter w:w="14" w:type="dxa"/>
          <w:trHeight w:val="255"/>
        </w:trPr>
        <w:tc>
          <w:tcPr>
            <w:tcW w:w="3391" w:type="dxa"/>
            <w:tcBorders>
              <w:top w:val="nil"/>
              <w:left w:val="nil"/>
              <w:bottom w:val="single" w:sz="4" w:space="0" w:color="016794"/>
              <w:right w:val="nil"/>
              <w:tl2br w:val="nil"/>
              <w:tr2bl w:val="nil"/>
            </w:tcBorders>
            <w:shd w:val="clear" w:color="auto" w:fill="auto"/>
            <w:tcMar>
              <w:left w:w="60" w:type="dxa"/>
              <w:right w:w="60" w:type="dxa"/>
            </w:tcMar>
            <w:vAlign w:val="center"/>
          </w:tcPr>
          <w:p w14:paraId="7B2AE45D"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Exchange receivables</w:t>
            </w:r>
          </w:p>
        </w:tc>
        <w:tc>
          <w:tcPr>
            <w:tcW w:w="756" w:type="dxa"/>
            <w:tcBorders>
              <w:top w:val="nil"/>
              <w:left w:val="nil"/>
              <w:bottom w:val="single" w:sz="4" w:space="0" w:color="016794"/>
              <w:right w:val="nil"/>
              <w:tl2br w:val="nil"/>
              <w:tr2bl w:val="nil"/>
            </w:tcBorders>
            <w:shd w:val="clear" w:color="auto" w:fill="auto"/>
            <w:tcMar>
              <w:left w:w="60" w:type="dxa"/>
              <w:right w:w="60" w:type="dxa"/>
            </w:tcMar>
            <w:vAlign w:val="center"/>
          </w:tcPr>
          <w:p w14:paraId="3787CF4D"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nil"/>
              <w:left w:val="nil"/>
              <w:bottom w:val="single" w:sz="4" w:space="0" w:color="016794"/>
              <w:right w:val="nil"/>
              <w:tl2br w:val="nil"/>
              <w:tr2bl w:val="nil"/>
            </w:tcBorders>
            <w:shd w:val="clear" w:color="auto" w:fill="auto"/>
            <w:tcMar>
              <w:left w:w="60" w:type="dxa"/>
              <w:right w:w="60" w:type="dxa"/>
            </w:tcMar>
            <w:vAlign w:val="center"/>
          </w:tcPr>
          <w:p w14:paraId="70289F3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61706CC0"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13" w:type="dxa"/>
            <w:tcBorders>
              <w:top w:val="nil"/>
              <w:left w:val="nil"/>
              <w:bottom w:val="single" w:sz="4" w:space="0" w:color="016794"/>
              <w:right w:val="nil"/>
              <w:tl2br w:val="nil"/>
              <w:tr2bl w:val="nil"/>
            </w:tcBorders>
            <w:shd w:val="clear" w:color="auto" w:fill="auto"/>
            <w:tcMar>
              <w:left w:w="60" w:type="dxa"/>
              <w:right w:w="60" w:type="dxa"/>
            </w:tcMar>
            <w:vAlign w:val="center"/>
          </w:tcPr>
          <w:p w14:paraId="3108DA1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967" w:type="dxa"/>
            <w:tcBorders>
              <w:top w:val="nil"/>
              <w:left w:val="nil"/>
              <w:bottom w:val="single" w:sz="4" w:space="0" w:color="016794"/>
              <w:right w:val="nil"/>
              <w:tl2br w:val="nil"/>
              <w:tr2bl w:val="nil"/>
            </w:tcBorders>
            <w:shd w:val="clear" w:color="auto" w:fill="auto"/>
            <w:tcMar>
              <w:left w:w="60" w:type="dxa"/>
              <w:right w:w="60" w:type="dxa"/>
            </w:tcMar>
            <w:vAlign w:val="center"/>
          </w:tcPr>
          <w:p w14:paraId="3BA3841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0B102B9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0666397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2" w:type="dxa"/>
            <w:tcBorders>
              <w:top w:val="nil"/>
              <w:left w:val="nil"/>
              <w:bottom w:val="single" w:sz="4" w:space="0" w:color="016794"/>
              <w:right w:val="nil"/>
              <w:tl2br w:val="nil"/>
              <w:tr2bl w:val="nil"/>
            </w:tcBorders>
            <w:shd w:val="clear" w:color="auto" w:fill="auto"/>
            <w:tcMar>
              <w:left w:w="60" w:type="dxa"/>
              <w:right w:w="60" w:type="dxa"/>
            </w:tcMar>
            <w:vAlign w:val="center"/>
          </w:tcPr>
          <w:p w14:paraId="1AB88299"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436" w:type="dxa"/>
            <w:tcBorders>
              <w:top w:val="nil"/>
              <w:left w:val="nil"/>
              <w:bottom w:val="single" w:sz="4" w:space="0" w:color="016794"/>
              <w:right w:val="nil"/>
              <w:tl2br w:val="nil"/>
              <w:tr2bl w:val="nil"/>
            </w:tcBorders>
            <w:shd w:val="clear" w:color="auto" w:fill="auto"/>
            <w:tcMar>
              <w:left w:w="60" w:type="dxa"/>
              <w:right w:w="60" w:type="dxa"/>
            </w:tcMar>
            <w:vAlign w:val="center"/>
          </w:tcPr>
          <w:p w14:paraId="3376E9AB"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2350B463" w14:textId="77777777" w:rsidTr="00BE7E4A">
        <w:trPr>
          <w:gridAfter w:val="1"/>
          <w:wAfter w:w="14" w:type="dxa"/>
          <w:trHeight w:val="255"/>
        </w:trPr>
        <w:tc>
          <w:tcPr>
            <w:tcW w:w="339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8B44755" w14:textId="77777777" w:rsidR="00FD1E19" w:rsidRDefault="00FD1E19" w:rsidP="00BE7E4A">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721526E"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4643BE6"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31</w:t>
            </w:r>
          </w:p>
        </w:tc>
        <w:tc>
          <w:tcPr>
            <w:tcW w:w="105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45ABCCD"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403</w:t>
            </w:r>
          </w:p>
        </w:tc>
        <w:tc>
          <w:tcPr>
            <w:tcW w:w="15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809BA92"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266</w:t>
            </w:r>
          </w:p>
        </w:tc>
        <w:tc>
          <w:tcPr>
            <w:tcW w:w="19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847526C"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700</w:t>
            </w:r>
          </w:p>
        </w:tc>
        <w:tc>
          <w:tcPr>
            <w:tcW w:w="105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331DBD8"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31</w:t>
            </w:r>
          </w:p>
        </w:tc>
        <w:tc>
          <w:tcPr>
            <w:tcW w:w="105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ACBA271"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441</w:t>
            </w:r>
          </w:p>
        </w:tc>
        <w:tc>
          <w:tcPr>
            <w:tcW w:w="153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123B301"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349</w:t>
            </w:r>
          </w:p>
        </w:tc>
        <w:tc>
          <w:tcPr>
            <w:tcW w:w="143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196DAB2" w14:textId="77777777" w:rsidR="00FD1E19" w:rsidRDefault="00FD1E19" w:rsidP="00BE7E4A">
            <w:pPr>
              <w:pStyle w:val="DMETW37225BIPBS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821</w:t>
            </w:r>
          </w:p>
        </w:tc>
      </w:tr>
      <w:tr w:rsidR="00FD1E19" w14:paraId="37D036AC" w14:textId="77777777" w:rsidTr="00BE7E4A">
        <w:trPr>
          <w:gridAfter w:val="1"/>
          <w:wAfter w:w="14" w:type="dxa"/>
          <w:trHeight w:val="255"/>
        </w:trPr>
        <w:tc>
          <w:tcPr>
            <w:tcW w:w="3391" w:type="dxa"/>
            <w:tcBorders>
              <w:top w:val="single" w:sz="4" w:space="0" w:color="016794"/>
              <w:left w:val="nil"/>
              <w:bottom w:val="nil"/>
              <w:right w:val="nil"/>
              <w:tl2br w:val="nil"/>
              <w:tr2bl w:val="nil"/>
            </w:tcBorders>
            <w:shd w:val="clear" w:color="auto" w:fill="auto"/>
            <w:tcMar>
              <w:left w:w="60" w:type="dxa"/>
              <w:right w:w="60" w:type="dxa"/>
            </w:tcMar>
            <w:vAlign w:val="center"/>
          </w:tcPr>
          <w:p w14:paraId="6A24F11C" w14:textId="77777777" w:rsidR="00FD1E19" w:rsidRDefault="00FD1E19" w:rsidP="00BE7E4A">
            <w:pPr>
              <w:pStyle w:val="DMETW37225BIPBSEDF"/>
              <w:rPr>
                <w:rFonts w:ascii="Verdana" w:eastAsia="Verdana" w:hAnsi="Verdana" w:cs="Verdana"/>
                <w:b/>
                <w:noProof/>
                <w:color w:val="000000"/>
                <w:sz w:val="18"/>
              </w:rPr>
            </w:pPr>
            <w:r>
              <w:rPr>
                <w:rFonts w:ascii="Verdana" w:eastAsia="Verdana" w:hAnsi="Verdana" w:cs="Verdana"/>
                <w:b/>
                <w:noProof/>
                <w:color w:val="000000"/>
                <w:sz w:val="18"/>
              </w:rPr>
              <w:t>CURRENT ASSETS</w:t>
            </w:r>
          </w:p>
        </w:tc>
        <w:tc>
          <w:tcPr>
            <w:tcW w:w="756" w:type="dxa"/>
            <w:tcBorders>
              <w:top w:val="single" w:sz="4" w:space="0" w:color="016794"/>
              <w:left w:val="nil"/>
              <w:bottom w:val="nil"/>
              <w:right w:val="nil"/>
              <w:tl2br w:val="nil"/>
              <w:tr2bl w:val="nil"/>
            </w:tcBorders>
            <w:shd w:val="clear" w:color="auto" w:fill="auto"/>
            <w:tcMar>
              <w:left w:w="60" w:type="dxa"/>
              <w:right w:w="60" w:type="dxa"/>
            </w:tcMar>
            <w:vAlign w:val="center"/>
          </w:tcPr>
          <w:p w14:paraId="2642B363"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shd w:val="clear" w:color="auto" w:fill="auto"/>
            <w:tcMar>
              <w:left w:w="60" w:type="dxa"/>
              <w:right w:w="60" w:type="dxa"/>
            </w:tcMar>
            <w:vAlign w:val="center"/>
          </w:tcPr>
          <w:p w14:paraId="67E8AC3D" w14:textId="77777777" w:rsidR="00FD1E19" w:rsidRDefault="00FD1E19" w:rsidP="00BE7E4A">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642480BE" w14:textId="77777777" w:rsidR="00FD1E19" w:rsidRDefault="00FD1E19" w:rsidP="00BE7E4A">
            <w:pPr>
              <w:pStyle w:val="DMETW37225BIPBSEDF"/>
              <w:jc w:val="right"/>
              <w:rPr>
                <w:rFonts w:ascii="Verdana" w:eastAsia="Verdana" w:hAnsi="Verdana" w:cs="Verdana"/>
                <w:b/>
                <w:noProof/>
                <w:color w:val="000000"/>
                <w:sz w:val="18"/>
              </w:rPr>
            </w:pPr>
          </w:p>
        </w:tc>
        <w:tc>
          <w:tcPr>
            <w:tcW w:w="1513" w:type="dxa"/>
            <w:tcBorders>
              <w:top w:val="single" w:sz="4" w:space="0" w:color="016794"/>
              <w:left w:val="nil"/>
              <w:bottom w:val="nil"/>
              <w:right w:val="nil"/>
              <w:tl2br w:val="nil"/>
              <w:tr2bl w:val="nil"/>
            </w:tcBorders>
            <w:shd w:val="clear" w:color="auto" w:fill="auto"/>
            <w:tcMar>
              <w:left w:w="60" w:type="dxa"/>
              <w:right w:w="60" w:type="dxa"/>
            </w:tcMar>
            <w:vAlign w:val="center"/>
          </w:tcPr>
          <w:p w14:paraId="676BD808" w14:textId="77777777" w:rsidR="00FD1E19" w:rsidRDefault="00FD1E19" w:rsidP="00BE7E4A">
            <w:pPr>
              <w:pStyle w:val="DMETW37225BIPBSEDF"/>
              <w:jc w:val="right"/>
              <w:rPr>
                <w:rFonts w:ascii="Verdana" w:eastAsia="Verdana" w:hAnsi="Verdana" w:cs="Verdana"/>
                <w:b/>
                <w:noProof/>
                <w:color w:val="000000"/>
                <w:sz w:val="18"/>
              </w:rPr>
            </w:pPr>
          </w:p>
        </w:tc>
        <w:tc>
          <w:tcPr>
            <w:tcW w:w="1967" w:type="dxa"/>
            <w:tcBorders>
              <w:top w:val="single" w:sz="4" w:space="0" w:color="016794"/>
              <w:left w:val="nil"/>
              <w:bottom w:val="nil"/>
              <w:right w:val="nil"/>
              <w:tl2br w:val="nil"/>
              <w:tr2bl w:val="nil"/>
            </w:tcBorders>
            <w:shd w:val="clear" w:color="auto" w:fill="auto"/>
            <w:tcMar>
              <w:left w:w="60" w:type="dxa"/>
              <w:right w:w="60" w:type="dxa"/>
            </w:tcMar>
            <w:vAlign w:val="center"/>
          </w:tcPr>
          <w:p w14:paraId="2F4B9109" w14:textId="77777777" w:rsidR="00FD1E19" w:rsidRDefault="00FD1E19" w:rsidP="00BE7E4A">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0107CFDA" w14:textId="77777777" w:rsidR="00FD1E19" w:rsidRDefault="00FD1E19" w:rsidP="00BE7E4A">
            <w:pPr>
              <w:pStyle w:val="DMETW37225BIPBSEDF"/>
              <w:jc w:val="right"/>
              <w:rPr>
                <w:rFonts w:ascii="Verdana" w:eastAsia="Verdana" w:hAnsi="Verdana" w:cs="Verdana"/>
                <w:b/>
                <w:noProof/>
                <w:color w:val="000000"/>
                <w:sz w:val="18"/>
              </w:rPr>
            </w:pP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23BD9FE9" w14:textId="77777777" w:rsidR="00FD1E19" w:rsidRDefault="00FD1E19" w:rsidP="00BE7E4A">
            <w:pPr>
              <w:pStyle w:val="DMETW37225BIPBSEDF"/>
              <w:jc w:val="right"/>
              <w:rPr>
                <w:rFonts w:ascii="Verdana" w:eastAsia="Verdana" w:hAnsi="Verdana" w:cs="Verdana"/>
                <w:b/>
                <w:noProof/>
                <w:color w:val="000000"/>
                <w:sz w:val="18"/>
              </w:rPr>
            </w:pPr>
          </w:p>
        </w:tc>
        <w:tc>
          <w:tcPr>
            <w:tcW w:w="1532" w:type="dxa"/>
            <w:tcBorders>
              <w:top w:val="single" w:sz="4" w:space="0" w:color="016794"/>
              <w:left w:val="nil"/>
              <w:bottom w:val="nil"/>
              <w:right w:val="nil"/>
              <w:tl2br w:val="nil"/>
              <w:tr2bl w:val="nil"/>
            </w:tcBorders>
            <w:shd w:val="clear" w:color="auto" w:fill="auto"/>
            <w:tcMar>
              <w:left w:w="60" w:type="dxa"/>
              <w:right w:w="60" w:type="dxa"/>
            </w:tcMar>
            <w:vAlign w:val="center"/>
          </w:tcPr>
          <w:p w14:paraId="3CAC6C96" w14:textId="77777777" w:rsidR="00FD1E19" w:rsidRDefault="00FD1E19" w:rsidP="00BE7E4A">
            <w:pPr>
              <w:pStyle w:val="DMETW37225BIPBSEDF"/>
              <w:jc w:val="right"/>
              <w:rPr>
                <w:rFonts w:ascii="Verdana" w:eastAsia="Verdana" w:hAnsi="Verdana" w:cs="Verdana"/>
                <w:b/>
                <w:noProof/>
                <w:color w:val="000000"/>
                <w:sz w:val="18"/>
              </w:rPr>
            </w:pPr>
          </w:p>
        </w:tc>
        <w:tc>
          <w:tcPr>
            <w:tcW w:w="1436" w:type="dxa"/>
            <w:tcBorders>
              <w:top w:val="single" w:sz="4" w:space="0" w:color="016794"/>
              <w:left w:val="nil"/>
              <w:bottom w:val="nil"/>
              <w:right w:val="nil"/>
              <w:tl2br w:val="nil"/>
              <w:tr2bl w:val="nil"/>
            </w:tcBorders>
            <w:shd w:val="clear" w:color="auto" w:fill="auto"/>
            <w:tcMar>
              <w:left w:w="60" w:type="dxa"/>
              <w:right w:w="60" w:type="dxa"/>
            </w:tcMar>
            <w:vAlign w:val="center"/>
          </w:tcPr>
          <w:p w14:paraId="3DCE8BA6" w14:textId="77777777" w:rsidR="00FD1E19" w:rsidRDefault="00FD1E19" w:rsidP="00BE7E4A">
            <w:pPr>
              <w:pStyle w:val="DMETW37225BIPBSEDF"/>
              <w:jc w:val="right"/>
              <w:rPr>
                <w:rFonts w:ascii="Verdana" w:eastAsia="Verdana" w:hAnsi="Verdana" w:cs="Verdana"/>
                <w:b/>
                <w:noProof/>
                <w:color w:val="000000"/>
                <w:sz w:val="18"/>
                <w:lang w:bidi="en-GB"/>
              </w:rPr>
            </w:pPr>
          </w:p>
        </w:tc>
      </w:tr>
      <w:tr w:rsidR="00FD1E19" w14:paraId="550B0594"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49CE3661"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07091589"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028BEAA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4CB515B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5A0F6859"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1C22FEC4"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0594764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2B8A49C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733E064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2D84A718"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5DECE03C"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22E1F202"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510DF823"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2.2</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1FF5468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F9EC35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50</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28B9B455"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481</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7747E9C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532</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CE093B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6E90C40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81</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42BE135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655</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10F9E5AD"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742</w:t>
            </w:r>
          </w:p>
        </w:tc>
      </w:tr>
      <w:tr w:rsidR="00FD1E19" w14:paraId="60711A4C"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63633516"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Exchange receivables and non-exchange recoverables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6FF87E48"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2.4</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2B11829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14:paraId="59CB02F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513" w:type="dxa"/>
            <w:tcBorders>
              <w:top w:val="nil"/>
              <w:left w:val="nil"/>
              <w:bottom w:val="nil"/>
              <w:right w:val="nil"/>
              <w:tl2br w:val="nil"/>
              <w:tr2bl w:val="nil"/>
            </w:tcBorders>
            <w:shd w:val="solid" w:color="FFFFFF" w:fill="FFFFFF"/>
            <w:tcMar>
              <w:left w:w="60" w:type="dxa"/>
              <w:right w:w="60" w:type="dxa"/>
            </w:tcMar>
            <w:vAlign w:val="center"/>
          </w:tcPr>
          <w:p w14:paraId="5C3D951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23</w:t>
            </w:r>
          </w:p>
        </w:tc>
        <w:tc>
          <w:tcPr>
            <w:tcW w:w="1967" w:type="dxa"/>
            <w:tcBorders>
              <w:top w:val="nil"/>
              <w:left w:val="nil"/>
              <w:bottom w:val="nil"/>
              <w:right w:val="nil"/>
              <w:tl2br w:val="nil"/>
              <w:tr2bl w:val="nil"/>
            </w:tcBorders>
            <w:shd w:val="solid" w:color="FFFFFF" w:fill="FFFFFF"/>
            <w:tcMar>
              <w:left w:w="60" w:type="dxa"/>
              <w:right w:w="60" w:type="dxa"/>
            </w:tcMar>
            <w:vAlign w:val="center"/>
          </w:tcPr>
          <w:p w14:paraId="418DB1F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37</w:t>
            </w:r>
          </w:p>
        </w:tc>
        <w:tc>
          <w:tcPr>
            <w:tcW w:w="1059" w:type="dxa"/>
            <w:tcBorders>
              <w:top w:val="nil"/>
              <w:left w:val="nil"/>
              <w:bottom w:val="nil"/>
              <w:right w:val="nil"/>
              <w:tl2br w:val="nil"/>
              <w:tr2bl w:val="nil"/>
            </w:tcBorders>
            <w:shd w:val="solid" w:color="FFFFFF" w:fill="FFFFFF"/>
            <w:tcMar>
              <w:left w:w="60" w:type="dxa"/>
              <w:right w:w="60" w:type="dxa"/>
            </w:tcMar>
            <w:vAlign w:val="center"/>
          </w:tcPr>
          <w:p w14:paraId="73F1B21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14:paraId="1A4AEAC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21</w:t>
            </w:r>
          </w:p>
        </w:tc>
        <w:tc>
          <w:tcPr>
            <w:tcW w:w="1532" w:type="dxa"/>
            <w:tcBorders>
              <w:top w:val="nil"/>
              <w:left w:val="nil"/>
              <w:bottom w:val="nil"/>
              <w:right w:val="nil"/>
              <w:tl2br w:val="nil"/>
              <w:tr2bl w:val="nil"/>
            </w:tcBorders>
            <w:shd w:val="solid" w:color="FFFFFF" w:fill="FFFFFF"/>
            <w:tcMar>
              <w:left w:w="60" w:type="dxa"/>
              <w:right w:w="60" w:type="dxa"/>
            </w:tcMar>
            <w:vAlign w:val="center"/>
          </w:tcPr>
          <w:p w14:paraId="471D07C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3FC0BF21"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37</w:t>
            </w:r>
          </w:p>
        </w:tc>
      </w:tr>
      <w:tr w:rsidR="00FD1E19" w14:paraId="4668B3D7"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6E0AB01F"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Inter-EDF accounts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2B137F49"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2606EE42"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(207)</w:t>
            </w:r>
          </w:p>
        </w:tc>
        <w:tc>
          <w:tcPr>
            <w:tcW w:w="1059" w:type="dxa"/>
            <w:tcBorders>
              <w:top w:val="nil"/>
              <w:left w:val="nil"/>
              <w:bottom w:val="nil"/>
              <w:right w:val="nil"/>
              <w:tl2br w:val="nil"/>
              <w:tr2bl w:val="nil"/>
            </w:tcBorders>
            <w:shd w:val="solid" w:color="FFFFFF" w:fill="FFFFFF"/>
            <w:tcMar>
              <w:left w:w="60" w:type="dxa"/>
              <w:right w:w="60" w:type="dxa"/>
            </w:tcMar>
            <w:vAlign w:val="center"/>
          </w:tcPr>
          <w:p w14:paraId="72EF328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168</w:t>
            </w:r>
          </w:p>
        </w:tc>
        <w:tc>
          <w:tcPr>
            <w:tcW w:w="1513" w:type="dxa"/>
            <w:tcBorders>
              <w:top w:val="nil"/>
              <w:left w:val="nil"/>
              <w:bottom w:val="nil"/>
              <w:right w:val="nil"/>
              <w:tl2br w:val="nil"/>
              <w:tr2bl w:val="nil"/>
            </w:tcBorders>
            <w:shd w:val="solid" w:color="FFFFFF" w:fill="FFFFFF"/>
            <w:tcMar>
              <w:left w:w="60" w:type="dxa"/>
              <w:right w:w="60" w:type="dxa"/>
            </w:tcMar>
            <w:vAlign w:val="center"/>
          </w:tcPr>
          <w:p w14:paraId="5D72CCC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39</w:t>
            </w:r>
          </w:p>
        </w:tc>
        <w:tc>
          <w:tcPr>
            <w:tcW w:w="1967" w:type="dxa"/>
            <w:tcBorders>
              <w:top w:val="nil"/>
              <w:left w:val="nil"/>
              <w:bottom w:val="nil"/>
              <w:right w:val="nil"/>
              <w:tl2br w:val="nil"/>
              <w:tr2bl w:val="nil"/>
            </w:tcBorders>
            <w:shd w:val="solid" w:color="FFFFFF" w:fill="FFFFFF"/>
            <w:tcMar>
              <w:left w:w="60" w:type="dxa"/>
              <w:right w:w="60" w:type="dxa"/>
            </w:tcMar>
            <w:vAlign w:val="center"/>
          </w:tcPr>
          <w:p w14:paraId="182780E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solid" w:color="FFFFFF" w:fill="FFFFFF"/>
            <w:tcMar>
              <w:left w:w="60" w:type="dxa"/>
              <w:right w:w="60" w:type="dxa"/>
            </w:tcMar>
            <w:vAlign w:val="center"/>
          </w:tcPr>
          <w:p w14:paraId="3E89131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(207)</w:t>
            </w:r>
          </w:p>
        </w:tc>
        <w:tc>
          <w:tcPr>
            <w:tcW w:w="1059" w:type="dxa"/>
            <w:tcBorders>
              <w:top w:val="nil"/>
              <w:left w:val="nil"/>
              <w:bottom w:val="nil"/>
              <w:right w:val="nil"/>
              <w:tl2br w:val="nil"/>
              <w:tr2bl w:val="nil"/>
            </w:tcBorders>
            <w:shd w:val="solid" w:color="FFFFFF" w:fill="FFFFFF"/>
            <w:tcMar>
              <w:left w:w="60" w:type="dxa"/>
              <w:right w:w="60" w:type="dxa"/>
            </w:tcMar>
            <w:vAlign w:val="center"/>
          </w:tcPr>
          <w:p w14:paraId="2BAECFF2"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227</w:t>
            </w:r>
          </w:p>
        </w:tc>
        <w:tc>
          <w:tcPr>
            <w:tcW w:w="1532" w:type="dxa"/>
            <w:tcBorders>
              <w:top w:val="nil"/>
              <w:left w:val="nil"/>
              <w:bottom w:val="nil"/>
              <w:right w:val="nil"/>
              <w:tl2br w:val="nil"/>
              <w:tr2bl w:val="nil"/>
            </w:tcBorders>
            <w:shd w:val="solid" w:color="FFFFFF" w:fill="FFFFFF"/>
            <w:tcMar>
              <w:left w:w="60" w:type="dxa"/>
              <w:right w:w="60" w:type="dxa"/>
            </w:tcMar>
            <w:vAlign w:val="center"/>
          </w:tcPr>
          <w:p w14:paraId="6C6C4849"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111DFC67"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31024064" w14:textId="77777777" w:rsidTr="00BE7E4A">
        <w:trPr>
          <w:gridAfter w:val="1"/>
          <w:wAfter w:w="14" w:type="dxa"/>
          <w:trHeight w:val="255"/>
        </w:trPr>
        <w:tc>
          <w:tcPr>
            <w:tcW w:w="3391" w:type="dxa"/>
            <w:tcBorders>
              <w:top w:val="nil"/>
              <w:left w:val="nil"/>
              <w:bottom w:val="single" w:sz="4" w:space="0" w:color="016794"/>
              <w:right w:val="nil"/>
              <w:tl2br w:val="nil"/>
              <w:tr2bl w:val="nil"/>
            </w:tcBorders>
            <w:shd w:val="clear" w:color="auto" w:fill="auto"/>
            <w:tcMar>
              <w:left w:w="60" w:type="dxa"/>
              <w:right w:w="60" w:type="dxa"/>
            </w:tcMar>
            <w:vAlign w:val="center"/>
          </w:tcPr>
          <w:p w14:paraId="39C81054"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Cash and cash equivalents</w:t>
            </w:r>
          </w:p>
        </w:tc>
        <w:tc>
          <w:tcPr>
            <w:tcW w:w="756" w:type="dxa"/>
            <w:tcBorders>
              <w:top w:val="nil"/>
              <w:left w:val="nil"/>
              <w:bottom w:val="single" w:sz="4" w:space="0" w:color="016794"/>
              <w:right w:val="nil"/>
              <w:tl2br w:val="nil"/>
              <w:tr2bl w:val="nil"/>
            </w:tcBorders>
            <w:shd w:val="clear" w:color="auto" w:fill="auto"/>
            <w:tcMar>
              <w:left w:w="60" w:type="dxa"/>
              <w:right w:w="60" w:type="dxa"/>
            </w:tcMar>
            <w:vAlign w:val="center"/>
          </w:tcPr>
          <w:p w14:paraId="4B273C75"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2.5</w:t>
            </w:r>
          </w:p>
        </w:tc>
        <w:tc>
          <w:tcPr>
            <w:tcW w:w="1158" w:type="dxa"/>
            <w:tcBorders>
              <w:top w:val="nil"/>
              <w:left w:val="nil"/>
              <w:bottom w:val="single" w:sz="4" w:space="0" w:color="016794"/>
              <w:right w:val="nil"/>
              <w:tl2br w:val="nil"/>
              <w:tr2bl w:val="nil"/>
            </w:tcBorders>
            <w:shd w:val="clear" w:color="auto" w:fill="auto"/>
            <w:tcMar>
              <w:left w:w="60" w:type="dxa"/>
              <w:right w:w="60" w:type="dxa"/>
            </w:tcMar>
            <w:vAlign w:val="center"/>
          </w:tcPr>
          <w:p w14:paraId="3B473B75"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36C0C102"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13" w:type="dxa"/>
            <w:tcBorders>
              <w:top w:val="nil"/>
              <w:left w:val="nil"/>
              <w:bottom w:val="single" w:sz="4" w:space="0" w:color="016794"/>
              <w:right w:val="nil"/>
              <w:tl2br w:val="nil"/>
              <w:tr2bl w:val="nil"/>
            </w:tcBorders>
            <w:shd w:val="clear" w:color="auto" w:fill="auto"/>
            <w:tcMar>
              <w:left w:w="60" w:type="dxa"/>
              <w:right w:w="60" w:type="dxa"/>
            </w:tcMar>
            <w:vAlign w:val="center"/>
          </w:tcPr>
          <w:p w14:paraId="1BB94AD6"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286</w:t>
            </w:r>
          </w:p>
        </w:tc>
        <w:tc>
          <w:tcPr>
            <w:tcW w:w="1967" w:type="dxa"/>
            <w:tcBorders>
              <w:top w:val="nil"/>
              <w:left w:val="nil"/>
              <w:bottom w:val="single" w:sz="4" w:space="0" w:color="016794"/>
              <w:right w:val="nil"/>
              <w:tl2br w:val="nil"/>
              <w:tr2bl w:val="nil"/>
            </w:tcBorders>
            <w:shd w:val="clear" w:color="auto" w:fill="auto"/>
            <w:tcMar>
              <w:left w:w="60" w:type="dxa"/>
              <w:right w:w="60" w:type="dxa"/>
            </w:tcMar>
            <w:vAlign w:val="center"/>
          </w:tcPr>
          <w:p w14:paraId="2E78B6C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286</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6809C61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5A023919"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2" w:type="dxa"/>
            <w:tcBorders>
              <w:top w:val="nil"/>
              <w:left w:val="nil"/>
              <w:bottom w:val="single" w:sz="4" w:space="0" w:color="016794"/>
              <w:right w:val="nil"/>
              <w:tl2br w:val="nil"/>
              <w:tr2bl w:val="nil"/>
            </w:tcBorders>
            <w:shd w:val="clear" w:color="auto" w:fill="auto"/>
            <w:tcMar>
              <w:left w:w="60" w:type="dxa"/>
              <w:right w:w="60" w:type="dxa"/>
            </w:tcMar>
            <w:vAlign w:val="center"/>
          </w:tcPr>
          <w:p w14:paraId="225569D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411</w:t>
            </w:r>
          </w:p>
        </w:tc>
        <w:tc>
          <w:tcPr>
            <w:tcW w:w="1436" w:type="dxa"/>
            <w:tcBorders>
              <w:top w:val="nil"/>
              <w:left w:val="nil"/>
              <w:bottom w:val="single" w:sz="4" w:space="0" w:color="016794"/>
              <w:right w:val="nil"/>
              <w:tl2br w:val="nil"/>
              <w:tr2bl w:val="nil"/>
            </w:tcBorders>
            <w:shd w:val="clear" w:color="auto" w:fill="auto"/>
            <w:tcMar>
              <w:left w:w="60" w:type="dxa"/>
              <w:right w:w="60" w:type="dxa"/>
            </w:tcMar>
            <w:vAlign w:val="center"/>
          </w:tcPr>
          <w:p w14:paraId="41CB582B"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411</w:t>
            </w:r>
          </w:p>
        </w:tc>
      </w:tr>
      <w:tr w:rsidR="00FD1E19" w14:paraId="73385C51" w14:textId="77777777" w:rsidTr="00BE7E4A">
        <w:trPr>
          <w:gridAfter w:val="1"/>
          <w:wAfter w:w="14" w:type="dxa"/>
          <w:trHeight w:val="255"/>
        </w:trPr>
        <w:tc>
          <w:tcPr>
            <w:tcW w:w="3391" w:type="dxa"/>
            <w:tcBorders>
              <w:top w:val="single" w:sz="4" w:space="0" w:color="016794"/>
              <w:left w:val="nil"/>
              <w:bottom w:val="nil"/>
              <w:right w:val="nil"/>
              <w:tl2br w:val="nil"/>
              <w:tr2bl w:val="nil"/>
            </w:tcBorders>
            <w:shd w:val="clear" w:color="auto" w:fill="auto"/>
            <w:tcMar>
              <w:left w:w="60" w:type="dxa"/>
              <w:right w:w="60" w:type="dxa"/>
            </w:tcMar>
            <w:vAlign w:val="center"/>
          </w:tcPr>
          <w:p w14:paraId="3E6CFCD8" w14:textId="77777777" w:rsidR="00FD1E19" w:rsidRDefault="00FD1E19" w:rsidP="00BE7E4A">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nil"/>
              <w:right w:val="nil"/>
              <w:tl2br w:val="nil"/>
              <w:tr2bl w:val="nil"/>
            </w:tcBorders>
            <w:shd w:val="clear" w:color="auto" w:fill="auto"/>
            <w:tcMar>
              <w:left w:w="60" w:type="dxa"/>
              <w:right w:w="60" w:type="dxa"/>
            </w:tcMar>
            <w:vAlign w:val="center"/>
          </w:tcPr>
          <w:p w14:paraId="762CAD01"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shd w:val="clear" w:color="auto" w:fill="auto"/>
            <w:tcMar>
              <w:left w:w="60" w:type="dxa"/>
              <w:right w:w="60" w:type="dxa"/>
            </w:tcMar>
            <w:vAlign w:val="center"/>
          </w:tcPr>
          <w:p w14:paraId="2AF5E498"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(207)</w:t>
            </w: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364F5DFB"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233</w:t>
            </w:r>
          </w:p>
        </w:tc>
        <w:tc>
          <w:tcPr>
            <w:tcW w:w="1513" w:type="dxa"/>
            <w:tcBorders>
              <w:top w:val="single" w:sz="4" w:space="0" w:color="016794"/>
              <w:left w:val="nil"/>
              <w:bottom w:val="nil"/>
              <w:right w:val="nil"/>
              <w:tl2br w:val="nil"/>
              <w:tr2bl w:val="nil"/>
            </w:tcBorders>
            <w:shd w:val="clear" w:color="auto" w:fill="auto"/>
            <w:tcMar>
              <w:left w:w="60" w:type="dxa"/>
              <w:right w:w="60" w:type="dxa"/>
            </w:tcMar>
            <w:vAlign w:val="center"/>
          </w:tcPr>
          <w:p w14:paraId="1DD539F5"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830</w:t>
            </w:r>
          </w:p>
        </w:tc>
        <w:tc>
          <w:tcPr>
            <w:tcW w:w="1967" w:type="dxa"/>
            <w:tcBorders>
              <w:top w:val="single" w:sz="4" w:space="0" w:color="016794"/>
              <w:left w:val="nil"/>
              <w:bottom w:val="nil"/>
              <w:right w:val="nil"/>
              <w:tl2br w:val="nil"/>
              <w:tr2bl w:val="nil"/>
            </w:tcBorders>
            <w:shd w:val="clear" w:color="auto" w:fill="auto"/>
            <w:tcMar>
              <w:left w:w="60" w:type="dxa"/>
              <w:right w:w="60" w:type="dxa"/>
            </w:tcMar>
            <w:vAlign w:val="center"/>
          </w:tcPr>
          <w:p w14:paraId="181D2254"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856</w:t>
            </w: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30BABE71"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(201)</w:t>
            </w: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0728CB4C"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329</w:t>
            </w:r>
          </w:p>
        </w:tc>
        <w:tc>
          <w:tcPr>
            <w:tcW w:w="1532" w:type="dxa"/>
            <w:tcBorders>
              <w:top w:val="single" w:sz="4" w:space="0" w:color="016794"/>
              <w:left w:val="nil"/>
              <w:bottom w:val="nil"/>
              <w:right w:val="nil"/>
              <w:tl2br w:val="nil"/>
              <w:tr2bl w:val="nil"/>
            </w:tcBorders>
            <w:shd w:val="clear" w:color="auto" w:fill="auto"/>
            <w:tcMar>
              <w:left w:w="60" w:type="dxa"/>
              <w:right w:w="60" w:type="dxa"/>
            </w:tcMar>
            <w:vAlign w:val="center"/>
          </w:tcPr>
          <w:p w14:paraId="430BD8B5"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1 067</w:t>
            </w:r>
          </w:p>
        </w:tc>
        <w:tc>
          <w:tcPr>
            <w:tcW w:w="1436" w:type="dxa"/>
            <w:tcBorders>
              <w:top w:val="single" w:sz="4" w:space="0" w:color="016794"/>
              <w:left w:val="nil"/>
              <w:bottom w:val="nil"/>
              <w:right w:val="nil"/>
              <w:tl2br w:val="nil"/>
              <w:tr2bl w:val="nil"/>
            </w:tcBorders>
            <w:shd w:val="clear" w:color="auto" w:fill="auto"/>
            <w:tcMar>
              <w:left w:w="60" w:type="dxa"/>
              <w:right w:w="60" w:type="dxa"/>
            </w:tcMar>
            <w:vAlign w:val="center"/>
          </w:tcPr>
          <w:p w14:paraId="38857723" w14:textId="77777777" w:rsidR="00FD1E19" w:rsidRDefault="00FD1E19" w:rsidP="00BE7E4A">
            <w:pPr>
              <w:pStyle w:val="DMETW37225BIPBS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1 194</w:t>
            </w:r>
          </w:p>
        </w:tc>
      </w:tr>
      <w:tr w:rsidR="00FD1E19" w14:paraId="1174C78C" w14:textId="77777777" w:rsidTr="00BE7E4A">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14:paraId="543A9120" w14:textId="77777777" w:rsidR="00FD1E19" w:rsidRDefault="00FD1E19" w:rsidP="00BE7E4A">
            <w:pPr>
              <w:pStyle w:val="DMETW37225BIPBSEDF"/>
              <w:rPr>
                <w:rFonts w:ascii="Verdana" w:eastAsia="Verdana" w:hAnsi="Verdana" w:cs="Verdana"/>
                <w:b/>
                <w:noProof/>
                <w:color w:val="000000"/>
                <w:sz w:val="18"/>
              </w:rPr>
            </w:pPr>
            <w:r>
              <w:rPr>
                <w:rFonts w:ascii="Verdana" w:eastAsia="Verdana" w:hAnsi="Verdana" w:cs="Verdana"/>
                <w:b/>
                <w:noProof/>
                <w:color w:val="000000"/>
                <w:sz w:val="18"/>
              </w:rPr>
              <w:t>TOTAL ASSETS</w:t>
            </w:r>
          </w:p>
        </w:tc>
        <w:tc>
          <w:tcPr>
            <w:tcW w:w="756" w:type="dxa"/>
            <w:tcBorders>
              <w:top w:val="nil"/>
              <w:left w:val="nil"/>
              <w:bottom w:val="nil"/>
              <w:right w:val="nil"/>
              <w:tl2br w:val="nil"/>
              <w:tr2bl w:val="nil"/>
            </w:tcBorders>
            <w:shd w:val="solid" w:color="CCE1EA" w:fill="FFFFFF"/>
            <w:tcMar>
              <w:left w:w="60" w:type="dxa"/>
              <w:right w:w="60" w:type="dxa"/>
            </w:tcMar>
            <w:vAlign w:val="center"/>
          </w:tcPr>
          <w:p w14:paraId="65DE62A6"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14:paraId="1F7B54F8"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59777FB0"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636</w:t>
            </w:r>
          </w:p>
        </w:tc>
        <w:tc>
          <w:tcPr>
            <w:tcW w:w="1513" w:type="dxa"/>
            <w:tcBorders>
              <w:top w:val="nil"/>
              <w:left w:val="nil"/>
              <w:bottom w:val="nil"/>
              <w:right w:val="nil"/>
              <w:tl2br w:val="nil"/>
              <w:tr2bl w:val="nil"/>
            </w:tcBorders>
            <w:shd w:val="solid" w:color="CCE1EA" w:fill="FFFFFF"/>
            <w:tcMar>
              <w:left w:w="60" w:type="dxa"/>
              <w:right w:w="60" w:type="dxa"/>
            </w:tcMar>
            <w:vAlign w:val="center"/>
          </w:tcPr>
          <w:p w14:paraId="586A7BB9"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1 096</w:t>
            </w:r>
          </w:p>
        </w:tc>
        <w:tc>
          <w:tcPr>
            <w:tcW w:w="1967" w:type="dxa"/>
            <w:tcBorders>
              <w:top w:val="nil"/>
              <w:left w:val="nil"/>
              <w:bottom w:val="nil"/>
              <w:right w:val="nil"/>
              <w:tl2br w:val="nil"/>
              <w:tr2bl w:val="nil"/>
            </w:tcBorders>
            <w:shd w:val="solid" w:color="CCE1EA" w:fill="FFFFFF"/>
            <w:tcMar>
              <w:left w:w="60" w:type="dxa"/>
              <w:right w:w="60" w:type="dxa"/>
            </w:tcMar>
            <w:vAlign w:val="center"/>
          </w:tcPr>
          <w:p w14:paraId="08193A8F"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1 556</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4AE824F7"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46DEE73B"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770</w:t>
            </w:r>
          </w:p>
        </w:tc>
        <w:tc>
          <w:tcPr>
            <w:tcW w:w="1532" w:type="dxa"/>
            <w:tcBorders>
              <w:top w:val="nil"/>
              <w:left w:val="nil"/>
              <w:bottom w:val="nil"/>
              <w:right w:val="nil"/>
              <w:tl2br w:val="nil"/>
              <w:tr2bl w:val="nil"/>
            </w:tcBorders>
            <w:shd w:val="solid" w:color="CCE1EA" w:fill="FFFFFF"/>
            <w:tcMar>
              <w:left w:w="60" w:type="dxa"/>
              <w:right w:w="60" w:type="dxa"/>
            </w:tcMar>
            <w:vAlign w:val="center"/>
          </w:tcPr>
          <w:p w14:paraId="7059918E"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1 415</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3731ED99" w14:textId="77777777" w:rsidR="00FD1E19" w:rsidRDefault="00FD1E19" w:rsidP="00BE7E4A">
            <w:pPr>
              <w:pStyle w:val="DMETW37225BIPBS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2 016</w:t>
            </w:r>
          </w:p>
        </w:tc>
      </w:tr>
      <w:tr w:rsidR="00FD1E19" w14:paraId="0E60E900"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48180BD8" w14:textId="77777777" w:rsidR="00FD1E19" w:rsidRDefault="00FD1E19" w:rsidP="00BE7E4A">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shd w:val="clear" w:color="auto" w:fill="auto"/>
            <w:tcMar>
              <w:left w:w="60" w:type="dxa"/>
              <w:right w:w="60" w:type="dxa"/>
            </w:tcMar>
            <w:vAlign w:val="center"/>
          </w:tcPr>
          <w:p w14:paraId="5D8B29F8"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3ED5FA64"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31F3AC5D" w14:textId="77777777" w:rsidR="00FD1E19" w:rsidRDefault="00FD1E19" w:rsidP="00BE7E4A">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shd w:val="clear" w:color="auto" w:fill="auto"/>
            <w:tcMar>
              <w:left w:w="60" w:type="dxa"/>
              <w:right w:w="60" w:type="dxa"/>
            </w:tcMar>
            <w:vAlign w:val="center"/>
          </w:tcPr>
          <w:p w14:paraId="6C28440C" w14:textId="77777777" w:rsidR="00FD1E19" w:rsidRDefault="00FD1E19" w:rsidP="00BE7E4A">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shd w:val="clear" w:color="auto" w:fill="auto"/>
            <w:tcMar>
              <w:left w:w="60" w:type="dxa"/>
              <w:right w:w="60" w:type="dxa"/>
            </w:tcMar>
            <w:vAlign w:val="center"/>
          </w:tcPr>
          <w:p w14:paraId="5FC77F83"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0373A7E0"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06FBE357" w14:textId="77777777" w:rsidR="00FD1E19" w:rsidRDefault="00FD1E19" w:rsidP="00BE7E4A">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shd w:val="clear" w:color="auto" w:fill="auto"/>
            <w:tcMar>
              <w:left w:w="60" w:type="dxa"/>
              <w:right w:w="60" w:type="dxa"/>
            </w:tcMar>
            <w:vAlign w:val="center"/>
          </w:tcPr>
          <w:p w14:paraId="084D4578" w14:textId="77777777" w:rsidR="00FD1E19" w:rsidRDefault="00FD1E19" w:rsidP="00BE7E4A">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shd w:val="clear" w:color="auto" w:fill="auto"/>
            <w:tcMar>
              <w:left w:w="60" w:type="dxa"/>
              <w:right w:w="60" w:type="dxa"/>
            </w:tcMar>
            <w:vAlign w:val="center"/>
          </w:tcPr>
          <w:p w14:paraId="176EBD4D" w14:textId="77777777" w:rsidR="00FD1E19" w:rsidRDefault="00FD1E19" w:rsidP="00BE7E4A">
            <w:pPr>
              <w:pStyle w:val="DMETW37225BIPBSEDF"/>
              <w:jc w:val="right"/>
              <w:rPr>
                <w:rFonts w:ascii="Verdana" w:eastAsia="Verdana" w:hAnsi="Verdana" w:cs="Verdana"/>
                <w:i/>
                <w:noProof/>
                <w:color w:val="000000"/>
                <w:sz w:val="18"/>
                <w:lang w:bidi="en-GB"/>
              </w:rPr>
            </w:pPr>
          </w:p>
        </w:tc>
      </w:tr>
      <w:tr w:rsidR="00FD1E19" w14:paraId="2FB2219B"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36D7570E" w14:textId="77777777" w:rsidR="00FD1E19" w:rsidRDefault="00FD1E19" w:rsidP="00BE7E4A">
            <w:pPr>
              <w:pStyle w:val="DMETW37225BIPBSEDF"/>
              <w:rPr>
                <w:rFonts w:ascii="Verdana" w:eastAsia="Verdana" w:hAnsi="Verdana" w:cs="Verdana"/>
                <w:b/>
                <w:i/>
                <w:noProof/>
                <w:color w:val="000000"/>
                <w:sz w:val="18"/>
              </w:rPr>
            </w:pPr>
            <w:r>
              <w:rPr>
                <w:rFonts w:ascii="Verdana" w:eastAsia="Verdana" w:hAnsi="Verdana" w:cs="Verdana"/>
                <w:b/>
                <w:i/>
                <w:noProof/>
                <w:color w:val="000000"/>
                <w:sz w:val="18"/>
              </w:rPr>
              <w:t>NON-CURRENT LIABILITIES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7E337472"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17073ABE"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0B655249" w14:textId="77777777" w:rsidR="00FD1E19" w:rsidRDefault="00FD1E19" w:rsidP="00BE7E4A">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shd w:val="clear" w:color="auto" w:fill="auto"/>
            <w:tcMar>
              <w:left w:w="60" w:type="dxa"/>
              <w:right w:w="60" w:type="dxa"/>
            </w:tcMar>
            <w:vAlign w:val="center"/>
          </w:tcPr>
          <w:p w14:paraId="49126408" w14:textId="77777777" w:rsidR="00FD1E19" w:rsidRDefault="00FD1E19" w:rsidP="00BE7E4A">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shd w:val="clear" w:color="auto" w:fill="auto"/>
            <w:tcMar>
              <w:left w:w="60" w:type="dxa"/>
              <w:right w:w="60" w:type="dxa"/>
            </w:tcMar>
            <w:vAlign w:val="center"/>
          </w:tcPr>
          <w:p w14:paraId="61945282"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122E29A2"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0FFFEE9E" w14:textId="77777777" w:rsidR="00FD1E19" w:rsidRDefault="00FD1E19" w:rsidP="00BE7E4A">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shd w:val="clear" w:color="auto" w:fill="auto"/>
            <w:tcMar>
              <w:left w:w="60" w:type="dxa"/>
              <w:right w:w="60" w:type="dxa"/>
            </w:tcMar>
            <w:vAlign w:val="center"/>
          </w:tcPr>
          <w:p w14:paraId="6871D0CE" w14:textId="77777777" w:rsidR="00FD1E19" w:rsidRDefault="00FD1E19" w:rsidP="00BE7E4A">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shd w:val="clear" w:color="auto" w:fill="auto"/>
            <w:tcMar>
              <w:left w:w="60" w:type="dxa"/>
              <w:right w:w="60" w:type="dxa"/>
            </w:tcMar>
            <w:vAlign w:val="center"/>
          </w:tcPr>
          <w:p w14:paraId="71644B85" w14:textId="77777777" w:rsidR="00FD1E19" w:rsidRDefault="00FD1E19" w:rsidP="00BE7E4A">
            <w:pPr>
              <w:pStyle w:val="DMETW37225BIPBSEDF"/>
              <w:jc w:val="right"/>
              <w:rPr>
                <w:rFonts w:ascii="Verdana" w:eastAsia="Verdana" w:hAnsi="Verdana" w:cs="Verdana"/>
                <w:i/>
                <w:noProof/>
                <w:color w:val="000000"/>
                <w:sz w:val="18"/>
                <w:lang w:bidi="en-GB"/>
              </w:rPr>
            </w:pPr>
          </w:p>
        </w:tc>
      </w:tr>
      <w:tr w:rsidR="00FD1E19" w14:paraId="71A0B520" w14:textId="77777777" w:rsidTr="00BE7E4A">
        <w:trPr>
          <w:gridAfter w:val="1"/>
          <w:wAfter w:w="14" w:type="dxa"/>
          <w:trHeight w:val="255"/>
        </w:trPr>
        <w:tc>
          <w:tcPr>
            <w:tcW w:w="3391" w:type="dxa"/>
            <w:tcBorders>
              <w:top w:val="nil"/>
              <w:left w:val="nil"/>
              <w:bottom w:val="single" w:sz="4" w:space="0" w:color="016794"/>
              <w:right w:val="nil"/>
              <w:tl2br w:val="nil"/>
              <w:tr2bl w:val="nil"/>
            </w:tcBorders>
            <w:shd w:val="clear" w:color="auto" w:fill="auto"/>
            <w:tcMar>
              <w:left w:w="60" w:type="dxa"/>
              <w:right w:w="60" w:type="dxa"/>
            </w:tcMar>
            <w:vAlign w:val="center"/>
          </w:tcPr>
          <w:p w14:paraId="5FC00D8D"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Financial liabilities</w:t>
            </w:r>
          </w:p>
        </w:tc>
        <w:tc>
          <w:tcPr>
            <w:tcW w:w="756" w:type="dxa"/>
            <w:tcBorders>
              <w:top w:val="nil"/>
              <w:left w:val="nil"/>
              <w:bottom w:val="single" w:sz="4" w:space="0" w:color="016794"/>
              <w:right w:val="nil"/>
              <w:tl2br w:val="nil"/>
              <w:tr2bl w:val="nil"/>
            </w:tcBorders>
            <w:shd w:val="clear" w:color="auto" w:fill="auto"/>
            <w:tcMar>
              <w:left w:w="60" w:type="dxa"/>
              <w:right w:w="60" w:type="dxa"/>
            </w:tcMar>
            <w:vAlign w:val="center"/>
          </w:tcPr>
          <w:p w14:paraId="65D4B6AF"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2.6</w:t>
            </w:r>
          </w:p>
        </w:tc>
        <w:tc>
          <w:tcPr>
            <w:tcW w:w="1158" w:type="dxa"/>
            <w:tcBorders>
              <w:top w:val="nil"/>
              <w:left w:val="nil"/>
              <w:bottom w:val="single" w:sz="4" w:space="0" w:color="016794"/>
              <w:right w:val="nil"/>
              <w:tl2br w:val="nil"/>
              <w:tr2bl w:val="nil"/>
            </w:tcBorders>
            <w:shd w:val="clear" w:color="auto" w:fill="auto"/>
            <w:tcMar>
              <w:left w:w="60" w:type="dxa"/>
              <w:right w:w="60" w:type="dxa"/>
            </w:tcMar>
            <w:vAlign w:val="center"/>
          </w:tcPr>
          <w:p w14:paraId="2C7136F6"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0E56379D" w14:textId="77777777" w:rsidR="00FD1E19" w:rsidRDefault="00FD1E19" w:rsidP="00BE7E4A">
            <w:pPr>
              <w:pStyle w:val="DMETW37225BIPBSEDF"/>
              <w:jc w:val="right"/>
              <w:rPr>
                <w:rFonts w:ascii="Verdana" w:eastAsia="Verdana" w:hAnsi="Verdana" w:cs="Verdana"/>
                <w:i/>
                <w:noProof/>
                <w:color w:val="000000"/>
                <w:sz w:val="18"/>
              </w:rPr>
            </w:pPr>
            <w:r w:rsidRPr="004E12D9">
              <w:rPr>
                <w:rFonts w:ascii="Verdana" w:eastAsia="Verdana" w:hAnsi="Verdana" w:cs="Verdana"/>
                <w:i/>
                <w:noProof/>
                <w:color w:val="000000"/>
                <w:sz w:val="18"/>
              </w:rPr>
              <w:t>–</w:t>
            </w:r>
          </w:p>
        </w:tc>
        <w:tc>
          <w:tcPr>
            <w:tcW w:w="1513" w:type="dxa"/>
            <w:tcBorders>
              <w:top w:val="nil"/>
              <w:left w:val="nil"/>
              <w:bottom w:val="single" w:sz="4" w:space="0" w:color="016794"/>
              <w:right w:val="nil"/>
              <w:tl2br w:val="nil"/>
              <w:tr2bl w:val="nil"/>
            </w:tcBorders>
            <w:shd w:val="clear" w:color="auto" w:fill="auto"/>
            <w:tcMar>
              <w:left w:w="60" w:type="dxa"/>
              <w:right w:w="60" w:type="dxa"/>
            </w:tcMar>
            <w:vAlign w:val="center"/>
          </w:tcPr>
          <w:p w14:paraId="1CA0370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967" w:type="dxa"/>
            <w:tcBorders>
              <w:top w:val="nil"/>
              <w:left w:val="nil"/>
              <w:bottom w:val="single" w:sz="4" w:space="0" w:color="016794"/>
              <w:right w:val="nil"/>
              <w:tl2br w:val="nil"/>
              <w:tr2bl w:val="nil"/>
            </w:tcBorders>
            <w:shd w:val="clear" w:color="auto" w:fill="auto"/>
            <w:tcMar>
              <w:left w:w="60" w:type="dxa"/>
              <w:right w:w="60" w:type="dxa"/>
            </w:tcMar>
            <w:vAlign w:val="center"/>
          </w:tcPr>
          <w:p w14:paraId="496B31A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305D8D8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100BE33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532" w:type="dxa"/>
            <w:tcBorders>
              <w:top w:val="nil"/>
              <w:left w:val="nil"/>
              <w:bottom w:val="single" w:sz="4" w:space="0" w:color="016794"/>
              <w:right w:val="nil"/>
              <w:tl2br w:val="nil"/>
              <w:tr2bl w:val="nil"/>
            </w:tcBorders>
            <w:shd w:val="clear" w:color="auto" w:fill="auto"/>
            <w:tcMar>
              <w:left w:w="60" w:type="dxa"/>
              <w:right w:w="60" w:type="dxa"/>
            </w:tcMar>
            <w:vAlign w:val="center"/>
          </w:tcPr>
          <w:p w14:paraId="3318870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436" w:type="dxa"/>
            <w:tcBorders>
              <w:top w:val="nil"/>
              <w:left w:val="nil"/>
              <w:bottom w:val="single" w:sz="4" w:space="0" w:color="016794"/>
              <w:right w:val="nil"/>
              <w:tl2br w:val="nil"/>
              <w:tr2bl w:val="nil"/>
            </w:tcBorders>
            <w:shd w:val="clear" w:color="auto" w:fill="auto"/>
            <w:tcMar>
              <w:left w:w="60" w:type="dxa"/>
              <w:right w:w="60" w:type="dxa"/>
            </w:tcMar>
            <w:vAlign w:val="center"/>
          </w:tcPr>
          <w:p w14:paraId="4F00ED69"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3610F7B6" w14:textId="77777777" w:rsidTr="00BE7E4A">
        <w:trPr>
          <w:gridAfter w:val="1"/>
          <w:wAfter w:w="14" w:type="dxa"/>
          <w:trHeight w:val="255"/>
        </w:trPr>
        <w:tc>
          <w:tcPr>
            <w:tcW w:w="3391" w:type="dxa"/>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3D51809D" w14:textId="77777777" w:rsidR="00FD1E19" w:rsidRDefault="00FD1E19" w:rsidP="00BE7E4A">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ABFE7C4"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F2B3726"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5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7EF8AD7" w14:textId="77777777" w:rsidR="00FD1E19" w:rsidRPr="004E12D9" w:rsidRDefault="00FD1E19" w:rsidP="00BE7E4A">
            <w:pPr>
              <w:pStyle w:val="DMETW37225BIPBSEDF"/>
              <w:jc w:val="right"/>
              <w:rPr>
                <w:rFonts w:ascii="Verdana" w:eastAsia="Verdana" w:hAnsi="Verdana" w:cs="Verdana"/>
                <w:b/>
                <w:bCs/>
                <w:noProof/>
                <w:color w:val="000000"/>
                <w:sz w:val="18"/>
              </w:rPr>
            </w:pPr>
            <w:r>
              <w:rPr>
                <w:rFonts w:ascii="Verdana" w:eastAsia="Verdana" w:hAnsi="Verdana" w:cs="Verdana"/>
                <w:b/>
                <w:noProof/>
                <w:color w:val="000000"/>
                <w:sz w:val="18"/>
              </w:rPr>
              <w:t xml:space="preserve"> </w:t>
            </w:r>
            <w:r w:rsidRPr="004E12D9">
              <w:rPr>
                <w:rFonts w:ascii="Verdana" w:eastAsia="Verdana" w:hAnsi="Verdana" w:cs="Verdana"/>
                <w:b/>
                <w:bCs/>
                <w:noProof/>
                <w:color w:val="000000"/>
                <w:sz w:val="18"/>
              </w:rPr>
              <w:t xml:space="preserve"> </w:t>
            </w:r>
            <w:r w:rsidRPr="004E12D9">
              <w:rPr>
                <w:rFonts w:ascii="Verdana" w:eastAsia="Verdana" w:hAnsi="Verdana" w:cs="Verdana"/>
                <w:b/>
                <w:bCs/>
                <w:i/>
                <w:noProof/>
                <w:color w:val="000000"/>
                <w:sz w:val="18"/>
              </w:rPr>
              <w:t>–</w:t>
            </w:r>
          </w:p>
        </w:tc>
        <w:tc>
          <w:tcPr>
            <w:tcW w:w="15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BAE325F"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9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4CF3F4D"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05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DBC502E"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5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C5CBB12" w14:textId="77777777" w:rsidR="00FD1E19" w:rsidRPr="004E12D9" w:rsidRDefault="00FD1E19" w:rsidP="00BE7E4A">
            <w:pPr>
              <w:pStyle w:val="DMETW37225BIPBSEDF"/>
              <w:jc w:val="right"/>
              <w:rPr>
                <w:rFonts w:ascii="Verdana" w:eastAsia="Verdana" w:hAnsi="Verdana" w:cs="Verdana"/>
                <w:b/>
                <w:bCs/>
                <w:noProof/>
                <w:color w:val="000000"/>
                <w:sz w:val="18"/>
              </w:rPr>
            </w:pPr>
            <w:r>
              <w:rPr>
                <w:rFonts w:ascii="Verdana" w:eastAsia="Verdana" w:hAnsi="Verdana" w:cs="Verdana"/>
                <w:b/>
                <w:noProof/>
                <w:color w:val="000000"/>
                <w:sz w:val="18"/>
              </w:rPr>
              <w:t xml:space="preserve">  </w:t>
            </w:r>
            <w:r w:rsidRPr="004E12D9">
              <w:rPr>
                <w:rFonts w:ascii="Verdana" w:eastAsia="Verdana" w:hAnsi="Verdana" w:cs="Verdana"/>
                <w:b/>
                <w:bCs/>
                <w:i/>
                <w:noProof/>
                <w:color w:val="000000"/>
                <w:sz w:val="18"/>
              </w:rPr>
              <w:t>–</w:t>
            </w:r>
          </w:p>
        </w:tc>
        <w:tc>
          <w:tcPr>
            <w:tcW w:w="153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C816A84"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43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BE04703" w14:textId="77777777" w:rsidR="00FD1E19" w:rsidRDefault="00FD1E19" w:rsidP="00BE7E4A">
            <w:pPr>
              <w:pStyle w:val="DMETW37225BIPBS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w:t>
            </w:r>
          </w:p>
        </w:tc>
      </w:tr>
      <w:tr w:rsidR="00FD1E19" w14:paraId="7E8CFC65" w14:textId="77777777" w:rsidTr="00BE7E4A">
        <w:trPr>
          <w:gridAfter w:val="1"/>
          <w:wAfter w:w="14" w:type="dxa"/>
          <w:trHeight w:val="255"/>
        </w:trPr>
        <w:tc>
          <w:tcPr>
            <w:tcW w:w="3391" w:type="dxa"/>
            <w:tcBorders>
              <w:top w:val="single" w:sz="4" w:space="0" w:color="016794"/>
              <w:left w:val="nil"/>
              <w:bottom w:val="nil"/>
              <w:right w:val="nil"/>
              <w:tl2br w:val="nil"/>
              <w:tr2bl w:val="nil"/>
            </w:tcBorders>
            <w:shd w:val="clear" w:color="auto" w:fill="auto"/>
            <w:tcMar>
              <w:left w:w="60" w:type="dxa"/>
              <w:right w:w="60" w:type="dxa"/>
            </w:tcMar>
            <w:vAlign w:val="center"/>
          </w:tcPr>
          <w:p w14:paraId="43FBCEBE" w14:textId="77777777" w:rsidR="00FD1E19" w:rsidRDefault="00FD1E19" w:rsidP="00BE7E4A">
            <w:pPr>
              <w:pStyle w:val="DMETW37225BIPBSEDF"/>
              <w:rPr>
                <w:rFonts w:ascii="Verdana" w:eastAsia="Verdana" w:hAnsi="Verdana" w:cs="Verdana"/>
                <w:b/>
                <w:noProof/>
                <w:color w:val="000000"/>
                <w:sz w:val="18"/>
              </w:rPr>
            </w:pPr>
            <w:r>
              <w:rPr>
                <w:rFonts w:ascii="Verdana" w:eastAsia="Verdana" w:hAnsi="Verdana" w:cs="Verdana"/>
                <w:b/>
                <w:noProof/>
                <w:color w:val="000000"/>
                <w:sz w:val="18"/>
              </w:rPr>
              <w:t>CURRENT LIABILITIES</w:t>
            </w:r>
          </w:p>
        </w:tc>
        <w:tc>
          <w:tcPr>
            <w:tcW w:w="756" w:type="dxa"/>
            <w:tcBorders>
              <w:top w:val="single" w:sz="4" w:space="0" w:color="016794"/>
              <w:left w:val="nil"/>
              <w:bottom w:val="nil"/>
              <w:right w:val="nil"/>
              <w:tl2br w:val="nil"/>
              <w:tr2bl w:val="nil"/>
            </w:tcBorders>
            <w:shd w:val="clear" w:color="auto" w:fill="auto"/>
            <w:tcMar>
              <w:left w:w="60" w:type="dxa"/>
              <w:right w:w="60" w:type="dxa"/>
            </w:tcMar>
            <w:vAlign w:val="center"/>
          </w:tcPr>
          <w:p w14:paraId="2E372FC2"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single" w:sz="4" w:space="0" w:color="016794"/>
              <w:left w:val="nil"/>
              <w:bottom w:val="nil"/>
              <w:right w:val="nil"/>
              <w:tl2br w:val="nil"/>
              <w:tr2bl w:val="nil"/>
            </w:tcBorders>
            <w:shd w:val="clear" w:color="auto" w:fill="auto"/>
            <w:tcMar>
              <w:left w:w="60" w:type="dxa"/>
              <w:right w:w="60" w:type="dxa"/>
            </w:tcMar>
            <w:vAlign w:val="center"/>
          </w:tcPr>
          <w:p w14:paraId="162FEC10" w14:textId="77777777" w:rsidR="00FD1E19" w:rsidRDefault="00FD1E19" w:rsidP="00BE7E4A">
            <w:pPr>
              <w:pStyle w:val="DMETW37225BIPBSEDF"/>
              <w:jc w:val="right"/>
              <w:rPr>
                <w:rFonts w:ascii="Verdana" w:eastAsia="Verdana" w:hAnsi="Verdana" w:cs="Verdana"/>
                <w:noProof/>
                <w:color w:val="000000"/>
                <w:sz w:val="18"/>
              </w:rPr>
            </w:pP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477FD956" w14:textId="77777777" w:rsidR="00FD1E19" w:rsidRDefault="00FD1E19" w:rsidP="00BE7E4A">
            <w:pPr>
              <w:pStyle w:val="DMETW37225BIPBSEDF"/>
              <w:jc w:val="right"/>
              <w:rPr>
                <w:rFonts w:ascii="Verdana" w:eastAsia="Verdana" w:hAnsi="Verdana" w:cs="Verdana"/>
                <w:noProof/>
                <w:color w:val="000000"/>
                <w:sz w:val="18"/>
              </w:rPr>
            </w:pPr>
          </w:p>
        </w:tc>
        <w:tc>
          <w:tcPr>
            <w:tcW w:w="1513" w:type="dxa"/>
            <w:tcBorders>
              <w:top w:val="single" w:sz="4" w:space="0" w:color="016794"/>
              <w:left w:val="nil"/>
              <w:bottom w:val="nil"/>
              <w:right w:val="nil"/>
              <w:tl2br w:val="nil"/>
              <w:tr2bl w:val="nil"/>
            </w:tcBorders>
            <w:shd w:val="clear" w:color="auto" w:fill="auto"/>
            <w:tcMar>
              <w:left w:w="60" w:type="dxa"/>
              <w:right w:w="60" w:type="dxa"/>
            </w:tcMar>
            <w:vAlign w:val="center"/>
          </w:tcPr>
          <w:p w14:paraId="0EC18293" w14:textId="77777777" w:rsidR="00FD1E19" w:rsidRDefault="00FD1E19" w:rsidP="00BE7E4A">
            <w:pPr>
              <w:pStyle w:val="DMETW37225BIPBSEDF"/>
              <w:jc w:val="right"/>
              <w:rPr>
                <w:rFonts w:ascii="Verdana" w:eastAsia="Verdana" w:hAnsi="Verdana" w:cs="Verdana"/>
                <w:noProof/>
                <w:color w:val="000000"/>
                <w:sz w:val="18"/>
              </w:rPr>
            </w:pPr>
          </w:p>
        </w:tc>
        <w:tc>
          <w:tcPr>
            <w:tcW w:w="1967" w:type="dxa"/>
            <w:tcBorders>
              <w:top w:val="single" w:sz="4" w:space="0" w:color="016794"/>
              <w:left w:val="nil"/>
              <w:bottom w:val="nil"/>
              <w:right w:val="nil"/>
              <w:tl2br w:val="nil"/>
              <w:tr2bl w:val="nil"/>
            </w:tcBorders>
            <w:shd w:val="clear" w:color="auto" w:fill="auto"/>
            <w:tcMar>
              <w:left w:w="60" w:type="dxa"/>
              <w:right w:w="60" w:type="dxa"/>
            </w:tcMar>
            <w:vAlign w:val="center"/>
          </w:tcPr>
          <w:p w14:paraId="30BAFC13" w14:textId="77777777" w:rsidR="00FD1E19" w:rsidRDefault="00FD1E19" w:rsidP="00BE7E4A">
            <w:pPr>
              <w:pStyle w:val="DMETW37225BIPBSEDF"/>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10652100" w14:textId="77777777" w:rsidR="00FD1E19" w:rsidRDefault="00FD1E19" w:rsidP="00BE7E4A">
            <w:pPr>
              <w:pStyle w:val="DMETW37225BIPBSEDF"/>
              <w:jc w:val="right"/>
              <w:rPr>
                <w:rFonts w:ascii="Verdana" w:eastAsia="Verdana" w:hAnsi="Verdana" w:cs="Verdana"/>
                <w:noProof/>
                <w:color w:val="000000"/>
                <w:sz w:val="18"/>
              </w:rPr>
            </w:pP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12AFA40A" w14:textId="77777777" w:rsidR="00FD1E19" w:rsidRDefault="00FD1E19" w:rsidP="00BE7E4A">
            <w:pPr>
              <w:pStyle w:val="DMETW37225BIPBSEDF"/>
              <w:jc w:val="right"/>
              <w:rPr>
                <w:rFonts w:ascii="Verdana" w:eastAsia="Verdana" w:hAnsi="Verdana" w:cs="Verdana"/>
                <w:noProof/>
                <w:color w:val="000000"/>
                <w:sz w:val="18"/>
              </w:rPr>
            </w:pPr>
          </w:p>
        </w:tc>
        <w:tc>
          <w:tcPr>
            <w:tcW w:w="1532" w:type="dxa"/>
            <w:tcBorders>
              <w:top w:val="single" w:sz="4" w:space="0" w:color="016794"/>
              <w:left w:val="nil"/>
              <w:bottom w:val="nil"/>
              <w:right w:val="nil"/>
              <w:tl2br w:val="nil"/>
              <w:tr2bl w:val="nil"/>
            </w:tcBorders>
            <w:shd w:val="clear" w:color="auto" w:fill="auto"/>
            <w:tcMar>
              <w:left w:w="60" w:type="dxa"/>
              <w:right w:w="60" w:type="dxa"/>
            </w:tcMar>
            <w:vAlign w:val="center"/>
          </w:tcPr>
          <w:p w14:paraId="7734DF75" w14:textId="77777777" w:rsidR="00FD1E19" w:rsidRDefault="00FD1E19" w:rsidP="00BE7E4A">
            <w:pPr>
              <w:pStyle w:val="DMETW37225BIPBSEDF"/>
              <w:jc w:val="right"/>
              <w:rPr>
                <w:rFonts w:ascii="Verdana" w:eastAsia="Verdana" w:hAnsi="Verdana" w:cs="Verdana"/>
                <w:noProof/>
                <w:color w:val="000000"/>
                <w:sz w:val="18"/>
              </w:rPr>
            </w:pPr>
          </w:p>
        </w:tc>
        <w:tc>
          <w:tcPr>
            <w:tcW w:w="1436" w:type="dxa"/>
            <w:tcBorders>
              <w:top w:val="single" w:sz="4" w:space="0" w:color="016794"/>
              <w:left w:val="nil"/>
              <w:bottom w:val="nil"/>
              <w:right w:val="nil"/>
              <w:tl2br w:val="nil"/>
              <w:tr2bl w:val="nil"/>
            </w:tcBorders>
            <w:shd w:val="clear" w:color="auto" w:fill="auto"/>
            <w:tcMar>
              <w:left w:w="60" w:type="dxa"/>
              <w:right w:w="60" w:type="dxa"/>
            </w:tcMar>
            <w:vAlign w:val="center"/>
          </w:tcPr>
          <w:p w14:paraId="426D84D0" w14:textId="77777777" w:rsidR="00FD1E19" w:rsidRDefault="00FD1E19" w:rsidP="00BE7E4A">
            <w:pPr>
              <w:pStyle w:val="DMETW37225BIPBSEDF"/>
              <w:jc w:val="right"/>
              <w:rPr>
                <w:rFonts w:ascii="Verdana" w:eastAsia="Verdana" w:hAnsi="Verdana" w:cs="Verdana"/>
                <w:noProof/>
                <w:color w:val="000000"/>
                <w:sz w:val="18"/>
                <w:lang w:bidi="en-GB"/>
              </w:rPr>
            </w:pPr>
          </w:p>
        </w:tc>
      </w:tr>
      <w:tr w:rsidR="00FD1E19" w14:paraId="3287C146"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01BBB0EC"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Provisions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187EF586"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2.6</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599DDA7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7D2EE56"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120E0A5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3FAEC4A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2EBB24D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5C8134B4"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63CFCD1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35FC7E58"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7C9129B7"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1D0E62F6"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Payables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4BF74A9D"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2.7</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68F63B4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494E0A1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51E6A7C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(171)</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18BFE580"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(187)</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4D40F4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265BF8D5"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(25)</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3165C086"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(230)</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2797908D"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(256)</w:t>
            </w:r>
          </w:p>
        </w:tc>
      </w:tr>
      <w:tr w:rsidR="00FD1E19" w14:paraId="7C320EF3" w14:textId="77777777" w:rsidTr="00BE7E4A">
        <w:trPr>
          <w:gridAfter w:val="1"/>
          <w:wAfter w:w="14" w:type="dxa"/>
          <w:trHeight w:val="255"/>
        </w:trPr>
        <w:tc>
          <w:tcPr>
            <w:tcW w:w="3391" w:type="dxa"/>
            <w:tcBorders>
              <w:top w:val="nil"/>
              <w:left w:val="nil"/>
              <w:bottom w:val="single" w:sz="4" w:space="0" w:color="016794"/>
              <w:right w:val="nil"/>
              <w:tl2br w:val="nil"/>
              <w:tr2bl w:val="nil"/>
            </w:tcBorders>
            <w:shd w:val="clear" w:color="auto" w:fill="auto"/>
            <w:tcMar>
              <w:left w:w="60" w:type="dxa"/>
              <w:right w:w="60" w:type="dxa"/>
            </w:tcMar>
            <w:vAlign w:val="center"/>
          </w:tcPr>
          <w:p w14:paraId="67FA5008"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 xml:space="preserve">Accrued charges </w:t>
            </w:r>
          </w:p>
        </w:tc>
        <w:tc>
          <w:tcPr>
            <w:tcW w:w="756" w:type="dxa"/>
            <w:tcBorders>
              <w:top w:val="nil"/>
              <w:left w:val="nil"/>
              <w:bottom w:val="single" w:sz="4" w:space="0" w:color="016794"/>
              <w:right w:val="nil"/>
              <w:tl2br w:val="nil"/>
              <w:tr2bl w:val="nil"/>
            </w:tcBorders>
            <w:shd w:val="clear" w:color="auto" w:fill="auto"/>
            <w:tcMar>
              <w:left w:w="60" w:type="dxa"/>
              <w:right w:w="60" w:type="dxa"/>
            </w:tcMar>
            <w:vAlign w:val="center"/>
          </w:tcPr>
          <w:p w14:paraId="08DD3B2B"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2.8</w:t>
            </w:r>
          </w:p>
        </w:tc>
        <w:tc>
          <w:tcPr>
            <w:tcW w:w="1158" w:type="dxa"/>
            <w:tcBorders>
              <w:top w:val="nil"/>
              <w:left w:val="nil"/>
              <w:bottom w:val="single" w:sz="4" w:space="0" w:color="016794"/>
              <w:right w:val="nil"/>
              <w:tl2br w:val="nil"/>
              <w:tr2bl w:val="nil"/>
            </w:tcBorders>
            <w:shd w:val="clear" w:color="auto" w:fill="auto"/>
            <w:tcMar>
              <w:left w:w="60" w:type="dxa"/>
              <w:right w:w="60" w:type="dxa"/>
            </w:tcMar>
            <w:vAlign w:val="center"/>
          </w:tcPr>
          <w:p w14:paraId="2A33A88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1AD6117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(34)</w:t>
            </w:r>
          </w:p>
        </w:tc>
        <w:tc>
          <w:tcPr>
            <w:tcW w:w="1513" w:type="dxa"/>
            <w:tcBorders>
              <w:top w:val="nil"/>
              <w:left w:val="nil"/>
              <w:bottom w:val="single" w:sz="4" w:space="0" w:color="016794"/>
              <w:right w:val="nil"/>
              <w:tl2br w:val="nil"/>
              <w:tr2bl w:val="nil"/>
            </w:tcBorders>
            <w:shd w:val="clear" w:color="auto" w:fill="auto"/>
            <w:tcMar>
              <w:left w:w="60" w:type="dxa"/>
              <w:right w:w="60" w:type="dxa"/>
            </w:tcMar>
            <w:vAlign w:val="center"/>
          </w:tcPr>
          <w:p w14:paraId="216835A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(661)</w:t>
            </w:r>
          </w:p>
        </w:tc>
        <w:tc>
          <w:tcPr>
            <w:tcW w:w="1967" w:type="dxa"/>
            <w:tcBorders>
              <w:top w:val="nil"/>
              <w:left w:val="nil"/>
              <w:bottom w:val="single" w:sz="4" w:space="0" w:color="016794"/>
              <w:right w:val="nil"/>
              <w:tl2br w:val="nil"/>
              <w:tr2bl w:val="nil"/>
            </w:tcBorders>
            <w:shd w:val="clear" w:color="auto" w:fill="auto"/>
            <w:tcMar>
              <w:left w:w="60" w:type="dxa"/>
              <w:right w:w="60" w:type="dxa"/>
            </w:tcMar>
            <w:vAlign w:val="center"/>
          </w:tcPr>
          <w:p w14:paraId="35DF2F72"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(695)</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4E2BF1D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059" w:type="dxa"/>
            <w:tcBorders>
              <w:top w:val="nil"/>
              <w:left w:val="nil"/>
              <w:bottom w:val="single" w:sz="4" w:space="0" w:color="016794"/>
              <w:right w:val="nil"/>
              <w:tl2br w:val="nil"/>
              <w:tr2bl w:val="nil"/>
            </w:tcBorders>
            <w:shd w:val="clear" w:color="auto" w:fill="auto"/>
            <w:tcMar>
              <w:left w:w="60" w:type="dxa"/>
              <w:right w:w="60" w:type="dxa"/>
            </w:tcMar>
            <w:vAlign w:val="center"/>
          </w:tcPr>
          <w:p w14:paraId="06E9C59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(71)</w:t>
            </w:r>
          </w:p>
        </w:tc>
        <w:tc>
          <w:tcPr>
            <w:tcW w:w="1532" w:type="dxa"/>
            <w:tcBorders>
              <w:top w:val="nil"/>
              <w:left w:val="nil"/>
              <w:bottom w:val="single" w:sz="4" w:space="0" w:color="016794"/>
              <w:right w:val="nil"/>
              <w:tl2br w:val="nil"/>
              <w:tr2bl w:val="nil"/>
            </w:tcBorders>
            <w:shd w:val="clear" w:color="auto" w:fill="auto"/>
            <w:tcMar>
              <w:left w:w="60" w:type="dxa"/>
              <w:right w:w="60" w:type="dxa"/>
            </w:tcMar>
            <w:vAlign w:val="center"/>
          </w:tcPr>
          <w:p w14:paraId="514EB8D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(703)</w:t>
            </w:r>
          </w:p>
        </w:tc>
        <w:tc>
          <w:tcPr>
            <w:tcW w:w="1436" w:type="dxa"/>
            <w:tcBorders>
              <w:top w:val="nil"/>
              <w:left w:val="nil"/>
              <w:bottom w:val="single" w:sz="4" w:space="0" w:color="016794"/>
              <w:right w:val="nil"/>
              <w:tl2br w:val="nil"/>
              <w:tr2bl w:val="nil"/>
            </w:tcBorders>
            <w:shd w:val="clear" w:color="auto" w:fill="auto"/>
            <w:tcMar>
              <w:left w:w="60" w:type="dxa"/>
              <w:right w:w="60" w:type="dxa"/>
            </w:tcMar>
            <w:vAlign w:val="center"/>
          </w:tcPr>
          <w:p w14:paraId="54167277"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(774)</w:t>
            </w:r>
          </w:p>
        </w:tc>
      </w:tr>
      <w:tr w:rsidR="00FD1E19" w14:paraId="55247400" w14:textId="77777777" w:rsidTr="00BE7E4A">
        <w:trPr>
          <w:gridAfter w:val="1"/>
          <w:wAfter w:w="14" w:type="dxa"/>
          <w:trHeight w:val="255"/>
        </w:trPr>
        <w:tc>
          <w:tcPr>
            <w:tcW w:w="3391" w:type="dxa"/>
            <w:tcBorders>
              <w:top w:val="single" w:sz="4" w:space="0" w:color="016794"/>
              <w:left w:val="nil"/>
              <w:bottom w:val="nil"/>
              <w:right w:val="nil"/>
              <w:tl2br w:val="nil"/>
              <w:tr2bl w:val="nil"/>
            </w:tcBorders>
            <w:shd w:val="clear" w:color="auto" w:fill="auto"/>
            <w:tcMar>
              <w:left w:w="60" w:type="dxa"/>
              <w:right w:w="60" w:type="dxa"/>
            </w:tcMar>
            <w:vAlign w:val="center"/>
          </w:tcPr>
          <w:p w14:paraId="27748AAC" w14:textId="77777777" w:rsidR="00FD1E19" w:rsidRDefault="00FD1E19" w:rsidP="00BE7E4A">
            <w:pPr>
              <w:pStyle w:val="DMETW37225BIPBSEDF"/>
              <w:jc w:val="right"/>
              <w:rPr>
                <w:rFonts w:ascii="Verdana" w:eastAsia="Verdana" w:hAnsi="Verdana" w:cs="Verdana"/>
                <w:b/>
                <w:noProof/>
                <w:color w:val="000000"/>
                <w:sz w:val="18"/>
              </w:rPr>
            </w:pPr>
          </w:p>
        </w:tc>
        <w:tc>
          <w:tcPr>
            <w:tcW w:w="756" w:type="dxa"/>
            <w:tcBorders>
              <w:top w:val="single" w:sz="4" w:space="0" w:color="016794"/>
              <w:left w:val="nil"/>
              <w:bottom w:val="nil"/>
              <w:right w:val="nil"/>
              <w:tl2br w:val="nil"/>
              <w:tr2bl w:val="nil"/>
            </w:tcBorders>
            <w:shd w:val="clear" w:color="auto" w:fill="auto"/>
            <w:tcMar>
              <w:left w:w="60" w:type="dxa"/>
              <w:right w:w="60" w:type="dxa"/>
            </w:tcMar>
            <w:vAlign w:val="center"/>
          </w:tcPr>
          <w:p w14:paraId="3CF8AED8"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single" w:sz="4" w:space="0" w:color="016794"/>
              <w:left w:val="nil"/>
              <w:bottom w:val="nil"/>
              <w:right w:val="nil"/>
              <w:tl2br w:val="nil"/>
              <w:tr2bl w:val="nil"/>
            </w:tcBorders>
            <w:shd w:val="clear" w:color="auto" w:fill="auto"/>
            <w:tcMar>
              <w:left w:w="60" w:type="dxa"/>
              <w:right w:w="60" w:type="dxa"/>
            </w:tcMar>
            <w:vAlign w:val="center"/>
          </w:tcPr>
          <w:p w14:paraId="2B585D73" w14:textId="77777777" w:rsidR="00FD1E19" w:rsidRPr="004E12D9" w:rsidRDefault="00FD1E19" w:rsidP="00BE7E4A">
            <w:pPr>
              <w:pStyle w:val="DMETW37225BIPBSEDF"/>
              <w:jc w:val="right"/>
              <w:rPr>
                <w:rFonts w:ascii="Verdana" w:eastAsia="Verdana" w:hAnsi="Verdana" w:cs="Verdana"/>
                <w:b/>
                <w:noProof/>
                <w:color w:val="000000"/>
                <w:sz w:val="18"/>
              </w:rPr>
            </w:pPr>
            <w:r w:rsidRPr="004E12D9">
              <w:rPr>
                <w:rFonts w:ascii="Verdana" w:eastAsia="Verdana" w:hAnsi="Verdana" w:cs="Verdana"/>
                <w:b/>
                <w:noProof/>
                <w:color w:val="000000"/>
                <w:sz w:val="18"/>
              </w:rPr>
              <w:t xml:space="preserve">  </w:t>
            </w:r>
            <w:r w:rsidRPr="004E12D9">
              <w:rPr>
                <w:rFonts w:ascii="Verdana" w:eastAsia="Verdana" w:hAnsi="Verdana" w:cs="Verdana"/>
                <w:b/>
                <w:i/>
                <w:noProof/>
                <w:color w:val="000000"/>
                <w:sz w:val="18"/>
              </w:rPr>
              <w:t>–</w:t>
            </w: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7805DB77" w14:textId="77777777" w:rsidR="00FD1E19" w:rsidRPr="004E12D9" w:rsidRDefault="00FD1E19" w:rsidP="00BE7E4A">
            <w:pPr>
              <w:pStyle w:val="DMETW37225BIPBSEDF"/>
              <w:jc w:val="right"/>
              <w:rPr>
                <w:rFonts w:ascii="Verdana" w:eastAsia="Verdana" w:hAnsi="Verdana" w:cs="Verdana"/>
                <w:b/>
                <w:noProof/>
                <w:color w:val="000000"/>
                <w:sz w:val="18"/>
              </w:rPr>
            </w:pPr>
            <w:r w:rsidRPr="004E12D9">
              <w:rPr>
                <w:rFonts w:ascii="Verdana" w:eastAsia="Verdana" w:hAnsi="Verdana" w:cs="Verdana"/>
                <w:b/>
                <w:noProof/>
                <w:color w:val="000000"/>
                <w:sz w:val="18"/>
              </w:rPr>
              <w:t xml:space="preserve">  (50)</w:t>
            </w:r>
          </w:p>
        </w:tc>
        <w:tc>
          <w:tcPr>
            <w:tcW w:w="1513" w:type="dxa"/>
            <w:tcBorders>
              <w:top w:val="single" w:sz="4" w:space="0" w:color="016794"/>
              <w:left w:val="nil"/>
              <w:bottom w:val="nil"/>
              <w:right w:val="nil"/>
              <w:tl2br w:val="nil"/>
              <w:tr2bl w:val="nil"/>
            </w:tcBorders>
            <w:shd w:val="clear" w:color="auto" w:fill="auto"/>
            <w:tcMar>
              <w:left w:w="60" w:type="dxa"/>
              <w:right w:w="60" w:type="dxa"/>
            </w:tcMar>
            <w:vAlign w:val="center"/>
          </w:tcPr>
          <w:p w14:paraId="13C16A81"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(832)</w:t>
            </w:r>
          </w:p>
        </w:tc>
        <w:tc>
          <w:tcPr>
            <w:tcW w:w="1967" w:type="dxa"/>
            <w:tcBorders>
              <w:top w:val="single" w:sz="4" w:space="0" w:color="016794"/>
              <w:left w:val="nil"/>
              <w:bottom w:val="nil"/>
              <w:right w:val="nil"/>
              <w:tl2br w:val="nil"/>
              <w:tr2bl w:val="nil"/>
            </w:tcBorders>
            <w:shd w:val="clear" w:color="auto" w:fill="auto"/>
            <w:tcMar>
              <w:left w:w="60" w:type="dxa"/>
              <w:right w:w="60" w:type="dxa"/>
            </w:tcMar>
            <w:vAlign w:val="center"/>
          </w:tcPr>
          <w:p w14:paraId="7E1F9D84"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(882)</w:t>
            </w: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1DEADC2C"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(0)</w:t>
            </w:r>
          </w:p>
        </w:tc>
        <w:tc>
          <w:tcPr>
            <w:tcW w:w="1059" w:type="dxa"/>
            <w:tcBorders>
              <w:top w:val="single" w:sz="4" w:space="0" w:color="016794"/>
              <w:left w:val="nil"/>
              <w:bottom w:val="nil"/>
              <w:right w:val="nil"/>
              <w:tl2br w:val="nil"/>
              <w:tr2bl w:val="nil"/>
            </w:tcBorders>
            <w:shd w:val="clear" w:color="auto" w:fill="auto"/>
            <w:tcMar>
              <w:left w:w="60" w:type="dxa"/>
              <w:right w:w="60" w:type="dxa"/>
            </w:tcMar>
            <w:vAlign w:val="center"/>
          </w:tcPr>
          <w:p w14:paraId="560D4A57"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(96)</w:t>
            </w:r>
          </w:p>
        </w:tc>
        <w:tc>
          <w:tcPr>
            <w:tcW w:w="1532" w:type="dxa"/>
            <w:tcBorders>
              <w:top w:val="single" w:sz="4" w:space="0" w:color="016794"/>
              <w:left w:val="nil"/>
              <w:bottom w:val="nil"/>
              <w:right w:val="nil"/>
              <w:tl2br w:val="nil"/>
              <w:tr2bl w:val="nil"/>
            </w:tcBorders>
            <w:shd w:val="clear" w:color="auto" w:fill="auto"/>
            <w:tcMar>
              <w:left w:w="60" w:type="dxa"/>
              <w:right w:w="60" w:type="dxa"/>
            </w:tcMar>
            <w:vAlign w:val="center"/>
          </w:tcPr>
          <w:p w14:paraId="56E9DAF3"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(935)</w:t>
            </w:r>
          </w:p>
        </w:tc>
        <w:tc>
          <w:tcPr>
            <w:tcW w:w="1436" w:type="dxa"/>
            <w:tcBorders>
              <w:top w:val="single" w:sz="4" w:space="0" w:color="016794"/>
              <w:left w:val="nil"/>
              <w:bottom w:val="nil"/>
              <w:right w:val="nil"/>
              <w:tl2br w:val="nil"/>
              <w:tr2bl w:val="nil"/>
            </w:tcBorders>
            <w:shd w:val="clear" w:color="auto" w:fill="auto"/>
            <w:tcMar>
              <w:left w:w="60" w:type="dxa"/>
              <w:right w:w="60" w:type="dxa"/>
            </w:tcMar>
            <w:vAlign w:val="center"/>
          </w:tcPr>
          <w:p w14:paraId="648172F8" w14:textId="77777777" w:rsidR="00FD1E19" w:rsidRDefault="00FD1E19" w:rsidP="00BE7E4A">
            <w:pPr>
              <w:pStyle w:val="DMETW37225BIPBS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(1 032)</w:t>
            </w:r>
          </w:p>
        </w:tc>
      </w:tr>
      <w:tr w:rsidR="00FD1E19" w14:paraId="717C6D54" w14:textId="77777777" w:rsidTr="00BE7E4A">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14:paraId="72831105" w14:textId="77777777" w:rsidR="00FD1E19" w:rsidRDefault="00FD1E19" w:rsidP="00BE7E4A">
            <w:pPr>
              <w:pStyle w:val="DMETW37225BIPBSEDF"/>
              <w:rPr>
                <w:rFonts w:ascii="Verdana" w:eastAsia="Verdana" w:hAnsi="Verdana" w:cs="Verdana"/>
                <w:b/>
                <w:noProof/>
                <w:color w:val="000000"/>
                <w:sz w:val="18"/>
              </w:rPr>
            </w:pPr>
            <w:r>
              <w:rPr>
                <w:rFonts w:ascii="Verdana" w:eastAsia="Verdana" w:hAnsi="Verdana" w:cs="Verdana"/>
                <w:b/>
                <w:noProof/>
                <w:color w:val="000000"/>
                <w:sz w:val="18"/>
              </w:rPr>
              <w:t>TOTAL LIABILITIES</w:t>
            </w:r>
          </w:p>
        </w:tc>
        <w:tc>
          <w:tcPr>
            <w:tcW w:w="756" w:type="dxa"/>
            <w:tcBorders>
              <w:top w:val="nil"/>
              <w:left w:val="nil"/>
              <w:bottom w:val="nil"/>
              <w:right w:val="nil"/>
              <w:tl2br w:val="nil"/>
              <w:tr2bl w:val="nil"/>
            </w:tcBorders>
            <w:shd w:val="solid" w:color="CCE1EA" w:fill="FFFFFF"/>
            <w:tcMar>
              <w:left w:w="60" w:type="dxa"/>
              <w:right w:w="60" w:type="dxa"/>
            </w:tcMar>
            <w:vAlign w:val="center"/>
          </w:tcPr>
          <w:p w14:paraId="2930D1AC"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14:paraId="50E879D7" w14:textId="77777777" w:rsidR="00FD1E19" w:rsidRPr="004E12D9" w:rsidRDefault="00FD1E19" w:rsidP="00BE7E4A">
            <w:pPr>
              <w:pStyle w:val="DMETW37225BIPBSEDF"/>
              <w:jc w:val="right"/>
              <w:rPr>
                <w:rFonts w:ascii="Verdana" w:eastAsia="Verdana" w:hAnsi="Verdana" w:cs="Verdana"/>
                <w:b/>
                <w:noProof/>
                <w:color w:val="000000"/>
                <w:sz w:val="18"/>
              </w:rPr>
            </w:pPr>
            <w:r w:rsidRPr="004E12D9">
              <w:rPr>
                <w:rFonts w:ascii="Verdana" w:eastAsia="Verdana" w:hAnsi="Verdana" w:cs="Verdana"/>
                <w:b/>
                <w:noProof/>
                <w:color w:val="000000"/>
                <w:sz w:val="18"/>
              </w:rPr>
              <w:t xml:space="preserve">  </w:t>
            </w:r>
            <w:r w:rsidRPr="004E12D9">
              <w:rPr>
                <w:rFonts w:ascii="Verdana" w:eastAsia="Verdana" w:hAnsi="Verdana" w:cs="Verdana"/>
                <w:b/>
                <w:i/>
                <w:noProof/>
                <w:color w:val="000000"/>
                <w:sz w:val="18"/>
              </w:rPr>
              <w:t>–</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01971C74" w14:textId="77777777" w:rsidR="00FD1E19" w:rsidRPr="004E12D9" w:rsidRDefault="00FD1E19" w:rsidP="00BE7E4A">
            <w:pPr>
              <w:pStyle w:val="DMETW37225BIPBSEDF"/>
              <w:jc w:val="right"/>
              <w:rPr>
                <w:rFonts w:ascii="Verdana" w:eastAsia="Verdana" w:hAnsi="Verdana" w:cs="Verdana"/>
                <w:b/>
                <w:noProof/>
                <w:color w:val="000000"/>
                <w:sz w:val="18"/>
              </w:rPr>
            </w:pPr>
            <w:r w:rsidRPr="004E12D9">
              <w:rPr>
                <w:rFonts w:ascii="Verdana" w:eastAsia="Verdana" w:hAnsi="Verdana" w:cs="Verdana"/>
                <w:b/>
                <w:noProof/>
                <w:color w:val="000000"/>
                <w:sz w:val="18"/>
              </w:rPr>
              <w:t xml:space="preserve">  (50)</w:t>
            </w:r>
          </w:p>
        </w:tc>
        <w:tc>
          <w:tcPr>
            <w:tcW w:w="1513" w:type="dxa"/>
            <w:tcBorders>
              <w:top w:val="nil"/>
              <w:left w:val="nil"/>
              <w:bottom w:val="nil"/>
              <w:right w:val="nil"/>
              <w:tl2br w:val="nil"/>
              <w:tr2bl w:val="nil"/>
            </w:tcBorders>
            <w:shd w:val="solid" w:color="CCE1EA" w:fill="FFFFFF"/>
            <w:tcMar>
              <w:left w:w="60" w:type="dxa"/>
              <w:right w:w="60" w:type="dxa"/>
            </w:tcMar>
            <w:vAlign w:val="center"/>
          </w:tcPr>
          <w:p w14:paraId="1D2B3E79"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(832)</w:t>
            </w:r>
          </w:p>
        </w:tc>
        <w:tc>
          <w:tcPr>
            <w:tcW w:w="1967" w:type="dxa"/>
            <w:tcBorders>
              <w:top w:val="nil"/>
              <w:left w:val="nil"/>
              <w:bottom w:val="nil"/>
              <w:right w:val="nil"/>
              <w:tl2br w:val="nil"/>
              <w:tr2bl w:val="nil"/>
            </w:tcBorders>
            <w:shd w:val="solid" w:color="CCE1EA" w:fill="FFFFFF"/>
            <w:tcMar>
              <w:left w:w="60" w:type="dxa"/>
              <w:right w:w="60" w:type="dxa"/>
            </w:tcMar>
            <w:vAlign w:val="center"/>
          </w:tcPr>
          <w:p w14:paraId="1F086181"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(883)</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1F916406"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(0)</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27B70752"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(96)</w:t>
            </w:r>
          </w:p>
        </w:tc>
        <w:tc>
          <w:tcPr>
            <w:tcW w:w="1532" w:type="dxa"/>
            <w:tcBorders>
              <w:top w:val="nil"/>
              <w:left w:val="nil"/>
              <w:bottom w:val="nil"/>
              <w:right w:val="nil"/>
              <w:tl2br w:val="nil"/>
              <w:tr2bl w:val="nil"/>
            </w:tcBorders>
            <w:shd w:val="solid" w:color="CCE1EA" w:fill="FFFFFF"/>
            <w:tcMar>
              <w:left w:w="60" w:type="dxa"/>
              <w:right w:w="60" w:type="dxa"/>
            </w:tcMar>
            <w:vAlign w:val="center"/>
          </w:tcPr>
          <w:p w14:paraId="33A09B69"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(936)</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3376D955" w14:textId="77777777" w:rsidR="00FD1E19" w:rsidRDefault="00FD1E19" w:rsidP="00BE7E4A">
            <w:pPr>
              <w:pStyle w:val="DMETW37225BIPBS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(1 032)</w:t>
            </w:r>
          </w:p>
        </w:tc>
      </w:tr>
      <w:tr w:rsidR="00FD1E19" w14:paraId="70332781" w14:textId="77777777" w:rsidTr="00BE7E4A">
        <w:trPr>
          <w:gridAfter w:val="1"/>
          <w:wAfter w:w="14" w:type="dxa"/>
          <w:trHeigh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4D7B10BC" w14:textId="77777777" w:rsidR="00FD1E19" w:rsidRDefault="00FD1E19" w:rsidP="00BE7E4A">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shd w:val="clear" w:color="auto" w:fill="auto"/>
            <w:tcMar>
              <w:left w:w="60" w:type="dxa"/>
              <w:right w:w="60" w:type="dxa"/>
            </w:tcMar>
            <w:vAlign w:val="center"/>
          </w:tcPr>
          <w:p w14:paraId="053DDD09"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3155427D"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2EE4934C" w14:textId="77777777" w:rsidR="00FD1E19" w:rsidRDefault="00FD1E19" w:rsidP="00BE7E4A">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shd w:val="clear" w:color="auto" w:fill="auto"/>
            <w:tcMar>
              <w:left w:w="60" w:type="dxa"/>
              <w:right w:w="60" w:type="dxa"/>
            </w:tcMar>
            <w:vAlign w:val="center"/>
          </w:tcPr>
          <w:p w14:paraId="11F394F1" w14:textId="77777777" w:rsidR="00FD1E19" w:rsidRDefault="00FD1E19" w:rsidP="00BE7E4A">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shd w:val="clear" w:color="auto" w:fill="auto"/>
            <w:tcMar>
              <w:left w:w="60" w:type="dxa"/>
              <w:right w:w="60" w:type="dxa"/>
            </w:tcMar>
            <w:vAlign w:val="center"/>
          </w:tcPr>
          <w:p w14:paraId="48A59C3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1466F2CD"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4C7D6FE0" w14:textId="77777777" w:rsidR="00FD1E19" w:rsidRDefault="00FD1E19" w:rsidP="00BE7E4A">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shd w:val="clear" w:color="auto" w:fill="auto"/>
            <w:tcMar>
              <w:left w:w="60" w:type="dxa"/>
              <w:right w:w="60" w:type="dxa"/>
            </w:tcMar>
            <w:vAlign w:val="center"/>
          </w:tcPr>
          <w:p w14:paraId="0339B035" w14:textId="77777777" w:rsidR="00FD1E19" w:rsidRDefault="00FD1E19" w:rsidP="00BE7E4A">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shd w:val="clear" w:color="auto" w:fill="auto"/>
            <w:tcMar>
              <w:left w:w="60" w:type="dxa"/>
              <w:right w:w="60" w:type="dxa"/>
            </w:tcMar>
            <w:vAlign w:val="center"/>
          </w:tcPr>
          <w:p w14:paraId="57298DD6" w14:textId="77777777" w:rsidR="00FD1E19" w:rsidRDefault="00FD1E19" w:rsidP="00BE7E4A">
            <w:pPr>
              <w:pStyle w:val="DMETW37225BIPBSEDF"/>
              <w:jc w:val="right"/>
              <w:rPr>
                <w:rFonts w:ascii="Verdana" w:eastAsia="Verdana" w:hAnsi="Verdana" w:cs="Verdana"/>
                <w:i/>
                <w:noProof/>
                <w:color w:val="000000"/>
                <w:sz w:val="18"/>
                <w:lang w:bidi="en-GB"/>
              </w:rPr>
            </w:pPr>
          </w:p>
        </w:tc>
      </w:tr>
      <w:tr w:rsidR="00FD1E19" w14:paraId="1D099E61" w14:textId="77777777" w:rsidTr="00BE7E4A">
        <w:trPr>
          <w:gridAfter w:val="1"/>
          <w:wAfter w:w="14" w:type="dxa"/>
          <w:trHeigh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14:paraId="757F6BC2" w14:textId="77777777" w:rsidR="00FD1E19" w:rsidRDefault="00FD1E19" w:rsidP="00BE7E4A">
            <w:pPr>
              <w:pStyle w:val="DMETW37225BIPBSEDF"/>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756" w:type="dxa"/>
            <w:tcBorders>
              <w:top w:val="nil"/>
              <w:left w:val="nil"/>
              <w:bottom w:val="nil"/>
              <w:right w:val="nil"/>
              <w:tl2br w:val="nil"/>
              <w:tr2bl w:val="nil"/>
            </w:tcBorders>
            <w:shd w:val="solid" w:color="CCE1EA" w:fill="FFFFFF"/>
            <w:tcMar>
              <w:left w:w="60" w:type="dxa"/>
              <w:right w:w="60" w:type="dxa"/>
            </w:tcMar>
            <w:vAlign w:val="center"/>
          </w:tcPr>
          <w:p w14:paraId="3455E0E5" w14:textId="77777777" w:rsidR="00FD1E19" w:rsidRDefault="00FD1E19" w:rsidP="00BE7E4A">
            <w:pPr>
              <w:pStyle w:val="DMETW37225BIPBSEDF"/>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14:paraId="5DA18EED"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19F4FCDB"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586</w:t>
            </w:r>
          </w:p>
        </w:tc>
        <w:tc>
          <w:tcPr>
            <w:tcW w:w="1513" w:type="dxa"/>
            <w:tcBorders>
              <w:top w:val="nil"/>
              <w:left w:val="nil"/>
              <w:bottom w:val="nil"/>
              <w:right w:val="nil"/>
              <w:tl2br w:val="nil"/>
              <w:tr2bl w:val="nil"/>
            </w:tcBorders>
            <w:shd w:val="solid" w:color="CCE1EA" w:fill="FFFFFF"/>
            <w:tcMar>
              <w:left w:w="60" w:type="dxa"/>
              <w:right w:w="60" w:type="dxa"/>
            </w:tcMar>
            <w:vAlign w:val="center"/>
          </w:tcPr>
          <w:p w14:paraId="66952078"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263</w:t>
            </w:r>
          </w:p>
        </w:tc>
        <w:tc>
          <w:tcPr>
            <w:tcW w:w="1967" w:type="dxa"/>
            <w:tcBorders>
              <w:top w:val="nil"/>
              <w:left w:val="nil"/>
              <w:bottom w:val="nil"/>
              <w:right w:val="nil"/>
              <w:tl2br w:val="nil"/>
              <w:tr2bl w:val="nil"/>
            </w:tcBorders>
            <w:shd w:val="solid" w:color="CCE1EA" w:fill="FFFFFF"/>
            <w:tcMar>
              <w:left w:w="60" w:type="dxa"/>
              <w:right w:w="60" w:type="dxa"/>
            </w:tcMar>
            <w:vAlign w:val="center"/>
          </w:tcPr>
          <w:p w14:paraId="020B7D4E"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0DD2C76C"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6A39228C"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674</w:t>
            </w:r>
          </w:p>
        </w:tc>
        <w:tc>
          <w:tcPr>
            <w:tcW w:w="1532" w:type="dxa"/>
            <w:tcBorders>
              <w:top w:val="nil"/>
              <w:left w:val="nil"/>
              <w:bottom w:val="nil"/>
              <w:right w:val="nil"/>
              <w:tl2br w:val="nil"/>
              <w:tr2bl w:val="nil"/>
            </w:tcBorders>
            <w:shd w:val="solid" w:color="CCE1EA" w:fill="FFFFFF"/>
            <w:tcMar>
              <w:left w:w="60" w:type="dxa"/>
              <w:right w:w="60" w:type="dxa"/>
            </w:tcMar>
            <w:vAlign w:val="center"/>
          </w:tcPr>
          <w:p w14:paraId="2CEF3B10"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479</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70B9A55C" w14:textId="77777777" w:rsidR="00FD1E19" w:rsidRDefault="00FD1E19" w:rsidP="00BE7E4A">
            <w:pPr>
              <w:pStyle w:val="DMETW37225BIPBS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983</w:t>
            </w:r>
          </w:p>
        </w:tc>
      </w:tr>
      <w:tr w:rsidR="00FD1E19" w14:paraId="75AC2126" w14:textId="77777777" w:rsidTr="00BE7E4A">
        <w:trPr>
          <w:gridAfter w:val="1"/>
          <w:wAfter w:w="14" w:type="dxa"/>
          <w:trHeight w:hRule="exac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150DAEB5" w14:textId="77777777" w:rsidR="00FD1E19" w:rsidRDefault="00FD1E19" w:rsidP="00BE7E4A">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shd w:val="clear" w:color="auto" w:fill="auto"/>
            <w:tcMar>
              <w:left w:w="60" w:type="dxa"/>
              <w:right w:w="60" w:type="dxa"/>
            </w:tcMar>
            <w:vAlign w:val="center"/>
          </w:tcPr>
          <w:p w14:paraId="48F40376"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54359810"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2717819E" w14:textId="77777777" w:rsidR="00FD1E19" w:rsidRDefault="00FD1E19" w:rsidP="00BE7E4A">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shd w:val="clear" w:color="auto" w:fill="auto"/>
            <w:tcMar>
              <w:left w:w="60" w:type="dxa"/>
              <w:right w:w="60" w:type="dxa"/>
            </w:tcMar>
            <w:vAlign w:val="center"/>
          </w:tcPr>
          <w:p w14:paraId="4BD46224" w14:textId="77777777" w:rsidR="00FD1E19" w:rsidRDefault="00FD1E19" w:rsidP="00BE7E4A">
            <w:pPr>
              <w:pStyle w:val="DMETW37225BIPBSEDF"/>
              <w:jc w:val="right"/>
              <w:rPr>
                <w:rFonts w:ascii="Verdana" w:eastAsia="Verdana" w:hAnsi="Verdana" w:cs="Verdana"/>
                <w:i/>
                <w:noProof/>
                <w:color w:val="000000"/>
                <w:sz w:val="18"/>
              </w:rPr>
            </w:pPr>
          </w:p>
          <w:p w14:paraId="2DC5CD74" w14:textId="77777777" w:rsidR="00FD1E19" w:rsidRPr="00C8795F" w:rsidRDefault="00FD1E19" w:rsidP="00BE7E4A">
            <w:pPr>
              <w:rPr>
                <w:rFonts w:eastAsia="Verdana"/>
                <w:noProof/>
              </w:rPr>
            </w:pPr>
          </w:p>
          <w:p w14:paraId="1867B4D5" w14:textId="77777777" w:rsidR="00FD1E19" w:rsidRPr="00C8795F" w:rsidRDefault="00FD1E19" w:rsidP="00BE7E4A">
            <w:pPr>
              <w:rPr>
                <w:rFonts w:eastAsia="Verdana"/>
                <w:noProof/>
              </w:rPr>
            </w:pPr>
          </w:p>
          <w:p w14:paraId="5D91131D" w14:textId="77777777" w:rsidR="00FD1E19" w:rsidRPr="00C8795F" w:rsidRDefault="00FD1E19" w:rsidP="00BE7E4A">
            <w:pPr>
              <w:rPr>
                <w:rFonts w:eastAsia="Verdana"/>
                <w:noProof/>
              </w:rPr>
            </w:pPr>
          </w:p>
        </w:tc>
        <w:tc>
          <w:tcPr>
            <w:tcW w:w="1967" w:type="dxa"/>
            <w:tcBorders>
              <w:top w:val="nil"/>
              <w:left w:val="nil"/>
              <w:bottom w:val="nil"/>
              <w:right w:val="nil"/>
              <w:tl2br w:val="nil"/>
              <w:tr2bl w:val="nil"/>
            </w:tcBorders>
            <w:shd w:val="clear" w:color="auto" w:fill="auto"/>
            <w:tcMar>
              <w:left w:w="60" w:type="dxa"/>
              <w:right w:w="60" w:type="dxa"/>
            </w:tcMar>
            <w:vAlign w:val="center"/>
          </w:tcPr>
          <w:p w14:paraId="2197212B"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3DE03C19"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5E6E5DE0" w14:textId="77777777" w:rsidR="00FD1E19" w:rsidRDefault="00FD1E19" w:rsidP="00BE7E4A">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shd w:val="clear" w:color="auto" w:fill="auto"/>
            <w:tcMar>
              <w:left w:w="60" w:type="dxa"/>
              <w:right w:w="60" w:type="dxa"/>
            </w:tcMar>
            <w:vAlign w:val="center"/>
          </w:tcPr>
          <w:p w14:paraId="4B144F90" w14:textId="77777777" w:rsidR="00FD1E19" w:rsidRDefault="00FD1E19" w:rsidP="00BE7E4A">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shd w:val="clear" w:color="auto" w:fill="auto"/>
            <w:tcMar>
              <w:left w:w="60" w:type="dxa"/>
              <w:right w:w="60" w:type="dxa"/>
            </w:tcMar>
            <w:vAlign w:val="center"/>
          </w:tcPr>
          <w:p w14:paraId="653D2472" w14:textId="77777777" w:rsidR="00FD1E19" w:rsidRDefault="00FD1E19" w:rsidP="00BE7E4A">
            <w:pPr>
              <w:pStyle w:val="DMETW37225BIPBSEDF"/>
              <w:jc w:val="right"/>
              <w:rPr>
                <w:rFonts w:ascii="Verdana" w:eastAsia="Verdana" w:hAnsi="Verdana" w:cs="Verdana"/>
                <w:i/>
                <w:noProof/>
                <w:color w:val="000000"/>
                <w:sz w:val="18"/>
                <w:lang w:bidi="en-GB"/>
              </w:rPr>
            </w:pPr>
          </w:p>
        </w:tc>
      </w:tr>
      <w:tr w:rsidR="00FD1E19" w14:paraId="0FC458D1" w14:textId="77777777" w:rsidTr="00BE7E4A">
        <w:trPr>
          <w:gridAfter w:val="1"/>
          <w:wAfter w:w="14" w:type="dxa"/>
          <w:trHeight w:hRule="exact" w:val="464"/>
        </w:trPr>
        <w:tc>
          <w:tcPr>
            <w:tcW w:w="3391" w:type="dxa"/>
            <w:tcBorders>
              <w:top w:val="nil"/>
              <w:left w:val="nil"/>
              <w:bottom w:val="nil"/>
              <w:right w:val="nil"/>
              <w:tl2br w:val="nil"/>
              <w:tr2bl w:val="nil"/>
            </w:tcBorders>
            <w:shd w:val="clear" w:color="auto" w:fill="auto"/>
            <w:tcMar>
              <w:left w:w="60" w:type="dxa"/>
              <w:right w:w="60" w:type="dxa"/>
            </w:tcMar>
            <w:vAlign w:val="center"/>
          </w:tcPr>
          <w:p w14:paraId="678092AF"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Called fund capital - active EDFs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4A88225C"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2.9</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639AF4A4"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10 434</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4AA833E2"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20 816</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31DB4C0E"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25 237</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45017E9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56 488</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656247F6"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10 435</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066F91C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20 819</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0138E208"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24 449</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7E43F2BE"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55 704</w:t>
            </w:r>
          </w:p>
        </w:tc>
      </w:tr>
      <w:tr w:rsidR="00FD1E19" w14:paraId="57B118D7" w14:textId="77777777" w:rsidTr="00BE7E4A">
        <w:trPr>
          <w:gridAfter w:val="1"/>
          <w:wAfter w:w="14" w:type="dxa"/>
          <w:trHeight w:hRule="exact" w:val="427"/>
        </w:trPr>
        <w:tc>
          <w:tcPr>
            <w:tcW w:w="3391" w:type="dxa"/>
            <w:tcBorders>
              <w:top w:val="nil"/>
              <w:left w:val="nil"/>
              <w:bottom w:val="nil"/>
              <w:right w:val="nil"/>
              <w:tl2br w:val="nil"/>
              <w:tr2bl w:val="nil"/>
            </w:tcBorders>
            <w:shd w:val="clear" w:color="auto" w:fill="auto"/>
            <w:tcMar>
              <w:left w:w="60" w:type="dxa"/>
              <w:right w:w="60" w:type="dxa"/>
            </w:tcMar>
            <w:vAlign w:val="center"/>
          </w:tcPr>
          <w:p w14:paraId="7A8FF741"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Called fund capital from closed EDFs carried forward</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000D74B3"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2.9</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1F42A2B6"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2 252</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5A68F5F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07B1B22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470CEB7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2 252</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55B332B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2 252</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56AE6110"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7ACE8BE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60DB49F5"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2 252</w:t>
            </w:r>
          </w:p>
        </w:tc>
      </w:tr>
      <w:tr w:rsidR="00FD1E19" w14:paraId="7069A226" w14:textId="77777777" w:rsidTr="00BE7E4A">
        <w:trPr>
          <w:gridAfter w:val="1"/>
          <w:wAfter w:w="14" w:type="dxa"/>
          <w:trHeight w:hRule="exact" w:val="433"/>
        </w:trPr>
        <w:tc>
          <w:tcPr>
            <w:tcW w:w="3391" w:type="dxa"/>
            <w:tcBorders>
              <w:top w:val="nil"/>
              <w:left w:val="nil"/>
              <w:bottom w:val="nil"/>
              <w:right w:val="nil"/>
              <w:tl2br w:val="nil"/>
              <w:tr2bl w:val="nil"/>
            </w:tcBorders>
            <w:shd w:val="clear" w:color="auto" w:fill="auto"/>
            <w:tcMar>
              <w:left w:w="60" w:type="dxa"/>
              <w:right w:w="60" w:type="dxa"/>
            </w:tcMar>
            <w:vAlign w:val="center"/>
          </w:tcPr>
          <w:p w14:paraId="4012CBF8"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Called fund capital transfers between active EDFs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2C27B718" w14:textId="77777777" w:rsidR="00FD1E19" w:rsidRDefault="00FD1E19" w:rsidP="00BE7E4A">
            <w:pPr>
              <w:pStyle w:val="DMETW37225BIPBSEDF"/>
              <w:rPr>
                <w:rFonts w:ascii="Verdana" w:eastAsia="Verdana" w:hAnsi="Verdana" w:cs="Verdana"/>
                <w:noProof/>
                <w:color w:val="000000"/>
                <w:sz w:val="18"/>
              </w:rPr>
            </w:pPr>
            <w:r>
              <w:rPr>
                <w:rFonts w:ascii="Verdana" w:eastAsia="Verdana" w:hAnsi="Verdana" w:cs="Verdana"/>
                <w:noProof/>
                <w:color w:val="000000"/>
                <w:sz w:val="18"/>
              </w:rPr>
              <w:t>2.9</w:t>
            </w:r>
          </w:p>
        </w:tc>
        <w:tc>
          <w:tcPr>
            <w:tcW w:w="1158" w:type="dxa"/>
            <w:tcBorders>
              <w:top w:val="nil"/>
              <w:left w:val="nil"/>
              <w:bottom w:val="nil"/>
              <w:right w:val="nil"/>
              <w:tl2br w:val="nil"/>
              <w:tr2bl w:val="nil"/>
            </w:tcBorders>
            <w:shd w:val="clear" w:color="auto" w:fill="auto"/>
            <w:tcMar>
              <w:left w:w="60" w:type="dxa"/>
              <w:right w:w="60" w:type="dxa"/>
            </w:tcMar>
            <w:vAlign w:val="center"/>
          </w:tcPr>
          <w:p w14:paraId="0AA7F0E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(510)</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67D2B2C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(187)</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1922423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696</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5253B084"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6FA7A50C"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(510)</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0D73A92F"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(187)</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292E323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696</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6C4A108B"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360BFCCF" w14:textId="77777777" w:rsidTr="00BE7E4A">
        <w:trPr>
          <w:gridAfter w:val="1"/>
          <w:wAfter w:w="14" w:type="dxa"/>
          <w:trHeight w:hRule="exact" w:val="411"/>
        </w:trPr>
        <w:tc>
          <w:tcPr>
            <w:tcW w:w="3391" w:type="dxa"/>
            <w:tcBorders>
              <w:top w:val="nil"/>
              <w:left w:val="nil"/>
              <w:bottom w:val="nil"/>
              <w:right w:val="nil"/>
              <w:tl2br w:val="nil"/>
              <w:tr2bl w:val="nil"/>
            </w:tcBorders>
            <w:shd w:val="clear" w:color="auto" w:fill="auto"/>
            <w:tcMar>
              <w:left w:w="60" w:type="dxa"/>
              <w:right w:w="60" w:type="dxa"/>
            </w:tcMar>
            <w:vAlign w:val="center"/>
          </w:tcPr>
          <w:p w14:paraId="1F7E7D2C"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Economic result carried forward from previous years</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5294D414" w14:textId="77777777" w:rsidR="00FD1E19" w:rsidRDefault="00FD1E19" w:rsidP="00BE7E4A">
            <w:pPr>
              <w:pStyle w:val="DMETW37225BIPBSEDF"/>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3298EDF7"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(12 348)</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2FEDE962"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(19 959)</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551F2779"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(24 666)</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273A22C0"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(56 973)</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7C53F8C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(12 348)</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3C7B48F3"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(19 887)</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60AA72B5"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(23 497)</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05FF8132"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(55 733)</w:t>
            </w:r>
          </w:p>
        </w:tc>
      </w:tr>
      <w:tr w:rsidR="00FD1E19" w14:paraId="2CEFDA55" w14:textId="77777777" w:rsidTr="00BE7E4A">
        <w:trPr>
          <w:gridAfter w:val="1"/>
          <w:wAfter w:w="14" w:type="dxa"/>
          <w:trHeight w:hRule="exact" w:val="431"/>
        </w:trPr>
        <w:tc>
          <w:tcPr>
            <w:tcW w:w="3391" w:type="dxa"/>
            <w:tcBorders>
              <w:top w:val="nil"/>
              <w:left w:val="nil"/>
              <w:bottom w:val="nil"/>
              <w:right w:val="nil"/>
              <w:tl2br w:val="nil"/>
              <w:tr2bl w:val="nil"/>
            </w:tcBorders>
            <w:shd w:val="clear" w:color="auto" w:fill="auto"/>
            <w:tcMar>
              <w:left w:w="60" w:type="dxa"/>
              <w:right w:w="60" w:type="dxa"/>
            </w:tcMar>
            <w:vAlign w:val="center"/>
          </w:tcPr>
          <w:p w14:paraId="04EE5A09" w14:textId="77777777" w:rsidR="00FD1E19" w:rsidRDefault="00FD1E19" w:rsidP="00BE7E4A">
            <w:pPr>
              <w:pStyle w:val="DMETW37225BIPBSEDF"/>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756" w:type="dxa"/>
            <w:tcBorders>
              <w:top w:val="nil"/>
              <w:left w:val="nil"/>
              <w:bottom w:val="nil"/>
              <w:right w:val="nil"/>
              <w:tl2br w:val="nil"/>
              <w:tr2bl w:val="nil"/>
            </w:tcBorders>
            <w:shd w:val="clear" w:color="auto" w:fill="auto"/>
            <w:tcMar>
              <w:left w:w="60" w:type="dxa"/>
              <w:right w:w="60" w:type="dxa"/>
            </w:tcMar>
            <w:vAlign w:val="center"/>
          </w:tcPr>
          <w:p w14:paraId="4700ADA9" w14:textId="77777777" w:rsidR="00FD1E19" w:rsidRDefault="00FD1E19" w:rsidP="00BE7E4A">
            <w:pPr>
              <w:pStyle w:val="DMETW37225BIPBSEDF"/>
              <w:jc w:val="center"/>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0013148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770804C4"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(85)</w:t>
            </w:r>
          </w:p>
        </w:tc>
        <w:tc>
          <w:tcPr>
            <w:tcW w:w="1513" w:type="dxa"/>
            <w:tcBorders>
              <w:top w:val="nil"/>
              <w:left w:val="nil"/>
              <w:bottom w:val="nil"/>
              <w:right w:val="nil"/>
              <w:tl2br w:val="nil"/>
              <w:tr2bl w:val="nil"/>
            </w:tcBorders>
            <w:shd w:val="clear" w:color="auto" w:fill="auto"/>
            <w:tcMar>
              <w:left w:w="60" w:type="dxa"/>
              <w:right w:w="60" w:type="dxa"/>
            </w:tcMar>
            <w:vAlign w:val="center"/>
          </w:tcPr>
          <w:p w14:paraId="09ABBF1B"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(1 004)</w:t>
            </w:r>
          </w:p>
        </w:tc>
        <w:tc>
          <w:tcPr>
            <w:tcW w:w="1967" w:type="dxa"/>
            <w:tcBorders>
              <w:top w:val="nil"/>
              <w:left w:val="nil"/>
              <w:bottom w:val="nil"/>
              <w:right w:val="nil"/>
              <w:tl2br w:val="nil"/>
              <w:tr2bl w:val="nil"/>
            </w:tcBorders>
            <w:shd w:val="clear" w:color="auto" w:fill="auto"/>
            <w:tcMar>
              <w:left w:w="60" w:type="dxa"/>
              <w:right w:w="60" w:type="dxa"/>
            </w:tcMar>
            <w:vAlign w:val="center"/>
          </w:tcPr>
          <w:p w14:paraId="1CCF1F4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(1 094)</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50F0215D"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059" w:type="dxa"/>
            <w:tcBorders>
              <w:top w:val="nil"/>
              <w:left w:val="nil"/>
              <w:bottom w:val="nil"/>
              <w:right w:val="nil"/>
              <w:tl2br w:val="nil"/>
              <w:tr2bl w:val="nil"/>
            </w:tcBorders>
            <w:shd w:val="clear" w:color="auto" w:fill="auto"/>
            <w:tcMar>
              <w:left w:w="60" w:type="dxa"/>
              <w:right w:w="60" w:type="dxa"/>
            </w:tcMar>
            <w:vAlign w:val="center"/>
          </w:tcPr>
          <w:p w14:paraId="273CD191"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 xml:space="preserve"> (72)</w:t>
            </w:r>
          </w:p>
        </w:tc>
        <w:tc>
          <w:tcPr>
            <w:tcW w:w="1532" w:type="dxa"/>
            <w:tcBorders>
              <w:top w:val="nil"/>
              <w:left w:val="nil"/>
              <w:bottom w:val="nil"/>
              <w:right w:val="nil"/>
              <w:tl2br w:val="nil"/>
              <w:tr2bl w:val="nil"/>
            </w:tcBorders>
            <w:shd w:val="clear" w:color="auto" w:fill="auto"/>
            <w:tcMar>
              <w:left w:w="60" w:type="dxa"/>
              <w:right w:w="60" w:type="dxa"/>
            </w:tcMar>
            <w:vAlign w:val="center"/>
          </w:tcPr>
          <w:p w14:paraId="634066EA" w14:textId="77777777" w:rsidR="00FD1E19" w:rsidRDefault="00FD1E19" w:rsidP="00BE7E4A">
            <w:pPr>
              <w:pStyle w:val="DMETW37225BIPBSEDF"/>
              <w:jc w:val="right"/>
              <w:rPr>
                <w:rFonts w:ascii="Verdana" w:eastAsia="Verdana" w:hAnsi="Verdana" w:cs="Verdana"/>
                <w:i/>
                <w:noProof/>
                <w:color w:val="000000"/>
                <w:sz w:val="18"/>
              </w:rPr>
            </w:pPr>
            <w:r>
              <w:rPr>
                <w:rFonts w:ascii="Verdana" w:eastAsia="Verdana" w:hAnsi="Verdana" w:cs="Verdana"/>
                <w:i/>
                <w:noProof/>
                <w:color w:val="000000"/>
                <w:sz w:val="18"/>
              </w:rPr>
              <w:t>(1 169)</w:t>
            </w:r>
          </w:p>
        </w:tc>
        <w:tc>
          <w:tcPr>
            <w:tcW w:w="1436" w:type="dxa"/>
            <w:tcBorders>
              <w:top w:val="nil"/>
              <w:left w:val="nil"/>
              <w:bottom w:val="nil"/>
              <w:right w:val="nil"/>
              <w:tl2br w:val="nil"/>
              <w:tr2bl w:val="nil"/>
            </w:tcBorders>
            <w:shd w:val="clear" w:color="auto" w:fill="auto"/>
            <w:tcMar>
              <w:left w:w="60" w:type="dxa"/>
              <w:right w:w="60" w:type="dxa"/>
            </w:tcMar>
            <w:vAlign w:val="center"/>
          </w:tcPr>
          <w:p w14:paraId="38B90489" w14:textId="77777777" w:rsidR="00FD1E19" w:rsidRDefault="00FD1E19" w:rsidP="00BE7E4A">
            <w:pPr>
              <w:pStyle w:val="DMETW37225BIPBSEDF"/>
              <w:jc w:val="right"/>
              <w:rPr>
                <w:rFonts w:ascii="Verdana" w:eastAsia="Verdana" w:hAnsi="Verdana" w:cs="Verdana"/>
                <w:i/>
                <w:noProof/>
                <w:color w:val="000000"/>
                <w:sz w:val="18"/>
                <w:lang w:bidi="en-GB"/>
              </w:rPr>
            </w:pPr>
            <w:r>
              <w:rPr>
                <w:rFonts w:ascii="Verdana" w:eastAsia="Verdana" w:hAnsi="Verdana" w:cs="Verdana"/>
                <w:i/>
                <w:noProof/>
                <w:color w:val="000000"/>
                <w:sz w:val="18"/>
              </w:rPr>
              <w:t>(1 240)</w:t>
            </w:r>
          </w:p>
        </w:tc>
      </w:tr>
      <w:tr w:rsidR="00FD1E19" w14:paraId="3EB9933B" w14:textId="77777777" w:rsidTr="00BE7E4A">
        <w:trPr>
          <w:gridAfter w:val="1"/>
          <w:wAfter w:w="14" w:type="dxa"/>
          <w:trHeight w:hRule="exact" w:val="255"/>
        </w:trPr>
        <w:tc>
          <w:tcPr>
            <w:tcW w:w="3391" w:type="dxa"/>
            <w:tcBorders>
              <w:top w:val="nil"/>
              <w:left w:val="nil"/>
              <w:bottom w:val="nil"/>
              <w:right w:val="nil"/>
              <w:tl2br w:val="nil"/>
              <w:tr2bl w:val="nil"/>
            </w:tcBorders>
            <w:shd w:val="clear" w:color="auto" w:fill="auto"/>
            <w:tcMar>
              <w:left w:w="60" w:type="dxa"/>
              <w:right w:w="60" w:type="dxa"/>
            </w:tcMar>
            <w:vAlign w:val="center"/>
          </w:tcPr>
          <w:p w14:paraId="0897AB33" w14:textId="77777777" w:rsidR="00FD1E19" w:rsidRDefault="00FD1E19" w:rsidP="00BE7E4A">
            <w:pPr>
              <w:pStyle w:val="DMETW37225BIPBSEDF"/>
              <w:rPr>
                <w:rFonts w:ascii="Verdana" w:eastAsia="Verdana" w:hAnsi="Verdana" w:cs="Verdana"/>
                <w:i/>
                <w:noProof/>
                <w:color w:val="000000"/>
                <w:sz w:val="18"/>
              </w:rPr>
            </w:pPr>
          </w:p>
        </w:tc>
        <w:tc>
          <w:tcPr>
            <w:tcW w:w="756" w:type="dxa"/>
            <w:tcBorders>
              <w:top w:val="nil"/>
              <w:left w:val="nil"/>
              <w:bottom w:val="nil"/>
              <w:right w:val="nil"/>
              <w:tl2br w:val="nil"/>
              <w:tr2bl w:val="nil"/>
            </w:tcBorders>
            <w:shd w:val="clear" w:color="auto" w:fill="auto"/>
            <w:tcMar>
              <w:left w:w="60" w:type="dxa"/>
              <w:right w:w="60" w:type="dxa"/>
            </w:tcMar>
            <w:vAlign w:val="center"/>
          </w:tcPr>
          <w:p w14:paraId="3D8F7F78" w14:textId="77777777" w:rsidR="00FD1E19" w:rsidRDefault="00FD1E19" w:rsidP="00BE7E4A">
            <w:pPr>
              <w:pStyle w:val="DMETW37225BIPBSEDF"/>
              <w:jc w:val="center"/>
              <w:rPr>
                <w:rFonts w:ascii="Verdana" w:eastAsia="Verdana" w:hAnsi="Verdana" w:cs="Verdana"/>
                <w:noProof/>
                <w:color w:val="000000"/>
                <w:sz w:val="18"/>
              </w:rPr>
            </w:pPr>
          </w:p>
        </w:tc>
        <w:tc>
          <w:tcPr>
            <w:tcW w:w="1158" w:type="dxa"/>
            <w:tcBorders>
              <w:top w:val="nil"/>
              <w:left w:val="nil"/>
              <w:bottom w:val="nil"/>
              <w:right w:val="nil"/>
              <w:tl2br w:val="nil"/>
              <w:tr2bl w:val="nil"/>
            </w:tcBorders>
            <w:shd w:val="clear" w:color="auto" w:fill="auto"/>
            <w:tcMar>
              <w:left w:w="60" w:type="dxa"/>
              <w:right w:w="60" w:type="dxa"/>
            </w:tcMar>
            <w:vAlign w:val="center"/>
          </w:tcPr>
          <w:p w14:paraId="451A046C"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1228774F" w14:textId="77777777" w:rsidR="00FD1E19" w:rsidRDefault="00FD1E19" w:rsidP="00BE7E4A">
            <w:pPr>
              <w:pStyle w:val="DMETW37225BIPBSEDF"/>
              <w:jc w:val="right"/>
              <w:rPr>
                <w:rFonts w:ascii="Verdana" w:eastAsia="Verdana" w:hAnsi="Verdana" w:cs="Verdana"/>
                <w:i/>
                <w:noProof/>
                <w:color w:val="000000"/>
                <w:sz w:val="18"/>
              </w:rPr>
            </w:pPr>
          </w:p>
        </w:tc>
        <w:tc>
          <w:tcPr>
            <w:tcW w:w="1513" w:type="dxa"/>
            <w:tcBorders>
              <w:top w:val="nil"/>
              <w:left w:val="nil"/>
              <w:bottom w:val="nil"/>
              <w:right w:val="nil"/>
              <w:tl2br w:val="nil"/>
              <w:tr2bl w:val="nil"/>
            </w:tcBorders>
            <w:shd w:val="clear" w:color="auto" w:fill="auto"/>
            <w:tcMar>
              <w:left w:w="60" w:type="dxa"/>
              <w:right w:w="60" w:type="dxa"/>
            </w:tcMar>
            <w:vAlign w:val="center"/>
          </w:tcPr>
          <w:p w14:paraId="3575BD89" w14:textId="77777777" w:rsidR="00FD1E19" w:rsidRDefault="00FD1E19" w:rsidP="00BE7E4A">
            <w:pPr>
              <w:pStyle w:val="DMETW37225BIPBSEDF"/>
              <w:jc w:val="right"/>
              <w:rPr>
                <w:rFonts w:ascii="Verdana" w:eastAsia="Verdana" w:hAnsi="Verdana" w:cs="Verdana"/>
                <w:i/>
                <w:noProof/>
                <w:color w:val="000000"/>
                <w:sz w:val="18"/>
              </w:rPr>
            </w:pPr>
          </w:p>
        </w:tc>
        <w:tc>
          <w:tcPr>
            <w:tcW w:w="1967" w:type="dxa"/>
            <w:tcBorders>
              <w:top w:val="nil"/>
              <w:left w:val="nil"/>
              <w:bottom w:val="nil"/>
              <w:right w:val="nil"/>
              <w:tl2br w:val="nil"/>
              <w:tr2bl w:val="nil"/>
            </w:tcBorders>
            <w:shd w:val="clear" w:color="auto" w:fill="auto"/>
            <w:tcMar>
              <w:left w:w="60" w:type="dxa"/>
              <w:right w:w="60" w:type="dxa"/>
            </w:tcMar>
            <w:vAlign w:val="center"/>
          </w:tcPr>
          <w:p w14:paraId="00F4EE37"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4F63655C" w14:textId="77777777" w:rsidR="00FD1E19" w:rsidRDefault="00FD1E19" w:rsidP="00BE7E4A">
            <w:pPr>
              <w:pStyle w:val="DMETW37225BIPBSEDF"/>
              <w:jc w:val="right"/>
              <w:rPr>
                <w:rFonts w:ascii="Verdana" w:eastAsia="Verdana" w:hAnsi="Verdana" w:cs="Verdana"/>
                <w:i/>
                <w:noProof/>
                <w:color w:val="000000"/>
                <w:sz w:val="18"/>
              </w:rPr>
            </w:pPr>
          </w:p>
        </w:tc>
        <w:tc>
          <w:tcPr>
            <w:tcW w:w="1059" w:type="dxa"/>
            <w:tcBorders>
              <w:top w:val="nil"/>
              <w:left w:val="nil"/>
              <w:bottom w:val="nil"/>
              <w:right w:val="nil"/>
              <w:tl2br w:val="nil"/>
              <w:tr2bl w:val="nil"/>
            </w:tcBorders>
            <w:shd w:val="clear" w:color="auto" w:fill="auto"/>
            <w:tcMar>
              <w:left w:w="60" w:type="dxa"/>
              <w:right w:w="60" w:type="dxa"/>
            </w:tcMar>
            <w:vAlign w:val="center"/>
          </w:tcPr>
          <w:p w14:paraId="333448CD" w14:textId="77777777" w:rsidR="00FD1E19" w:rsidRDefault="00FD1E19" w:rsidP="00BE7E4A">
            <w:pPr>
              <w:pStyle w:val="DMETW37225BIPBSEDF"/>
              <w:jc w:val="right"/>
              <w:rPr>
                <w:rFonts w:ascii="Verdana" w:eastAsia="Verdana" w:hAnsi="Verdana" w:cs="Verdana"/>
                <w:i/>
                <w:noProof/>
                <w:color w:val="000000"/>
                <w:sz w:val="18"/>
              </w:rPr>
            </w:pPr>
          </w:p>
        </w:tc>
        <w:tc>
          <w:tcPr>
            <w:tcW w:w="1532" w:type="dxa"/>
            <w:tcBorders>
              <w:top w:val="nil"/>
              <w:left w:val="nil"/>
              <w:bottom w:val="nil"/>
              <w:right w:val="nil"/>
              <w:tl2br w:val="nil"/>
              <w:tr2bl w:val="nil"/>
            </w:tcBorders>
            <w:shd w:val="clear" w:color="auto" w:fill="auto"/>
            <w:tcMar>
              <w:left w:w="60" w:type="dxa"/>
              <w:right w:w="60" w:type="dxa"/>
            </w:tcMar>
            <w:vAlign w:val="center"/>
          </w:tcPr>
          <w:p w14:paraId="77D99F42" w14:textId="77777777" w:rsidR="00FD1E19" w:rsidRDefault="00FD1E19" w:rsidP="00BE7E4A">
            <w:pPr>
              <w:pStyle w:val="DMETW37225BIPBSEDF"/>
              <w:jc w:val="right"/>
              <w:rPr>
                <w:rFonts w:ascii="Verdana" w:eastAsia="Verdana" w:hAnsi="Verdana" w:cs="Verdana"/>
                <w:i/>
                <w:noProof/>
                <w:color w:val="000000"/>
                <w:sz w:val="18"/>
              </w:rPr>
            </w:pPr>
          </w:p>
        </w:tc>
        <w:tc>
          <w:tcPr>
            <w:tcW w:w="1436" w:type="dxa"/>
            <w:tcBorders>
              <w:top w:val="nil"/>
              <w:left w:val="nil"/>
              <w:bottom w:val="nil"/>
              <w:right w:val="nil"/>
              <w:tl2br w:val="nil"/>
              <w:tr2bl w:val="nil"/>
            </w:tcBorders>
            <w:shd w:val="clear" w:color="auto" w:fill="auto"/>
            <w:tcMar>
              <w:left w:w="60" w:type="dxa"/>
              <w:right w:w="60" w:type="dxa"/>
            </w:tcMar>
            <w:vAlign w:val="center"/>
          </w:tcPr>
          <w:p w14:paraId="72BFAF6B" w14:textId="77777777" w:rsidR="00FD1E19" w:rsidRDefault="00FD1E19" w:rsidP="00BE7E4A">
            <w:pPr>
              <w:pStyle w:val="DMETW37225BIPBSEDF"/>
              <w:jc w:val="right"/>
              <w:rPr>
                <w:rFonts w:ascii="Verdana" w:eastAsia="Verdana" w:hAnsi="Verdana" w:cs="Verdana"/>
                <w:i/>
                <w:noProof/>
                <w:color w:val="000000"/>
                <w:sz w:val="18"/>
                <w:lang w:bidi="en-GB"/>
              </w:rPr>
            </w:pPr>
          </w:p>
        </w:tc>
      </w:tr>
      <w:tr w:rsidR="00FD1E19" w14:paraId="000D34F2" w14:textId="77777777" w:rsidTr="00BE7E4A">
        <w:trPr>
          <w:gridAfter w:val="1"/>
          <w:wAfter w:w="14" w:type="dxa"/>
          <w:trHeight w:hRule="exact" w:val="255"/>
        </w:trPr>
        <w:tc>
          <w:tcPr>
            <w:tcW w:w="3391" w:type="dxa"/>
            <w:tcBorders>
              <w:top w:val="nil"/>
              <w:left w:val="nil"/>
              <w:bottom w:val="nil"/>
              <w:right w:val="nil"/>
              <w:tl2br w:val="nil"/>
              <w:tr2bl w:val="nil"/>
            </w:tcBorders>
            <w:shd w:val="solid" w:color="CCE1EA" w:fill="FFFFFF"/>
            <w:tcMar>
              <w:left w:w="60" w:type="dxa"/>
              <w:right w:w="60" w:type="dxa"/>
            </w:tcMar>
            <w:vAlign w:val="center"/>
          </w:tcPr>
          <w:p w14:paraId="705225E8" w14:textId="77777777" w:rsidR="00FD1E19" w:rsidRDefault="00FD1E19" w:rsidP="00BE7E4A">
            <w:pPr>
              <w:pStyle w:val="DMETW37225BIPBSEDF"/>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756" w:type="dxa"/>
            <w:tcBorders>
              <w:top w:val="nil"/>
              <w:left w:val="nil"/>
              <w:bottom w:val="nil"/>
              <w:right w:val="nil"/>
              <w:tl2br w:val="nil"/>
              <w:tr2bl w:val="nil"/>
            </w:tcBorders>
            <w:shd w:val="solid" w:color="CCE1EA" w:fill="FFFFFF"/>
            <w:tcMar>
              <w:left w:w="60" w:type="dxa"/>
              <w:right w:w="60" w:type="dxa"/>
            </w:tcMar>
            <w:vAlign w:val="center"/>
          </w:tcPr>
          <w:p w14:paraId="1A852F91" w14:textId="77777777" w:rsidR="00FD1E19" w:rsidRDefault="00FD1E19" w:rsidP="00BE7E4A">
            <w:pPr>
              <w:pStyle w:val="DMETW37225BIPBSEDF"/>
              <w:jc w:val="center"/>
              <w:rPr>
                <w:rFonts w:ascii="Verdana" w:eastAsia="Verdana" w:hAnsi="Verdana" w:cs="Verdana"/>
                <w:b/>
                <w:noProof/>
                <w:color w:val="000000"/>
                <w:sz w:val="18"/>
              </w:rPr>
            </w:pPr>
          </w:p>
        </w:tc>
        <w:tc>
          <w:tcPr>
            <w:tcW w:w="1158" w:type="dxa"/>
            <w:tcBorders>
              <w:top w:val="nil"/>
              <w:left w:val="nil"/>
              <w:bottom w:val="nil"/>
              <w:right w:val="nil"/>
              <w:tl2br w:val="nil"/>
              <w:tr2bl w:val="nil"/>
            </w:tcBorders>
            <w:shd w:val="solid" w:color="CCE1EA" w:fill="FFFFFF"/>
            <w:tcMar>
              <w:left w:w="60" w:type="dxa"/>
              <w:right w:w="60" w:type="dxa"/>
            </w:tcMar>
            <w:vAlign w:val="center"/>
          </w:tcPr>
          <w:p w14:paraId="027E91F1"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(176)</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4CB169DF"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586</w:t>
            </w:r>
          </w:p>
        </w:tc>
        <w:tc>
          <w:tcPr>
            <w:tcW w:w="1513" w:type="dxa"/>
            <w:tcBorders>
              <w:top w:val="nil"/>
              <w:left w:val="nil"/>
              <w:bottom w:val="nil"/>
              <w:right w:val="nil"/>
              <w:tl2br w:val="nil"/>
              <w:tr2bl w:val="nil"/>
            </w:tcBorders>
            <w:shd w:val="solid" w:color="CCE1EA" w:fill="FFFFFF"/>
            <w:tcMar>
              <w:left w:w="60" w:type="dxa"/>
              <w:right w:w="60" w:type="dxa"/>
            </w:tcMar>
            <w:vAlign w:val="center"/>
          </w:tcPr>
          <w:p w14:paraId="4D376701"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263</w:t>
            </w:r>
          </w:p>
        </w:tc>
        <w:tc>
          <w:tcPr>
            <w:tcW w:w="1967" w:type="dxa"/>
            <w:tcBorders>
              <w:top w:val="nil"/>
              <w:left w:val="nil"/>
              <w:bottom w:val="nil"/>
              <w:right w:val="nil"/>
              <w:tl2br w:val="nil"/>
              <w:tr2bl w:val="nil"/>
            </w:tcBorders>
            <w:shd w:val="solid" w:color="CCE1EA" w:fill="FFFFFF"/>
            <w:tcMar>
              <w:left w:w="60" w:type="dxa"/>
              <w:right w:w="60" w:type="dxa"/>
            </w:tcMar>
            <w:vAlign w:val="center"/>
          </w:tcPr>
          <w:p w14:paraId="61777DC8"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40215B7D"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(170)</w:t>
            </w:r>
          </w:p>
        </w:tc>
        <w:tc>
          <w:tcPr>
            <w:tcW w:w="1059" w:type="dxa"/>
            <w:tcBorders>
              <w:top w:val="nil"/>
              <w:left w:val="nil"/>
              <w:bottom w:val="nil"/>
              <w:right w:val="nil"/>
              <w:tl2br w:val="nil"/>
              <w:tr2bl w:val="nil"/>
            </w:tcBorders>
            <w:shd w:val="solid" w:color="CCE1EA" w:fill="FFFFFF"/>
            <w:tcMar>
              <w:left w:w="60" w:type="dxa"/>
              <w:right w:w="60" w:type="dxa"/>
            </w:tcMar>
            <w:vAlign w:val="center"/>
          </w:tcPr>
          <w:p w14:paraId="5ABFB196"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674</w:t>
            </w:r>
          </w:p>
        </w:tc>
        <w:tc>
          <w:tcPr>
            <w:tcW w:w="1532" w:type="dxa"/>
            <w:tcBorders>
              <w:top w:val="nil"/>
              <w:left w:val="nil"/>
              <w:bottom w:val="nil"/>
              <w:right w:val="nil"/>
              <w:tl2br w:val="nil"/>
              <w:tr2bl w:val="nil"/>
            </w:tcBorders>
            <w:shd w:val="solid" w:color="CCE1EA" w:fill="FFFFFF"/>
            <w:tcMar>
              <w:left w:w="60" w:type="dxa"/>
              <w:right w:w="60" w:type="dxa"/>
            </w:tcMar>
            <w:vAlign w:val="center"/>
          </w:tcPr>
          <w:p w14:paraId="070CA5E8"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479</w:t>
            </w:r>
          </w:p>
        </w:tc>
        <w:tc>
          <w:tcPr>
            <w:tcW w:w="1436" w:type="dxa"/>
            <w:tcBorders>
              <w:top w:val="nil"/>
              <w:left w:val="nil"/>
              <w:bottom w:val="nil"/>
              <w:right w:val="nil"/>
              <w:tl2br w:val="nil"/>
              <w:tr2bl w:val="nil"/>
            </w:tcBorders>
            <w:shd w:val="solid" w:color="CCE1EA" w:fill="FFFFFF"/>
            <w:tcMar>
              <w:left w:w="60" w:type="dxa"/>
              <w:right w:w="60" w:type="dxa"/>
            </w:tcMar>
            <w:vAlign w:val="center"/>
          </w:tcPr>
          <w:p w14:paraId="0B4563AA" w14:textId="77777777" w:rsidR="00FD1E19" w:rsidRDefault="00FD1E19" w:rsidP="00BE7E4A">
            <w:pPr>
              <w:pStyle w:val="DMETW37225BIPBSEDF"/>
              <w:jc w:val="right"/>
              <w:rPr>
                <w:rFonts w:ascii="Verdana" w:eastAsia="Verdana" w:hAnsi="Verdana" w:cs="Verdana"/>
                <w:b/>
                <w:noProof/>
                <w:color w:val="000000"/>
                <w:sz w:val="18"/>
              </w:rPr>
            </w:pPr>
            <w:r>
              <w:rPr>
                <w:rFonts w:ascii="Verdana" w:eastAsia="Verdana" w:hAnsi="Verdana" w:cs="Verdana"/>
                <w:b/>
                <w:noProof/>
                <w:color w:val="000000"/>
                <w:sz w:val="18"/>
              </w:rPr>
              <w:t xml:space="preserve">  983</w:t>
            </w:r>
          </w:p>
        </w:tc>
      </w:tr>
    </w:tbl>
    <w:p w14:paraId="15B4E6A2" w14:textId="77777777" w:rsidR="00FD1E19" w:rsidRDefault="00FD1E19" w:rsidP="00FD1E19">
      <w:pPr>
        <w:pStyle w:val="HEADERTITLE1"/>
        <w:sectPr w:rsidR="00FD1E19" w:rsidSect="00FD1E19">
          <w:headerReference w:type="default" r:id="rId46"/>
          <w:footerReference w:type="default" r:id="rId47"/>
          <w:pgSz w:w="16838" w:h="11906" w:orient="landscape" w:code="9"/>
          <w:pgMar w:top="1134" w:right="1134" w:bottom="1134" w:left="1134" w:header="708" w:footer="708" w:gutter="0"/>
          <w:cols w:space="708"/>
          <w:docGrid w:linePitch="360"/>
        </w:sectPr>
      </w:pPr>
    </w:p>
    <w:p w14:paraId="5800899A" w14:textId="77777777" w:rsidR="00FD1E19" w:rsidRDefault="00FD1E19" w:rsidP="00FD1E19">
      <w:pPr>
        <w:pStyle w:val="HEADERTITLE1"/>
      </w:pPr>
      <w:bookmarkStart w:id="32" w:name="_Toc232609782"/>
      <w:r w:rsidRPr="002F1819">
        <w:t>STATEMENT OF FINANCIAL PERFORMANCE BY EDF</w:t>
      </w:r>
      <w:bookmarkEnd w:id="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3"/>
        <w:gridCol w:w="859"/>
        <w:gridCol w:w="860"/>
        <w:gridCol w:w="1002"/>
        <w:gridCol w:w="1002"/>
        <w:gridCol w:w="1576"/>
        <w:gridCol w:w="2004"/>
        <w:gridCol w:w="1002"/>
        <w:gridCol w:w="1145"/>
        <w:gridCol w:w="1457"/>
      </w:tblGrid>
      <w:tr w:rsidR="00FD1E19" w14:paraId="024A8362" w14:textId="77777777" w:rsidTr="00BE7E4A">
        <w:trPr>
          <w:trHeight w:hRule="exact" w:val="255"/>
        </w:trPr>
        <w:tc>
          <w:tcPr>
            <w:tcW w:w="14543" w:type="dxa"/>
            <w:gridSpan w:val="10"/>
            <w:tcBorders>
              <w:top w:val="nil"/>
              <w:left w:val="nil"/>
              <w:bottom w:val="nil"/>
              <w:right w:val="nil"/>
              <w:tl2br w:val="nil"/>
              <w:tr2bl w:val="nil"/>
            </w:tcBorders>
            <w:shd w:val="solid" w:color="FFFFFF" w:fill="FFFFFF"/>
            <w:tcMar>
              <w:left w:w="60" w:type="dxa"/>
              <w:right w:w="60" w:type="dxa"/>
            </w:tcMar>
            <w:vAlign w:val="center"/>
          </w:tcPr>
          <w:p w14:paraId="27ABBBA5" w14:textId="77777777" w:rsidR="00FD1E19" w:rsidRDefault="00FD1E19" w:rsidP="00BE7E4A">
            <w:pPr>
              <w:pStyle w:val="DMETW37225BIPPLEDF"/>
              <w:jc w:val="right"/>
              <w:rPr>
                <w:rFonts w:ascii="Verdana" w:eastAsia="Verdana" w:hAnsi="Verdana" w:cs="Verdana"/>
                <w:i/>
                <w:noProof/>
                <w:color w:val="000000"/>
                <w:sz w:val="18"/>
                <w:lang w:bidi="en-GB"/>
              </w:rPr>
            </w:pPr>
            <w:bookmarkStart w:id="33" w:name="DOC_TBL00003_1_1"/>
            <w:bookmarkEnd w:id="33"/>
            <w:r>
              <w:rPr>
                <w:rFonts w:ascii="Verdana" w:eastAsia="Verdana" w:hAnsi="Verdana" w:cs="Verdana"/>
                <w:i/>
                <w:noProof/>
                <w:color w:val="000000"/>
                <w:sz w:val="18"/>
                <w:lang w:bidi="en-GB"/>
              </w:rPr>
              <w:t>EUR million</w:t>
            </w:r>
          </w:p>
        </w:tc>
      </w:tr>
      <w:tr w:rsidR="00FD1E19" w14:paraId="61F4FBD8" w14:textId="77777777" w:rsidTr="00BE7E4A">
        <w:trPr>
          <w:trHeight w:hRule="exact" w:val="408"/>
        </w:trPr>
        <w:tc>
          <w:tcPr>
            <w:tcW w:w="3746" w:type="dxa"/>
            <w:tcBorders>
              <w:top w:val="nil"/>
              <w:left w:val="nil"/>
              <w:bottom w:val="nil"/>
              <w:right w:val="nil"/>
              <w:tl2br w:val="nil"/>
              <w:tr2bl w:val="nil"/>
            </w:tcBorders>
            <w:shd w:val="solid" w:color="016794" w:fill="FFFFFF"/>
            <w:tcMar>
              <w:left w:w="60" w:type="dxa"/>
              <w:right w:w="60" w:type="dxa"/>
            </w:tcMar>
            <w:vAlign w:val="center"/>
          </w:tcPr>
          <w:p w14:paraId="7F9F034A" w14:textId="77777777" w:rsidR="00FD1E19" w:rsidRDefault="00FD1E19" w:rsidP="00BE7E4A">
            <w:pPr>
              <w:pStyle w:val="DMETW37225BIPPLEDF"/>
              <w:jc w:val="center"/>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14:paraId="124E3309" w14:textId="77777777" w:rsidR="00FD1E19" w:rsidRDefault="00FD1E19" w:rsidP="00BE7E4A">
            <w:pPr>
              <w:pStyle w:val="DMETW37225BIPPLEDF"/>
              <w:jc w:val="right"/>
              <w:rPr>
                <w:rFonts w:ascii="Verdana" w:eastAsia="Verdana" w:hAnsi="Verdana" w:cs="Verdana"/>
                <w:noProof/>
                <w:color w:val="FFFFFF"/>
                <w:lang w:bidi="en-GB"/>
              </w:rPr>
            </w:pPr>
          </w:p>
        </w:tc>
        <w:tc>
          <w:tcPr>
            <w:tcW w:w="4395" w:type="dxa"/>
            <w:gridSpan w:val="4"/>
            <w:tcBorders>
              <w:top w:val="nil"/>
              <w:left w:val="nil"/>
              <w:bottom w:val="nil"/>
              <w:right w:val="nil"/>
              <w:tl2br w:val="nil"/>
              <w:tr2bl w:val="nil"/>
            </w:tcBorders>
            <w:shd w:val="solid" w:color="016794" w:fill="FFFFFF"/>
            <w:tcMar>
              <w:left w:w="60" w:type="dxa"/>
              <w:right w:w="60" w:type="dxa"/>
            </w:tcMar>
            <w:vAlign w:val="center"/>
          </w:tcPr>
          <w:p w14:paraId="5D08A221" w14:textId="77777777" w:rsidR="00FD1E19" w:rsidRDefault="00FD1E19" w:rsidP="00BE7E4A">
            <w:pPr>
              <w:pStyle w:val="DMETW37225BIPPLEDF"/>
              <w:jc w:val="center"/>
              <w:rPr>
                <w:rFonts w:ascii="Verdana" w:eastAsia="Verdana" w:hAnsi="Verdana" w:cs="Verdana"/>
                <w:noProof/>
                <w:color w:val="FFFFFF"/>
              </w:rPr>
            </w:pPr>
            <w:r>
              <w:rPr>
                <w:rFonts w:ascii="Verdana" w:eastAsia="Verdana" w:hAnsi="Verdana" w:cs="Verdana"/>
                <w:noProof/>
                <w:color w:val="FFFFFF"/>
              </w:rPr>
              <w:t>2025</w:t>
            </w:r>
          </w:p>
        </w:tc>
        <w:tc>
          <w:tcPr>
            <w:tcW w:w="5552" w:type="dxa"/>
            <w:gridSpan w:val="4"/>
            <w:tcBorders>
              <w:top w:val="nil"/>
              <w:left w:val="nil"/>
              <w:bottom w:val="nil"/>
              <w:right w:val="nil"/>
              <w:tl2br w:val="nil"/>
              <w:tr2bl w:val="nil"/>
            </w:tcBorders>
            <w:shd w:val="solid" w:color="016794" w:fill="FFFFFF"/>
            <w:tcMar>
              <w:left w:w="60" w:type="dxa"/>
              <w:right w:w="60" w:type="dxa"/>
            </w:tcMar>
            <w:vAlign w:val="center"/>
          </w:tcPr>
          <w:p w14:paraId="2F40BF3B" w14:textId="77777777" w:rsidR="00FD1E19" w:rsidRDefault="00FD1E19" w:rsidP="00BE7E4A">
            <w:pPr>
              <w:pStyle w:val="DMETW37225BIPPLEDF"/>
              <w:jc w:val="center"/>
              <w:rPr>
                <w:rFonts w:ascii="Verdana" w:eastAsia="Verdana" w:hAnsi="Verdana" w:cs="Verdana"/>
                <w:noProof/>
                <w:color w:val="FFFFFF"/>
              </w:rPr>
            </w:pPr>
            <w:r>
              <w:rPr>
                <w:rFonts w:ascii="Verdana" w:eastAsia="Verdana" w:hAnsi="Verdana" w:cs="Verdana"/>
                <w:noProof/>
                <w:color w:val="FFFFFF"/>
              </w:rPr>
              <w:t>2024</w:t>
            </w:r>
          </w:p>
        </w:tc>
      </w:tr>
      <w:tr w:rsidR="00FD1E19" w14:paraId="564F66B1" w14:textId="77777777" w:rsidTr="00BE7E4A">
        <w:trPr>
          <w:trHeight w:hRule="exact" w:val="856"/>
        </w:trPr>
        <w:tc>
          <w:tcPr>
            <w:tcW w:w="3746" w:type="dxa"/>
            <w:tcBorders>
              <w:top w:val="nil"/>
              <w:left w:val="nil"/>
              <w:bottom w:val="nil"/>
              <w:right w:val="nil"/>
              <w:tl2br w:val="nil"/>
              <w:tr2bl w:val="nil"/>
            </w:tcBorders>
            <w:shd w:val="solid" w:color="016794" w:fill="FFFFFF"/>
            <w:tcMar>
              <w:left w:w="60" w:type="dxa"/>
              <w:right w:w="60" w:type="dxa"/>
            </w:tcMar>
            <w:vAlign w:val="center"/>
          </w:tcPr>
          <w:p w14:paraId="0E6E7D44" w14:textId="77777777" w:rsidR="00FD1E19" w:rsidRDefault="00FD1E19" w:rsidP="00BE7E4A">
            <w:pPr>
              <w:pStyle w:val="DMETW37225BIPPLEDF"/>
              <w:jc w:val="center"/>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14:paraId="3FC84D7B" w14:textId="77777777" w:rsidR="00FD1E19" w:rsidRDefault="00FD1E19" w:rsidP="00BE7E4A">
            <w:pPr>
              <w:pStyle w:val="DMETW37225BIPPLEDF"/>
              <w:jc w:val="center"/>
              <w:rPr>
                <w:rFonts w:ascii="Verdana" w:eastAsia="Verdana" w:hAnsi="Verdana" w:cs="Verdana"/>
                <w:noProof/>
                <w:color w:val="FFFFFF"/>
              </w:rPr>
            </w:pPr>
            <w:r>
              <w:rPr>
                <w:rFonts w:ascii="Verdana" w:eastAsia="Verdana" w:hAnsi="Verdana" w:cs="Verdana"/>
                <w:noProof/>
                <w:color w:val="FFFFFF"/>
              </w:rPr>
              <w:t>Note</w:t>
            </w:r>
          </w:p>
        </w:tc>
        <w:tc>
          <w:tcPr>
            <w:tcW w:w="851" w:type="dxa"/>
            <w:tcBorders>
              <w:top w:val="nil"/>
              <w:left w:val="nil"/>
              <w:bottom w:val="nil"/>
              <w:right w:val="nil"/>
              <w:tl2br w:val="nil"/>
              <w:tr2bl w:val="nil"/>
            </w:tcBorders>
            <w:shd w:val="solid" w:color="016794" w:fill="FFFFFF"/>
            <w:tcMar>
              <w:left w:w="60" w:type="dxa"/>
              <w:right w:w="60" w:type="dxa"/>
            </w:tcMar>
            <w:vAlign w:val="center"/>
          </w:tcPr>
          <w:p w14:paraId="02512EDF"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Ninth EDF</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7F7FC38D"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10th EDF</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637DEE4F"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11th EDF</w:t>
            </w:r>
          </w:p>
        </w:tc>
        <w:tc>
          <w:tcPr>
            <w:tcW w:w="1560" w:type="dxa"/>
            <w:tcBorders>
              <w:top w:val="nil"/>
              <w:left w:val="nil"/>
              <w:bottom w:val="nil"/>
              <w:right w:val="nil"/>
              <w:tl2br w:val="nil"/>
              <w:tr2bl w:val="nil"/>
            </w:tcBorders>
            <w:shd w:val="solid" w:color="016794" w:fill="FFFFFF"/>
            <w:tcMar>
              <w:left w:w="60" w:type="dxa"/>
              <w:right w:w="60" w:type="dxa"/>
            </w:tcMar>
            <w:vAlign w:val="center"/>
          </w:tcPr>
          <w:p w14:paraId="712C47CE"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Total</w:t>
            </w:r>
          </w:p>
        </w:tc>
        <w:tc>
          <w:tcPr>
            <w:tcW w:w="1984" w:type="dxa"/>
            <w:tcBorders>
              <w:top w:val="nil"/>
              <w:left w:val="nil"/>
              <w:bottom w:val="nil"/>
              <w:right w:val="nil"/>
              <w:tl2br w:val="nil"/>
              <w:tr2bl w:val="nil"/>
            </w:tcBorders>
            <w:shd w:val="solid" w:color="016794" w:fill="FFFFFF"/>
            <w:tcMar>
              <w:left w:w="60" w:type="dxa"/>
              <w:right w:w="60" w:type="dxa"/>
            </w:tcMar>
            <w:vAlign w:val="center"/>
          </w:tcPr>
          <w:p w14:paraId="4ACB9462"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 xml:space="preserve">Ninth </w:t>
            </w:r>
          </w:p>
          <w:p w14:paraId="7F0858D3"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EDF</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7E44A610"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10th EDF</w:t>
            </w:r>
          </w:p>
        </w:tc>
        <w:tc>
          <w:tcPr>
            <w:tcW w:w="1134" w:type="dxa"/>
            <w:tcBorders>
              <w:top w:val="nil"/>
              <w:left w:val="nil"/>
              <w:bottom w:val="nil"/>
              <w:right w:val="nil"/>
              <w:tl2br w:val="nil"/>
              <w:tr2bl w:val="nil"/>
            </w:tcBorders>
            <w:shd w:val="solid" w:color="016794" w:fill="FFFFFF"/>
            <w:tcMar>
              <w:left w:w="60" w:type="dxa"/>
              <w:right w:w="60" w:type="dxa"/>
            </w:tcMar>
            <w:vAlign w:val="center"/>
          </w:tcPr>
          <w:p w14:paraId="2AA3A721"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 xml:space="preserve">11th </w:t>
            </w:r>
          </w:p>
          <w:p w14:paraId="634F6571" w14:textId="77777777" w:rsidR="00FD1E19" w:rsidRDefault="00FD1E19" w:rsidP="00BE7E4A">
            <w:pPr>
              <w:pStyle w:val="DMETW37225BIPPLEDF"/>
              <w:jc w:val="right"/>
              <w:rPr>
                <w:rFonts w:ascii="Verdana" w:eastAsia="Verdana" w:hAnsi="Verdana" w:cs="Verdana"/>
                <w:noProof/>
                <w:color w:val="FFFFFF"/>
              </w:rPr>
            </w:pPr>
            <w:r>
              <w:rPr>
                <w:rFonts w:ascii="Verdana" w:eastAsia="Verdana" w:hAnsi="Verdana" w:cs="Verdana"/>
                <w:noProof/>
                <w:color w:val="FFFFFF"/>
              </w:rPr>
              <w:t>EDF</w:t>
            </w:r>
          </w:p>
        </w:tc>
        <w:tc>
          <w:tcPr>
            <w:tcW w:w="1442" w:type="dxa"/>
            <w:tcBorders>
              <w:top w:val="nil"/>
              <w:left w:val="nil"/>
              <w:bottom w:val="nil"/>
              <w:right w:val="nil"/>
              <w:tl2br w:val="nil"/>
              <w:tr2bl w:val="nil"/>
            </w:tcBorders>
            <w:shd w:val="solid" w:color="016794" w:fill="FFFFFF"/>
            <w:tcMar>
              <w:left w:w="60" w:type="dxa"/>
              <w:right w:w="60" w:type="dxa"/>
            </w:tcMar>
            <w:vAlign w:val="center"/>
          </w:tcPr>
          <w:p w14:paraId="77F392B0" w14:textId="77777777" w:rsidR="00FD1E19" w:rsidRDefault="00FD1E19" w:rsidP="00BE7E4A">
            <w:pPr>
              <w:pStyle w:val="DMETW37225BIPPLEDF"/>
              <w:jc w:val="right"/>
              <w:rPr>
                <w:rFonts w:ascii="Verdana" w:eastAsia="Verdana" w:hAnsi="Verdana" w:cs="Verdana"/>
                <w:noProof/>
                <w:color w:val="FFFFFF"/>
                <w:lang w:bidi="en-GB"/>
              </w:rPr>
            </w:pPr>
            <w:r>
              <w:rPr>
                <w:rFonts w:ascii="Verdana" w:eastAsia="Verdana" w:hAnsi="Verdana" w:cs="Verdana"/>
                <w:noProof/>
                <w:color w:val="FFFFFF"/>
              </w:rPr>
              <w:t>Total</w:t>
            </w:r>
          </w:p>
        </w:tc>
      </w:tr>
      <w:tr w:rsidR="00FD1E19" w14:paraId="039ED2F8" w14:textId="77777777" w:rsidTr="00BE7E4A">
        <w:trPr>
          <w:trHeight w:hRule="exact" w:val="255"/>
        </w:trPr>
        <w:tc>
          <w:tcPr>
            <w:tcW w:w="3746" w:type="dxa"/>
            <w:tcBorders>
              <w:top w:val="nil"/>
              <w:left w:val="nil"/>
              <w:bottom w:val="nil"/>
              <w:right w:val="nil"/>
              <w:tl2br w:val="nil"/>
              <w:tr2bl w:val="nil"/>
            </w:tcBorders>
            <w:shd w:val="clear" w:color="auto" w:fill="auto"/>
            <w:tcMar>
              <w:left w:w="60" w:type="dxa"/>
              <w:right w:w="60" w:type="dxa"/>
            </w:tcMar>
            <w:vAlign w:val="center"/>
          </w:tcPr>
          <w:p w14:paraId="3F237EC6" w14:textId="77777777" w:rsidR="00FD1E19" w:rsidRDefault="00FD1E19" w:rsidP="00BE7E4A">
            <w:pPr>
              <w:pStyle w:val="DMETW37225BIPPLEDF"/>
              <w:rPr>
                <w:rFonts w:ascii="Verdana" w:eastAsia="Verdana" w:hAnsi="Verdana" w:cs="Verdana"/>
                <w:noProof/>
                <w:color w:val="000000"/>
                <w:sz w:val="18"/>
              </w:rPr>
            </w:pPr>
          </w:p>
        </w:tc>
        <w:tc>
          <w:tcPr>
            <w:tcW w:w="850" w:type="dxa"/>
            <w:tcBorders>
              <w:top w:val="nil"/>
              <w:left w:val="nil"/>
              <w:bottom w:val="nil"/>
              <w:right w:val="nil"/>
              <w:tl2br w:val="nil"/>
              <w:tr2bl w:val="nil"/>
            </w:tcBorders>
            <w:shd w:val="clear" w:color="auto" w:fill="auto"/>
            <w:tcMar>
              <w:left w:w="60" w:type="dxa"/>
              <w:right w:w="60" w:type="dxa"/>
            </w:tcMar>
            <w:vAlign w:val="center"/>
          </w:tcPr>
          <w:p w14:paraId="4FC3500A" w14:textId="77777777" w:rsidR="00FD1E19" w:rsidRDefault="00FD1E19" w:rsidP="00BE7E4A">
            <w:pPr>
              <w:pStyle w:val="DMETW37225BIPPLEDF"/>
              <w:jc w:val="center"/>
              <w:rPr>
                <w:rFonts w:ascii="Verdana" w:eastAsia="Verdana" w:hAnsi="Verdana" w:cs="Verdana"/>
                <w:b/>
                <w:noProof/>
                <w:color w:val="000000"/>
                <w:sz w:val="18"/>
              </w:rPr>
            </w:pPr>
          </w:p>
        </w:tc>
        <w:tc>
          <w:tcPr>
            <w:tcW w:w="851" w:type="dxa"/>
            <w:tcBorders>
              <w:top w:val="nil"/>
              <w:left w:val="nil"/>
              <w:bottom w:val="nil"/>
              <w:right w:val="nil"/>
              <w:tl2br w:val="nil"/>
              <w:tr2bl w:val="nil"/>
            </w:tcBorders>
            <w:shd w:val="clear" w:color="auto" w:fill="auto"/>
            <w:tcMar>
              <w:left w:w="60" w:type="dxa"/>
              <w:right w:w="60" w:type="dxa"/>
            </w:tcMar>
            <w:vAlign w:val="center"/>
          </w:tcPr>
          <w:p w14:paraId="12E26EDF" w14:textId="77777777" w:rsidR="00FD1E19" w:rsidRDefault="00FD1E19" w:rsidP="00BE7E4A">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13C40F52" w14:textId="77777777" w:rsidR="00FD1E19" w:rsidRDefault="00FD1E19" w:rsidP="00BE7E4A">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638C7A01" w14:textId="77777777" w:rsidR="00FD1E19" w:rsidRDefault="00FD1E19" w:rsidP="00BE7E4A">
            <w:pPr>
              <w:pStyle w:val="DMETW37225BIPPLEDF"/>
              <w:jc w:val="right"/>
              <w:rPr>
                <w:rFonts w:ascii="Verdana" w:eastAsia="Verdana" w:hAnsi="Verdana" w:cs="Verdana"/>
                <w:b/>
                <w:noProof/>
                <w:color w:val="000000"/>
                <w:sz w:val="18"/>
              </w:rPr>
            </w:pPr>
          </w:p>
        </w:tc>
        <w:tc>
          <w:tcPr>
            <w:tcW w:w="1560" w:type="dxa"/>
            <w:tcBorders>
              <w:top w:val="nil"/>
              <w:left w:val="nil"/>
              <w:bottom w:val="nil"/>
              <w:right w:val="nil"/>
              <w:tl2br w:val="nil"/>
              <w:tr2bl w:val="nil"/>
            </w:tcBorders>
            <w:shd w:val="clear" w:color="auto" w:fill="auto"/>
            <w:tcMar>
              <w:left w:w="60" w:type="dxa"/>
              <w:right w:w="60" w:type="dxa"/>
            </w:tcMar>
            <w:vAlign w:val="center"/>
          </w:tcPr>
          <w:p w14:paraId="1F316191" w14:textId="77777777" w:rsidR="00FD1E19" w:rsidRDefault="00FD1E19" w:rsidP="00BE7E4A">
            <w:pPr>
              <w:pStyle w:val="DMETW37225BIPPLEDF"/>
              <w:jc w:val="right"/>
              <w:rPr>
                <w:rFonts w:ascii="Verdana" w:eastAsia="Verdana" w:hAnsi="Verdana" w:cs="Verdana"/>
                <w:b/>
                <w:noProof/>
                <w:color w:val="000000"/>
                <w:sz w:val="18"/>
              </w:rPr>
            </w:pPr>
          </w:p>
        </w:tc>
        <w:tc>
          <w:tcPr>
            <w:tcW w:w="1984" w:type="dxa"/>
            <w:tcBorders>
              <w:top w:val="nil"/>
              <w:left w:val="nil"/>
              <w:bottom w:val="nil"/>
              <w:right w:val="nil"/>
              <w:tl2br w:val="nil"/>
              <w:tr2bl w:val="nil"/>
            </w:tcBorders>
            <w:shd w:val="clear" w:color="auto" w:fill="auto"/>
            <w:tcMar>
              <w:left w:w="60" w:type="dxa"/>
              <w:right w:w="60" w:type="dxa"/>
            </w:tcMar>
            <w:vAlign w:val="center"/>
          </w:tcPr>
          <w:p w14:paraId="4478AC0D" w14:textId="77777777" w:rsidR="00FD1E19" w:rsidRDefault="00FD1E19" w:rsidP="00BE7E4A">
            <w:pPr>
              <w:pStyle w:val="DMETW37225BIPPLEDF"/>
              <w:jc w:val="right"/>
              <w:rPr>
                <w:rFonts w:ascii="Verdana" w:eastAsia="Verdana" w:hAnsi="Verdana" w:cs="Verdana"/>
                <w:b/>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646D4749" w14:textId="77777777" w:rsidR="00FD1E19" w:rsidRDefault="00FD1E19" w:rsidP="00BE7E4A">
            <w:pPr>
              <w:pStyle w:val="DMETW37225BIPPLEDF"/>
              <w:jc w:val="right"/>
              <w:rPr>
                <w:rFonts w:ascii="Verdana" w:eastAsia="Verdana" w:hAnsi="Verdana" w:cs="Verdana"/>
                <w:b/>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4F54B02F" w14:textId="77777777" w:rsidR="00FD1E19" w:rsidRDefault="00FD1E19" w:rsidP="00BE7E4A">
            <w:pPr>
              <w:pStyle w:val="DMETW37225BIPPLEDF"/>
              <w:jc w:val="right"/>
              <w:rPr>
                <w:rFonts w:ascii="Verdana" w:eastAsia="Verdana" w:hAnsi="Verdana" w:cs="Verdana"/>
                <w:b/>
                <w:noProof/>
                <w:color w:val="000000"/>
                <w:sz w:val="18"/>
              </w:rPr>
            </w:pPr>
          </w:p>
        </w:tc>
        <w:tc>
          <w:tcPr>
            <w:tcW w:w="1442" w:type="dxa"/>
            <w:tcBorders>
              <w:top w:val="nil"/>
              <w:left w:val="nil"/>
              <w:bottom w:val="nil"/>
              <w:right w:val="nil"/>
              <w:tl2br w:val="nil"/>
              <w:tr2bl w:val="nil"/>
            </w:tcBorders>
            <w:shd w:val="clear" w:color="auto" w:fill="auto"/>
            <w:tcMar>
              <w:left w:w="60" w:type="dxa"/>
              <w:right w:w="60" w:type="dxa"/>
            </w:tcMar>
            <w:vAlign w:val="center"/>
          </w:tcPr>
          <w:p w14:paraId="7EF7CDCB" w14:textId="77777777" w:rsidR="00FD1E19" w:rsidRDefault="00FD1E19" w:rsidP="00BE7E4A">
            <w:pPr>
              <w:pStyle w:val="DMETW37225BIPPLEDF"/>
              <w:jc w:val="right"/>
              <w:rPr>
                <w:rFonts w:ascii="Verdana" w:eastAsia="Verdana" w:hAnsi="Verdana" w:cs="Verdana"/>
                <w:b/>
                <w:noProof/>
                <w:color w:val="000000"/>
                <w:sz w:val="18"/>
                <w:lang w:bidi="en-GB"/>
              </w:rPr>
            </w:pPr>
          </w:p>
        </w:tc>
      </w:tr>
      <w:tr w:rsidR="00FD1E19" w14:paraId="23752C64" w14:textId="77777777" w:rsidTr="00BE7E4A">
        <w:trPr>
          <w:trHeight w:hRule="exact" w:val="255"/>
        </w:trPr>
        <w:tc>
          <w:tcPr>
            <w:tcW w:w="3746" w:type="dxa"/>
            <w:tcBorders>
              <w:top w:val="nil"/>
              <w:left w:val="nil"/>
              <w:bottom w:val="nil"/>
              <w:right w:val="nil"/>
              <w:tl2br w:val="nil"/>
              <w:tr2bl w:val="nil"/>
            </w:tcBorders>
            <w:shd w:val="clear" w:color="auto" w:fill="auto"/>
            <w:tcMar>
              <w:left w:w="60" w:type="dxa"/>
              <w:right w:w="60" w:type="dxa"/>
            </w:tcMar>
            <w:vAlign w:val="center"/>
          </w:tcPr>
          <w:p w14:paraId="7F102F0F" w14:textId="77777777" w:rsidR="00FD1E19" w:rsidRDefault="00FD1E19" w:rsidP="00BE7E4A">
            <w:pPr>
              <w:pStyle w:val="DMETW37225BIPPLEDF"/>
              <w:rPr>
                <w:rFonts w:ascii="Verdana" w:eastAsia="Verdana" w:hAnsi="Verdana" w:cs="Verdana"/>
                <w:b/>
                <w:noProof/>
                <w:color w:val="000000"/>
                <w:sz w:val="18"/>
              </w:rPr>
            </w:pPr>
            <w:r>
              <w:rPr>
                <w:rFonts w:ascii="Verdana" w:eastAsia="Verdana" w:hAnsi="Verdana" w:cs="Verdana"/>
                <w:b/>
                <w:noProof/>
                <w:color w:val="000000"/>
                <w:sz w:val="18"/>
              </w:rPr>
              <w:t>REVENUE</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2AEA50C8" w14:textId="77777777" w:rsidR="00FD1E19" w:rsidRDefault="00FD1E19" w:rsidP="00BE7E4A">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shd w:val="clear" w:color="auto" w:fill="auto"/>
            <w:tcMar>
              <w:left w:w="60" w:type="dxa"/>
              <w:right w:w="60" w:type="dxa"/>
            </w:tcMar>
            <w:vAlign w:val="center"/>
          </w:tcPr>
          <w:p w14:paraId="7A29C5B8"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2F932579"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3B114FB9" w14:textId="77777777" w:rsidR="00FD1E19" w:rsidRDefault="00FD1E19" w:rsidP="00BE7E4A">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shd w:val="clear" w:color="auto" w:fill="auto"/>
            <w:tcMar>
              <w:left w:w="60" w:type="dxa"/>
              <w:right w:w="60" w:type="dxa"/>
            </w:tcMar>
            <w:vAlign w:val="center"/>
          </w:tcPr>
          <w:p w14:paraId="222C51F6" w14:textId="77777777" w:rsidR="00FD1E19" w:rsidRDefault="00FD1E19" w:rsidP="00BE7E4A">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shd w:val="clear" w:color="auto" w:fill="auto"/>
            <w:tcMar>
              <w:left w:w="60" w:type="dxa"/>
              <w:right w:w="60" w:type="dxa"/>
            </w:tcMar>
            <w:vAlign w:val="center"/>
          </w:tcPr>
          <w:p w14:paraId="19511779"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56FE2CE9" w14:textId="77777777" w:rsidR="00FD1E19" w:rsidRDefault="00FD1E19" w:rsidP="00BE7E4A">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700DCA12" w14:textId="77777777" w:rsidR="00FD1E19" w:rsidRDefault="00FD1E19" w:rsidP="00BE7E4A">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clear" w:color="auto" w:fill="auto"/>
            <w:tcMar>
              <w:left w:w="60" w:type="dxa"/>
              <w:right w:w="60" w:type="dxa"/>
            </w:tcMar>
            <w:vAlign w:val="center"/>
          </w:tcPr>
          <w:p w14:paraId="5C0E162A" w14:textId="77777777" w:rsidR="00FD1E19" w:rsidRDefault="00FD1E19" w:rsidP="00BE7E4A">
            <w:pPr>
              <w:pStyle w:val="DMETW37225BIPPLEDF"/>
              <w:jc w:val="right"/>
              <w:rPr>
                <w:rFonts w:ascii="Verdana" w:eastAsia="Verdana" w:hAnsi="Verdana" w:cs="Verdana"/>
                <w:noProof/>
                <w:color w:val="000000"/>
                <w:sz w:val="18"/>
                <w:lang w:bidi="en-GB"/>
              </w:rPr>
            </w:pPr>
          </w:p>
        </w:tc>
      </w:tr>
      <w:tr w:rsidR="00FD1E19" w14:paraId="5E276BAC" w14:textId="77777777" w:rsidTr="00BE7E4A">
        <w:trPr>
          <w:trHeight w:hRule="exact" w:val="479"/>
        </w:trPr>
        <w:tc>
          <w:tcPr>
            <w:tcW w:w="3746" w:type="dxa"/>
            <w:tcBorders>
              <w:top w:val="nil"/>
              <w:left w:val="nil"/>
              <w:bottom w:val="nil"/>
              <w:right w:val="nil"/>
              <w:tl2br w:val="nil"/>
              <w:tr2bl w:val="nil"/>
            </w:tcBorders>
            <w:shd w:val="clear" w:color="auto" w:fill="auto"/>
            <w:tcMar>
              <w:left w:w="60" w:type="dxa"/>
              <w:right w:w="60" w:type="dxa"/>
            </w:tcMar>
            <w:vAlign w:val="center"/>
          </w:tcPr>
          <w:p w14:paraId="6134B7B7" w14:textId="77777777" w:rsidR="00FD1E19" w:rsidRDefault="00FD1E19" w:rsidP="00BE7E4A">
            <w:pPr>
              <w:pStyle w:val="DMETW37225BIPPLEDF"/>
              <w:rPr>
                <w:rFonts w:ascii="Verdana" w:eastAsia="Verdana" w:hAnsi="Verdana" w:cs="Verdana"/>
                <w:b/>
                <w:noProof/>
                <w:color w:val="000000"/>
                <w:sz w:val="18"/>
              </w:rPr>
            </w:pPr>
            <w:r>
              <w:rPr>
                <w:rFonts w:ascii="Verdana" w:eastAsia="Verdana" w:hAnsi="Verdana" w:cs="Verdana"/>
                <w:b/>
                <w:noProof/>
                <w:color w:val="000000"/>
                <w:sz w:val="18"/>
              </w:rPr>
              <w:t>Revenue from non-exchange transactions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3E78DAF2" w14:textId="77777777" w:rsidR="00FD1E19" w:rsidRDefault="00FD1E19" w:rsidP="00BE7E4A">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shd w:val="clear" w:color="auto" w:fill="auto"/>
            <w:tcMar>
              <w:left w:w="60" w:type="dxa"/>
              <w:right w:w="60" w:type="dxa"/>
            </w:tcMar>
            <w:vAlign w:val="center"/>
          </w:tcPr>
          <w:p w14:paraId="3D744C3B" w14:textId="77777777" w:rsidR="00FD1E19" w:rsidRDefault="00FD1E19" w:rsidP="00BE7E4A">
            <w:pPr>
              <w:pStyle w:val="DMETW37225BIPPLEDF"/>
              <w:jc w:val="right"/>
              <w:rPr>
                <w:rFonts w:ascii="Verdana" w:eastAsia="Verdana" w:hAnsi="Verdana" w:cs="Verdana"/>
                <w:i/>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319D56DD"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7C1A378B" w14:textId="77777777" w:rsidR="00FD1E19" w:rsidRDefault="00FD1E19" w:rsidP="00BE7E4A">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shd w:val="clear" w:color="auto" w:fill="auto"/>
            <w:tcMar>
              <w:left w:w="60" w:type="dxa"/>
              <w:right w:w="60" w:type="dxa"/>
            </w:tcMar>
            <w:vAlign w:val="center"/>
          </w:tcPr>
          <w:p w14:paraId="14D1D8D8" w14:textId="77777777" w:rsidR="00FD1E19" w:rsidRDefault="00FD1E19" w:rsidP="00BE7E4A">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shd w:val="clear" w:color="auto" w:fill="auto"/>
            <w:tcMar>
              <w:left w:w="60" w:type="dxa"/>
              <w:right w:w="60" w:type="dxa"/>
            </w:tcMar>
            <w:vAlign w:val="center"/>
          </w:tcPr>
          <w:p w14:paraId="517887FF"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18061DF3" w14:textId="77777777" w:rsidR="00FD1E19" w:rsidRDefault="00FD1E19" w:rsidP="00BE7E4A">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3DB7C4BA" w14:textId="77777777" w:rsidR="00FD1E19" w:rsidRDefault="00FD1E19" w:rsidP="00BE7E4A">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clear" w:color="auto" w:fill="auto"/>
            <w:tcMar>
              <w:left w:w="60" w:type="dxa"/>
              <w:right w:w="60" w:type="dxa"/>
            </w:tcMar>
            <w:vAlign w:val="center"/>
          </w:tcPr>
          <w:p w14:paraId="4E02D80E" w14:textId="77777777" w:rsidR="00FD1E19" w:rsidRDefault="00FD1E19" w:rsidP="00BE7E4A">
            <w:pPr>
              <w:pStyle w:val="DMETW37225BIPPLEDF"/>
              <w:jc w:val="right"/>
              <w:rPr>
                <w:rFonts w:ascii="Verdana" w:eastAsia="Verdana" w:hAnsi="Verdana" w:cs="Verdana"/>
                <w:noProof/>
                <w:color w:val="000000"/>
                <w:sz w:val="18"/>
                <w:lang w:bidi="en-GB"/>
              </w:rPr>
            </w:pPr>
          </w:p>
        </w:tc>
      </w:tr>
      <w:tr w:rsidR="00FD1E19" w14:paraId="78DFBBC6" w14:textId="77777777" w:rsidTr="00BE7E4A">
        <w:trPr>
          <w:trHeight w:hRule="exact" w:val="255"/>
        </w:trPr>
        <w:tc>
          <w:tcPr>
            <w:tcW w:w="3746" w:type="dxa"/>
            <w:tcBorders>
              <w:top w:val="nil"/>
              <w:left w:val="nil"/>
              <w:bottom w:val="single" w:sz="4" w:space="0" w:color="016794"/>
              <w:right w:val="nil"/>
              <w:tl2br w:val="nil"/>
              <w:tr2bl w:val="nil"/>
            </w:tcBorders>
            <w:shd w:val="clear" w:color="auto" w:fill="auto"/>
            <w:tcMar>
              <w:left w:w="60" w:type="dxa"/>
              <w:right w:w="60" w:type="dxa"/>
            </w:tcMar>
            <w:vAlign w:val="center"/>
          </w:tcPr>
          <w:p w14:paraId="295A967A"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Recovery activities</w:t>
            </w:r>
          </w:p>
        </w:tc>
        <w:tc>
          <w:tcPr>
            <w:tcW w:w="850" w:type="dxa"/>
            <w:tcBorders>
              <w:top w:val="nil"/>
              <w:left w:val="nil"/>
              <w:bottom w:val="single" w:sz="4" w:space="0" w:color="016794"/>
              <w:right w:val="nil"/>
              <w:tl2br w:val="nil"/>
              <w:tr2bl w:val="nil"/>
            </w:tcBorders>
            <w:shd w:val="clear" w:color="auto" w:fill="auto"/>
            <w:tcMar>
              <w:left w:w="60" w:type="dxa"/>
              <w:right w:w="60" w:type="dxa"/>
            </w:tcMar>
            <w:vAlign w:val="center"/>
          </w:tcPr>
          <w:p w14:paraId="134B9CDE"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3.1</w:t>
            </w:r>
          </w:p>
        </w:tc>
        <w:tc>
          <w:tcPr>
            <w:tcW w:w="851" w:type="dxa"/>
            <w:tcBorders>
              <w:top w:val="nil"/>
              <w:left w:val="nil"/>
              <w:bottom w:val="single" w:sz="4" w:space="0" w:color="016794"/>
              <w:right w:val="nil"/>
              <w:tl2br w:val="nil"/>
              <w:tr2bl w:val="nil"/>
            </w:tcBorders>
            <w:shd w:val="clear" w:color="auto" w:fill="auto"/>
            <w:tcMar>
              <w:left w:w="60" w:type="dxa"/>
              <w:right w:w="60" w:type="dxa"/>
            </w:tcMar>
            <w:vAlign w:val="center"/>
          </w:tcPr>
          <w:p w14:paraId="56CD9C41"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28F05EE1"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28749B7B"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560" w:type="dxa"/>
            <w:tcBorders>
              <w:top w:val="nil"/>
              <w:left w:val="nil"/>
              <w:bottom w:val="single" w:sz="4" w:space="0" w:color="016794"/>
              <w:right w:val="nil"/>
              <w:tl2br w:val="nil"/>
              <w:tr2bl w:val="nil"/>
            </w:tcBorders>
            <w:shd w:val="clear" w:color="auto" w:fill="auto"/>
            <w:tcMar>
              <w:left w:w="60" w:type="dxa"/>
              <w:right w:w="60" w:type="dxa"/>
            </w:tcMar>
            <w:vAlign w:val="center"/>
          </w:tcPr>
          <w:p w14:paraId="1C7D8AF0"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984" w:type="dxa"/>
            <w:tcBorders>
              <w:top w:val="nil"/>
              <w:left w:val="nil"/>
              <w:bottom w:val="single" w:sz="4" w:space="0" w:color="016794"/>
              <w:right w:val="nil"/>
              <w:tl2br w:val="nil"/>
              <w:tr2bl w:val="nil"/>
            </w:tcBorders>
            <w:shd w:val="clear" w:color="auto" w:fill="auto"/>
            <w:tcMar>
              <w:left w:w="60" w:type="dxa"/>
              <w:right w:w="60" w:type="dxa"/>
            </w:tcMar>
            <w:vAlign w:val="center"/>
          </w:tcPr>
          <w:p w14:paraId="1747D715"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3A12F574"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28</w:t>
            </w:r>
          </w:p>
        </w:tc>
        <w:tc>
          <w:tcPr>
            <w:tcW w:w="1134" w:type="dxa"/>
            <w:tcBorders>
              <w:top w:val="nil"/>
              <w:left w:val="nil"/>
              <w:bottom w:val="single" w:sz="4" w:space="0" w:color="016794"/>
              <w:right w:val="nil"/>
              <w:tl2br w:val="nil"/>
              <w:tr2bl w:val="nil"/>
            </w:tcBorders>
            <w:shd w:val="clear" w:color="auto" w:fill="auto"/>
            <w:tcMar>
              <w:left w:w="60" w:type="dxa"/>
              <w:right w:w="60" w:type="dxa"/>
            </w:tcMar>
            <w:vAlign w:val="center"/>
          </w:tcPr>
          <w:p w14:paraId="045F3F28"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442" w:type="dxa"/>
            <w:tcBorders>
              <w:top w:val="nil"/>
              <w:left w:val="nil"/>
              <w:bottom w:val="single" w:sz="4" w:space="0" w:color="016794"/>
              <w:right w:val="nil"/>
              <w:tl2br w:val="nil"/>
              <w:tr2bl w:val="nil"/>
            </w:tcBorders>
            <w:shd w:val="clear" w:color="auto" w:fill="auto"/>
            <w:tcMar>
              <w:left w:w="60" w:type="dxa"/>
              <w:right w:w="60" w:type="dxa"/>
            </w:tcMar>
            <w:vAlign w:val="center"/>
          </w:tcPr>
          <w:p w14:paraId="5506971B"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w:t>
            </w:r>
          </w:p>
        </w:tc>
      </w:tr>
      <w:tr w:rsidR="00FD1E19" w14:paraId="2C5FEE3D" w14:textId="77777777" w:rsidTr="00BE7E4A">
        <w:trPr>
          <w:trHeight w:hRule="exact" w:val="255"/>
        </w:trPr>
        <w:tc>
          <w:tcPr>
            <w:tcW w:w="3746" w:type="dxa"/>
            <w:tcBorders>
              <w:top w:val="single" w:sz="4" w:space="0" w:color="016794"/>
              <w:left w:val="nil"/>
              <w:bottom w:val="nil"/>
              <w:right w:val="nil"/>
              <w:tl2br w:val="nil"/>
              <w:tr2bl w:val="nil"/>
            </w:tcBorders>
            <w:shd w:val="clear" w:color="auto" w:fill="auto"/>
            <w:tcMar>
              <w:left w:w="60" w:type="dxa"/>
              <w:right w:w="60" w:type="dxa"/>
            </w:tcMar>
            <w:vAlign w:val="center"/>
          </w:tcPr>
          <w:p w14:paraId="3A339A62" w14:textId="77777777" w:rsidR="00FD1E19" w:rsidRDefault="00FD1E19" w:rsidP="00BE7E4A">
            <w:pPr>
              <w:pStyle w:val="DMETW37225BIPPLEDF"/>
              <w:jc w:val="right"/>
              <w:rPr>
                <w:rFonts w:ascii="Verdana" w:eastAsia="Verdana" w:hAnsi="Verdana" w:cs="Verdana"/>
                <w:b/>
                <w:noProof/>
                <w:color w:val="000000"/>
                <w:sz w:val="18"/>
              </w:rPr>
            </w:pPr>
          </w:p>
        </w:tc>
        <w:tc>
          <w:tcPr>
            <w:tcW w:w="850" w:type="dxa"/>
            <w:tcBorders>
              <w:top w:val="single" w:sz="4" w:space="0" w:color="016794"/>
              <w:left w:val="nil"/>
              <w:bottom w:val="nil"/>
              <w:right w:val="nil"/>
              <w:tl2br w:val="nil"/>
              <w:tr2bl w:val="nil"/>
            </w:tcBorders>
            <w:shd w:val="clear" w:color="auto" w:fill="auto"/>
            <w:tcMar>
              <w:left w:w="60" w:type="dxa"/>
              <w:right w:w="60" w:type="dxa"/>
            </w:tcMar>
            <w:vAlign w:val="center"/>
          </w:tcPr>
          <w:p w14:paraId="68B67A64" w14:textId="77777777" w:rsidR="00FD1E19" w:rsidRDefault="00FD1E19" w:rsidP="00BE7E4A">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nil"/>
              <w:right w:val="nil"/>
              <w:tl2br w:val="nil"/>
              <w:tr2bl w:val="nil"/>
            </w:tcBorders>
            <w:shd w:val="clear" w:color="auto" w:fill="auto"/>
            <w:tcMar>
              <w:left w:w="60" w:type="dxa"/>
              <w:right w:w="60" w:type="dxa"/>
            </w:tcMar>
            <w:vAlign w:val="center"/>
          </w:tcPr>
          <w:p w14:paraId="3B823189"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0CB31B21"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4E2489F8"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1560" w:type="dxa"/>
            <w:tcBorders>
              <w:top w:val="single" w:sz="4" w:space="0" w:color="016794"/>
              <w:left w:val="nil"/>
              <w:bottom w:val="nil"/>
              <w:right w:val="nil"/>
              <w:tl2br w:val="nil"/>
              <w:tr2bl w:val="nil"/>
            </w:tcBorders>
            <w:shd w:val="clear" w:color="auto" w:fill="auto"/>
            <w:tcMar>
              <w:left w:w="60" w:type="dxa"/>
              <w:right w:w="60" w:type="dxa"/>
            </w:tcMar>
            <w:vAlign w:val="center"/>
          </w:tcPr>
          <w:p w14:paraId="6ACDC5C9"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12</w:t>
            </w:r>
          </w:p>
        </w:tc>
        <w:tc>
          <w:tcPr>
            <w:tcW w:w="1984" w:type="dxa"/>
            <w:tcBorders>
              <w:top w:val="single" w:sz="4" w:space="0" w:color="016794"/>
              <w:left w:val="nil"/>
              <w:bottom w:val="nil"/>
              <w:right w:val="nil"/>
              <w:tl2br w:val="nil"/>
              <w:tr2bl w:val="nil"/>
            </w:tcBorders>
            <w:shd w:val="clear" w:color="auto" w:fill="auto"/>
            <w:tcMar>
              <w:left w:w="60" w:type="dxa"/>
              <w:right w:w="60" w:type="dxa"/>
            </w:tcMar>
            <w:vAlign w:val="center"/>
          </w:tcPr>
          <w:p w14:paraId="73298FED"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1C83641F"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28</w:t>
            </w:r>
          </w:p>
        </w:tc>
        <w:tc>
          <w:tcPr>
            <w:tcW w:w="1134" w:type="dxa"/>
            <w:tcBorders>
              <w:top w:val="single" w:sz="4" w:space="0" w:color="016794"/>
              <w:left w:val="nil"/>
              <w:bottom w:val="nil"/>
              <w:right w:val="nil"/>
              <w:tl2br w:val="nil"/>
              <w:tr2bl w:val="nil"/>
            </w:tcBorders>
            <w:shd w:val="clear" w:color="auto" w:fill="auto"/>
            <w:tcMar>
              <w:left w:w="60" w:type="dxa"/>
              <w:right w:w="60" w:type="dxa"/>
            </w:tcMar>
            <w:vAlign w:val="center"/>
          </w:tcPr>
          <w:p w14:paraId="77A4B7D3"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12</w:t>
            </w:r>
          </w:p>
        </w:tc>
        <w:tc>
          <w:tcPr>
            <w:tcW w:w="1442" w:type="dxa"/>
            <w:tcBorders>
              <w:top w:val="single" w:sz="4" w:space="0" w:color="016794"/>
              <w:left w:val="nil"/>
              <w:bottom w:val="nil"/>
              <w:right w:val="nil"/>
              <w:tl2br w:val="nil"/>
              <w:tr2bl w:val="nil"/>
            </w:tcBorders>
            <w:shd w:val="clear" w:color="auto" w:fill="auto"/>
            <w:tcMar>
              <w:left w:w="60" w:type="dxa"/>
              <w:right w:w="60" w:type="dxa"/>
            </w:tcMar>
            <w:vAlign w:val="center"/>
          </w:tcPr>
          <w:p w14:paraId="052D0D32" w14:textId="77777777" w:rsidR="00FD1E19" w:rsidRDefault="00FD1E19" w:rsidP="00BE7E4A">
            <w:pPr>
              <w:pStyle w:val="DMETW37225BIPPL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41</w:t>
            </w:r>
          </w:p>
        </w:tc>
      </w:tr>
      <w:tr w:rsidR="00FD1E19" w14:paraId="54177B01" w14:textId="77777777" w:rsidTr="00BE7E4A">
        <w:trPr>
          <w:trHeight w:hRule="exact" w:val="635"/>
        </w:trPr>
        <w:tc>
          <w:tcPr>
            <w:tcW w:w="3746" w:type="dxa"/>
            <w:tcBorders>
              <w:top w:val="nil"/>
              <w:left w:val="nil"/>
              <w:bottom w:val="nil"/>
              <w:right w:val="nil"/>
              <w:tl2br w:val="nil"/>
              <w:tr2bl w:val="nil"/>
            </w:tcBorders>
            <w:shd w:val="clear" w:color="auto" w:fill="auto"/>
            <w:tcMar>
              <w:left w:w="60" w:type="dxa"/>
              <w:right w:w="60" w:type="dxa"/>
            </w:tcMar>
            <w:vAlign w:val="center"/>
          </w:tcPr>
          <w:p w14:paraId="7743610A" w14:textId="77777777" w:rsidR="00FD1E19" w:rsidRDefault="00FD1E19" w:rsidP="00BE7E4A">
            <w:pPr>
              <w:pStyle w:val="DMETW37225BIPPLEDF"/>
              <w:rPr>
                <w:rFonts w:ascii="Verdana" w:eastAsia="Verdana" w:hAnsi="Verdana" w:cs="Verdana"/>
                <w:b/>
                <w:noProof/>
                <w:color w:val="000000"/>
                <w:sz w:val="18"/>
              </w:rPr>
            </w:pPr>
            <w:r>
              <w:rPr>
                <w:rFonts w:ascii="Verdana" w:eastAsia="Verdana" w:hAnsi="Verdana" w:cs="Verdana"/>
                <w:b/>
                <w:noProof/>
                <w:color w:val="000000"/>
                <w:sz w:val="18"/>
              </w:rPr>
              <w:t>Revenue from exchange transactions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6EEEB664" w14:textId="77777777" w:rsidR="00FD1E19" w:rsidRDefault="00FD1E19" w:rsidP="00BE7E4A">
            <w:pPr>
              <w:pStyle w:val="DMETW37225BIPPLEDF"/>
              <w:jc w:val="center"/>
              <w:rPr>
                <w:rFonts w:ascii="Verdana" w:eastAsia="Verdana" w:hAnsi="Verdana" w:cs="Verdana"/>
                <w:noProof/>
                <w:color w:val="000000"/>
                <w:sz w:val="18"/>
              </w:rPr>
            </w:pPr>
          </w:p>
        </w:tc>
        <w:tc>
          <w:tcPr>
            <w:tcW w:w="851" w:type="dxa"/>
            <w:tcBorders>
              <w:top w:val="nil"/>
              <w:left w:val="nil"/>
              <w:bottom w:val="nil"/>
              <w:right w:val="nil"/>
              <w:tl2br w:val="nil"/>
              <w:tr2bl w:val="nil"/>
            </w:tcBorders>
            <w:shd w:val="clear" w:color="auto" w:fill="auto"/>
            <w:tcMar>
              <w:left w:w="60" w:type="dxa"/>
              <w:right w:w="60" w:type="dxa"/>
            </w:tcMar>
            <w:vAlign w:val="center"/>
          </w:tcPr>
          <w:p w14:paraId="56D7FA9C"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36B61C3F"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0366741B" w14:textId="77777777" w:rsidR="00FD1E19" w:rsidRDefault="00FD1E19" w:rsidP="00BE7E4A">
            <w:pPr>
              <w:pStyle w:val="DMETW37225BIPPLEDF"/>
              <w:jc w:val="right"/>
              <w:rPr>
                <w:rFonts w:ascii="Verdana" w:eastAsia="Verdana" w:hAnsi="Verdana" w:cs="Verdana"/>
                <w:noProof/>
                <w:color w:val="000000"/>
                <w:sz w:val="18"/>
              </w:rPr>
            </w:pPr>
          </w:p>
        </w:tc>
        <w:tc>
          <w:tcPr>
            <w:tcW w:w="1560" w:type="dxa"/>
            <w:tcBorders>
              <w:top w:val="nil"/>
              <w:left w:val="nil"/>
              <w:bottom w:val="nil"/>
              <w:right w:val="nil"/>
              <w:tl2br w:val="nil"/>
              <w:tr2bl w:val="nil"/>
            </w:tcBorders>
            <w:shd w:val="clear" w:color="auto" w:fill="auto"/>
            <w:tcMar>
              <w:left w:w="60" w:type="dxa"/>
              <w:right w:w="60" w:type="dxa"/>
            </w:tcMar>
            <w:vAlign w:val="center"/>
          </w:tcPr>
          <w:p w14:paraId="0C80F3C6" w14:textId="77777777" w:rsidR="00FD1E19" w:rsidRDefault="00FD1E19" w:rsidP="00BE7E4A">
            <w:pPr>
              <w:pStyle w:val="DMETW37225BIPPLEDF"/>
              <w:jc w:val="right"/>
              <w:rPr>
                <w:rFonts w:ascii="Verdana" w:eastAsia="Verdana" w:hAnsi="Verdana" w:cs="Verdana"/>
                <w:noProof/>
                <w:color w:val="000000"/>
                <w:sz w:val="18"/>
              </w:rPr>
            </w:pPr>
          </w:p>
        </w:tc>
        <w:tc>
          <w:tcPr>
            <w:tcW w:w="1984" w:type="dxa"/>
            <w:tcBorders>
              <w:top w:val="nil"/>
              <w:left w:val="nil"/>
              <w:bottom w:val="nil"/>
              <w:right w:val="nil"/>
              <w:tl2br w:val="nil"/>
              <w:tr2bl w:val="nil"/>
            </w:tcBorders>
            <w:shd w:val="clear" w:color="auto" w:fill="auto"/>
            <w:tcMar>
              <w:left w:w="60" w:type="dxa"/>
              <w:right w:w="60" w:type="dxa"/>
            </w:tcMar>
            <w:vAlign w:val="center"/>
          </w:tcPr>
          <w:p w14:paraId="4A149CBD"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nil"/>
              <w:left w:val="nil"/>
              <w:bottom w:val="nil"/>
              <w:right w:val="nil"/>
              <w:tl2br w:val="nil"/>
              <w:tr2bl w:val="nil"/>
            </w:tcBorders>
            <w:shd w:val="clear" w:color="auto" w:fill="auto"/>
            <w:tcMar>
              <w:left w:w="60" w:type="dxa"/>
              <w:right w:w="60" w:type="dxa"/>
            </w:tcMar>
            <w:vAlign w:val="center"/>
          </w:tcPr>
          <w:p w14:paraId="13CDE624" w14:textId="77777777" w:rsidR="00FD1E19" w:rsidRDefault="00FD1E19" w:rsidP="00BE7E4A">
            <w:pPr>
              <w:pStyle w:val="DMETW37225BIPPLEDF"/>
              <w:jc w:val="right"/>
              <w:rPr>
                <w:rFonts w:ascii="Verdana" w:eastAsia="Verdana" w:hAnsi="Verdana" w:cs="Verdana"/>
                <w:noProof/>
                <w:color w:val="000000"/>
                <w:sz w:val="18"/>
              </w:rPr>
            </w:pPr>
          </w:p>
        </w:tc>
        <w:tc>
          <w:tcPr>
            <w:tcW w:w="1134" w:type="dxa"/>
            <w:tcBorders>
              <w:top w:val="nil"/>
              <w:left w:val="nil"/>
              <w:bottom w:val="nil"/>
              <w:right w:val="nil"/>
              <w:tl2br w:val="nil"/>
              <w:tr2bl w:val="nil"/>
            </w:tcBorders>
            <w:shd w:val="clear" w:color="auto" w:fill="auto"/>
            <w:tcMar>
              <w:left w:w="60" w:type="dxa"/>
              <w:right w:w="60" w:type="dxa"/>
            </w:tcMar>
            <w:vAlign w:val="center"/>
          </w:tcPr>
          <w:p w14:paraId="5D02A0A2" w14:textId="77777777" w:rsidR="00FD1E19" w:rsidRDefault="00FD1E19" w:rsidP="00BE7E4A">
            <w:pPr>
              <w:pStyle w:val="DMETW37225BIPPLEDF"/>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clear" w:color="auto" w:fill="auto"/>
            <w:tcMar>
              <w:left w:w="60" w:type="dxa"/>
              <w:right w:w="60" w:type="dxa"/>
            </w:tcMar>
            <w:vAlign w:val="center"/>
          </w:tcPr>
          <w:p w14:paraId="48D95179" w14:textId="77777777" w:rsidR="00FD1E19" w:rsidRDefault="00FD1E19" w:rsidP="00BE7E4A">
            <w:pPr>
              <w:pStyle w:val="DMETW37225BIPPLEDF"/>
              <w:jc w:val="right"/>
              <w:rPr>
                <w:rFonts w:ascii="Verdana" w:eastAsia="Verdana" w:hAnsi="Verdana" w:cs="Verdana"/>
                <w:noProof/>
                <w:color w:val="000000"/>
                <w:sz w:val="18"/>
                <w:lang w:bidi="en-GB"/>
              </w:rPr>
            </w:pPr>
          </w:p>
        </w:tc>
      </w:tr>
      <w:tr w:rsidR="00FD1E19" w14:paraId="044FF9EF" w14:textId="77777777" w:rsidTr="00BE7E4A">
        <w:trPr>
          <w:trHeight w:hRule="exact" w:val="255"/>
        </w:trPr>
        <w:tc>
          <w:tcPr>
            <w:tcW w:w="3746" w:type="dxa"/>
            <w:tcBorders>
              <w:top w:val="nil"/>
              <w:left w:val="nil"/>
              <w:bottom w:val="nil"/>
              <w:right w:val="nil"/>
              <w:tl2br w:val="nil"/>
              <w:tr2bl w:val="nil"/>
            </w:tcBorders>
            <w:shd w:val="clear" w:color="auto" w:fill="auto"/>
            <w:tcMar>
              <w:left w:w="60" w:type="dxa"/>
              <w:right w:w="60" w:type="dxa"/>
            </w:tcMar>
            <w:vAlign w:val="center"/>
          </w:tcPr>
          <w:p w14:paraId="23D6AC5B"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Financial revenue</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7D9EF479"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3.2</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5615C8DB"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1CC75FFD"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27BA2C00"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2C36D398"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984" w:type="dxa"/>
            <w:tcBorders>
              <w:top w:val="nil"/>
              <w:left w:val="nil"/>
              <w:bottom w:val="nil"/>
              <w:right w:val="nil"/>
              <w:tl2br w:val="nil"/>
              <w:tr2bl w:val="nil"/>
            </w:tcBorders>
            <w:shd w:val="clear" w:color="auto" w:fill="auto"/>
            <w:tcMar>
              <w:left w:w="60" w:type="dxa"/>
              <w:right w:w="60" w:type="dxa"/>
            </w:tcMar>
            <w:vAlign w:val="center"/>
          </w:tcPr>
          <w:p w14:paraId="4E602EA8"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5AEAC4F6"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34" w:type="dxa"/>
            <w:tcBorders>
              <w:top w:val="nil"/>
              <w:left w:val="nil"/>
              <w:bottom w:val="nil"/>
              <w:right w:val="nil"/>
              <w:tl2br w:val="nil"/>
              <w:tr2bl w:val="nil"/>
            </w:tcBorders>
            <w:shd w:val="clear" w:color="auto" w:fill="auto"/>
            <w:tcMar>
              <w:left w:w="60" w:type="dxa"/>
              <w:right w:w="60" w:type="dxa"/>
            </w:tcMar>
            <w:vAlign w:val="center"/>
          </w:tcPr>
          <w:p w14:paraId="7B92FAB7"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18</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50A92728"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r w:rsidR="00FD1E19" w14:paraId="12AE8797" w14:textId="77777777" w:rsidTr="00BE7E4A">
        <w:trPr>
          <w:trHeight w:hRule="exact" w:val="255"/>
        </w:trPr>
        <w:tc>
          <w:tcPr>
            <w:tcW w:w="3746" w:type="dxa"/>
            <w:tcBorders>
              <w:top w:val="nil"/>
              <w:left w:val="nil"/>
              <w:bottom w:val="single" w:sz="4" w:space="0" w:color="016794"/>
              <w:right w:val="nil"/>
              <w:tl2br w:val="nil"/>
              <w:tr2bl w:val="nil"/>
            </w:tcBorders>
            <w:shd w:val="clear" w:color="auto" w:fill="auto"/>
            <w:tcMar>
              <w:left w:w="60" w:type="dxa"/>
              <w:right w:w="60" w:type="dxa"/>
            </w:tcMar>
            <w:vAlign w:val="center"/>
          </w:tcPr>
          <w:p w14:paraId="0B33F57B"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Other revenue</w:t>
            </w:r>
          </w:p>
        </w:tc>
        <w:tc>
          <w:tcPr>
            <w:tcW w:w="850" w:type="dxa"/>
            <w:tcBorders>
              <w:top w:val="nil"/>
              <w:left w:val="nil"/>
              <w:bottom w:val="single" w:sz="4" w:space="0" w:color="016794"/>
              <w:right w:val="nil"/>
              <w:tl2br w:val="nil"/>
              <w:tr2bl w:val="nil"/>
            </w:tcBorders>
            <w:shd w:val="clear" w:color="auto" w:fill="auto"/>
            <w:tcMar>
              <w:left w:w="60" w:type="dxa"/>
              <w:right w:w="60" w:type="dxa"/>
            </w:tcMar>
            <w:vAlign w:val="center"/>
          </w:tcPr>
          <w:p w14:paraId="635D373D"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3.2</w:t>
            </w:r>
          </w:p>
        </w:tc>
        <w:tc>
          <w:tcPr>
            <w:tcW w:w="851" w:type="dxa"/>
            <w:tcBorders>
              <w:top w:val="nil"/>
              <w:left w:val="nil"/>
              <w:bottom w:val="single" w:sz="4" w:space="0" w:color="016794"/>
              <w:right w:val="nil"/>
              <w:tl2br w:val="nil"/>
              <w:tr2bl w:val="nil"/>
            </w:tcBorders>
            <w:shd w:val="clear" w:color="auto" w:fill="auto"/>
            <w:tcMar>
              <w:left w:w="60" w:type="dxa"/>
              <w:right w:w="60" w:type="dxa"/>
            </w:tcMar>
            <w:vAlign w:val="center"/>
          </w:tcPr>
          <w:p w14:paraId="0A1D0AE9"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173847C4"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6525E9BE"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19</w:t>
            </w:r>
          </w:p>
        </w:tc>
        <w:tc>
          <w:tcPr>
            <w:tcW w:w="1560" w:type="dxa"/>
            <w:tcBorders>
              <w:top w:val="nil"/>
              <w:left w:val="nil"/>
              <w:bottom w:val="single" w:sz="4" w:space="0" w:color="016794"/>
              <w:right w:val="nil"/>
              <w:tl2br w:val="nil"/>
              <w:tr2bl w:val="nil"/>
            </w:tcBorders>
            <w:shd w:val="clear" w:color="auto" w:fill="auto"/>
            <w:tcMar>
              <w:left w:w="60" w:type="dxa"/>
              <w:right w:w="60" w:type="dxa"/>
            </w:tcMar>
            <w:vAlign w:val="center"/>
          </w:tcPr>
          <w:p w14:paraId="7A84F90F"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1984" w:type="dxa"/>
            <w:tcBorders>
              <w:top w:val="nil"/>
              <w:left w:val="nil"/>
              <w:bottom w:val="single" w:sz="4" w:space="0" w:color="016794"/>
              <w:right w:val="nil"/>
              <w:tl2br w:val="nil"/>
              <w:tr2bl w:val="nil"/>
            </w:tcBorders>
            <w:shd w:val="clear" w:color="auto" w:fill="auto"/>
            <w:tcMar>
              <w:left w:w="60" w:type="dxa"/>
              <w:right w:w="60" w:type="dxa"/>
            </w:tcMar>
            <w:vAlign w:val="center"/>
          </w:tcPr>
          <w:p w14:paraId="5A53A8E3"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5682F0CB"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134" w:type="dxa"/>
            <w:tcBorders>
              <w:top w:val="nil"/>
              <w:left w:val="nil"/>
              <w:bottom w:val="single" w:sz="4" w:space="0" w:color="016794"/>
              <w:right w:val="nil"/>
              <w:tl2br w:val="nil"/>
              <w:tr2bl w:val="nil"/>
            </w:tcBorders>
            <w:shd w:val="clear" w:color="auto" w:fill="auto"/>
            <w:tcMar>
              <w:left w:w="60" w:type="dxa"/>
              <w:right w:w="60" w:type="dxa"/>
            </w:tcMar>
            <w:vAlign w:val="center"/>
          </w:tcPr>
          <w:p w14:paraId="785C7DE6"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65</w:t>
            </w:r>
          </w:p>
        </w:tc>
        <w:tc>
          <w:tcPr>
            <w:tcW w:w="1442" w:type="dxa"/>
            <w:tcBorders>
              <w:top w:val="nil"/>
              <w:left w:val="nil"/>
              <w:bottom w:val="single" w:sz="4" w:space="0" w:color="016794"/>
              <w:right w:val="nil"/>
              <w:tl2br w:val="nil"/>
              <w:tr2bl w:val="nil"/>
            </w:tcBorders>
            <w:shd w:val="clear" w:color="auto" w:fill="auto"/>
            <w:tcMar>
              <w:left w:w="60" w:type="dxa"/>
              <w:right w:w="60" w:type="dxa"/>
            </w:tcMar>
            <w:vAlign w:val="center"/>
          </w:tcPr>
          <w:p w14:paraId="0F56DED0"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71</w:t>
            </w:r>
          </w:p>
        </w:tc>
      </w:tr>
      <w:tr w:rsidR="00FD1E19" w14:paraId="26C3D282" w14:textId="77777777" w:rsidTr="00BE7E4A">
        <w:trPr>
          <w:trHeight w:hRule="exact" w:val="255"/>
        </w:trPr>
        <w:tc>
          <w:tcPr>
            <w:tcW w:w="374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C945DE8" w14:textId="77777777" w:rsidR="00FD1E19" w:rsidRDefault="00FD1E19" w:rsidP="00BE7E4A">
            <w:pPr>
              <w:pStyle w:val="DMETW37225BIPPLEDF"/>
              <w:rPr>
                <w:rFonts w:ascii="Verdana" w:eastAsia="Verdana" w:hAnsi="Verdana" w:cs="Verdana"/>
                <w:noProof/>
                <w:color w:val="000000"/>
                <w:sz w:val="18"/>
              </w:rPr>
            </w:pPr>
          </w:p>
        </w:tc>
        <w:tc>
          <w:tcPr>
            <w:tcW w:w="85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2E37401" w14:textId="77777777" w:rsidR="00FD1E19" w:rsidRDefault="00FD1E19" w:rsidP="00BE7E4A">
            <w:pPr>
              <w:pStyle w:val="DMETW37225BIPPLEDF"/>
              <w:jc w:val="center"/>
              <w:rPr>
                <w:rFonts w:ascii="Verdana" w:eastAsia="Verdana" w:hAnsi="Verdana" w:cs="Verdana"/>
                <w:noProof/>
                <w:color w:val="000000"/>
                <w:sz w:val="18"/>
              </w:rPr>
            </w:pPr>
          </w:p>
        </w:tc>
        <w:tc>
          <w:tcPr>
            <w:tcW w:w="85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AE64BB1" w14:textId="77777777" w:rsidR="00FD1E19" w:rsidRPr="004E12D9" w:rsidRDefault="00FD1E19" w:rsidP="00BE7E4A">
            <w:pPr>
              <w:pStyle w:val="DMETW37225BIPPLEDF"/>
              <w:jc w:val="right"/>
              <w:rPr>
                <w:rFonts w:ascii="Verdana" w:eastAsia="Verdana" w:hAnsi="Verdana" w:cs="Verdana"/>
                <w:b/>
                <w:bCs/>
                <w:noProof/>
                <w:color w:val="000000"/>
                <w:sz w:val="18"/>
              </w:rPr>
            </w:pPr>
            <w:r w:rsidRPr="004E12D9">
              <w:rPr>
                <w:rFonts w:ascii="Verdana" w:eastAsia="Verdana" w:hAnsi="Verdana" w:cs="Verdana"/>
                <w:b/>
                <w:bCs/>
                <w:i/>
                <w:noProof/>
                <w:color w:val="000000"/>
                <w:sz w:val="18"/>
              </w:rPr>
              <w:t>–</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FF28C90"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70719D2"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26</w:t>
            </w:r>
          </w:p>
        </w:tc>
        <w:tc>
          <w:tcPr>
            <w:tcW w:w="156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6767F42"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28</w:t>
            </w:r>
          </w:p>
        </w:tc>
        <w:tc>
          <w:tcPr>
            <w:tcW w:w="198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AFCC504"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E1F1394"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113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93EE888"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83</w:t>
            </w:r>
          </w:p>
        </w:tc>
        <w:tc>
          <w:tcPr>
            <w:tcW w:w="144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D6BAC74" w14:textId="77777777" w:rsidR="00FD1E19" w:rsidRDefault="00FD1E19" w:rsidP="00BE7E4A">
            <w:pPr>
              <w:pStyle w:val="DMETW37225BIPPL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90</w:t>
            </w:r>
          </w:p>
        </w:tc>
      </w:tr>
      <w:tr w:rsidR="00FD1E19" w14:paraId="301853DF" w14:textId="77777777" w:rsidTr="00BE7E4A">
        <w:trPr>
          <w:trHeight w:hRule="exact" w:val="255"/>
        </w:trPr>
        <w:tc>
          <w:tcPr>
            <w:tcW w:w="374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16F7C26" w14:textId="77777777" w:rsidR="00FD1E19" w:rsidRDefault="00FD1E19" w:rsidP="00BE7E4A">
            <w:pPr>
              <w:pStyle w:val="DMETW37225BIPPLEDF"/>
              <w:rPr>
                <w:rFonts w:ascii="Verdana" w:eastAsia="Verdana" w:hAnsi="Verdana" w:cs="Verdana"/>
                <w:b/>
                <w:noProof/>
                <w:color w:val="000000"/>
                <w:sz w:val="18"/>
              </w:rPr>
            </w:pPr>
            <w:r>
              <w:rPr>
                <w:rFonts w:ascii="Verdana" w:eastAsia="Verdana" w:hAnsi="Verdana" w:cs="Verdana"/>
                <w:b/>
                <w:noProof/>
                <w:color w:val="000000"/>
                <w:sz w:val="18"/>
              </w:rPr>
              <w:t>Total revenue</w:t>
            </w:r>
          </w:p>
        </w:tc>
        <w:tc>
          <w:tcPr>
            <w:tcW w:w="85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CFA9D1C" w14:textId="77777777" w:rsidR="00FD1E19" w:rsidRDefault="00FD1E19" w:rsidP="00BE7E4A">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56A3D2C"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2</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7B9A085"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6</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74FD87E"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32</w:t>
            </w:r>
          </w:p>
        </w:tc>
        <w:tc>
          <w:tcPr>
            <w:tcW w:w="156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D31533B"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40</w:t>
            </w:r>
          </w:p>
        </w:tc>
        <w:tc>
          <w:tcPr>
            <w:tcW w:w="198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852E921"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3</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FC68A01"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33</w:t>
            </w:r>
          </w:p>
        </w:tc>
        <w:tc>
          <w:tcPr>
            <w:tcW w:w="113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EA91B3D"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95</w:t>
            </w:r>
          </w:p>
        </w:tc>
        <w:tc>
          <w:tcPr>
            <w:tcW w:w="144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886A298" w14:textId="77777777" w:rsidR="00FD1E19" w:rsidRDefault="00FD1E19" w:rsidP="00BE7E4A">
            <w:pPr>
              <w:pStyle w:val="DMETW37225BIPPL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131</w:t>
            </w:r>
          </w:p>
        </w:tc>
      </w:tr>
      <w:tr w:rsidR="00FD1E19" w14:paraId="4791FF67" w14:textId="77777777" w:rsidTr="00BE7E4A">
        <w:trPr>
          <w:trHeight w:hRule="exact" w:val="255"/>
        </w:trPr>
        <w:tc>
          <w:tcPr>
            <w:tcW w:w="3746" w:type="dxa"/>
            <w:tcBorders>
              <w:top w:val="single" w:sz="4" w:space="0" w:color="016794"/>
              <w:left w:val="nil"/>
              <w:bottom w:val="nil"/>
              <w:right w:val="nil"/>
              <w:tl2br w:val="nil"/>
              <w:tr2bl w:val="nil"/>
            </w:tcBorders>
            <w:shd w:val="clear" w:color="auto" w:fill="auto"/>
            <w:tcMar>
              <w:left w:w="60" w:type="dxa"/>
              <w:right w:w="60" w:type="dxa"/>
            </w:tcMar>
            <w:vAlign w:val="center"/>
          </w:tcPr>
          <w:p w14:paraId="305663C3" w14:textId="77777777" w:rsidR="00FD1E19" w:rsidRDefault="00FD1E19" w:rsidP="00BE7E4A">
            <w:pPr>
              <w:pStyle w:val="DMETW37225BIPPLEDF"/>
              <w:rPr>
                <w:rFonts w:ascii="Verdana" w:eastAsia="Verdana" w:hAnsi="Verdana" w:cs="Verdana"/>
                <w:b/>
                <w:noProof/>
                <w:color w:val="000000"/>
                <w:sz w:val="18"/>
              </w:rPr>
            </w:pPr>
            <w:r>
              <w:rPr>
                <w:rFonts w:ascii="Verdana" w:eastAsia="Verdana" w:hAnsi="Verdana" w:cs="Verdana"/>
                <w:b/>
                <w:noProof/>
                <w:color w:val="000000"/>
                <w:sz w:val="18"/>
              </w:rPr>
              <w:t>EXPENSES</w:t>
            </w:r>
          </w:p>
        </w:tc>
        <w:tc>
          <w:tcPr>
            <w:tcW w:w="850" w:type="dxa"/>
            <w:tcBorders>
              <w:top w:val="single" w:sz="4" w:space="0" w:color="016794"/>
              <w:left w:val="nil"/>
              <w:bottom w:val="nil"/>
              <w:right w:val="nil"/>
              <w:tl2br w:val="nil"/>
              <w:tr2bl w:val="nil"/>
            </w:tcBorders>
            <w:shd w:val="clear" w:color="auto" w:fill="auto"/>
            <w:tcMar>
              <w:left w:w="60" w:type="dxa"/>
              <w:right w:w="60" w:type="dxa"/>
            </w:tcMar>
            <w:vAlign w:val="center"/>
          </w:tcPr>
          <w:p w14:paraId="7D3DE9D5" w14:textId="77777777" w:rsidR="00FD1E19" w:rsidRDefault="00FD1E19" w:rsidP="00BE7E4A">
            <w:pPr>
              <w:pStyle w:val="DMETW37225BIPPLEDF"/>
              <w:jc w:val="center"/>
              <w:rPr>
                <w:rFonts w:ascii="Verdana" w:eastAsia="Verdana" w:hAnsi="Verdana" w:cs="Verdana"/>
                <w:noProof/>
                <w:color w:val="000000"/>
                <w:sz w:val="18"/>
              </w:rPr>
            </w:pPr>
          </w:p>
        </w:tc>
        <w:tc>
          <w:tcPr>
            <w:tcW w:w="851" w:type="dxa"/>
            <w:tcBorders>
              <w:top w:val="single" w:sz="4" w:space="0" w:color="016794"/>
              <w:left w:val="nil"/>
              <w:bottom w:val="nil"/>
              <w:right w:val="nil"/>
              <w:tl2br w:val="nil"/>
              <w:tr2bl w:val="nil"/>
            </w:tcBorders>
            <w:shd w:val="clear" w:color="auto" w:fill="auto"/>
            <w:tcMar>
              <w:left w:w="60" w:type="dxa"/>
              <w:right w:w="60" w:type="dxa"/>
            </w:tcMar>
            <w:vAlign w:val="center"/>
          </w:tcPr>
          <w:p w14:paraId="4B4080D9"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049BD10A"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68AF15B1" w14:textId="77777777" w:rsidR="00FD1E19" w:rsidRDefault="00FD1E19" w:rsidP="00BE7E4A">
            <w:pPr>
              <w:pStyle w:val="DMETW37225BIPPLEDF"/>
              <w:jc w:val="right"/>
              <w:rPr>
                <w:rFonts w:ascii="Verdana" w:eastAsia="Verdana" w:hAnsi="Verdana" w:cs="Verdana"/>
                <w:noProof/>
                <w:color w:val="000000"/>
                <w:sz w:val="18"/>
              </w:rPr>
            </w:pPr>
          </w:p>
        </w:tc>
        <w:tc>
          <w:tcPr>
            <w:tcW w:w="1560" w:type="dxa"/>
            <w:tcBorders>
              <w:top w:val="single" w:sz="4" w:space="0" w:color="016794"/>
              <w:left w:val="nil"/>
              <w:bottom w:val="nil"/>
              <w:right w:val="nil"/>
              <w:tl2br w:val="nil"/>
              <w:tr2bl w:val="nil"/>
            </w:tcBorders>
            <w:shd w:val="clear" w:color="auto" w:fill="auto"/>
            <w:tcMar>
              <w:left w:w="60" w:type="dxa"/>
              <w:right w:w="60" w:type="dxa"/>
            </w:tcMar>
            <w:vAlign w:val="center"/>
          </w:tcPr>
          <w:p w14:paraId="1FE015D3" w14:textId="77777777" w:rsidR="00FD1E19" w:rsidRDefault="00FD1E19" w:rsidP="00BE7E4A">
            <w:pPr>
              <w:pStyle w:val="DMETW37225BIPPLEDF"/>
              <w:jc w:val="right"/>
              <w:rPr>
                <w:rFonts w:ascii="Verdana" w:eastAsia="Verdana" w:hAnsi="Verdana" w:cs="Verdana"/>
                <w:noProof/>
                <w:color w:val="000000"/>
                <w:sz w:val="18"/>
              </w:rPr>
            </w:pPr>
          </w:p>
        </w:tc>
        <w:tc>
          <w:tcPr>
            <w:tcW w:w="1984" w:type="dxa"/>
            <w:tcBorders>
              <w:top w:val="single" w:sz="4" w:space="0" w:color="016794"/>
              <w:left w:val="nil"/>
              <w:bottom w:val="nil"/>
              <w:right w:val="nil"/>
              <w:tl2br w:val="nil"/>
              <w:tr2bl w:val="nil"/>
            </w:tcBorders>
            <w:shd w:val="clear" w:color="auto" w:fill="auto"/>
            <w:tcMar>
              <w:left w:w="60" w:type="dxa"/>
              <w:right w:w="60" w:type="dxa"/>
            </w:tcMar>
            <w:vAlign w:val="center"/>
          </w:tcPr>
          <w:p w14:paraId="72B1F00E"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2F532FF7" w14:textId="77777777" w:rsidR="00FD1E19" w:rsidRDefault="00FD1E19" w:rsidP="00BE7E4A">
            <w:pPr>
              <w:pStyle w:val="DMETW37225BIPPLEDF"/>
              <w:jc w:val="right"/>
              <w:rPr>
                <w:rFonts w:ascii="Verdana" w:eastAsia="Verdana" w:hAnsi="Verdana" w:cs="Verdana"/>
                <w:noProof/>
                <w:color w:val="000000"/>
                <w:sz w:val="18"/>
              </w:rPr>
            </w:pPr>
          </w:p>
        </w:tc>
        <w:tc>
          <w:tcPr>
            <w:tcW w:w="1134" w:type="dxa"/>
            <w:tcBorders>
              <w:top w:val="single" w:sz="4" w:space="0" w:color="016794"/>
              <w:left w:val="nil"/>
              <w:bottom w:val="nil"/>
              <w:right w:val="nil"/>
              <w:tl2br w:val="nil"/>
              <w:tr2bl w:val="nil"/>
            </w:tcBorders>
            <w:shd w:val="clear" w:color="auto" w:fill="auto"/>
            <w:tcMar>
              <w:left w:w="60" w:type="dxa"/>
              <w:right w:w="60" w:type="dxa"/>
            </w:tcMar>
            <w:vAlign w:val="center"/>
          </w:tcPr>
          <w:p w14:paraId="2563D958" w14:textId="77777777" w:rsidR="00FD1E19" w:rsidRDefault="00FD1E19" w:rsidP="00BE7E4A">
            <w:pPr>
              <w:pStyle w:val="DMETW37225BIPPLEDF"/>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shd w:val="clear" w:color="auto" w:fill="auto"/>
            <w:tcMar>
              <w:left w:w="60" w:type="dxa"/>
              <w:right w:w="60" w:type="dxa"/>
            </w:tcMar>
            <w:vAlign w:val="center"/>
          </w:tcPr>
          <w:p w14:paraId="0295CACE" w14:textId="77777777" w:rsidR="00FD1E19" w:rsidRDefault="00FD1E19" w:rsidP="00BE7E4A">
            <w:pPr>
              <w:pStyle w:val="DMETW37225BIPPLEDF"/>
              <w:jc w:val="right"/>
              <w:rPr>
                <w:rFonts w:ascii="Verdana" w:eastAsia="Verdana" w:hAnsi="Verdana" w:cs="Verdana"/>
                <w:noProof/>
                <w:color w:val="000000"/>
                <w:sz w:val="18"/>
                <w:lang w:bidi="en-GB"/>
              </w:rPr>
            </w:pPr>
          </w:p>
        </w:tc>
      </w:tr>
      <w:tr w:rsidR="00FD1E19" w14:paraId="5A4B1F9A" w14:textId="77777777" w:rsidTr="00BE7E4A">
        <w:trPr>
          <w:trHeight w:hRule="exact" w:val="255"/>
        </w:trPr>
        <w:tc>
          <w:tcPr>
            <w:tcW w:w="3746" w:type="dxa"/>
            <w:tcBorders>
              <w:top w:val="nil"/>
              <w:left w:val="nil"/>
              <w:bottom w:val="nil"/>
              <w:right w:val="nil"/>
              <w:tl2br w:val="nil"/>
              <w:tr2bl w:val="nil"/>
            </w:tcBorders>
            <w:shd w:val="clear" w:color="auto" w:fill="auto"/>
            <w:tcMar>
              <w:left w:w="60" w:type="dxa"/>
              <w:right w:w="60" w:type="dxa"/>
            </w:tcMar>
            <w:vAlign w:val="center"/>
          </w:tcPr>
          <w:p w14:paraId="46FFDF99"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Implemented by other entities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6131BE81"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3.3</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4C665778"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0D36730F"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7CE8BF77"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08064134"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984" w:type="dxa"/>
            <w:tcBorders>
              <w:top w:val="nil"/>
              <w:left w:val="nil"/>
              <w:bottom w:val="nil"/>
              <w:right w:val="nil"/>
              <w:tl2br w:val="nil"/>
              <w:tr2bl w:val="nil"/>
            </w:tcBorders>
            <w:shd w:val="clear" w:color="auto" w:fill="auto"/>
            <w:tcMar>
              <w:left w:w="60" w:type="dxa"/>
              <w:right w:w="60" w:type="dxa"/>
            </w:tcMar>
            <w:vAlign w:val="center"/>
          </w:tcPr>
          <w:p w14:paraId="73001CDD"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6660343B"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34" w:type="dxa"/>
            <w:tcBorders>
              <w:top w:val="nil"/>
              <w:left w:val="nil"/>
              <w:bottom w:val="nil"/>
              <w:right w:val="nil"/>
              <w:tl2br w:val="nil"/>
              <w:tr2bl w:val="nil"/>
            </w:tcBorders>
            <w:shd w:val="clear" w:color="auto" w:fill="auto"/>
            <w:tcMar>
              <w:left w:w="60" w:type="dxa"/>
              <w:right w:w="60" w:type="dxa"/>
            </w:tcMar>
            <w:vAlign w:val="center"/>
          </w:tcPr>
          <w:p w14:paraId="13C0B5A5"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6305383B"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FD1E19" w14:paraId="591AE52B" w14:textId="77777777" w:rsidTr="00BE7E4A">
        <w:trPr>
          <w:trHeight w:hRule="exact" w:val="255"/>
        </w:trPr>
        <w:tc>
          <w:tcPr>
            <w:tcW w:w="3746" w:type="dxa"/>
            <w:tcBorders>
              <w:top w:val="nil"/>
              <w:left w:val="nil"/>
              <w:bottom w:val="nil"/>
              <w:right w:val="nil"/>
              <w:tl2br w:val="nil"/>
              <w:tr2bl w:val="nil"/>
            </w:tcBorders>
            <w:shd w:val="clear" w:color="auto" w:fill="auto"/>
            <w:tcMar>
              <w:left w:w="60" w:type="dxa"/>
              <w:right w:w="60" w:type="dxa"/>
            </w:tcMar>
            <w:vAlign w:val="center"/>
          </w:tcPr>
          <w:p w14:paraId="0F082D91"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Aid instruments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47C8C641"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3.4</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7C6A7663"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1B4CBECF"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(83)</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6A40D500"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(953)</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54385DFB"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(1 043)</w:t>
            </w:r>
          </w:p>
        </w:tc>
        <w:tc>
          <w:tcPr>
            <w:tcW w:w="1984" w:type="dxa"/>
            <w:tcBorders>
              <w:top w:val="nil"/>
              <w:left w:val="nil"/>
              <w:bottom w:val="nil"/>
              <w:right w:val="nil"/>
              <w:tl2br w:val="nil"/>
              <w:tr2bl w:val="nil"/>
            </w:tcBorders>
            <w:shd w:val="clear" w:color="auto" w:fill="auto"/>
            <w:tcMar>
              <w:left w:w="60" w:type="dxa"/>
              <w:right w:w="60" w:type="dxa"/>
            </w:tcMar>
            <w:vAlign w:val="center"/>
          </w:tcPr>
          <w:p w14:paraId="117A3F20"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19D47968"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(90)</w:t>
            </w:r>
          </w:p>
        </w:tc>
        <w:tc>
          <w:tcPr>
            <w:tcW w:w="1134" w:type="dxa"/>
            <w:tcBorders>
              <w:top w:val="nil"/>
              <w:left w:val="nil"/>
              <w:bottom w:val="nil"/>
              <w:right w:val="nil"/>
              <w:tl2br w:val="nil"/>
              <w:tr2bl w:val="nil"/>
            </w:tcBorders>
            <w:shd w:val="clear" w:color="auto" w:fill="auto"/>
            <w:tcMar>
              <w:left w:w="60" w:type="dxa"/>
              <w:right w:w="60" w:type="dxa"/>
            </w:tcMar>
            <w:vAlign w:val="center"/>
          </w:tcPr>
          <w:p w14:paraId="074248E7"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(1 145)</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14F36949"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(1 237)</w:t>
            </w:r>
          </w:p>
        </w:tc>
      </w:tr>
      <w:tr w:rsidR="00FD1E19" w14:paraId="41873957" w14:textId="77777777" w:rsidTr="00BE7E4A">
        <w:trPr>
          <w:trHeight w:hRule="exact" w:val="255"/>
        </w:trPr>
        <w:tc>
          <w:tcPr>
            <w:tcW w:w="3746" w:type="dxa"/>
            <w:tcBorders>
              <w:top w:val="nil"/>
              <w:left w:val="nil"/>
              <w:bottom w:val="nil"/>
              <w:right w:val="nil"/>
              <w:tl2br w:val="nil"/>
              <w:tr2bl w:val="nil"/>
            </w:tcBorders>
            <w:shd w:val="clear" w:color="auto" w:fill="auto"/>
            <w:tcMar>
              <w:left w:w="60" w:type="dxa"/>
              <w:right w:w="60" w:type="dxa"/>
            </w:tcMar>
            <w:vAlign w:val="center"/>
          </w:tcPr>
          <w:p w14:paraId="77D67FAE"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Co-financing expenses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7AED26FA"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3.5</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76FD2CE5"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69B03291"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2790DBBD"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7B4AAD2F"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984" w:type="dxa"/>
            <w:tcBorders>
              <w:top w:val="nil"/>
              <w:left w:val="nil"/>
              <w:bottom w:val="nil"/>
              <w:right w:val="nil"/>
              <w:tl2br w:val="nil"/>
              <w:tr2bl w:val="nil"/>
            </w:tcBorders>
            <w:shd w:val="clear" w:color="auto" w:fill="auto"/>
            <w:tcMar>
              <w:left w:w="60" w:type="dxa"/>
              <w:right w:w="60" w:type="dxa"/>
            </w:tcMar>
            <w:vAlign w:val="center"/>
          </w:tcPr>
          <w:p w14:paraId="7AE2E7DF"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6DE64354"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134" w:type="dxa"/>
            <w:tcBorders>
              <w:top w:val="nil"/>
              <w:left w:val="nil"/>
              <w:bottom w:val="nil"/>
              <w:right w:val="nil"/>
              <w:tl2br w:val="nil"/>
              <w:tr2bl w:val="nil"/>
            </w:tcBorders>
            <w:shd w:val="clear" w:color="auto" w:fill="auto"/>
            <w:tcMar>
              <w:left w:w="60" w:type="dxa"/>
              <w:right w:w="60" w:type="dxa"/>
            </w:tcMar>
            <w:vAlign w:val="center"/>
          </w:tcPr>
          <w:p w14:paraId="35B1EE51"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06107C8F"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w:t>
            </w:r>
          </w:p>
        </w:tc>
      </w:tr>
      <w:tr w:rsidR="00FD1E19" w14:paraId="3EF3EC8D" w14:textId="77777777" w:rsidTr="00BE7E4A">
        <w:trPr>
          <w:trHeight w:hRule="exact" w:val="255"/>
        </w:trPr>
        <w:tc>
          <w:tcPr>
            <w:tcW w:w="3746" w:type="dxa"/>
            <w:tcBorders>
              <w:top w:val="nil"/>
              <w:left w:val="nil"/>
              <w:bottom w:val="nil"/>
              <w:right w:val="nil"/>
              <w:tl2br w:val="nil"/>
              <w:tr2bl w:val="nil"/>
            </w:tcBorders>
            <w:shd w:val="clear" w:color="auto" w:fill="auto"/>
            <w:tcMar>
              <w:left w:w="60" w:type="dxa"/>
              <w:right w:w="60" w:type="dxa"/>
            </w:tcMar>
            <w:vAlign w:val="center"/>
          </w:tcPr>
          <w:p w14:paraId="7BAF8BB4"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Finance costs</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188F7513"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3.6</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528B16F8"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3CFD035B"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51769D0A"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(39)</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4E736073"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(40)</w:t>
            </w:r>
          </w:p>
        </w:tc>
        <w:tc>
          <w:tcPr>
            <w:tcW w:w="1984" w:type="dxa"/>
            <w:tcBorders>
              <w:top w:val="nil"/>
              <w:left w:val="nil"/>
              <w:bottom w:val="nil"/>
              <w:right w:val="nil"/>
              <w:tl2br w:val="nil"/>
              <w:tr2bl w:val="nil"/>
            </w:tcBorders>
            <w:shd w:val="clear" w:color="auto" w:fill="auto"/>
            <w:tcMar>
              <w:left w:w="60" w:type="dxa"/>
              <w:right w:w="60" w:type="dxa"/>
            </w:tcMar>
            <w:vAlign w:val="center"/>
          </w:tcPr>
          <w:p w14:paraId="3B47F11F"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51FA07D4"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134" w:type="dxa"/>
            <w:tcBorders>
              <w:top w:val="nil"/>
              <w:left w:val="nil"/>
              <w:bottom w:val="nil"/>
              <w:right w:val="nil"/>
              <w:tl2br w:val="nil"/>
              <w:tr2bl w:val="nil"/>
            </w:tcBorders>
            <w:shd w:val="clear" w:color="auto" w:fill="auto"/>
            <w:tcMar>
              <w:left w:w="60" w:type="dxa"/>
              <w:right w:w="60" w:type="dxa"/>
            </w:tcMar>
            <w:vAlign w:val="center"/>
          </w:tcPr>
          <w:p w14:paraId="000B3A7E"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49CFAB85"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1B12DA18" w14:textId="77777777" w:rsidTr="00BE7E4A">
        <w:trPr>
          <w:trHeight w:hRule="exact" w:val="255"/>
        </w:trPr>
        <w:tc>
          <w:tcPr>
            <w:tcW w:w="3746" w:type="dxa"/>
            <w:tcBorders>
              <w:top w:val="nil"/>
              <w:left w:val="nil"/>
              <w:bottom w:val="single" w:sz="4" w:space="0" w:color="016794"/>
              <w:right w:val="nil"/>
              <w:tl2br w:val="nil"/>
              <w:tr2bl w:val="nil"/>
            </w:tcBorders>
            <w:shd w:val="clear" w:color="auto" w:fill="auto"/>
            <w:tcMar>
              <w:left w:w="60" w:type="dxa"/>
              <w:right w:w="60" w:type="dxa"/>
            </w:tcMar>
            <w:vAlign w:val="center"/>
          </w:tcPr>
          <w:p w14:paraId="2EC6BF88" w14:textId="77777777" w:rsidR="00FD1E19" w:rsidRDefault="00FD1E19" w:rsidP="00BE7E4A">
            <w:pPr>
              <w:pStyle w:val="DMETW37225BIPPLEDF"/>
              <w:rPr>
                <w:rFonts w:ascii="Verdana" w:eastAsia="Verdana" w:hAnsi="Verdana" w:cs="Verdana"/>
                <w:i/>
                <w:noProof/>
                <w:color w:val="000000"/>
                <w:sz w:val="18"/>
              </w:rPr>
            </w:pPr>
            <w:r>
              <w:rPr>
                <w:rFonts w:ascii="Verdana" w:eastAsia="Verdana" w:hAnsi="Verdana" w:cs="Verdana"/>
                <w:i/>
                <w:noProof/>
                <w:color w:val="000000"/>
                <w:sz w:val="18"/>
              </w:rPr>
              <w:t>Other expenses</w:t>
            </w:r>
          </w:p>
        </w:tc>
        <w:tc>
          <w:tcPr>
            <w:tcW w:w="850" w:type="dxa"/>
            <w:tcBorders>
              <w:top w:val="nil"/>
              <w:left w:val="nil"/>
              <w:bottom w:val="single" w:sz="4" w:space="0" w:color="016794"/>
              <w:right w:val="nil"/>
              <w:tl2br w:val="nil"/>
              <w:tr2bl w:val="nil"/>
            </w:tcBorders>
            <w:shd w:val="clear" w:color="auto" w:fill="auto"/>
            <w:tcMar>
              <w:left w:w="60" w:type="dxa"/>
              <w:right w:w="60" w:type="dxa"/>
            </w:tcMar>
            <w:vAlign w:val="center"/>
          </w:tcPr>
          <w:p w14:paraId="19AE83E0" w14:textId="77777777" w:rsidR="00FD1E19" w:rsidRDefault="00FD1E19" w:rsidP="00BE7E4A">
            <w:pPr>
              <w:pStyle w:val="DMETW37225BIPPLEDF"/>
              <w:jc w:val="center"/>
              <w:rPr>
                <w:rFonts w:ascii="Verdana" w:eastAsia="Verdana" w:hAnsi="Verdana" w:cs="Verdana"/>
                <w:noProof/>
                <w:color w:val="000000"/>
                <w:sz w:val="18"/>
              </w:rPr>
            </w:pPr>
            <w:r>
              <w:rPr>
                <w:rFonts w:ascii="Verdana" w:eastAsia="Verdana" w:hAnsi="Verdana" w:cs="Verdana"/>
                <w:noProof/>
                <w:color w:val="000000"/>
                <w:sz w:val="18"/>
              </w:rPr>
              <w:t>3.7</w:t>
            </w:r>
          </w:p>
        </w:tc>
        <w:tc>
          <w:tcPr>
            <w:tcW w:w="851" w:type="dxa"/>
            <w:tcBorders>
              <w:top w:val="nil"/>
              <w:left w:val="nil"/>
              <w:bottom w:val="single" w:sz="4" w:space="0" w:color="016794"/>
              <w:right w:val="nil"/>
              <w:tl2br w:val="nil"/>
              <w:tr2bl w:val="nil"/>
            </w:tcBorders>
            <w:shd w:val="clear" w:color="auto" w:fill="auto"/>
            <w:tcMar>
              <w:left w:w="60" w:type="dxa"/>
              <w:right w:w="60" w:type="dxa"/>
            </w:tcMar>
            <w:vAlign w:val="center"/>
          </w:tcPr>
          <w:p w14:paraId="5705D615"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15F2B5D4"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1B364376"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(40)</w:t>
            </w:r>
          </w:p>
        </w:tc>
        <w:tc>
          <w:tcPr>
            <w:tcW w:w="1560" w:type="dxa"/>
            <w:tcBorders>
              <w:top w:val="nil"/>
              <w:left w:val="nil"/>
              <w:bottom w:val="single" w:sz="4" w:space="0" w:color="016794"/>
              <w:right w:val="nil"/>
              <w:tl2br w:val="nil"/>
              <w:tr2bl w:val="nil"/>
            </w:tcBorders>
            <w:shd w:val="clear" w:color="auto" w:fill="auto"/>
            <w:tcMar>
              <w:left w:w="60" w:type="dxa"/>
              <w:right w:w="60" w:type="dxa"/>
            </w:tcMar>
            <w:vAlign w:val="center"/>
          </w:tcPr>
          <w:p w14:paraId="0BC6B740"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(46)</w:t>
            </w:r>
          </w:p>
        </w:tc>
        <w:tc>
          <w:tcPr>
            <w:tcW w:w="1984" w:type="dxa"/>
            <w:tcBorders>
              <w:top w:val="nil"/>
              <w:left w:val="nil"/>
              <w:bottom w:val="single" w:sz="4" w:space="0" w:color="016794"/>
              <w:right w:val="nil"/>
              <w:tl2br w:val="nil"/>
              <w:tr2bl w:val="nil"/>
            </w:tcBorders>
            <w:shd w:val="clear" w:color="auto" w:fill="auto"/>
            <w:tcMar>
              <w:left w:w="60" w:type="dxa"/>
              <w:right w:w="60" w:type="dxa"/>
            </w:tcMar>
            <w:vAlign w:val="center"/>
          </w:tcPr>
          <w:p w14:paraId="6170BA43"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992" w:type="dxa"/>
            <w:tcBorders>
              <w:top w:val="nil"/>
              <w:left w:val="nil"/>
              <w:bottom w:val="single" w:sz="4" w:space="0" w:color="016794"/>
              <w:right w:val="nil"/>
              <w:tl2br w:val="nil"/>
              <w:tr2bl w:val="nil"/>
            </w:tcBorders>
            <w:shd w:val="clear" w:color="auto" w:fill="auto"/>
            <w:tcMar>
              <w:left w:w="60" w:type="dxa"/>
              <w:right w:w="60" w:type="dxa"/>
            </w:tcMar>
            <w:vAlign w:val="center"/>
          </w:tcPr>
          <w:p w14:paraId="3CA67608"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134" w:type="dxa"/>
            <w:tcBorders>
              <w:top w:val="nil"/>
              <w:left w:val="nil"/>
              <w:bottom w:val="single" w:sz="4" w:space="0" w:color="016794"/>
              <w:right w:val="nil"/>
              <w:tl2br w:val="nil"/>
              <w:tr2bl w:val="nil"/>
            </w:tcBorders>
            <w:shd w:val="clear" w:color="auto" w:fill="auto"/>
            <w:tcMar>
              <w:left w:w="60" w:type="dxa"/>
              <w:right w:w="60" w:type="dxa"/>
            </w:tcMar>
            <w:vAlign w:val="center"/>
          </w:tcPr>
          <w:p w14:paraId="590AD4A4" w14:textId="77777777" w:rsidR="00FD1E19" w:rsidRDefault="00FD1E19" w:rsidP="00BE7E4A">
            <w:pPr>
              <w:pStyle w:val="DMETW37225BIPPLEDF"/>
              <w:jc w:val="right"/>
              <w:rPr>
                <w:rFonts w:ascii="Verdana" w:eastAsia="Verdana" w:hAnsi="Verdana" w:cs="Verdana"/>
                <w:i/>
                <w:noProof/>
                <w:color w:val="000000"/>
                <w:sz w:val="18"/>
              </w:rPr>
            </w:pPr>
            <w:r>
              <w:rPr>
                <w:rFonts w:ascii="Verdana" w:eastAsia="Verdana" w:hAnsi="Verdana" w:cs="Verdana"/>
                <w:i/>
                <w:noProof/>
                <w:color w:val="000000"/>
                <w:sz w:val="18"/>
              </w:rPr>
              <w:t xml:space="preserve"> (101)</w:t>
            </w:r>
          </w:p>
        </w:tc>
        <w:tc>
          <w:tcPr>
            <w:tcW w:w="1442" w:type="dxa"/>
            <w:tcBorders>
              <w:top w:val="nil"/>
              <w:left w:val="nil"/>
              <w:bottom w:val="single" w:sz="4" w:space="0" w:color="016794"/>
              <w:right w:val="nil"/>
              <w:tl2br w:val="nil"/>
              <w:tr2bl w:val="nil"/>
            </w:tcBorders>
            <w:shd w:val="clear" w:color="auto" w:fill="auto"/>
            <w:tcMar>
              <w:left w:w="60" w:type="dxa"/>
              <w:right w:w="60" w:type="dxa"/>
            </w:tcMar>
            <w:vAlign w:val="center"/>
          </w:tcPr>
          <w:p w14:paraId="0F8C7937" w14:textId="77777777" w:rsidR="00FD1E19" w:rsidRDefault="00FD1E19" w:rsidP="00BE7E4A">
            <w:pPr>
              <w:pStyle w:val="DMETW37225BIPPLED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(110)</w:t>
            </w:r>
          </w:p>
        </w:tc>
      </w:tr>
      <w:tr w:rsidR="00FD1E19" w14:paraId="25E006F6" w14:textId="77777777" w:rsidTr="00BE7E4A">
        <w:trPr>
          <w:trHeight w:hRule="exact" w:val="225"/>
        </w:trPr>
        <w:tc>
          <w:tcPr>
            <w:tcW w:w="374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D459D84" w14:textId="77777777" w:rsidR="00FD1E19" w:rsidRDefault="00FD1E19" w:rsidP="00BE7E4A">
            <w:pPr>
              <w:pStyle w:val="DMETW37225BIPPLEDF"/>
              <w:rPr>
                <w:rFonts w:ascii="Verdana" w:eastAsia="Verdana" w:hAnsi="Verdana" w:cs="Verdana"/>
                <w:b/>
                <w:noProof/>
                <w:color w:val="000000"/>
                <w:sz w:val="18"/>
              </w:rPr>
            </w:pPr>
            <w:r>
              <w:rPr>
                <w:rFonts w:ascii="Verdana" w:eastAsia="Verdana" w:hAnsi="Verdana" w:cs="Verdana"/>
                <w:b/>
                <w:noProof/>
                <w:color w:val="000000"/>
                <w:sz w:val="18"/>
              </w:rPr>
              <w:t>Total expenses</w:t>
            </w:r>
          </w:p>
        </w:tc>
        <w:tc>
          <w:tcPr>
            <w:tcW w:w="85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2B89FC7" w14:textId="77777777" w:rsidR="00FD1E19" w:rsidRDefault="00FD1E19" w:rsidP="00BE7E4A">
            <w:pPr>
              <w:pStyle w:val="DMETW37225BIPPLEDF"/>
              <w:jc w:val="right"/>
              <w:rPr>
                <w:rFonts w:ascii="Verdana" w:eastAsia="Verdana" w:hAnsi="Verdana" w:cs="Verdana"/>
                <w:b/>
                <w:noProof/>
                <w:color w:val="000000"/>
                <w:sz w:val="18"/>
              </w:rPr>
            </w:pPr>
          </w:p>
        </w:tc>
        <w:tc>
          <w:tcPr>
            <w:tcW w:w="85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FD6726D"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(6)</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0F0B756"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(91)</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DB61BE8"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(1 036)</w:t>
            </w:r>
          </w:p>
        </w:tc>
        <w:tc>
          <w:tcPr>
            <w:tcW w:w="156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E597FED"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(1 133)</w:t>
            </w:r>
          </w:p>
        </w:tc>
        <w:tc>
          <w:tcPr>
            <w:tcW w:w="198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A8D8F9F"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(3)</w:t>
            </w:r>
          </w:p>
        </w:tc>
        <w:tc>
          <w:tcPr>
            <w:tcW w:w="9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3CBAF84"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(104)</w:t>
            </w:r>
          </w:p>
        </w:tc>
        <w:tc>
          <w:tcPr>
            <w:tcW w:w="113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8190BE2"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(1 264)</w:t>
            </w:r>
          </w:p>
        </w:tc>
        <w:tc>
          <w:tcPr>
            <w:tcW w:w="144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3E9A808" w14:textId="77777777" w:rsidR="00FD1E19" w:rsidRDefault="00FD1E19" w:rsidP="00BE7E4A">
            <w:pPr>
              <w:pStyle w:val="DMETW37225BIPPLED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(1 371)</w:t>
            </w:r>
          </w:p>
        </w:tc>
      </w:tr>
      <w:tr w:rsidR="00FD1E19" w14:paraId="60A99DA7" w14:textId="77777777" w:rsidTr="00BE7E4A">
        <w:trPr>
          <w:trHeight w:hRule="exact" w:val="225"/>
        </w:trPr>
        <w:tc>
          <w:tcPr>
            <w:tcW w:w="3746" w:type="dxa"/>
            <w:tcBorders>
              <w:top w:val="single" w:sz="4" w:space="0" w:color="016794"/>
              <w:left w:val="nil"/>
              <w:bottom w:val="nil"/>
              <w:right w:val="nil"/>
              <w:tl2br w:val="nil"/>
              <w:tr2bl w:val="nil"/>
            </w:tcBorders>
            <w:shd w:val="clear" w:color="auto" w:fill="auto"/>
            <w:tcMar>
              <w:left w:w="60" w:type="dxa"/>
              <w:right w:w="60" w:type="dxa"/>
            </w:tcMar>
            <w:vAlign w:val="center"/>
          </w:tcPr>
          <w:p w14:paraId="1E77CCDB" w14:textId="77777777" w:rsidR="00FD1E19" w:rsidRDefault="00FD1E19" w:rsidP="00BE7E4A">
            <w:pPr>
              <w:pStyle w:val="DMETW37225BIPPLEDF"/>
              <w:rPr>
                <w:rFonts w:ascii="Verdana" w:eastAsia="Verdana" w:hAnsi="Verdana" w:cs="Verdana"/>
                <w:noProof/>
                <w:color w:val="000000"/>
                <w:sz w:val="18"/>
              </w:rPr>
            </w:pPr>
          </w:p>
        </w:tc>
        <w:tc>
          <w:tcPr>
            <w:tcW w:w="850" w:type="dxa"/>
            <w:tcBorders>
              <w:top w:val="single" w:sz="4" w:space="0" w:color="016794"/>
              <w:left w:val="nil"/>
              <w:bottom w:val="nil"/>
              <w:right w:val="nil"/>
              <w:tl2br w:val="nil"/>
              <w:tr2bl w:val="nil"/>
            </w:tcBorders>
            <w:shd w:val="clear" w:color="auto" w:fill="auto"/>
            <w:tcMar>
              <w:left w:w="60" w:type="dxa"/>
              <w:right w:w="60" w:type="dxa"/>
            </w:tcMar>
            <w:vAlign w:val="center"/>
          </w:tcPr>
          <w:p w14:paraId="74FABDF4" w14:textId="77777777" w:rsidR="00FD1E19" w:rsidRDefault="00FD1E19" w:rsidP="00BE7E4A">
            <w:pPr>
              <w:pStyle w:val="DMETW37225BIPPLEDF"/>
              <w:jc w:val="center"/>
              <w:rPr>
                <w:rFonts w:ascii="Verdana" w:eastAsia="Verdana" w:hAnsi="Verdana" w:cs="Verdana"/>
                <w:i/>
                <w:noProof/>
                <w:color w:val="000000"/>
                <w:sz w:val="18"/>
              </w:rPr>
            </w:pPr>
          </w:p>
        </w:tc>
        <w:tc>
          <w:tcPr>
            <w:tcW w:w="851" w:type="dxa"/>
            <w:tcBorders>
              <w:top w:val="single" w:sz="4" w:space="0" w:color="016794"/>
              <w:left w:val="nil"/>
              <w:bottom w:val="nil"/>
              <w:right w:val="nil"/>
              <w:tl2br w:val="nil"/>
              <w:tr2bl w:val="nil"/>
            </w:tcBorders>
            <w:shd w:val="clear" w:color="auto" w:fill="auto"/>
            <w:tcMar>
              <w:left w:w="60" w:type="dxa"/>
              <w:right w:w="60" w:type="dxa"/>
            </w:tcMar>
            <w:vAlign w:val="center"/>
          </w:tcPr>
          <w:p w14:paraId="52563605"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50634BBC"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0C5D570C" w14:textId="77777777" w:rsidR="00FD1E19" w:rsidRDefault="00FD1E19" w:rsidP="00BE7E4A">
            <w:pPr>
              <w:pStyle w:val="DMETW37225BIPPLEDF"/>
              <w:jc w:val="right"/>
              <w:rPr>
                <w:rFonts w:ascii="Verdana" w:eastAsia="Verdana" w:hAnsi="Verdana" w:cs="Verdana"/>
                <w:noProof/>
                <w:color w:val="000000"/>
                <w:sz w:val="18"/>
              </w:rPr>
            </w:pPr>
          </w:p>
        </w:tc>
        <w:tc>
          <w:tcPr>
            <w:tcW w:w="1560" w:type="dxa"/>
            <w:tcBorders>
              <w:top w:val="single" w:sz="4" w:space="0" w:color="016794"/>
              <w:left w:val="nil"/>
              <w:bottom w:val="nil"/>
              <w:right w:val="nil"/>
              <w:tl2br w:val="nil"/>
              <w:tr2bl w:val="nil"/>
            </w:tcBorders>
            <w:shd w:val="clear" w:color="auto" w:fill="auto"/>
            <w:tcMar>
              <w:left w:w="60" w:type="dxa"/>
              <w:right w:w="60" w:type="dxa"/>
            </w:tcMar>
            <w:vAlign w:val="center"/>
          </w:tcPr>
          <w:p w14:paraId="73E1227A" w14:textId="77777777" w:rsidR="00FD1E19" w:rsidRDefault="00FD1E19" w:rsidP="00BE7E4A">
            <w:pPr>
              <w:pStyle w:val="DMETW37225BIPPLEDF"/>
              <w:jc w:val="right"/>
              <w:rPr>
                <w:rFonts w:ascii="Verdana" w:eastAsia="Verdana" w:hAnsi="Verdana" w:cs="Verdana"/>
                <w:noProof/>
                <w:color w:val="000000"/>
                <w:sz w:val="18"/>
              </w:rPr>
            </w:pPr>
          </w:p>
        </w:tc>
        <w:tc>
          <w:tcPr>
            <w:tcW w:w="1984" w:type="dxa"/>
            <w:tcBorders>
              <w:top w:val="single" w:sz="4" w:space="0" w:color="016794"/>
              <w:left w:val="nil"/>
              <w:bottom w:val="nil"/>
              <w:right w:val="nil"/>
              <w:tl2br w:val="nil"/>
              <w:tr2bl w:val="nil"/>
            </w:tcBorders>
            <w:shd w:val="clear" w:color="auto" w:fill="auto"/>
            <w:tcMar>
              <w:left w:w="60" w:type="dxa"/>
              <w:right w:w="60" w:type="dxa"/>
            </w:tcMar>
            <w:vAlign w:val="center"/>
          </w:tcPr>
          <w:p w14:paraId="1EF4883A" w14:textId="77777777" w:rsidR="00FD1E19" w:rsidRDefault="00FD1E19" w:rsidP="00BE7E4A">
            <w:pPr>
              <w:pStyle w:val="DMETW37225BIPPLEDF"/>
              <w:jc w:val="right"/>
              <w:rPr>
                <w:rFonts w:ascii="Verdana" w:eastAsia="Verdana" w:hAnsi="Verdana" w:cs="Verdana"/>
                <w:noProof/>
                <w:color w:val="000000"/>
                <w:sz w:val="18"/>
              </w:rPr>
            </w:pPr>
          </w:p>
        </w:tc>
        <w:tc>
          <w:tcPr>
            <w:tcW w:w="992" w:type="dxa"/>
            <w:tcBorders>
              <w:top w:val="single" w:sz="4" w:space="0" w:color="016794"/>
              <w:left w:val="nil"/>
              <w:bottom w:val="nil"/>
              <w:right w:val="nil"/>
              <w:tl2br w:val="nil"/>
              <w:tr2bl w:val="nil"/>
            </w:tcBorders>
            <w:shd w:val="clear" w:color="auto" w:fill="auto"/>
            <w:tcMar>
              <w:left w:w="60" w:type="dxa"/>
              <w:right w:w="60" w:type="dxa"/>
            </w:tcMar>
            <w:vAlign w:val="center"/>
          </w:tcPr>
          <w:p w14:paraId="261ACDBF" w14:textId="77777777" w:rsidR="00FD1E19" w:rsidRDefault="00FD1E19" w:rsidP="00BE7E4A">
            <w:pPr>
              <w:pStyle w:val="DMETW37225BIPPLEDF"/>
              <w:jc w:val="right"/>
              <w:rPr>
                <w:rFonts w:ascii="Verdana" w:eastAsia="Verdana" w:hAnsi="Verdana" w:cs="Verdana"/>
                <w:noProof/>
                <w:color w:val="000000"/>
                <w:sz w:val="18"/>
              </w:rPr>
            </w:pPr>
          </w:p>
        </w:tc>
        <w:tc>
          <w:tcPr>
            <w:tcW w:w="1134" w:type="dxa"/>
            <w:tcBorders>
              <w:top w:val="single" w:sz="4" w:space="0" w:color="016794"/>
              <w:left w:val="nil"/>
              <w:bottom w:val="nil"/>
              <w:right w:val="nil"/>
              <w:tl2br w:val="nil"/>
              <w:tr2bl w:val="nil"/>
            </w:tcBorders>
            <w:shd w:val="clear" w:color="auto" w:fill="auto"/>
            <w:tcMar>
              <w:left w:w="60" w:type="dxa"/>
              <w:right w:w="60" w:type="dxa"/>
            </w:tcMar>
            <w:vAlign w:val="center"/>
          </w:tcPr>
          <w:p w14:paraId="6D53E676" w14:textId="77777777" w:rsidR="00FD1E19" w:rsidRDefault="00FD1E19" w:rsidP="00BE7E4A">
            <w:pPr>
              <w:pStyle w:val="DMETW37225BIPPLEDF"/>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shd w:val="clear" w:color="auto" w:fill="auto"/>
            <w:tcMar>
              <w:left w:w="60" w:type="dxa"/>
              <w:right w:w="60" w:type="dxa"/>
            </w:tcMar>
            <w:vAlign w:val="center"/>
          </w:tcPr>
          <w:p w14:paraId="46BD210C" w14:textId="77777777" w:rsidR="00FD1E19" w:rsidRDefault="00FD1E19" w:rsidP="00BE7E4A">
            <w:pPr>
              <w:pStyle w:val="DMETW37225BIPPLEDF"/>
              <w:jc w:val="right"/>
              <w:rPr>
                <w:rFonts w:ascii="Verdana" w:eastAsia="Verdana" w:hAnsi="Verdana" w:cs="Verdana"/>
                <w:noProof/>
                <w:color w:val="000000"/>
                <w:sz w:val="18"/>
                <w:lang w:bidi="en-GB"/>
              </w:rPr>
            </w:pPr>
          </w:p>
        </w:tc>
      </w:tr>
      <w:tr w:rsidR="00FD1E19" w14:paraId="6853013E" w14:textId="77777777" w:rsidTr="00BE7E4A">
        <w:trPr>
          <w:trHeight w:hRule="exact" w:val="225"/>
        </w:trPr>
        <w:tc>
          <w:tcPr>
            <w:tcW w:w="3746" w:type="dxa"/>
            <w:tcBorders>
              <w:top w:val="nil"/>
              <w:left w:val="nil"/>
              <w:bottom w:val="nil"/>
              <w:right w:val="nil"/>
              <w:tl2br w:val="nil"/>
              <w:tr2bl w:val="nil"/>
            </w:tcBorders>
            <w:shd w:val="solid" w:color="CCE1EA" w:fill="FFFFFF"/>
            <w:tcMar>
              <w:left w:w="60" w:type="dxa"/>
              <w:right w:w="60" w:type="dxa"/>
            </w:tcMar>
            <w:vAlign w:val="center"/>
          </w:tcPr>
          <w:p w14:paraId="6611F6C4" w14:textId="77777777" w:rsidR="00FD1E19" w:rsidRDefault="00FD1E19" w:rsidP="00BE7E4A">
            <w:pPr>
              <w:pStyle w:val="DMETW37225BIPPLEDF"/>
              <w:rPr>
                <w:rFonts w:ascii="Verdana" w:eastAsia="Verdana" w:hAnsi="Verdana" w:cs="Verdana"/>
                <w:b/>
                <w:noProof/>
                <w:color w:val="000000"/>
                <w:sz w:val="18"/>
              </w:rPr>
            </w:pPr>
            <w:r>
              <w:rPr>
                <w:rFonts w:ascii="Verdana" w:eastAsia="Verdana" w:hAnsi="Verdana" w:cs="Verdana"/>
                <w:b/>
                <w:noProof/>
                <w:color w:val="000000"/>
                <w:sz w:val="18"/>
              </w:rPr>
              <w:t>ECONOMIC RESULT OF THE YEAR</w:t>
            </w:r>
          </w:p>
        </w:tc>
        <w:tc>
          <w:tcPr>
            <w:tcW w:w="850" w:type="dxa"/>
            <w:tcBorders>
              <w:top w:val="nil"/>
              <w:left w:val="nil"/>
              <w:bottom w:val="nil"/>
              <w:right w:val="nil"/>
              <w:tl2br w:val="nil"/>
              <w:tr2bl w:val="nil"/>
            </w:tcBorders>
            <w:shd w:val="solid" w:color="CCE1EA" w:fill="FFFFFF"/>
            <w:tcMar>
              <w:left w:w="60" w:type="dxa"/>
              <w:right w:w="60" w:type="dxa"/>
            </w:tcMar>
            <w:vAlign w:val="center"/>
          </w:tcPr>
          <w:p w14:paraId="5A34BB02" w14:textId="77777777" w:rsidR="00FD1E19" w:rsidRDefault="00FD1E19" w:rsidP="00BE7E4A">
            <w:pPr>
              <w:pStyle w:val="DMETW37225BIPPLEDF"/>
              <w:jc w:val="right"/>
              <w:rPr>
                <w:rFonts w:ascii="Verdana" w:eastAsia="Verdana" w:hAnsi="Verdana" w:cs="Verdana"/>
                <w:b/>
                <w:noProof/>
                <w:color w:val="000000"/>
                <w:sz w:val="18"/>
              </w:rPr>
            </w:pPr>
          </w:p>
        </w:tc>
        <w:tc>
          <w:tcPr>
            <w:tcW w:w="851" w:type="dxa"/>
            <w:tcBorders>
              <w:top w:val="nil"/>
              <w:left w:val="nil"/>
              <w:bottom w:val="nil"/>
              <w:right w:val="nil"/>
              <w:tl2br w:val="nil"/>
              <w:tr2bl w:val="nil"/>
            </w:tcBorders>
            <w:shd w:val="solid" w:color="CCE1EA" w:fill="FFFFFF"/>
            <w:tcMar>
              <w:left w:w="60" w:type="dxa"/>
              <w:right w:w="60" w:type="dxa"/>
            </w:tcMar>
            <w:vAlign w:val="center"/>
          </w:tcPr>
          <w:p w14:paraId="33F71498"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992" w:type="dxa"/>
            <w:tcBorders>
              <w:top w:val="nil"/>
              <w:left w:val="nil"/>
              <w:bottom w:val="nil"/>
              <w:right w:val="nil"/>
              <w:tl2br w:val="nil"/>
              <w:tr2bl w:val="nil"/>
            </w:tcBorders>
            <w:shd w:val="solid" w:color="CCE1EA" w:fill="FFFFFF"/>
            <w:tcMar>
              <w:left w:w="60" w:type="dxa"/>
              <w:right w:w="60" w:type="dxa"/>
            </w:tcMar>
            <w:vAlign w:val="center"/>
          </w:tcPr>
          <w:p w14:paraId="28DDCF08"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(85)</w:t>
            </w:r>
          </w:p>
        </w:tc>
        <w:tc>
          <w:tcPr>
            <w:tcW w:w="992" w:type="dxa"/>
            <w:tcBorders>
              <w:top w:val="nil"/>
              <w:left w:val="nil"/>
              <w:bottom w:val="nil"/>
              <w:right w:val="nil"/>
              <w:tl2br w:val="nil"/>
              <w:tr2bl w:val="nil"/>
            </w:tcBorders>
            <w:shd w:val="solid" w:color="CCE1EA" w:fill="FFFFFF"/>
            <w:tcMar>
              <w:left w:w="60" w:type="dxa"/>
              <w:right w:w="60" w:type="dxa"/>
            </w:tcMar>
            <w:vAlign w:val="center"/>
          </w:tcPr>
          <w:p w14:paraId="605C2824"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(1 004)</w:t>
            </w:r>
          </w:p>
        </w:tc>
        <w:tc>
          <w:tcPr>
            <w:tcW w:w="1560" w:type="dxa"/>
            <w:tcBorders>
              <w:top w:val="nil"/>
              <w:left w:val="nil"/>
              <w:bottom w:val="nil"/>
              <w:right w:val="nil"/>
              <w:tl2br w:val="nil"/>
              <w:tr2bl w:val="nil"/>
            </w:tcBorders>
            <w:shd w:val="solid" w:color="CCE1EA" w:fill="FFFFFF"/>
            <w:tcMar>
              <w:left w:w="60" w:type="dxa"/>
              <w:right w:w="60" w:type="dxa"/>
            </w:tcMar>
            <w:vAlign w:val="center"/>
          </w:tcPr>
          <w:p w14:paraId="4A7CDCCC"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(1 094)</w:t>
            </w:r>
          </w:p>
        </w:tc>
        <w:tc>
          <w:tcPr>
            <w:tcW w:w="1984" w:type="dxa"/>
            <w:tcBorders>
              <w:top w:val="nil"/>
              <w:left w:val="nil"/>
              <w:bottom w:val="nil"/>
              <w:right w:val="nil"/>
              <w:tl2br w:val="nil"/>
              <w:tr2bl w:val="nil"/>
            </w:tcBorders>
            <w:shd w:val="solid" w:color="CCE1EA" w:fill="FFFFFF"/>
            <w:tcMar>
              <w:left w:w="60" w:type="dxa"/>
              <w:right w:w="60" w:type="dxa"/>
            </w:tcMar>
            <w:vAlign w:val="center"/>
          </w:tcPr>
          <w:p w14:paraId="332F5148" w14:textId="77777777" w:rsidR="00FD1E19" w:rsidRPr="004E12D9" w:rsidRDefault="00FD1E19" w:rsidP="00BE7E4A">
            <w:pPr>
              <w:pStyle w:val="DMETW37225BIPPLEDF"/>
              <w:jc w:val="right"/>
              <w:rPr>
                <w:rFonts w:ascii="Verdana" w:eastAsia="Verdana" w:hAnsi="Verdana" w:cs="Verdana"/>
                <w:b/>
                <w:bCs/>
                <w:noProof/>
                <w:color w:val="000000"/>
                <w:sz w:val="18"/>
              </w:rPr>
            </w:pPr>
            <w:r w:rsidRPr="004E12D9">
              <w:rPr>
                <w:rFonts w:ascii="Verdana" w:eastAsia="Verdana" w:hAnsi="Verdana" w:cs="Verdana"/>
                <w:b/>
                <w:bCs/>
                <w:i/>
                <w:noProof/>
                <w:color w:val="000000"/>
                <w:sz w:val="18"/>
              </w:rPr>
              <w:t>–</w:t>
            </w:r>
          </w:p>
        </w:tc>
        <w:tc>
          <w:tcPr>
            <w:tcW w:w="992" w:type="dxa"/>
            <w:tcBorders>
              <w:top w:val="nil"/>
              <w:left w:val="nil"/>
              <w:bottom w:val="nil"/>
              <w:right w:val="nil"/>
              <w:tl2br w:val="nil"/>
              <w:tr2bl w:val="nil"/>
            </w:tcBorders>
            <w:shd w:val="solid" w:color="CCE1EA" w:fill="FFFFFF"/>
            <w:tcMar>
              <w:left w:w="60" w:type="dxa"/>
              <w:right w:w="60" w:type="dxa"/>
            </w:tcMar>
            <w:vAlign w:val="center"/>
          </w:tcPr>
          <w:p w14:paraId="394E0276"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(72)</w:t>
            </w:r>
          </w:p>
        </w:tc>
        <w:tc>
          <w:tcPr>
            <w:tcW w:w="1134" w:type="dxa"/>
            <w:tcBorders>
              <w:top w:val="nil"/>
              <w:left w:val="nil"/>
              <w:bottom w:val="nil"/>
              <w:right w:val="nil"/>
              <w:tl2br w:val="nil"/>
              <w:tr2bl w:val="nil"/>
            </w:tcBorders>
            <w:shd w:val="solid" w:color="CCE1EA" w:fill="FFFFFF"/>
            <w:tcMar>
              <w:left w:w="60" w:type="dxa"/>
              <w:right w:w="60" w:type="dxa"/>
            </w:tcMar>
            <w:vAlign w:val="center"/>
          </w:tcPr>
          <w:p w14:paraId="00C13167"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(1 169)</w:t>
            </w:r>
          </w:p>
        </w:tc>
        <w:tc>
          <w:tcPr>
            <w:tcW w:w="1442" w:type="dxa"/>
            <w:tcBorders>
              <w:top w:val="nil"/>
              <w:left w:val="nil"/>
              <w:bottom w:val="nil"/>
              <w:right w:val="nil"/>
              <w:tl2br w:val="nil"/>
              <w:tr2bl w:val="nil"/>
            </w:tcBorders>
            <w:shd w:val="solid" w:color="CCE1EA" w:fill="FFFFFF"/>
            <w:tcMar>
              <w:left w:w="60" w:type="dxa"/>
              <w:right w:w="60" w:type="dxa"/>
            </w:tcMar>
            <w:vAlign w:val="center"/>
          </w:tcPr>
          <w:p w14:paraId="0E90E94E" w14:textId="77777777" w:rsidR="00FD1E19" w:rsidRDefault="00FD1E19" w:rsidP="00BE7E4A">
            <w:pPr>
              <w:pStyle w:val="DMETW37225BIPPLEDF"/>
              <w:jc w:val="right"/>
              <w:rPr>
                <w:rFonts w:ascii="Verdana" w:eastAsia="Verdana" w:hAnsi="Verdana" w:cs="Verdana"/>
                <w:b/>
                <w:noProof/>
                <w:color w:val="000000"/>
                <w:sz w:val="18"/>
              </w:rPr>
            </w:pPr>
            <w:r>
              <w:rPr>
                <w:rFonts w:ascii="Verdana" w:eastAsia="Verdana" w:hAnsi="Verdana" w:cs="Verdana"/>
                <w:b/>
                <w:noProof/>
                <w:color w:val="000000"/>
                <w:sz w:val="18"/>
              </w:rPr>
              <w:t xml:space="preserve"> (1 240)</w:t>
            </w:r>
          </w:p>
        </w:tc>
      </w:tr>
    </w:tbl>
    <w:p w14:paraId="53639DCC" w14:textId="77777777" w:rsidR="00FD1E19" w:rsidRDefault="00FD1E19" w:rsidP="00FD1E19">
      <w:pPr>
        <w:pStyle w:val="Textstand-alone"/>
      </w:pPr>
    </w:p>
    <w:p w14:paraId="2FA97D6B" w14:textId="77777777" w:rsidR="00FD1E19" w:rsidRDefault="00FD1E19" w:rsidP="00FD1E19">
      <w:pPr>
        <w:pStyle w:val="Textstand-alone"/>
        <w:sectPr w:rsidR="00FD1E19" w:rsidSect="00FD1E19">
          <w:headerReference w:type="default" r:id="rId48"/>
          <w:footerReference w:type="default" r:id="rId49"/>
          <w:pgSz w:w="16838" w:h="11906" w:orient="landscape" w:code="9"/>
          <w:pgMar w:top="1134" w:right="1134" w:bottom="1134" w:left="1134" w:header="708" w:footer="708" w:gutter="0"/>
          <w:cols w:space="708"/>
          <w:docGrid w:linePitch="360"/>
        </w:sectPr>
      </w:pPr>
    </w:p>
    <w:p w14:paraId="143D3157" w14:textId="77777777" w:rsidR="00FD1E19" w:rsidRDefault="00FD1E19" w:rsidP="00FD1E19">
      <w:pPr>
        <w:pStyle w:val="HEADERTITLE1"/>
      </w:pPr>
      <w:bookmarkStart w:id="34" w:name="_Toc232609783"/>
      <w:r w:rsidRPr="002F1819">
        <w:t>STATEMENT OF CHANGES IN NET ASSETS BY EDF</w:t>
      </w:r>
      <w:bookmarkEnd w:id="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6"/>
        <w:gridCol w:w="1013"/>
        <w:gridCol w:w="55"/>
        <w:gridCol w:w="501"/>
        <w:gridCol w:w="1076"/>
        <w:gridCol w:w="671"/>
        <w:gridCol w:w="669"/>
        <w:gridCol w:w="93"/>
        <w:gridCol w:w="929"/>
        <w:gridCol w:w="462"/>
        <w:gridCol w:w="40"/>
        <w:gridCol w:w="1133"/>
        <w:gridCol w:w="310"/>
        <w:gridCol w:w="131"/>
        <w:gridCol w:w="1094"/>
        <w:gridCol w:w="259"/>
        <w:gridCol w:w="80"/>
        <w:gridCol w:w="1186"/>
        <w:gridCol w:w="218"/>
        <w:gridCol w:w="27"/>
        <w:gridCol w:w="1457"/>
      </w:tblGrid>
      <w:tr w:rsidR="00FD1E19" w14:paraId="64D2C342" w14:textId="77777777" w:rsidTr="00BE7E4A">
        <w:trPr>
          <w:trHeight w:hRule="exact" w:val="300"/>
        </w:trPr>
        <w:tc>
          <w:tcPr>
            <w:tcW w:w="14690" w:type="dxa"/>
            <w:gridSpan w:val="21"/>
            <w:tcBorders>
              <w:top w:val="nil"/>
              <w:left w:val="nil"/>
              <w:bottom w:val="nil"/>
              <w:right w:val="nil"/>
              <w:tl2br w:val="nil"/>
              <w:tr2bl w:val="nil"/>
            </w:tcBorders>
            <w:shd w:val="clear" w:color="auto" w:fill="auto"/>
            <w:tcMar>
              <w:left w:w="60" w:type="dxa"/>
              <w:right w:w="60" w:type="dxa"/>
            </w:tcMar>
            <w:vAlign w:val="center"/>
          </w:tcPr>
          <w:p w14:paraId="0A9A8451" w14:textId="77777777" w:rsidR="00FD1E19" w:rsidRDefault="00FD1E19" w:rsidP="00BE7E4A">
            <w:pPr>
              <w:pStyle w:val="DMETW37225BIPCNA9"/>
              <w:jc w:val="right"/>
              <w:rPr>
                <w:rFonts w:ascii="Verdana" w:eastAsia="Verdana" w:hAnsi="Verdana" w:cs="Verdana"/>
                <w:i/>
                <w:noProof/>
                <w:color w:val="000000"/>
                <w:sz w:val="16"/>
                <w:lang w:bidi="en-GB"/>
              </w:rPr>
            </w:pPr>
            <w:bookmarkStart w:id="35" w:name="DOC_TBL00004_1_1"/>
            <w:bookmarkEnd w:id="35"/>
            <w:r>
              <w:rPr>
                <w:rFonts w:ascii="Verdana" w:eastAsia="Verdana" w:hAnsi="Verdana" w:cs="Verdana"/>
                <w:i/>
                <w:noProof/>
                <w:color w:val="000000"/>
                <w:sz w:val="16"/>
                <w:lang w:bidi="en-GB"/>
              </w:rPr>
              <w:t>EUR million</w:t>
            </w:r>
          </w:p>
        </w:tc>
      </w:tr>
      <w:tr w:rsidR="00FD1E19" w:rsidRPr="00F72CC2" w14:paraId="1C1E16FB" w14:textId="77777777" w:rsidTr="00BE7E4A">
        <w:trPr>
          <w:trHeight w:hRule="exact" w:val="1628"/>
        </w:trPr>
        <w:tc>
          <w:tcPr>
            <w:tcW w:w="4299" w:type="dxa"/>
            <w:gridSpan w:val="2"/>
            <w:tcBorders>
              <w:top w:val="nil"/>
              <w:left w:val="nil"/>
              <w:bottom w:val="nil"/>
              <w:right w:val="nil"/>
              <w:tl2br w:val="nil"/>
              <w:tr2bl w:val="nil"/>
            </w:tcBorders>
            <w:shd w:val="solid" w:color="016794" w:fill="FFFFFF"/>
            <w:tcMar>
              <w:left w:w="60" w:type="dxa"/>
              <w:right w:w="60" w:type="dxa"/>
            </w:tcMar>
            <w:vAlign w:val="center"/>
          </w:tcPr>
          <w:p w14:paraId="04999EC9" w14:textId="77777777" w:rsidR="00FD1E19" w:rsidRDefault="00FD1E19" w:rsidP="00BE7E4A">
            <w:pPr>
              <w:pStyle w:val="DMETW37225BIPCNA9"/>
              <w:jc w:val="center"/>
              <w:rPr>
                <w:rFonts w:ascii="Verdana" w:eastAsia="Verdana" w:hAnsi="Verdana" w:cs="Verdana"/>
                <w:noProof/>
                <w:color w:val="FFFFFF"/>
              </w:rPr>
            </w:pPr>
            <w:r>
              <w:rPr>
                <w:rFonts w:ascii="Verdana" w:eastAsia="Verdana" w:hAnsi="Verdana" w:cs="Verdana"/>
                <w:noProof/>
                <w:color w:val="FFFFFF"/>
              </w:rPr>
              <w:t>Ninth EDF</w:t>
            </w:r>
          </w:p>
        </w:tc>
        <w:tc>
          <w:tcPr>
            <w:tcW w:w="1632" w:type="dxa"/>
            <w:gridSpan w:val="3"/>
            <w:tcBorders>
              <w:top w:val="nil"/>
              <w:left w:val="nil"/>
              <w:bottom w:val="nil"/>
              <w:right w:val="nil"/>
              <w:tl2br w:val="nil"/>
              <w:tr2bl w:val="nil"/>
            </w:tcBorders>
            <w:shd w:val="solid" w:color="016794" w:fill="FFFFFF"/>
            <w:tcMar>
              <w:left w:w="60" w:type="dxa"/>
              <w:right w:w="60" w:type="dxa"/>
            </w:tcMar>
            <w:vAlign w:val="center"/>
          </w:tcPr>
          <w:p w14:paraId="146D3666" w14:textId="77777777" w:rsidR="00FD1E19" w:rsidRDefault="00FD1E19" w:rsidP="00BE7E4A">
            <w:pPr>
              <w:pStyle w:val="DMETW37225BIPCNA9"/>
              <w:jc w:val="center"/>
              <w:rPr>
                <w:rFonts w:ascii="Verdana" w:eastAsia="Verdana" w:hAnsi="Verdana" w:cs="Verdana"/>
                <w:noProof/>
                <w:color w:val="FFFFFF"/>
              </w:rPr>
            </w:pPr>
            <w:r>
              <w:rPr>
                <w:rFonts w:ascii="Verdana" w:eastAsia="Verdana" w:hAnsi="Verdana" w:cs="Verdana"/>
                <w:noProof/>
                <w:color w:val="FFFFFF"/>
              </w:rPr>
              <w:t>Fund capital - active EDFs (A)</w:t>
            </w:r>
          </w:p>
        </w:tc>
        <w:tc>
          <w:tcPr>
            <w:tcW w:w="1340" w:type="dxa"/>
            <w:gridSpan w:val="2"/>
            <w:tcBorders>
              <w:top w:val="nil"/>
              <w:left w:val="nil"/>
              <w:bottom w:val="nil"/>
              <w:right w:val="nil"/>
              <w:tl2br w:val="nil"/>
              <w:tr2bl w:val="nil"/>
            </w:tcBorders>
            <w:shd w:val="solid" w:color="016794" w:fill="FFFFFF"/>
            <w:tcMar>
              <w:left w:w="60" w:type="dxa"/>
              <w:right w:w="60" w:type="dxa"/>
            </w:tcMar>
            <w:vAlign w:val="center"/>
          </w:tcPr>
          <w:p w14:paraId="3CCCB56E" w14:textId="77777777" w:rsidR="00FD1E19" w:rsidRDefault="00FD1E19" w:rsidP="00BE7E4A">
            <w:pPr>
              <w:pStyle w:val="DMETW37225BIPCNA9"/>
              <w:jc w:val="center"/>
              <w:rPr>
                <w:rFonts w:ascii="Verdana" w:eastAsia="Verdana" w:hAnsi="Verdana" w:cs="Verdana"/>
                <w:noProof/>
                <w:color w:val="FFFFFF"/>
              </w:rPr>
            </w:pPr>
            <w:r>
              <w:rPr>
                <w:rFonts w:ascii="Verdana" w:eastAsia="Verdana" w:hAnsi="Verdana" w:cs="Verdana"/>
                <w:noProof/>
                <w:color w:val="FFFFFF"/>
              </w:rPr>
              <w:t>Uncalled funds - active EDFs (B)</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14:paraId="145916A7" w14:textId="77777777" w:rsidR="00FD1E19" w:rsidRDefault="00FD1E19" w:rsidP="00BE7E4A">
            <w:pPr>
              <w:pStyle w:val="DMETW37225BIPCNA9"/>
              <w:jc w:val="center"/>
              <w:rPr>
                <w:rFonts w:ascii="Verdana" w:eastAsia="Verdana" w:hAnsi="Verdana" w:cs="Verdana"/>
                <w:noProof/>
                <w:color w:val="FFFFFF"/>
              </w:rPr>
            </w:pPr>
            <w:r>
              <w:rPr>
                <w:rFonts w:ascii="Verdana" w:eastAsia="Verdana" w:hAnsi="Verdana" w:cs="Verdana"/>
                <w:noProof/>
                <w:color w:val="FFFFFF"/>
              </w:rPr>
              <w:t>Called fund capital - active EDFs (C) = (A)-(B)</w:t>
            </w:r>
          </w:p>
        </w:tc>
        <w:tc>
          <w:tcPr>
            <w:tcW w:w="1483" w:type="dxa"/>
            <w:gridSpan w:val="3"/>
            <w:tcBorders>
              <w:top w:val="nil"/>
              <w:left w:val="nil"/>
              <w:bottom w:val="nil"/>
              <w:right w:val="nil"/>
              <w:tl2br w:val="nil"/>
              <w:tr2bl w:val="nil"/>
            </w:tcBorders>
            <w:shd w:val="solid" w:color="016794" w:fill="FFFFFF"/>
            <w:tcMar>
              <w:left w:w="60" w:type="dxa"/>
              <w:right w:w="60" w:type="dxa"/>
            </w:tcMar>
            <w:vAlign w:val="center"/>
          </w:tcPr>
          <w:p w14:paraId="38C6C867" w14:textId="77777777" w:rsidR="00FD1E19" w:rsidRDefault="00FD1E19" w:rsidP="00BE7E4A">
            <w:pPr>
              <w:pStyle w:val="DMETW37225BIPCNA9"/>
              <w:jc w:val="center"/>
              <w:rPr>
                <w:rFonts w:ascii="Verdana" w:eastAsia="Verdana" w:hAnsi="Verdana" w:cs="Verdana"/>
                <w:noProof/>
                <w:color w:val="FFFFFF"/>
              </w:rPr>
            </w:pPr>
            <w:r>
              <w:rPr>
                <w:rFonts w:ascii="Verdana" w:eastAsia="Verdana" w:hAnsi="Verdana" w:cs="Verdana"/>
                <w:noProof/>
                <w:color w:val="FFFFFF"/>
              </w:rPr>
              <w:t>Cumulative reserves (D)</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14:paraId="3D02F90D" w14:textId="77777777" w:rsidR="00FD1E19" w:rsidRDefault="00FD1E19" w:rsidP="00BE7E4A">
            <w:pPr>
              <w:pStyle w:val="DMETW37225BIPCNA9"/>
              <w:jc w:val="center"/>
              <w:rPr>
                <w:rFonts w:ascii="Verdana" w:eastAsia="Verdana" w:hAnsi="Verdana" w:cs="Verdana"/>
                <w:noProof/>
                <w:color w:val="FFFFFF"/>
              </w:rPr>
            </w:pPr>
            <w:r>
              <w:rPr>
                <w:rFonts w:ascii="Verdana" w:eastAsia="Verdana" w:hAnsi="Verdana" w:cs="Verdana"/>
                <w:noProof/>
                <w:color w:val="FFFFFF"/>
              </w:rPr>
              <w:t>Called fund capital from closed EDFs carried forward (E)</w:t>
            </w:r>
          </w:p>
        </w:tc>
        <w:tc>
          <w:tcPr>
            <w:tcW w:w="1484" w:type="dxa"/>
            <w:gridSpan w:val="3"/>
            <w:tcBorders>
              <w:top w:val="nil"/>
              <w:left w:val="nil"/>
              <w:bottom w:val="nil"/>
              <w:right w:val="nil"/>
              <w:tl2br w:val="nil"/>
              <w:tr2bl w:val="nil"/>
            </w:tcBorders>
            <w:shd w:val="solid" w:color="016794" w:fill="FFFFFF"/>
            <w:tcMar>
              <w:left w:w="60" w:type="dxa"/>
              <w:right w:w="60" w:type="dxa"/>
            </w:tcMar>
            <w:vAlign w:val="center"/>
          </w:tcPr>
          <w:p w14:paraId="36193533" w14:textId="77777777" w:rsidR="00FD1E19" w:rsidRDefault="00FD1E19" w:rsidP="00BE7E4A">
            <w:pPr>
              <w:pStyle w:val="DMETW37225BIPCNA9"/>
              <w:jc w:val="center"/>
              <w:rPr>
                <w:rFonts w:ascii="Verdana" w:eastAsia="Verdana" w:hAnsi="Verdana" w:cs="Verdana"/>
                <w:noProof/>
                <w:color w:val="FFFFFF"/>
              </w:rPr>
            </w:pPr>
            <w:r>
              <w:rPr>
                <w:rFonts w:ascii="Verdana" w:eastAsia="Verdana" w:hAnsi="Verdana" w:cs="Verdana"/>
                <w:noProof/>
                <w:color w:val="FFFFFF"/>
              </w:rPr>
              <w:t>Called fund capital transfers between active EDFs (F)</w:t>
            </w:r>
          </w:p>
        </w:tc>
        <w:tc>
          <w:tcPr>
            <w:tcW w:w="1484" w:type="dxa"/>
            <w:gridSpan w:val="2"/>
            <w:tcBorders>
              <w:top w:val="nil"/>
              <w:left w:val="nil"/>
              <w:bottom w:val="nil"/>
              <w:right w:val="nil"/>
              <w:tl2br w:val="nil"/>
              <w:tr2bl w:val="nil"/>
            </w:tcBorders>
            <w:shd w:val="solid" w:color="016794" w:fill="FFFFFF"/>
            <w:tcMar>
              <w:left w:w="60" w:type="dxa"/>
              <w:right w:w="60" w:type="dxa"/>
            </w:tcMar>
            <w:vAlign w:val="center"/>
          </w:tcPr>
          <w:p w14:paraId="001AB854" w14:textId="77777777" w:rsidR="00FD1E19" w:rsidRPr="00F72CC2" w:rsidRDefault="00FD1E19" w:rsidP="00BE7E4A">
            <w:pPr>
              <w:pStyle w:val="DMETW37225BIPCNA9"/>
              <w:jc w:val="center"/>
              <w:rPr>
                <w:rFonts w:ascii="Verdana" w:eastAsia="Verdana" w:hAnsi="Verdana" w:cs="Verdana"/>
                <w:noProof/>
                <w:color w:val="FFFFFF"/>
                <w:lang w:val="fr-FR" w:bidi="en-GB"/>
              </w:rPr>
            </w:pPr>
            <w:r w:rsidRPr="00F72CC2">
              <w:rPr>
                <w:rFonts w:ascii="Verdana" w:eastAsia="Verdana" w:hAnsi="Verdana" w:cs="Verdana"/>
                <w:noProof/>
                <w:color w:val="FFFFFF"/>
                <w:lang w:val="fr-FR"/>
              </w:rPr>
              <w:t>Total net assets (C)+(D)+(E)+(F)</w:t>
            </w:r>
          </w:p>
        </w:tc>
      </w:tr>
      <w:tr w:rsidR="00FD1E19" w14:paraId="03F9050E" w14:textId="77777777" w:rsidTr="00BE7E4A">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14:paraId="496451F5" w14:textId="77777777" w:rsidR="00FD1E19" w:rsidRDefault="00FD1E19" w:rsidP="00BE7E4A">
            <w:pPr>
              <w:pStyle w:val="DMETW37225BIPCNA9"/>
              <w:rPr>
                <w:rFonts w:ascii="Verdana" w:eastAsia="Verdana" w:hAnsi="Verdana" w:cs="Verdana"/>
                <w:b/>
                <w:noProof/>
                <w:color w:val="000000"/>
                <w:sz w:val="18"/>
              </w:rPr>
            </w:pPr>
            <w:r>
              <w:rPr>
                <w:rFonts w:ascii="Verdana" w:eastAsia="Verdana" w:hAnsi="Verdana" w:cs="Verdana"/>
                <w:b/>
                <w:noProof/>
                <w:color w:val="000000"/>
                <w:sz w:val="18"/>
              </w:rPr>
              <w:t>BALANCE AS AT 31.12.2023</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14:paraId="28A903C4"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10 442</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14:paraId="77022EEC" w14:textId="77777777" w:rsidR="00FD1E19" w:rsidRPr="004E12D9" w:rsidRDefault="00FD1E19" w:rsidP="00BE7E4A">
            <w:pPr>
              <w:pStyle w:val="DMETW37225BIPCNA9"/>
              <w:jc w:val="right"/>
              <w:rPr>
                <w:rFonts w:ascii="Verdana" w:eastAsia="Verdana" w:hAnsi="Verdana" w:cs="Verdana"/>
                <w:b/>
                <w:bCs/>
                <w:noProof/>
                <w:color w:val="000000"/>
                <w:sz w:val="18"/>
              </w:rPr>
            </w:pPr>
            <w:r>
              <w:rPr>
                <w:rFonts w:ascii="Verdana" w:eastAsia="Verdana" w:hAnsi="Verdana" w:cs="Verdana"/>
                <w:b/>
                <w:noProof/>
                <w:color w:val="000000"/>
                <w:sz w:val="18"/>
              </w:rPr>
              <w:t xml:space="preserve">  </w:t>
            </w:r>
            <w:r w:rsidRPr="004E12D9">
              <w:rPr>
                <w:rFonts w:ascii="Verdana" w:eastAsia="Verdana" w:hAnsi="Verdana" w:cs="Verdana"/>
                <w:b/>
                <w:bCs/>
                <w:i/>
                <w:noProof/>
                <w:color w:val="000000"/>
                <w:sz w:val="18"/>
              </w:rPr>
              <w:t>–</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29CF00D5"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10 442</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14:paraId="055FB0D7"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(12 348)</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430FEA31"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54983B95"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(509)</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14:paraId="6F329E8A" w14:textId="77777777" w:rsidR="00FD1E19" w:rsidRDefault="00FD1E19" w:rsidP="00BE7E4A">
            <w:pPr>
              <w:pStyle w:val="DMETW37225BIPCNA9"/>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(163)</w:t>
            </w:r>
          </w:p>
        </w:tc>
      </w:tr>
      <w:tr w:rsidR="00FD1E19" w14:paraId="0F23CD86"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03439360"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Transfers to/from the 10th EDF</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52798092"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1A4651D0"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16BD4AD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76ECEF5F"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AA80479"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1AC084A1"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66ACD2E7"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186DE739"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6B904CD8"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Transfers to/from the 10th and 11th EDF</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19E0D90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61F2C45F"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396460C1"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5AE0A9B3"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7DB0CD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2988ABFD"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7B3AC393"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2F9C04D5"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4B4C4342"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Refund to Member States</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47BD14BE"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3BD187BA"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050C814"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66189B7A"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59118D0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115C5376"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1DFA8A65"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w:t>
            </w:r>
          </w:p>
        </w:tc>
      </w:tr>
      <w:tr w:rsidR="00FD1E19" w14:paraId="11D5E5E4"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0F722571"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29130D29"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5AEC9EB5"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4291642A"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5EBC7400"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EBB0E8B"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6929F5EF"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09CCD361"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0</w:t>
            </w:r>
          </w:p>
        </w:tc>
      </w:tr>
      <w:tr w:rsidR="00FD1E19" w14:paraId="4712A719" w14:textId="77777777" w:rsidTr="00BE7E4A">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14:paraId="55E11167" w14:textId="77777777" w:rsidR="00FD1E19" w:rsidRDefault="00FD1E19" w:rsidP="00BE7E4A">
            <w:pPr>
              <w:pStyle w:val="DMETW37225BIPCNA9"/>
              <w:rPr>
                <w:rFonts w:ascii="Verdana" w:eastAsia="Verdana" w:hAnsi="Verdana" w:cs="Verdana"/>
                <w:b/>
                <w:noProof/>
                <w:color w:val="000000"/>
                <w:sz w:val="18"/>
              </w:rPr>
            </w:pPr>
            <w:r>
              <w:rPr>
                <w:rFonts w:ascii="Verdana" w:eastAsia="Verdana" w:hAnsi="Verdana" w:cs="Verdana"/>
                <w:b/>
                <w:noProof/>
                <w:color w:val="000000"/>
                <w:sz w:val="18"/>
              </w:rPr>
              <w:t>BALANCE AS AT 31.12.2024</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14:paraId="36657163"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10 435</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14:paraId="6CBBBC0D"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792A3DCC"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10 435</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14:paraId="6491BDB5"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(12 348)</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4627B9AC"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7D0ACB0E"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(510)</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14:paraId="221CD48B" w14:textId="77777777" w:rsidR="00FD1E19" w:rsidRDefault="00FD1E19" w:rsidP="00BE7E4A">
            <w:pPr>
              <w:pStyle w:val="DMETW37225BIPCNA9"/>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(170)</w:t>
            </w:r>
          </w:p>
        </w:tc>
      </w:tr>
      <w:tr w:rsidR="00FD1E19" w14:paraId="102B80BB"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31A13250"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101404CD"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6B08E8DD"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4FDA4F8F"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052B02BC"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5E149B5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57986FE2"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0E09270B"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611FAC24"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6FF62E18"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Transfers to/from the 10th and 11th EDF</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5253365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5D58AFE6"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2E60F3E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5879CD97"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53D1108A"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1674738C"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0C818D8A"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7AFC19E8"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171BC616"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Refund to Member States</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1F8AE7C7"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2EEA7019"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2DB2866"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5CA9CF88"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98B859F"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8921035"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1684AD61"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3BB11564" w14:textId="77777777" w:rsidTr="00BE7E4A">
        <w:trPr>
          <w:trHeight w:hRule="exact" w:val="225"/>
        </w:trPr>
        <w:tc>
          <w:tcPr>
            <w:tcW w:w="4299" w:type="dxa"/>
            <w:gridSpan w:val="2"/>
            <w:tcBorders>
              <w:top w:val="nil"/>
              <w:left w:val="nil"/>
              <w:bottom w:val="nil"/>
              <w:right w:val="nil"/>
              <w:tl2br w:val="nil"/>
              <w:tr2bl w:val="nil"/>
            </w:tcBorders>
            <w:shd w:val="clear" w:color="auto" w:fill="auto"/>
            <w:tcMar>
              <w:left w:w="60" w:type="dxa"/>
              <w:right w:w="60" w:type="dxa"/>
            </w:tcMar>
            <w:vAlign w:val="center"/>
          </w:tcPr>
          <w:p w14:paraId="347AD7E9" w14:textId="77777777" w:rsidR="00FD1E19" w:rsidRDefault="00FD1E19" w:rsidP="00BE7E4A">
            <w:pPr>
              <w:pStyle w:val="DMETW37225BIPCNA9"/>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632" w:type="dxa"/>
            <w:gridSpan w:val="3"/>
            <w:tcBorders>
              <w:top w:val="nil"/>
              <w:left w:val="nil"/>
              <w:bottom w:val="nil"/>
              <w:right w:val="nil"/>
              <w:tl2br w:val="nil"/>
              <w:tr2bl w:val="nil"/>
            </w:tcBorders>
            <w:shd w:val="clear" w:color="auto" w:fill="auto"/>
            <w:tcMar>
              <w:left w:w="60" w:type="dxa"/>
              <w:right w:w="60" w:type="dxa"/>
            </w:tcMar>
            <w:vAlign w:val="center"/>
          </w:tcPr>
          <w:p w14:paraId="67B9DE95"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0" w:type="dxa"/>
            <w:gridSpan w:val="2"/>
            <w:tcBorders>
              <w:top w:val="nil"/>
              <w:left w:val="nil"/>
              <w:bottom w:val="nil"/>
              <w:right w:val="nil"/>
              <w:tl2br w:val="nil"/>
              <w:tr2bl w:val="nil"/>
            </w:tcBorders>
            <w:shd w:val="clear" w:color="auto" w:fill="auto"/>
            <w:tcMar>
              <w:left w:w="60" w:type="dxa"/>
              <w:right w:w="60" w:type="dxa"/>
            </w:tcMar>
            <w:vAlign w:val="center"/>
          </w:tcPr>
          <w:p w14:paraId="609CEB45"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7EFA9A8B"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3" w:type="dxa"/>
            <w:gridSpan w:val="3"/>
            <w:tcBorders>
              <w:top w:val="nil"/>
              <w:left w:val="nil"/>
              <w:bottom w:val="nil"/>
              <w:right w:val="nil"/>
              <w:tl2br w:val="nil"/>
              <w:tr2bl w:val="nil"/>
            </w:tcBorders>
            <w:shd w:val="clear" w:color="auto" w:fill="auto"/>
            <w:tcMar>
              <w:left w:w="60" w:type="dxa"/>
              <w:right w:w="60" w:type="dxa"/>
            </w:tcMar>
            <w:vAlign w:val="center"/>
          </w:tcPr>
          <w:p w14:paraId="6F07B696"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15F48E82"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3"/>
            <w:tcBorders>
              <w:top w:val="nil"/>
              <w:left w:val="nil"/>
              <w:bottom w:val="nil"/>
              <w:right w:val="nil"/>
              <w:tl2br w:val="nil"/>
              <w:tr2bl w:val="nil"/>
            </w:tcBorders>
            <w:shd w:val="clear" w:color="auto" w:fill="auto"/>
            <w:tcMar>
              <w:left w:w="60" w:type="dxa"/>
              <w:right w:w="60" w:type="dxa"/>
            </w:tcMar>
            <w:vAlign w:val="center"/>
          </w:tcPr>
          <w:p w14:paraId="620BC7FF" w14:textId="77777777" w:rsidR="00FD1E19" w:rsidRDefault="00FD1E19" w:rsidP="00BE7E4A">
            <w:pPr>
              <w:pStyle w:val="DMETW37225BIPCNA9"/>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84" w:type="dxa"/>
            <w:gridSpan w:val="2"/>
            <w:tcBorders>
              <w:top w:val="nil"/>
              <w:left w:val="nil"/>
              <w:bottom w:val="nil"/>
              <w:right w:val="nil"/>
              <w:tl2br w:val="nil"/>
              <w:tr2bl w:val="nil"/>
            </w:tcBorders>
            <w:shd w:val="clear" w:color="auto" w:fill="auto"/>
            <w:tcMar>
              <w:left w:w="60" w:type="dxa"/>
              <w:right w:w="60" w:type="dxa"/>
            </w:tcMar>
            <w:vAlign w:val="center"/>
          </w:tcPr>
          <w:p w14:paraId="7904795E" w14:textId="77777777" w:rsidR="00FD1E19" w:rsidRDefault="00FD1E19" w:rsidP="00BE7E4A">
            <w:pPr>
              <w:pStyle w:val="DMETW37225BIPCNA9"/>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5A163D1F" w14:textId="77777777" w:rsidTr="00BE7E4A">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14:paraId="138E7C1E" w14:textId="77777777" w:rsidR="00FD1E19" w:rsidRDefault="00FD1E19" w:rsidP="00BE7E4A">
            <w:pPr>
              <w:pStyle w:val="DMETW37225BIPCNA9"/>
              <w:rPr>
                <w:rFonts w:ascii="Verdana" w:eastAsia="Verdana" w:hAnsi="Verdana" w:cs="Verdana"/>
                <w:b/>
                <w:noProof/>
                <w:color w:val="000000"/>
                <w:sz w:val="18"/>
              </w:rPr>
            </w:pPr>
            <w:r>
              <w:rPr>
                <w:rFonts w:ascii="Verdana" w:eastAsia="Verdana" w:hAnsi="Verdana" w:cs="Verdana"/>
                <w:b/>
                <w:noProof/>
                <w:color w:val="000000"/>
                <w:sz w:val="18"/>
              </w:rPr>
              <w:t>BALANCE AS AT 31.12.2025</w:t>
            </w: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14:paraId="5C3C35C2"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10 434</w:t>
            </w: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14:paraId="0CE7296C" w14:textId="77777777" w:rsidR="00FD1E19" w:rsidRPr="00CC4D1D" w:rsidRDefault="00FD1E19" w:rsidP="00BE7E4A">
            <w:pPr>
              <w:pStyle w:val="DMETW37225BIPCNA9"/>
              <w:jc w:val="right"/>
              <w:rPr>
                <w:rFonts w:ascii="Verdana" w:eastAsia="Verdana" w:hAnsi="Verdana" w:cs="Verdana"/>
                <w:b/>
                <w:bCs/>
                <w:noProof/>
                <w:color w:val="000000"/>
                <w:sz w:val="18"/>
              </w:rPr>
            </w:pPr>
            <w:r>
              <w:rPr>
                <w:rFonts w:ascii="Verdana" w:eastAsia="Verdana" w:hAnsi="Verdana" w:cs="Verdana"/>
                <w:b/>
                <w:noProof/>
                <w:color w:val="000000"/>
                <w:sz w:val="18"/>
              </w:rPr>
              <w:t xml:space="preserve">  </w:t>
            </w:r>
            <w:r w:rsidRPr="00CC4D1D">
              <w:rPr>
                <w:rFonts w:ascii="Verdana" w:eastAsia="Verdana" w:hAnsi="Verdana" w:cs="Verdana"/>
                <w:b/>
                <w:bCs/>
                <w:i/>
                <w:noProof/>
                <w:color w:val="000000"/>
                <w:sz w:val="18"/>
              </w:rPr>
              <w:t>–</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1B2CD4D3"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10 434</w:t>
            </w: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14:paraId="21ED6C29"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(12 353)</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2C5B1BA4"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3E4025A4"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(510)</w:t>
            </w: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14:paraId="3DF0CDDC" w14:textId="77777777" w:rsidR="00FD1E19" w:rsidRDefault="00FD1E19" w:rsidP="00BE7E4A">
            <w:pPr>
              <w:pStyle w:val="DMETW37225BIPCNA9"/>
              <w:jc w:val="right"/>
              <w:rPr>
                <w:rFonts w:ascii="Verdana" w:eastAsia="Verdana" w:hAnsi="Verdana" w:cs="Verdana"/>
                <w:b/>
                <w:noProof/>
                <w:color w:val="000000"/>
                <w:sz w:val="18"/>
              </w:rPr>
            </w:pPr>
            <w:r>
              <w:rPr>
                <w:rFonts w:ascii="Verdana" w:eastAsia="Verdana" w:hAnsi="Verdana" w:cs="Verdana"/>
                <w:b/>
                <w:noProof/>
                <w:color w:val="000000"/>
                <w:sz w:val="18"/>
              </w:rPr>
              <w:t xml:space="preserve">  (176)</w:t>
            </w:r>
          </w:p>
        </w:tc>
      </w:tr>
      <w:tr w:rsidR="00FD1E19" w:rsidRPr="004A105C" w14:paraId="14F5D0D5" w14:textId="77777777" w:rsidTr="00BE7E4A">
        <w:trPr>
          <w:trHeight w:hRule="exact" w:val="225"/>
        </w:trPr>
        <w:tc>
          <w:tcPr>
            <w:tcW w:w="4299" w:type="dxa"/>
            <w:gridSpan w:val="2"/>
            <w:tcBorders>
              <w:top w:val="nil"/>
              <w:left w:val="nil"/>
              <w:bottom w:val="nil"/>
              <w:right w:val="nil"/>
              <w:tl2br w:val="nil"/>
              <w:tr2bl w:val="nil"/>
            </w:tcBorders>
            <w:shd w:val="solid" w:color="CCE1EA" w:fill="FFFFFF"/>
            <w:tcMar>
              <w:left w:w="60" w:type="dxa"/>
              <w:right w:w="60" w:type="dxa"/>
            </w:tcMar>
            <w:vAlign w:val="center"/>
          </w:tcPr>
          <w:p w14:paraId="2233C40D" w14:textId="77777777" w:rsidR="00FD1E19" w:rsidRPr="004A105C" w:rsidRDefault="00FD1E19" w:rsidP="00BE7E4A">
            <w:pPr>
              <w:pStyle w:val="DMETW37225BIPCNA9"/>
              <w:rPr>
                <w:rFonts w:ascii="Verdana" w:eastAsia="Verdana" w:hAnsi="Verdana" w:cs="Verdana"/>
                <w:i/>
                <w:noProof/>
                <w:color w:val="FFFFFF" w:themeColor="background1"/>
                <w:sz w:val="18"/>
              </w:rPr>
            </w:pPr>
          </w:p>
        </w:tc>
        <w:tc>
          <w:tcPr>
            <w:tcW w:w="1632" w:type="dxa"/>
            <w:gridSpan w:val="3"/>
            <w:tcBorders>
              <w:top w:val="nil"/>
              <w:left w:val="nil"/>
              <w:bottom w:val="nil"/>
              <w:right w:val="nil"/>
              <w:tl2br w:val="nil"/>
              <w:tr2bl w:val="nil"/>
            </w:tcBorders>
            <w:shd w:val="solid" w:color="CCE1EA" w:fill="FFFFFF"/>
            <w:tcMar>
              <w:left w:w="60" w:type="dxa"/>
              <w:right w:w="60" w:type="dxa"/>
            </w:tcMar>
            <w:vAlign w:val="center"/>
          </w:tcPr>
          <w:p w14:paraId="36F4EEE1" w14:textId="77777777" w:rsidR="00FD1E19" w:rsidRPr="004A105C" w:rsidRDefault="00FD1E19" w:rsidP="00BE7E4A">
            <w:pPr>
              <w:pStyle w:val="DMETW37225BIPCNA9"/>
              <w:jc w:val="right"/>
              <w:rPr>
                <w:rFonts w:ascii="Verdana" w:eastAsia="Verdana" w:hAnsi="Verdana" w:cs="Verdana"/>
                <w:i/>
                <w:noProof/>
                <w:color w:val="FFFFFF" w:themeColor="background1"/>
                <w:sz w:val="18"/>
              </w:rPr>
            </w:pPr>
          </w:p>
        </w:tc>
        <w:tc>
          <w:tcPr>
            <w:tcW w:w="1340" w:type="dxa"/>
            <w:gridSpan w:val="2"/>
            <w:tcBorders>
              <w:top w:val="nil"/>
              <w:left w:val="nil"/>
              <w:bottom w:val="nil"/>
              <w:right w:val="nil"/>
              <w:tl2br w:val="nil"/>
              <w:tr2bl w:val="nil"/>
            </w:tcBorders>
            <w:shd w:val="solid" w:color="CCE1EA" w:fill="FFFFFF"/>
            <w:tcMar>
              <w:left w:w="60" w:type="dxa"/>
              <w:right w:w="60" w:type="dxa"/>
            </w:tcMar>
            <w:vAlign w:val="center"/>
          </w:tcPr>
          <w:p w14:paraId="6D7D0481" w14:textId="77777777" w:rsidR="00FD1E19" w:rsidRPr="004A105C" w:rsidRDefault="00FD1E19" w:rsidP="00BE7E4A">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7022AFBD" w14:textId="77777777" w:rsidR="00FD1E19" w:rsidRPr="004A105C" w:rsidRDefault="00FD1E19" w:rsidP="00BE7E4A">
            <w:pPr>
              <w:pStyle w:val="DMETW37225BIPCNA9"/>
              <w:jc w:val="right"/>
              <w:rPr>
                <w:rFonts w:ascii="Verdana" w:eastAsia="Verdana" w:hAnsi="Verdana" w:cs="Verdana"/>
                <w:i/>
                <w:noProof/>
                <w:color w:val="FFFFFF" w:themeColor="background1"/>
                <w:sz w:val="18"/>
              </w:rPr>
            </w:pPr>
          </w:p>
        </w:tc>
        <w:tc>
          <w:tcPr>
            <w:tcW w:w="1483" w:type="dxa"/>
            <w:gridSpan w:val="3"/>
            <w:tcBorders>
              <w:top w:val="nil"/>
              <w:left w:val="nil"/>
              <w:bottom w:val="nil"/>
              <w:right w:val="nil"/>
              <w:tl2br w:val="nil"/>
              <w:tr2bl w:val="nil"/>
            </w:tcBorders>
            <w:shd w:val="solid" w:color="CCE1EA" w:fill="FFFFFF"/>
            <w:tcMar>
              <w:left w:w="60" w:type="dxa"/>
              <w:right w:w="60" w:type="dxa"/>
            </w:tcMar>
            <w:vAlign w:val="center"/>
          </w:tcPr>
          <w:p w14:paraId="7DBCCEA2" w14:textId="77777777" w:rsidR="00FD1E19" w:rsidRPr="004A105C" w:rsidRDefault="00FD1E19" w:rsidP="00BE7E4A">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4F50091F" w14:textId="77777777" w:rsidR="00FD1E19" w:rsidRPr="004A105C" w:rsidRDefault="00FD1E19" w:rsidP="00BE7E4A">
            <w:pPr>
              <w:pStyle w:val="DMETW37225BIPCNA9"/>
              <w:jc w:val="right"/>
              <w:rPr>
                <w:rFonts w:ascii="Verdana" w:eastAsia="Verdana" w:hAnsi="Verdana" w:cs="Verdana"/>
                <w:i/>
                <w:noProof/>
                <w:color w:val="FFFFFF" w:themeColor="background1"/>
                <w:sz w:val="18"/>
              </w:rPr>
            </w:pPr>
          </w:p>
        </w:tc>
        <w:tc>
          <w:tcPr>
            <w:tcW w:w="1484" w:type="dxa"/>
            <w:gridSpan w:val="3"/>
            <w:tcBorders>
              <w:top w:val="nil"/>
              <w:left w:val="nil"/>
              <w:bottom w:val="nil"/>
              <w:right w:val="nil"/>
              <w:tl2br w:val="nil"/>
              <w:tr2bl w:val="nil"/>
            </w:tcBorders>
            <w:shd w:val="solid" w:color="CCE1EA" w:fill="FFFFFF"/>
            <w:tcMar>
              <w:left w:w="60" w:type="dxa"/>
              <w:right w:w="60" w:type="dxa"/>
            </w:tcMar>
            <w:vAlign w:val="center"/>
          </w:tcPr>
          <w:p w14:paraId="4C7AD63C" w14:textId="77777777" w:rsidR="00FD1E19" w:rsidRPr="004A105C" w:rsidRDefault="00FD1E19" w:rsidP="00BE7E4A">
            <w:pPr>
              <w:pStyle w:val="DMETW37225BIPCNA9"/>
              <w:jc w:val="right"/>
              <w:rPr>
                <w:rFonts w:ascii="Verdana" w:eastAsia="Verdana" w:hAnsi="Verdana" w:cs="Verdana"/>
                <w:i/>
                <w:noProof/>
                <w:color w:val="FFFFFF" w:themeColor="background1"/>
                <w:sz w:val="18"/>
              </w:rPr>
            </w:pPr>
          </w:p>
        </w:tc>
        <w:tc>
          <w:tcPr>
            <w:tcW w:w="1484" w:type="dxa"/>
            <w:gridSpan w:val="2"/>
            <w:tcBorders>
              <w:top w:val="nil"/>
              <w:left w:val="nil"/>
              <w:bottom w:val="nil"/>
              <w:right w:val="nil"/>
              <w:tl2br w:val="nil"/>
              <w:tr2bl w:val="nil"/>
            </w:tcBorders>
            <w:shd w:val="solid" w:color="CCE1EA" w:fill="FFFFFF"/>
            <w:tcMar>
              <w:left w:w="60" w:type="dxa"/>
              <w:right w:w="60" w:type="dxa"/>
            </w:tcMar>
            <w:vAlign w:val="center"/>
          </w:tcPr>
          <w:p w14:paraId="1F798BD3" w14:textId="77777777" w:rsidR="00FD1E19" w:rsidRPr="004A105C" w:rsidRDefault="00FD1E19" w:rsidP="00BE7E4A">
            <w:pPr>
              <w:pStyle w:val="DMETW37225BIPCNA9"/>
              <w:jc w:val="right"/>
              <w:rPr>
                <w:rFonts w:ascii="Verdana" w:eastAsia="Verdana" w:hAnsi="Verdana" w:cs="Verdana"/>
                <w:i/>
                <w:noProof/>
                <w:color w:val="FFFFFF" w:themeColor="background1"/>
                <w:sz w:val="18"/>
              </w:rPr>
            </w:pPr>
          </w:p>
        </w:tc>
      </w:tr>
      <w:tr w:rsidR="00FD1E19" w14:paraId="39C07539" w14:textId="77777777" w:rsidTr="00BE7E4A">
        <w:trPr>
          <w:trHeight w:hRule="exact" w:val="300"/>
        </w:trPr>
        <w:tc>
          <w:tcPr>
            <w:tcW w:w="14690" w:type="dxa"/>
            <w:gridSpan w:val="21"/>
            <w:tcBorders>
              <w:top w:val="nil"/>
              <w:left w:val="nil"/>
              <w:bottom w:val="nil"/>
              <w:right w:val="nil"/>
              <w:tl2br w:val="nil"/>
              <w:tr2bl w:val="nil"/>
            </w:tcBorders>
            <w:shd w:val="clear" w:color="auto" w:fill="auto"/>
            <w:tcMar>
              <w:left w:w="60" w:type="dxa"/>
              <w:right w:w="60" w:type="dxa"/>
            </w:tcMar>
            <w:vAlign w:val="center"/>
          </w:tcPr>
          <w:p w14:paraId="3559312E" w14:textId="77777777" w:rsidR="00FD1E19" w:rsidRDefault="00FD1E19" w:rsidP="00BE7E4A">
            <w:pPr>
              <w:pStyle w:val="DMETW37225BIPCNA10"/>
              <w:jc w:val="right"/>
              <w:rPr>
                <w:rFonts w:ascii="Verdana" w:eastAsia="Verdana" w:hAnsi="Verdana" w:cs="Verdana"/>
                <w:i/>
                <w:noProof/>
                <w:color w:val="000000"/>
                <w:sz w:val="16"/>
                <w:lang w:bidi="en-GB"/>
              </w:rPr>
            </w:pPr>
            <w:bookmarkStart w:id="36" w:name="DOC_TBL00009_1_1"/>
            <w:bookmarkEnd w:id="36"/>
            <w:r>
              <w:rPr>
                <w:rFonts w:ascii="Verdana" w:eastAsia="Verdana" w:hAnsi="Verdana" w:cs="Verdana"/>
                <w:i/>
                <w:noProof/>
                <w:color w:val="000000"/>
                <w:sz w:val="16"/>
                <w:lang w:bidi="en-GB"/>
              </w:rPr>
              <w:t>EUR million</w:t>
            </w:r>
          </w:p>
        </w:tc>
      </w:tr>
      <w:tr w:rsidR="00FD1E19" w:rsidRPr="00F72CC2" w14:paraId="03F12AEE" w14:textId="77777777" w:rsidTr="00BE7E4A">
        <w:trPr>
          <w:trHeight w:hRule="exact" w:val="1473"/>
        </w:trPr>
        <w:tc>
          <w:tcPr>
            <w:tcW w:w="4354" w:type="dxa"/>
            <w:gridSpan w:val="3"/>
            <w:tcBorders>
              <w:top w:val="nil"/>
              <w:left w:val="nil"/>
              <w:bottom w:val="nil"/>
              <w:right w:val="nil"/>
              <w:tl2br w:val="nil"/>
              <w:tr2bl w:val="nil"/>
            </w:tcBorders>
            <w:shd w:val="solid" w:color="016794" w:fill="FFFFFF"/>
            <w:tcMar>
              <w:left w:w="60" w:type="dxa"/>
              <w:right w:w="60" w:type="dxa"/>
            </w:tcMar>
            <w:vAlign w:val="center"/>
          </w:tcPr>
          <w:p w14:paraId="275DD86F" w14:textId="77777777" w:rsidR="00FD1E19" w:rsidRDefault="00FD1E19" w:rsidP="00BE7E4A">
            <w:pPr>
              <w:pStyle w:val="DMETW37225BIPCNA10"/>
              <w:jc w:val="center"/>
              <w:rPr>
                <w:rFonts w:ascii="Verdana" w:eastAsia="Verdana" w:hAnsi="Verdana" w:cs="Verdana"/>
                <w:noProof/>
                <w:color w:val="FFFFFF"/>
              </w:rPr>
            </w:pPr>
            <w:r>
              <w:rPr>
                <w:rFonts w:ascii="Verdana" w:eastAsia="Verdana" w:hAnsi="Verdana" w:cs="Verdana"/>
                <w:noProof/>
                <w:color w:val="FFFFFF"/>
              </w:rPr>
              <w:t>10th EDF</w:t>
            </w:r>
          </w:p>
        </w:tc>
        <w:tc>
          <w:tcPr>
            <w:tcW w:w="1577" w:type="dxa"/>
            <w:gridSpan w:val="2"/>
            <w:tcBorders>
              <w:top w:val="nil"/>
              <w:left w:val="nil"/>
              <w:bottom w:val="nil"/>
              <w:right w:val="nil"/>
              <w:tl2br w:val="nil"/>
              <w:tr2bl w:val="nil"/>
            </w:tcBorders>
            <w:shd w:val="solid" w:color="016794" w:fill="FFFFFF"/>
            <w:tcMar>
              <w:left w:w="60" w:type="dxa"/>
              <w:right w:w="60" w:type="dxa"/>
            </w:tcMar>
            <w:vAlign w:val="center"/>
          </w:tcPr>
          <w:p w14:paraId="5644F42A" w14:textId="77777777" w:rsidR="00FD1E19" w:rsidRDefault="00FD1E19" w:rsidP="00BE7E4A">
            <w:pPr>
              <w:pStyle w:val="DMETW37225BIPCNA10"/>
              <w:jc w:val="center"/>
              <w:rPr>
                <w:rFonts w:ascii="Verdana" w:eastAsia="Verdana" w:hAnsi="Verdana" w:cs="Verdana"/>
                <w:noProof/>
                <w:color w:val="FFFFFF"/>
              </w:rPr>
            </w:pPr>
            <w:r>
              <w:rPr>
                <w:rFonts w:ascii="Verdana" w:eastAsia="Verdana" w:hAnsi="Verdana" w:cs="Verdana"/>
                <w:noProof/>
                <w:color w:val="FFFFFF"/>
              </w:rPr>
              <w:t>Fund capital - active EDFs (A)</w:t>
            </w:r>
          </w:p>
        </w:tc>
        <w:tc>
          <w:tcPr>
            <w:tcW w:w="1433" w:type="dxa"/>
            <w:gridSpan w:val="3"/>
            <w:tcBorders>
              <w:top w:val="nil"/>
              <w:left w:val="nil"/>
              <w:bottom w:val="nil"/>
              <w:right w:val="nil"/>
              <w:tl2br w:val="nil"/>
              <w:tr2bl w:val="nil"/>
            </w:tcBorders>
            <w:shd w:val="solid" w:color="016794" w:fill="FFFFFF"/>
            <w:tcMar>
              <w:left w:w="60" w:type="dxa"/>
              <w:right w:w="60" w:type="dxa"/>
            </w:tcMar>
            <w:vAlign w:val="center"/>
          </w:tcPr>
          <w:p w14:paraId="2E57C0EE" w14:textId="77777777" w:rsidR="00FD1E19" w:rsidRDefault="00FD1E19" w:rsidP="00BE7E4A">
            <w:pPr>
              <w:pStyle w:val="DMETW37225BIPCNA10"/>
              <w:jc w:val="center"/>
              <w:rPr>
                <w:rFonts w:ascii="Verdana" w:eastAsia="Verdana" w:hAnsi="Verdana" w:cs="Verdana"/>
                <w:noProof/>
                <w:color w:val="FFFFFF"/>
              </w:rPr>
            </w:pPr>
            <w:r>
              <w:rPr>
                <w:rFonts w:ascii="Verdana" w:eastAsia="Verdana" w:hAnsi="Verdana" w:cs="Verdana"/>
                <w:noProof/>
                <w:color w:val="FFFFFF"/>
              </w:rPr>
              <w:t>Uncalled funds - active EDFs (B)</w:t>
            </w:r>
          </w:p>
        </w:tc>
        <w:tc>
          <w:tcPr>
            <w:tcW w:w="1431" w:type="dxa"/>
            <w:gridSpan w:val="3"/>
            <w:tcBorders>
              <w:top w:val="nil"/>
              <w:left w:val="nil"/>
              <w:bottom w:val="nil"/>
              <w:right w:val="nil"/>
              <w:tl2br w:val="nil"/>
              <w:tr2bl w:val="nil"/>
            </w:tcBorders>
            <w:shd w:val="solid" w:color="016794" w:fill="FFFFFF"/>
            <w:tcMar>
              <w:left w:w="60" w:type="dxa"/>
              <w:right w:w="60" w:type="dxa"/>
            </w:tcMar>
            <w:vAlign w:val="center"/>
          </w:tcPr>
          <w:p w14:paraId="779143D9" w14:textId="77777777" w:rsidR="00FD1E19" w:rsidRDefault="00FD1E19" w:rsidP="00BE7E4A">
            <w:pPr>
              <w:pStyle w:val="DMETW37225BIPCNA10"/>
              <w:jc w:val="center"/>
              <w:rPr>
                <w:rFonts w:ascii="Verdana" w:eastAsia="Verdana" w:hAnsi="Verdana" w:cs="Verdana"/>
                <w:noProof/>
                <w:color w:val="FFFFFF"/>
              </w:rPr>
            </w:pPr>
            <w:r>
              <w:rPr>
                <w:rFonts w:ascii="Verdana" w:eastAsia="Verdana" w:hAnsi="Verdana" w:cs="Verdana"/>
                <w:noProof/>
                <w:color w:val="FFFFFF"/>
              </w:rPr>
              <w:t>Called fund capital - active EDFs (C) = (A)-(B)</w:t>
            </w:r>
          </w:p>
        </w:tc>
        <w:tc>
          <w:tcPr>
            <w:tcW w:w="1574" w:type="dxa"/>
            <w:gridSpan w:val="3"/>
            <w:tcBorders>
              <w:top w:val="nil"/>
              <w:left w:val="nil"/>
              <w:bottom w:val="nil"/>
              <w:right w:val="nil"/>
              <w:tl2br w:val="nil"/>
              <w:tr2bl w:val="nil"/>
            </w:tcBorders>
            <w:shd w:val="solid" w:color="016794" w:fill="FFFFFF"/>
            <w:tcMar>
              <w:left w:w="60" w:type="dxa"/>
              <w:right w:w="60" w:type="dxa"/>
            </w:tcMar>
            <w:vAlign w:val="center"/>
          </w:tcPr>
          <w:p w14:paraId="1AE4D06C" w14:textId="77777777" w:rsidR="00FD1E19" w:rsidRDefault="00FD1E19" w:rsidP="00BE7E4A">
            <w:pPr>
              <w:pStyle w:val="DMETW37225BIPCNA10"/>
              <w:jc w:val="center"/>
              <w:rPr>
                <w:rFonts w:ascii="Verdana" w:eastAsia="Verdana" w:hAnsi="Verdana" w:cs="Verdana"/>
                <w:noProof/>
                <w:color w:val="FFFFFF"/>
              </w:rPr>
            </w:pPr>
            <w:r>
              <w:rPr>
                <w:rFonts w:ascii="Verdana" w:eastAsia="Verdana" w:hAnsi="Verdana" w:cs="Verdana"/>
                <w:noProof/>
                <w:color w:val="FFFFFF"/>
              </w:rPr>
              <w:t>Cumulative reserves (D)</w:t>
            </w:r>
          </w:p>
        </w:tc>
        <w:tc>
          <w:tcPr>
            <w:tcW w:w="1433" w:type="dxa"/>
            <w:gridSpan w:val="3"/>
            <w:tcBorders>
              <w:top w:val="nil"/>
              <w:left w:val="nil"/>
              <w:bottom w:val="nil"/>
              <w:right w:val="nil"/>
              <w:tl2br w:val="nil"/>
              <w:tr2bl w:val="nil"/>
            </w:tcBorders>
            <w:shd w:val="solid" w:color="016794" w:fill="FFFFFF"/>
            <w:tcMar>
              <w:left w:w="60" w:type="dxa"/>
              <w:right w:w="60" w:type="dxa"/>
            </w:tcMar>
            <w:vAlign w:val="center"/>
          </w:tcPr>
          <w:p w14:paraId="571C8AFC" w14:textId="77777777" w:rsidR="00FD1E19" w:rsidRDefault="00FD1E19" w:rsidP="00BE7E4A">
            <w:pPr>
              <w:pStyle w:val="DMETW37225BIPCNA10"/>
              <w:jc w:val="center"/>
              <w:rPr>
                <w:rFonts w:ascii="Verdana" w:eastAsia="Verdana" w:hAnsi="Verdana" w:cs="Verdana"/>
                <w:noProof/>
                <w:color w:val="FFFFFF"/>
              </w:rPr>
            </w:pPr>
            <w:r>
              <w:rPr>
                <w:rFonts w:ascii="Verdana" w:eastAsia="Verdana" w:hAnsi="Verdana" w:cs="Verdana"/>
                <w:noProof/>
                <w:color w:val="FFFFFF"/>
              </w:rPr>
              <w:t>Called fund capital from closed EDFs carried forward (E)</w:t>
            </w:r>
          </w:p>
        </w:tc>
        <w:tc>
          <w:tcPr>
            <w:tcW w:w="1431" w:type="dxa"/>
            <w:gridSpan w:val="3"/>
            <w:tcBorders>
              <w:top w:val="nil"/>
              <w:left w:val="nil"/>
              <w:bottom w:val="nil"/>
              <w:right w:val="nil"/>
              <w:tl2br w:val="nil"/>
              <w:tr2bl w:val="nil"/>
            </w:tcBorders>
            <w:shd w:val="solid" w:color="016794" w:fill="FFFFFF"/>
            <w:tcMar>
              <w:left w:w="60" w:type="dxa"/>
              <w:right w:w="60" w:type="dxa"/>
            </w:tcMar>
            <w:vAlign w:val="center"/>
          </w:tcPr>
          <w:p w14:paraId="7D0CD7E2" w14:textId="77777777" w:rsidR="00FD1E19" w:rsidRDefault="00FD1E19" w:rsidP="00BE7E4A">
            <w:pPr>
              <w:pStyle w:val="DMETW37225BIPCNA10"/>
              <w:jc w:val="center"/>
              <w:rPr>
                <w:rFonts w:ascii="Verdana" w:eastAsia="Verdana" w:hAnsi="Verdana" w:cs="Verdana"/>
                <w:noProof/>
                <w:color w:val="FFFFFF"/>
              </w:rPr>
            </w:pPr>
            <w:r>
              <w:rPr>
                <w:rFonts w:ascii="Verdana" w:eastAsia="Verdana" w:hAnsi="Verdana" w:cs="Verdana"/>
                <w:noProof/>
                <w:color w:val="FFFFFF"/>
              </w:rPr>
              <w:t>Called fund capital transfers between active EDFs (F)</w:t>
            </w:r>
          </w:p>
        </w:tc>
        <w:tc>
          <w:tcPr>
            <w:tcW w:w="1457" w:type="dxa"/>
            <w:tcBorders>
              <w:top w:val="nil"/>
              <w:left w:val="nil"/>
              <w:bottom w:val="nil"/>
              <w:right w:val="nil"/>
              <w:tl2br w:val="nil"/>
              <w:tr2bl w:val="nil"/>
            </w:tcBorders>
            <w:shd w:val="solid" w:color="016794" w:fill="FFFFFF"/>
            <w:tcMar>
              <w:left w:w="60" w:type="dxa"/>
              <w:right w:w="60" w:type="dxa"/>
            </w:tcMar>
            <w:vAlign w:val="center"/>
          </w:tcPr>
          <w:p w14:paraId="70C30058" w14:textId="77777777" w:rsidR="00FD1E19" w:rsidRPr="00F72CC2" w:rsidRDefault="00FD1E19" w:rsidP="00BE7E4A">
            <w:pPr>
              <w:pStyle w:val="DMETW37225BIPCNA10"/>
              <w:jc w:val="center"/>
              <w:rPr>
                <w:rFonts w:ascii="Verdana" w:eastAsia="Verdana" w:hAnsi="Verdana" w:cs="Verdana"/>
                <w:noProof/>
                <w:color w:val="FFFFFF"/>
                <w:lang w:val="fr-FR" w:bidi="en-GB"/>
              </w:rPr>
            </w:pPr>
            <w:r w:rsidRPr="00F72CC2">
              <w:rPr>
                <w:rFonts w:ascii="Verdana" w:eastAsia="Verdana" w:hAnsi="Verdana" w:cs="Verdana"/>
                <w:noProof/>
                <w:color w:val="FFFFFF"/>
                <w:lang w:val="fr-FR"/>
              </w:rPr>
              <w:t>Total net assets (C)+(D)+(E)+(F)</w:t>
            </w:r>
          </w:p>
        </w:tc>
      </w:tr>
      <w:tr w:rsidR="00FD1E19" w14:paraId="18A3F6AF" w14:textId="77777777" w:rsidTr="00BE7E4A">
        <w:trPr>
          <w:trHeight w:hRule="exact" w:val="225"/>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14:paraId="5608A2C8" w14:textId="77777777" w:rsidR="00FD1E19" w:rsidRDefault="00FD1E19" w:rsidP="00BE7E4A">
            <w:pPr>
              <w:pStyle w:val="DMETW37225BIPCNA10"/>
              <w:rPr>
                <w:rFonts w:ascii="Verdana" w:eastAsia="Verdana" w:hAnsi="Verdana" w:cs="Verdana"/>
                <w:b/>
                <w:noProof/>
                <w:color w:val="000000"/>
                <w:sz w:val="18"/>
              </w:rPr>
            </w:pPr>
            <w:r>
              <w:rPr>
                <w:rFonts w:ascii="Verdana" w:eastAsia="Verdana" w:hAnsi="Verdana" w:cs="Verdana"/>
                <w:b/>
                <w:noProof/>
                <w:color w:val="000000"/>
                <w:sz w:val="18"/>
              </w:rPr>
              <w:t>BALANCE AS AT 31.12.2023</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14:paraId="2459C6F2"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20 834</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14:paraId="23320829"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14:paraId="516FC2FE"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20 834</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14:paraId="479869A8"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(19 886)</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14:paraId="3D1A34A3"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14:paraId="31622C8E"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(120)</w:t>
            </w:r>
          </w:p>
        </w:tc>
        <w:tc>
          <w:tcPr>
            <w:tcW w:w="1457" w:type="dxa"/>
            <w:tcBorders>
              <w:top w:val="nil"/>
              <w:left w:val="nil"/>
              <w:bottom w:val="nil"/>
              <w:right w:val="nil"/>
              <w:tl2br w:val="nil"/>
              <w:tr2bl w:val="nil"/>
            </w:tcBorders>
            <w:shd w:val="solid" w:color="CCE1EA" w:fill="FFFFFF"/>
            <w:tcMar>
              <w:left w:w="60" w:type="dxa"/>
              <w:right w:w="60" w:type="dxa"/>
            </w:tcMar>
            <w:vAlign w:val="center"/>
          </w:tcPr>
          <w:p w14:paraId="1E54072C" w14:textId="77777777" w:rsidR="00FD1E19" w:rsidRDefault="00FD1E19" w:rsidP="00BE7E4A">
            <w:pPr>
              <w:pStyle w:val="DMETW37225BIPCNA10"/>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827</w:t>
            </w:r>
          </w:p>
        </w:tc>
      </w:tr>
      <w:tr w:rsidR="00FD1E19" w14:paraId="0E3790B9"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653B46ED"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Transfers to/from the Eighth and Ninth EDF</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2E1CEA82"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265D5319"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65499FB3"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54808A04"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623B9C2F"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23E3A406"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6F1831B3"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5CCB5304"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04B7C3E1"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Transfers to/from the 11th EDF</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18E24AD5"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3C5D9AC8"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6E07B67B"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38F085FE"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7E513E1B"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0DC8940A"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(68)</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62E3EB6B"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(68)</w:t>
            </w:r>
          </w:p>
        </w:tc>
      </w:tr>
      <w:tr w:rsidR="00FD1E19" w14:paraId="2908FC84"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7F3CB6E9"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Refund to Member States</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57420F84"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1C5A12FF"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46978486"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3DC3D1E3"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1C57B6B3"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6C08C492"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276A032F"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w:t>
            </w:r>
          </w:p>
        </w:tc>
      </w:tr>
      <w:tr w:rsidR="00FD1E19" w14:paraId="0880A9BE"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58CC10A5"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27A768BA"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5C6978CB"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554BD9B0"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59EB1BE3"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(72)</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2B99C356"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44E774FC"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7E7FD0F8"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(72)</w:t>
            </w:r>
          </w:p>
        </w:tc>
      </w:tr>
      <w:tr w:rsidR="00FD1E19" w14:paraId="25D4B251" w14:textId="77777777" w:rsidTr="00BE7E4A">
        <w:trPr>
          <w:trHeight w:hRule="exact" w:val="240"/>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14:paraId="4AFC8403" w14:textId="77777777" w:rsidR="00FD1E19" w:rsidRDefault="00FD1E19" w:rsidP="00BE7E4A">
            <w:pPr>
              <w:pStyle w:val="DMETW37225BIPCNA10"/>
              <w:rPr>
                <w:rFonts w:ascii="Verdana" w:eastAsia="Verdana" w:hAnsi="Verdana" w:cs="Verdana"/>
                <w:b/>
                <w:noProof/>
                <w:color w:val="000000"/>
                <w:sz w:val="18"/>
              </w:rPr>
            </w:pPr>
            <w:r>
              <w:rPr>
                <w:rFonts w:ascii="Verdana" w:eastAsia="Verdana" w:hAnsi="Verdana" w:cs="Verdana"/>
                <w:b/>
                <w:noProof/>
                <w:color w:val="000000"/>
                <w:sz w:val="18"/>
              </w:rPr>
              <w:t>BALANCE AS AT 31.12.2024</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14:paraId="54614473"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20 819</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14:paraId="328BD60E"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14:paraId="399FAE9A"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20 819</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14:paraId="3DFA29C7"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(19 959)</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14:paraId="41219D58"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14:paraId="419E21F2"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1457" w:type="dxa"/>
            <w:tcBorders>
              <w:top w:val="nil"/>
              <w:left w:val="nil"/>
              <w:bottom w:val="nil"/>
              <w:right w:val="nil"/>
              <w:tl2br w:val="nil"/>
              <w:tr2bl w:val="nil"/>
            </w:tcBorders>
            <w:shd w:val="solid" w:color="CCE1EA" w:fill="FFFFFF"/>
            <w:tcMar>
              <w:left w:w="60" w:type="dxa"/>
              <w:right w:w="60" w:type="dxa"/>
            </w:tcMar>
            <w:vAlign w:val="center"/>
          </w:tcPr>
          <w:p w14:paraId="6A8906BF" w14:textId="77777777" w:rsidR="00FD1E19" w:rsidRDefault="00FD1E19" w:rsidP="00BE7E4A">
            <w:pPr>
              <w:pStyle w:val="DMETW37225BIPCNA10"/>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674</w:t>
            </w:r>
          </w:p>
        </w:tc>
      </w:tr>
      <w:tr w:rsidR="00FD1E19" w14:paraId="25636283"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6BC99A99"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Transfers to/from the Eighth and Ninth EDF</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303CE33B"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2AE62DD2"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5B788D88"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3ADA75BF" w14:textId="77777777" w:rsidR="00FD1E19" w:rsidRDefault="00FD1E19" w:rsidP="00BE7E4A">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69E3E3F8"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66AD9B26"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2D25FCE3"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0A6E1B59"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70C71174"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Transfers to/from the 11th EDF</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1FF5957D"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2B74AA1D"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35AEDBE0"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1035E2D7" w14:textId="77777777" w:rsidR="00FD1E19" w:rsidRDefault="00FD1E19" w:rsidP="00BE7E4A">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7E4C0A00"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46288F2C"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1D09577D"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692C4E31"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3D1BDD01"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Refund to Member States</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70FA47A0"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4C9AC447"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6868BB12"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14DD953B" w14:textId="77777777" w:rsidR="00FD1E19" w:rsidRDefault="00FD1E19" w:rsidP="00BE7E4A">
            <w:pPr>
              <w:pStyle w:val="DMETW37225BIPCNA10"/>
              <w:jc w:val="right"/>
              <w:rPr>
                <w:rFonts w:ascii="Verdana" w:eastAsia="Verdana" w:hAnsi="Verdana" w:cs="Verdana"/>
                <w:i/>
                <w:noProof/>
                <w:color w:val="000000"/>
                <w:sz w:val="18"/>
              </w:rPr>
            </w:pP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13B2BD4C"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4B14BD50"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75AF8272"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476731B3" w14:textId="77777777" w:rsidTr="00BE7E4A">
        <w:trPr>
          <w:trHeight w:hRule="exact" w:val="225"/>
        </w:trPr>
        <w:tc>
          <w:tcPr>
            <w:tcW w:w="4354" w:type="dxa"/>
            <w:gridSpan w:val="3"/>
            <w:tcBorders>
              <w:top w:val="nil"/>
              <w:left w:val="nil"/>
              <w:bottom w:val="nil"/>
              <w:right w:val="nil"/>
              <w:tl2br w:val="nil"/>
              <w:tr2bl w:val="nil"/>
            </w:tcBorders>
            <w:shd w:val="clear" w:color="auto" w:fill="auto"/>
            <w:tcMar>
              <w:left w:w="60" w:type="dxa"/>
              <w:right w:w="60" w:type="dxa"/>
            </w:tcMar>
            <w:vAlign w:val="center"/>
          </w:tcPr>
          <w:p w14:paraId="63C09487" w14:textId="77777777" w:rsidR="00FD1E19" w:rsidRDefault="00FD1E19" w:rsidP="00BE7E4A">
            <w:pPr>
              <w:pStyle w:val="DMETW37225BIPCNA10"/>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577" w:type="dxa"/>
            <w:gridSpan w:val="2"/>
            <w:tcBorders>
              <w:top w:val="nil"/>
              <w:left w:val="nil"/>
              <w:bottom w:val="nil"/>
              <w:right w:val="nil"/>
              <w:tl2br w:val="nil"/>
              <w:tr2bl w:val="nil"/>
            </w:tcBorders>
            <w:shd w:val="clear" w:color="auto" w:fill="auto"/>
            <w:tcMar>
              <w:left w:w="60" w:type="dxa"/>
              <w:right w:w="60" w:type="dxa"/>
            </w:tcMar>
            <w:vAlign w:val="center"/>
          </w:tcPr>
          <w:p w14:paraId="6E0EDA01"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4ACE45D5"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6659E4C1"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74" w:type="dxa"/>
            <w:gridSpan w:val="3"/>
            <w:tcBorders>
              <w:top w:val="nil"/>
              <w:left w:val="nil"/>
              <w:bottom w:val="nil"/>
              <w:right w:val="nil"/>
              <w:tl2br w:val="nil"/>
              <w:tr2bl w:val="nil"/>
            </w:tcBorders>
            <w:shd w:val="clear" w:color="auto" w:fill="auto"/>
            <w:tcMar>
              <w:left w:w="60" w:type="dxa"/>
              <w:right w:w="60" w:type="dxa"/>
            </w:tcMar>
            <w:vAlign w:val="center"/>
          </w:tcPr>
          <w:p w14:paraId="21A99AEE"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 xml:space="preserve"> (85)</w:t>
            </w:r>
          </w:p>
        </w:tc>
        <w:tc>
          <w:tcPr>
            <w:tcW w:w="1433" w:type="dxa"/>
            <w:gridSpan w:val="3"/>
            <w:tcBorders>
              <w:top w:val="nil"/>
              <w:left w:val="nil"/>
              <w:bottom w:val="nil"/>
              <w:right w:val="nil"/>
              <w:tl2br w:val="nil"/>
              <w:tr2bl w:val="nil"/>
            </w:tcBorders>
            <w:shd w:val="clear" w:color="auto" w:fill="auto"/>
            <w:tcMar>
              <w:left w:w="60" w:type="dxa"/>
              <w:right w:w="60" w:type="dxa"/>
            </w:tcMar>
            <w:vAlign w:val="center"/>
          </w:tcPr>
          <w:p w14:paraId="02A955A3"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31" w:type="dxa"/>
            <w:gridSpan w:val="3"/>
            <w:tcBorders>
              <w:top w:val="nil"/>
              <w:left w:val="nil"/>
              <w:bottom w:val="nil"/>
              <w:right w:val="nil"/>
              <w:tl2br w:val="nil"/>
              <w:tr2bl w:val="nil"/>
            </w:tcBorders>
            <w:shd w:val="clear" w:color="auto" w:fill="auto"/>
            <w:tcMar>
              <w:left w:w="60" w:type="dxa"/>
              <w:right w:w="60" w:type="dxa"/>
            </w:tcMar>
            <w:vAlign w:val="center"/>
          </w:tcPr>
          <w:p w14:paraId="3546F208" w14:textId="77777777" w:rsidR="00FD1E19" w:rsidRDefault="00FD1E19" w:rsidP="00BE7E4A">
            <w:pPr>
              <w:pStyle w:val="DMETW37225BIPCNA1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57" w:type="dxa"/>
            <w:tcBorders>
              <w:top w:val="nil"/>
              <w:left w:val="nil"/>
              <w:bottom w:val="nil"/>
              <w:right w:val="nil"/>
              <w:tl2br w:val="nil"/>
              <w:tr2bl w:val="nil"/>
            </w:tcBorders>
            <w:shd w:val="clear" w:color="auto" w:fill="auto"/>
            <w:tcMar>
              <w:left w:w="60" w:type="dxa"/>
              <w:right w:w="60" w:type="dxa"/>
            </w:tcMar>
            <w:vAlign w:val="center"/>
          </w:tcPr>
          <w:p w14:paraId="7DBFF000" w14:textId="77777777" w:rsidR="00FD1E19" w:rsidRDefault="00FD1E19" w:rsidP="00BE7E4A">
            <w:pPr>
              <w:pStyle w:val="DMETW37225BIPCNA1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w:t>
            </w:r>
          </w:p>
        </w:tc>
      </w:tr>
      <w:tr w:rsidR="00FD1E19" w14:paraId="0630ED94" w14:textId="77777777" w:rsidTr="00BE7E4A">
        <w:trPr>
          <w:trHeight w:hRule="exact" w:val="225"/>
        </w:trPr>
        <w:tc>
          <w:tcPr>
            <w:tcW w:w="4354" w:type="dxa"/>
            <w:gridSpan w:val="3"/>
            <w:tcBorders>
              <w:top w:val="nil"/>
              <w:left w:val="nil"/>
              <w:bottom w:val="nil"/>
              <w:right w:val="nil"/>
              <w:tl2br w:val="nil"/>
              <w:tr2bl w:val="nil"/>
            </w:tcBorders>
            <w:shd w:val="solid" w:color="CCE1EA" w:fill="FFFFFF"/>
            <w:tcMar>
              <w:left w:w="60" w:type="dxa"/>
              <w:right w:w="60" w:type="dxa"/>
            </w:tcMar>
            <w:vAlign w:val="center"/>
          </w:tcPr>
          <w:p w14:paraId="5CEA8A0D" w14:textId="77777777" w:rsidR="00FD1E19" w:rsidRDefault="00FD1E19" w:rsidP="00BE7E4A">
            <w:pPr>
              <w:pStyle w:val="DMETW37225BIPCNA10"/>
              <w:rPr>
                <w:rFonts w:ascii="Verdana" w:eastAsia="Verdana" w:hAnsi="Verdana" w:cs="Verdana"/>
                <w:b/>
                <w:noProof/>
                <w:color w:val="000000"/>
                <w:sz w:val="18"/>
              </w:rPr>
            </w:pPr>
            <w:r>
              <w:rPr>
                <w:rFonts w:ascii="Verdana" w:eastAsia="Verdana" w:hAnsi="Verdana" w:cs="Verdana"/>
                <w:b/>
                <w:noProof/>
                <w:color w:val="000000"/>
                <w:sz w:val="18"/>
              </w:rPr>
              <w:t>BALANCE AS AT 31.12.2025</w:t>
            </w:r>
          </w:p>
        </w:tc>
        <w:tc>
          <w:tcPr>
            <w:tcW w:w="1577" w:type="dxa"/>
            <w:gridSpan w:val="2"/>
            <w:tcBorders>
              <w:top w:val="nil"/>
              <w:left w:val="nil"/>
              <w:bottom w:val="nil"/>
              <w:right w:val="nil"/>
              <w:tl2br w:val="nil"/>
              <w:tr2bl w:val="nil"/>
            </w:tcBorders>
            <w:shd w:val="solid" w:color="CCE1EA" w:fill="FFFFFF"/>
            <w:tcMar>
              <w:left w:w="60" w:type="dxa"/>
              <w:right w:w="60" w:type="dxa"/>
            </w:tcMar>
            <w:vAlign w:val="center"/>
          </w:tcPr>
          <w:p w14:paraId="2CBEEF63"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20 816</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14:paraId="33F27A90"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14:paraId="7854B8BB"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20 816</w:t>
            </w:r>
          </w:p>
        </w:tc>
        <w:tc>
          <w:tcPr>
            <w:tcW w:w="1574" w:type="dxa"/>
            <w:gridSpan w:val="3"/>
            <w:tcBorders>
              <w:top w:val="nil"/>
              <w:left w:val="nil"/>
              <w:bottom w:val="nil"/>
              <w:right w:val="nil"/>
              <w:tl2br w:val="nil"/>
              <w:tr2bl w:val="nil"/>
            </w:tcBorders>
            <w:shd w:val="solid" w:color="CCE1EA" w:fill="FFFFFF"/>
            <w:tcMar>
              <w:left w:w="60" w:type="dxa"/>
              <w:right w:w="60" w:type="dxa"/>
            </w:tcMar>
            <w:vAlign w:val="center"/>
          </w:tcPr>
          <w:p w14:paraId="653FD6A4"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(20 044)</w:t>
            </w:r>
          </w:p>
        </w:tc>
        <w:tc>
          <w:tcPr>
            <w:tcW w:w="1433" w:type="dxa"/>
            <w:gridSpan w:val="3"/>
            <w:tcBorders>
              <w:top w:val="nil"/>
              <w:left w:val="nil"/>
              <w:bottom w:val="nil"/>
              <w:right w:val="nil"/>
              <w:tl2br w:val="nil"/>
              <w:tr2bl w:val="nil"/>
            </w:tcBorders>
            <w:shd w:val="solid" w:color="CCE1EA" w:fill="FFFFFF"/>
            <w:tcMar>
              <w:left w:w="60" w:type="dxa"/>
              <w:right w:w="60" w:type="dxa"/>
            </w:tcMar>
            <w:vAlign w:val="center"/>
          </w:tcPr>
          <w:p w14:paraId="5D1A4365"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431" w:type="dxa"/>
            <w:gridSpan w:val="3"/>
            <w:tcBorders>
              <w:top w:val="nil"/>
              <w:left w:val="nil"/>
              <w:bottom w:val="nil"/>
              <w:right w:val="nil"/>
              <w:tl2br w:val="nil"/>
              <w:tr2bl w:val="nil"/>
            </w:tcBorders>
            <w:shd w:val="solid" w:color="CCE1EA" w:fill="FFFFFF"/>
            <w:tcMar>
              <w:left w:w="60" w:type="dxa"/>
              <w:right w:w="60" w:type="dxa"/>
            </w:tcMar>
            <w:vAlign w:val="center"/>
          </w:tcPr>
          <w:p w14:paraId="53985028"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1457" w:type="dxa"/>
            <w:tcBorders>
              <w:top w:val="nil"/>
              <w:left w:val="nil"/>
              <w:bottom w:val="nil"/>
              <w:right w:val="nil"/>
              <w:tl2br w:val="nil"/>
              <w:tr2bl w:val="nil"/>
            </w:tcBorders>
            <w:shd w:val="solid" w:color="CCE1EA" w:fill="FFFFFF"/>
            <w:tcMar>
              <w:left w:w="60" w:type="dxa"/>
              <w:right w:w="60" w:type="dxa"/>
            </w:tcMar>
            <w:vAlign w:val="center"/>
          </w:tcPr>
          <w:p w14:paraId="1547FFE7" w14:textId="77777777" w:rsidR="00FD1E19" w:rsidRDefault="00FD1E19" w:rsidP="00BE7E4A">
            <w:pPr>
              <w:pStyle w:val="DMETW37225BIPCNA10"/>
              <w:jc w:val="right"/>
              <w:rPr>
                <w:rFonts w:ascii="Verdana" w:eastAsia="Verdana" w:hAnsi="Verdana" w:cs="Verdana"/>
                <w:b/>
                <w:noProof/>
                <w:color w:val="000000"/>
                <w:sz w:val="18"/>
              </w:rPr>
            </w:pPr>
            <w:r>
              <w:rPr>
                <w:rFonts w:ascii="Verdana" w:eastAsia="Verdana" w:hAnsi="Verdana" w:cs="Verdana"/>
                <w:b/>
                <w:noProof/>
                <w:color w:val="000000"/>
                <w:sz w:val="18"/>
              </w:rPr>
              <w:t xml:space="preserve">  586</w:t>
            </w:r>
          </w:p>
        </w:tc>
      </w:tr>
      <w:tr w:rsidR="00FD1E19" w14:paraId="74065D1F" w14:textId="77777777" w:rsidTr="00BE7E4A">
        <w:trPr>
          <w:cantSplit/>
          <w:trHeight w:hRule="exact" w:val="300"/>
        </w:trPr>
        <w:tc>
          <w:tcPr>
            <w:tcW w:w="14690" w:type="dxa"/>
            <w:gridSpan w:val="21"/>
            <w:tcBorders>
              <w:top w:val="nil"/>
              <w:left w:val="nil"/>
              <w:bottom w:val="nil"/>
              <w:right w:val="nil"/>
              <w:tl2br w:val="nil"/>
              <w:tr2bl w:val="nil"/>
            </w:tcBorders>
            <w:shd w:val="clear" w:color="auto" w:fill="auto"/>
            <w:tcMar>
              <w:left w:w="60" w:type="dxa"/>
              <w:right w:w="60" w:type="dxa"/>
            </w:tcMar>
            <w:vAlign w:val="center"/>
          </w:tcPr>
          <w:p w14:paraId="1E170422" w14:textId="77777777" w:rsidR="00FD1E19" w:rsidRDefault="00FD1E19" w:rsidP="00BE7E4A">
            <w:pPr>
              <w:pStyle w:val="DMETW37225BIPCNA11"/>
              <w:jc w:val="right"/>
              <w:rPr>
                <w:rFonts w:ascii="Verdana" w:eastAsia="Verdana" w:hAnsi="Verdana" w:cs="Verdana"/>
                <w:i/>
                <w:noProof/>
                <w:color w:val="000000"/>
                <w:sz w:val="16"/>
                <w:lang w:bidi="en-GB"/>
              </w:rPr>
            </w:pPr>
            <w:r>
              <w:rPr>
                <w:rFonts w:ascii="Verdana" w:eastAsia="Verdana" w:hAnsi="Verdana" w:cs="Verdana"/>
                <w:i/>
                <w:noProof/>
                <w:color w:val="000000"/>
                <w:sz w:val="16"/>
                <w:lang w:bidi="en-GB"/>
              </w:rPr>
              <w:t>EUR million</w:t>
            </w:r>
          </w:p>
        </w:tc>
      </w:tr>
      <w:tr w:rsidR="00FD1E19" w14:paraId="4B738BFD" w14:textId="77777777" w:rsidTr="00BE7E4A">
        <w:trPr>
          <w:cantSplit/>
          <w:trHeight w:hRule="exact" w:val="1634"/>
        </w:trPr>
        <w:tc>
          <w:tcPr>
            <w:tcW w:w="3286" w:type="dxa"/>
            <w:tcBorders>
              <w:top w:val="nil"/>
              <w:left w:val="nil"/>
              <w:bottom w:val="nil"/>
              <w:right w:val="nil"/>
              <w:tl2br w:val="nil"/>
              <w:tr2bl w:val="nil"/>
            </w:tcBorders>
            <w:shd w:val="solid" w:color="016794" w:fill="FFFFFF"/>
            <w:tcMar>
              <w:left w:w="60" w:type="dxa"/>
              <w:right w:w="60" w:type="dxa"/>
            </w:tcMar>
            <w:vAlign w:val="center"/>
          </w:tcPr>
          <w:p w14:paraId="332F671F" w14:textId="77777777" w:rsidR="00FD1E19" w:rsidRDefault="00FD1E19" w:rsidP="00BE7E4A">
            <w:pPr>
              <w:pStyle w:val="DMETW37225BIPCNA11"/>
              <w:jc w:val="center"/>
              <w:rPr>
                <w:rFonts w:ascii="Verdana" w:eastAsia="Verdana" w:hAnsi="Verdana" w:cs="Verdana"/>
                <w:noProof/>
                <w:color w:val="FFFFFF"/>
              </w:rPr>
            </w:pPr>
            <w:r>
              <w:rPr>
                <w:rFonts w:ascii="Verdana" w:eastAsia="Verdana" w:hAnsi="Verdana" w:cs="Verdana"/>
                <w:noProof/>
                <w:color w:val="FFFFFF"/>
              </w:rPr>
              <w:t>11th EDF</w:t>
            </w:r>
          </w:p>
        </w:tc>
        <w:tc>
          <w:tcPr>
            <w:tcW w:w="1569" w:type="dxa"/>
            <w:gridSpan w:val="3"/>
            <w:tcBorders>
              <w:top w:val="nil"/>
              <w:left w:val="nil"/>
              <w:bottom w:val="nil"/>
              <w:right w:val="nil"/>
              <w:tl2br w:val="nil"/>
              <w:tr2bl w:val="nil"/>
            </w:tcBorders>
            <w:shd w:val="solid" w:color="016794" w:fill="FFFFFF"/>
            <w:tcMar>
              <w:left w:w="60" w:type="dxa"/>
              <w:right w:w="60" w:type="dxa"/>
            </w:tcMar>
            <w:vAlign w:val="center"/>
          </w:tcPr>
          <w:p w14:paraId="3C93E9A7" w14:textId="77777777" w:rsidR="00FD1E19" w:rsidRDefault="00FD1E19" w:rsidP="00BE7E4A">
            <w:pPr>
              <w:pStyle w:val="DMETW37225BIPCNA11"/>
              <w:jc w:val="center"/>
              <w:rPr>
                <w:rFonts w:ascii="Verdana" w:eastAsia="Verdana" w:hAnsi="Verdana" w:cs="Verdana"/>
                <w:noProof/>
                <w:color w:val="FFFFFF"/>
              </w:rPr>
            </w:pPr>
            <w:r>
              <w:rPr>
                <w:rFonts w:ascii="Verdana" w:eastAsia="Verdana" w:hAnsi="Verdana" w:cs="Verdana"/>
                <w:noProof/>
                <w:color w:val="FFFFFF"/>
              </w:rPr>
              <w:t>Fund capital - active EDFs (A)</w:t>
            </w:r>
          </w:p>
        </w:tc>
        <w:tc>
          <w:tcPr>
            <w:tcW w:w="1747" w:type="dxa"/>
            <w:gridSpan w:val="2"/>
            <w:tcBorders>
              <w:top w:val="nil"/>
              <w:left w:val="nil"/>
              <w:bottom w:val="nil"/>
              <w:right w:val="nil"/>
              <w:tl2br w:val="nil"/>
              <w:tr2bl w:val="nil"/>
            </w:tcBorders>
            <w:shd w:val="solid" w:color="016794" w:fill="FFFFFF"/>
            <w:tcMar>
              <w:left w:w="60" w:type="dxa"/>
              <w:right w:w="60" w:type="dxa"/>
            </w:tcMar>
            <w:vAlign w:val="center"/>
          </w:tcPr>
          <w:p w14:paraId="117779E5" w14:textId="77777777" w:rsidR="00FD1E19" w:rsidRDefault="00FD1E19" w:rsidP="00BE7E4A">
            <w:pPr>
              <w:pStyle w:val="DMETW37225BIPCNA11"/>
              <w:jc w:val="center"/>
              <w:rPr>
                <w:rFonts w:ascii="Verdana" w:eastAsia="Verdana" w:hAnsi="Verdana" w:cs="Verdana"/>
                <w:noProof/>
                <w:color w:val="FFFFFF"/>
              </w:rPr>
            </w:pPr>
            <w:r>
              <w:rPr>
                <w:rFonts w:ascii="Verdana" w:eastAsia="Verdana" w:hAnsi="Verdana" w:cs="Verdana"/>
                <w:noProof/>
                <w:color w:val="FFFFFF"/>
              </w:rPr>
              <w:t>Uncalled funds - active EDFs (B)</w:t>
            </w:r>
          </w:p>
        </w:tc>
        <w:tc>
          <w:tcPr>
            <w:tcW w:w="1691" w:type="dxa"/>
            <w:gridSpan w:val="3"/>
            <w:tcBorders>
              <w:top w:val="nil"/>
              <w:left w:val="nil"/>
              <w:bottom w:val="nil"/>
              <w:right w:val="nil"/>
              <w:tl2br w:val="nil"/>
              <w:tr2bl w:val="nil"/>
            </w:tcBorders>
            <w:shd w:val="solid" w:color="016794" w:fill="FFFFFF"/>
            <w:tcMar>
              <w:left w:w="60" w:type="dxa"/>
              <w:right w:w="60" w:type="dxa"/>
            </w:tcMar>
            <w:vAlign w:val="center"/>
          </w:tcPr>
          <w:p w14:paraId="2F8C11F2" w14:textId="77777777" w:rsidR="00FD1E19" w:rsidRDefault="00FD1E19" w:rsidP="00BE7E4A">
            <w:pPr>
              <w:pStyle w:val="DMETW37225BIPCNA11"/>
              <w:jc w:val="center"/>
              <w:rPr>
                <w:rFonts w:ascii="Verdana" w:eastAsia="Verdana" w:hAnsi="Verdana" w:cs="Verdana"/>
                <w:noProof/>
                <w:color w:val="FFFFFF"/>
              </w:rPr>
            </w:pPr>
            <w:r>
              <w:rPr>
                <w:rFonts w:ascii="Verdana" w:eastAsia="Verdana" w:hAnsi="Verdana" w:cs="Verdana"/>
                <w:noProof/>
                <w:color w:val="FFFFFF"/>
              </w:rPr>
              <w:t>Called fund capital - active EDFs (C) = (A)-(B)</w:t>
            </w:r>
          </w:p>
        </w:tc>
        <w:tc>
          <w:tcPr>
            <w:tcW w:w="1635" w:type="dxa"/>
            <w:gridSpan w:val="3"/>
            <w:tcBorders>
              <w:top w:val="nil"/>
              <w:left w:val="nil"/>
              <w:bottom w:val="nil"/>
              <w:right w:val="nil"/>
              <w:tl2br w:val="nil"/>
              <w:tr2bl w:val="nil"/>
            </w:tcBorders>
            <w:shd w:val="solid" w:color="016794" w:fill="FFFFFF"/>
            <w:tcMar>
              <w:left w:w="60" w:type="dxa"/>
              <w:right w:w="60" w:type="dxa"/>
            </w:tcMar>
            <w:vAlign w:val="center"/>
          </w:tcPr>
          <w:p w14:paraId="2B993CE5" w14:textId="77777777" w:rsidR="00FD1E19" w:rsidRDefault="00FD1E19" w:rsidP="00BE7E4A">
            <w:pPr>
              <w:pStyle w:val="DMETW37225BIPCNA11"/>
              <w:jc w:val="center"/>
              <w:rPr>
                <w:rFonts w:ascii="Verdana" w:eastAsia="Verdana" w:hAnsi="Verdana" w:cs="Verdana"/>
                <w:noProof/>
                <w:color w:val="FFFFFF"/>
              </w:rPr>
            </w:pPr>
            <w:r>
              <w:rPr>
                <w:rFonts w:ascii="Verdana" w:eastAsia="Verdana" w:hAnsi="Verdana" w:cs="Verdana"/>
                <w:noProof/>
                <w:color w:val="FFFFFF"/>
              </w:rPr>
              <w:t>Cumulative reserves (D)</w:t>
            </w:r>
          </w:p>
        </w:tc>
        <w:tc>
          <w:tcPr>
            <w:tcW w:w="1535" w:type="dxa"/>
            <w:gridSpan w:val="3"/>
            <w:tcBorders>
              <w:top w:val="nil"/>
              <w:left w:val="nil"/>
              <w:bottom w:val="nil"/>
              <w:right w:val="nil"/>
              <w:tl2br w:val="nil"/>
              <w:tr2bl w:val="nil"/>
            </w:tcBorders>
            <w:shd w:val="solid" w:color="016794" w:fill="FFFFFF"/>
            <w:tcMar>
              <w:left w:w="60" w:type="dxa"/>
              <w:right w:w="60" w:type="dxa"/>
            </w:tcMar>
            <w:vAlign w:val="center"/>
          </w:tcPr>
          <w:p w14:paraId="30C1D7B6" w14:textId="77777777" w:rsidR="00FD1E19" w:rsidRDefault="00FD1E19" w:rsidP="00BE7E4A">
            <w:pPr>
              <w:pStyle w:val="DMETW37225BIPCNA11"/>
              <w:jc w:val="center"/>
              <w:rPr>
                <w:rFonts w:ascii="Verdana" w:eastAsia="Verdana" w:hAnsi="Verdana" w:cs="Verdana"/>
                <w:noProof/>
                <w:color w:val="FFFFFF"/>
              </w:rPr>
            </w:pPr>
            <w:r>
              <w:rPr>
                <w:rFonts w:ascii="Verdana" w:eastAsia="Verdana" w:hAnsi="Verdana" w:cs="Verdana"/>
                <w:noProof/>
                <w:color w:val="FFFFFF"/>
              </w:rPr>
              <w:t>Called fund capital from closed EDFs carried forward (E)</w:t>
            </w:r>
          </w:p>
        </w:tc>
        <w:tc>
          <w:tcPr>
            <w:tcW w:w="1525" w:type="dxa"/>
            <w:gridSpan w:val="3"/>
            <w:tcBorders>
              <w:top w:val="nil"/>
              <w:left w:val="nil"/>
              <w:bottom w:val="nil"/>
              <w:right w:val="nil"/>
              <w:tl2br w:val="nil"/>
              <w:tr2bl w:val="nil"/>
            </w:tcBorders>
            <w:shd w:val="solid" w:color="016794" w:fill="FFFFFF"/>
            <w:tcMar>
              <w:left w:w="60" w:type="dxa"/>
              <w:right w:w="60" w:type="dxa"/>
            </w:tcMar>
            <w:vAlign w:val="center"/>
          </w:tcPr>
          <w:p w14:paraId="177D35A4" w14:textId="77777777" w:rsidR="00FD1E19" w:rsidRDefault="00FD1E19" w:rsidP="00BE7E4A">
            <w:pPr>
              <w:pStyle w:val="DMETW37225BIPCNA11"/>
              <w:jc w:val="center"/>
              <w:rPr>
                <w:rFonts w:ascii="Verdana" w:eastAsia="Verdana" w:hAnsi="Verdana" w:cs="Verdana"/>
                <w:noProof/>
                <w:color w:val="FFFFFF"/>
              </w:rPr>
            </w:pPr>
            <w:r>
              <w:rPr>
                <w:rFonts w:ascii="Verdana" w:eastAsia="Verdana" w:hAnsi="Verdana" w:cs="Verdana"/>
                <w:noProof/>
                <w:color w:val="FFFFFF"/>
              </w:rPr>
              <w:t>Called fund capital transfers between active EDFs (F)</w:t>
            </w:r>
          </w:p>
        </w:tc>
        <w:tc>
          <w:tcPr>
            <w:tcW w:w="1702" w:type="dxa"/>
            <w:gridSpan w:val="3"/>
            <w:tcBorders>
              <w:top w:val="nil"/>
              <w:left w:val="nil"/>
              <w:bottom w:val="nil"/>
              <w:right w:val="nil"/>
              <w:tl2br w:val="nil"/>
              <w:tr2bl w:val="nil"/>
            </w:tcBorders>
            <w:shd w:val="solid" w:color="016794" w:fill="FFFFFF"/>
            <w:tcMar>
              <w:left w:w="60" w:type="dxa"/>
              <w:right w:w="60" w:type="dxa"/>
            </w:tcMar>
            <w:vAlign w:val="center"/>
          </w:tcPr>
          <w:p w14:paraId="397F83DC" w14:textId="77777777" w:rsidR="00FD1E19" w:rsidRPr="00F72CC2" w:rsidRDefault="00FD1E19" w:rsidP="00BE7E4A">
            <w:pPr>
              <w:pStyle w:val="DMETW37225BIPCNA11"/>
              <w:jc w:val="center"/>
              <w:rPr>
                <w:rFonts w:ascii="Verdana" w:eastAsia="Verdana" w:hAnsi="Verdana" w:cs="Verdana"/>
                <w:noProof/>
                <w:color w:val="FFFFFF"/>
                <w:lang w:val="fr-FR"/>
              </w:rPr>
            </w:pPr>
            <w:r w:rsidRPr="00F72CC2">
              <w:rPr>
                <w:rFonts w:ascii="Verdana" w:eastAsia="Verdana" w:hAnsi="Verdana" w:cs="Verdana"/>
                <w:noProof/>
                <w:color w:val="FFFFFF"/>
                <w:lang w:val="fr-FR"/>
              </w:rPr>
              <w:t>Total net assets (C)+(D)+(E)+</w:t>
            </w:r>
          </w:p>
          <w:p w14:paraId="6BF259FF" w14:textId="77777777" w:rsidR="00FD1E19" w:rsidRDefault="00FD1E19" w:rsidP="00BE7E4A">
            <w:pPr>
              <w:pStyle w:val="DMETW37225BIPCNA11"/>
              <w:jc w:val="center"/>
              <w:rPr>
                <w:rFonts w:ascii="Verdana" w:eastAsia="Verdana" w:hAnsi="Verdana" w:cs="Verdana"/>
                <w:noProof/>
                <w:color w:val="FFFFFF"/>
                <w:lang w:bidi="en-GB"/>
              </w:rPr>
            </w:pPr>
            <w:r>
              <w:rPr>
                <w:rFonts w:ascii="Verdana" w:eastAsia="Verdana" w:hAnsi="Verdana" w:cs="Verdana"/>
                <w:noProof/>
                <w:color w:val="FFFFFF"/>
              </w:rPr>
              <w:t>(F)</w:t>
            </w:r>
          </w:p>
        </w:tc>
      </w:tr>
      <w:tr w:rsidR="00FD1E19" w14:paraId="4322C368" w14:textId="77777777" w:rsidTr="00BE7E4A">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14:paraId="2ACE4898" w14:textId="77777777" w:rsidR="00FD1E19" w:rsidRDefault="00FD1E19" w:rsidP="00BE7E4A">
            <w:pPr>
              <w:pStyle w:val="DMETW37225BIPCNA11"/>
              <w:rPr>
                <w:rFonts w:ascii="Verdana" w:eastAsia="Verdana" w:hAnsi="Verdana" w:cs="Verdana"/>
                <w:b/>
                <w:noProof/>
                <w:color w:val="000000"/>
                <w:sz w:val="18"/>
              </w:rPr>
            </w:pPr>
            <w:r>
              <w:rPr>
                <w:rFonts w:ascii="Verdana" w:eastAsia="Verdana" w:hAnsi="Verdana" w:cs="Verdana"/>
                <w:b/>
                <w:noProof/>
                <w:color w:val="000000"/>
                <w:sz w:val="18"/>
              </w:rPr>
              <w:t>BALANCE AS AT 31.12.2023</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14:paraId="46C3C756"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29 331</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14:paraId="5FC2F918"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6 040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14:paraId="55DAF92A"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23 290</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14:paraId="4C95AC3B"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(23 498)</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14:paraId="24FD2376"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14:paraId="1E46190C"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628</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14:paraId="023B9729" w14:textId="77777777" w:rsidR="00FD1E19" w:rsidRDefault="00FD1E19" w:rsidP="00BE7E4A">
            <w:pPr>
              <w:pStyle w:val="DMETW37225BIPCNA11"/>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422</w:t>
            </w:r>
          </w:p>
        </w:tc>
      </w:tr>
      <w:tr w:rsidR="00FD1E19" w14:paraId="716E9F31" w14:textId="77777777" w:rsidTr="00BE7E4A">
        <w:trPr>
          <w:cantSplit/>
          <w:trHeight w:hRule="exact" w:val="225"/>
        </w:trPr>
        <w:tc>
          <w:tcPr>
            <w:tcW w:w="3286" w:type="dxa"/>
            <w:tcBorders>
              <w:top w:val="nil"/>
              <w:left w:val="nil"/>
              <w:bottom w:val="nil"/>
              <w:right w:val="nil"/>
              <w:tl2br w:val="nil"/>
              <w:tr2bl w:val="nil"/>
            </w:tcBorders>
            <w:shd w:val="clear" w:color="auto" w:fill="auto"/>
            <w:tcMar>
              <w:left w:w="60" w:type="dxa"/>
              <w:right w:w="60" w:type="dxa"/>
            </w:tcMar>
            <w:vAlign w:val="center"/>
          </w:tcPr>
          <w:p w14:paraId="27AF3983" w14:textId="77777777" w:rsidR="00FD1E19" w:rsidRDefault="00FD1E19" w:rsidP="00BE7E4A">
            <w:pPr>
              <w:pStyle w:val="DMETW37225BIPCNA11"/>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569" w:type="dxa"/>
            <w:gridSpan w:val="3"/>
            <w:tcBorders>
              <w:top w:val="nil"/>
              <w:left w:val="nil"/>
              <w:bottom w:val="nil"/>
              <w:right w:val="nil"/>
              <w:tl2br w:val="nil"/>
              <w:tr2bl w:val="nil"/>
            </w:tcBorders>
            <w:shd w:val="clear" w:color="auto" w:fill="auto"/>
            <w:tcMar>
              <w:left w:w="60" w:type="dxa"/>
              <w:right w:w="60" w:type="dxa"/>
            </w:tcMar>
            <w:vAlign w:val="center"/>
          </w:tcPr>
          <w:p w14:paraId="083E2113"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47" w:type="dxa"/>
            <w:gridSpan w:val="2"/>
            <w:tcBorders>
              <w:top w:val="nil"/>
              <w:left w:val="nil"/>
              <w:bottom w:val="nil"/>
              <w:right w:val="nil"/>
              <w:tl2br w:val="nil"/>
              <w:tr2bl w:val="nil"/>
            </w:tcBorders>
            <w:shd w:val="clear" w:color="auto" w:fill="auto"/>
            <w:tcMar>
              <w:left w:w="60" w:type="dxa"/>
              <w:right w:w="60" w:type="dxa"/>
            </w:tcMar>
            <w:vAlign w:val="center"/>
          </w:tcPr>
          <w:p w14:paraId="52877825"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(1 200)</w:t>
            </w:r>
          </w:p>
        </w:tc>
        <w:tc>
          <w:tcPr>
            <w:tcW w:w="1691" w:type="dxa"/>
            <w:gridSpan w:val="3"/>
            <w:tcBorders>
              <w:top w:val="nil"/>
              <w:left w:val="nil"/>
              <w:bottom w:val="nil"/>
              <w:right w:val="nil"/>
              <w:tl2br w:val="nil"/>
              <w:tr2bl w:val="nil"/>
            </w:tcBorders>
            <w:shd w:val="clear" w:color="auto" w:fill="auto"/>
            <w:tcMar>
              <w:left w:w="60" w:type="dxa"/>
              <w:right w:w="60" w:type="dxa"/>
            </w:tcMar>
            <w:vAlign w:val="center"/>
          </w:tcPr>
          <w:p w14:paraId="3218FDA8"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1 200</w:t>
            </w:r>
          </w:p>
        </w:tc>
        <w:tc>
          <w:tcPr>
            <w:tcW w:w="1635" w:type="dxa"/>
            <w:gridSpan w:val="3"/>
            <w:tcBorders>
              <w:top w:val="nil"/>
              <w:left w:val="nil"/>
              <w:bottom w:val="nil"/>
              <w:right w:val="nil"/>
              <w:tl2br w:val="nil"/>
              <w:tr2bl w:val="nil"/>
            </w:tcBorders>
            <w:shd w:val="clear" w:color="auto" w:fill="auto"/>
            <w:tcMar>
              <w:left w:w="60" w:type="dxa"/>
              <w:right w:w="60" w:type="dxa"/>
            </w:tcMar>
            <w:vAlign w:val="center"/>
          </w:tcPr>
          <w:p w14:paraId="03C7E42F"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5" w:type="dxa"/>
            <w:gridSpan w:val="3"/>
            <w:tcBorders>
              <w:top w:val="nil"/>
              <w:left w:val="nil"/>
              <w:bottom w:val="nil"/>
              <w:right w:val="nil"/>
              <w:tl2br w:val="nil"/>
              <w:tr2bl w:val="nil"/>
            </w:tcBorders>
            <w:shd w:val="clear" w:color="auto" w:fill="auto"/>
            <w:tcMar>
              <w:left w:w="60" w:type="dxa"/>
              <w:right w:w="60" w:type="dxa"/>
            </w:tcMar>
            <w:vAlign w:val="center"/>
          </w:tcPr>
          <w:p w14:paraId="2689A3DC"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25" w:type="dxa"/>
            <w:gridSpan w:val="3"/>
            <w:tcBorders>
              <w:top w:val="nil"/>
              <w:left w:val="nil"/>
              <w:bottom w:val="nil"/>
              <w:right w:val="nil"/>
              <w:tl2br w:val="nil"/>
              <w:tr2bl w:val="nil"/>
            </w:tcBorders>
            <w:shd w:val="clear" w:color="auto" w:fill="auto"/>
            <w:tcMar>
              <w:left w:w="60" w:type="dxa"/>
              <w:right w:w="60" w:type="dxa"/>
            </w:tcMar>
            <w:vAlign w:val="center"/>
          </w:tcPr>
          <w:p w14:paraId="095FFF06"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 xml:space="preserve"> 68</w:t>
            </w:r>
          </w:p>
        </w:tc>
        <w:tc>
          <w:tcPr>
            <w:tcW w:w="1702" w:type="dxa"/>
            <w:gridSpan w:val="3"/>
            <w:tcBorders>
              <w:top w:val="nil"/>
              <w:left w:val="nil"/>
              <w:bottom w:val="nil"/>
              <w:right w:val="nil"/>
              <w:tl2br w:val="nil"/>
              <w:tr2bl w:val="nil"/>
            </w:tcBorders>
            <w:shd w:val="clear" w:color="auto" w:fill="auto"/>
            <w:tcMar>
              <w:left w:w="60" w:type="dxa"/>
              <w:right w:w="60" w:type="dxa"/>
            </w:tcMar>
            <w:vAlign w:val="center"/>
          </w:tcPr>
          <w:p w14:paraId="42C74353" w14:textId="77777777" w:rsidR="00FD1E19" w:rsidRDefault="00FD1E19" w:rsidP="00BE7E4A">
            <w:pPr>
              <w:pStyle w:val="DMETW37225BIPCNA11"/>
              <w:jc w:val="right"/>
              <w:rPr>
                <w:rFonts w:ascii="Verdana" w:eastAsia="Verdana" w:hAnsi="Verdana" w:cs="Verdana"/>
                <w:i/>
                <w:noProof/>
                <w:color w:val="000000"/>
                <w:sz w:val="18"/>
                <w:lang w:bidi="en-GB"/>
              </w:rPr>
            </w:pPr>
            <w:r>
              <w:rPr>
                <w:rFonts w:ascii="Verdana" w:eastAsia="Verdana" w:hAnsi="Verdana" w:cs="Verdana"/>
                <w:i/>
                <w:noProof/>
                <w:color w:val="000000"/>
                <w:sz w:val="18"/>
              </w:rPr>
              <w:t>1 268</w:t>
            </w:r>
          </w:p>
        </w:tc>
      </w:tr>
      <w:tr w:rsidR="00FD1E19" w14:paraId="31A7EF23" w14:textId="77777777" w:rsidTr="00BE7E4A">
        <w:trPr>
          <w:cantSplit/>
          <w:trHeight w:hRule="exact" w:val="225"/>
        </w:trPr>
        <w:tc>
          <w:tcPr>
            <w:tcW w:w="3286" w:type="dxa"/>
            <w:tcBorders>
              <w:top w:val="nil"/>
              <w:left w:val="nil"/>
              <w:bottom w:val="nil"/>
              <w:right w:val="nil"/>
              <w:tl2br w:val="nil"/>
              <w:tr2bl w:val="nil"/>
            </w:tcBorders>
            <w:shd w:val="clear" w:color="auto" w:fill="auto"/>
            <w:tcMar>
              <w:left w:w="60" w:type="dxa"/>
              <w:right w:w="60" w:type="dxa"/>
            </w:tcMar>
            <w:vAlign w:val="center"/>
          </w:tcPr>
          <w:p w14:paraId="3BDE050D" w14:textId="77777777" w:rsidR="00FD1E19" w:rsidRDefault="00FD1E19" w:rsidP="00BE7E4A">
            <w:pPr>
              <w:pStyle w:val="DMETW37225BIPCNA11"/>
              <w:rPr>
                <w:rFonts w:ascii="Verdana" w:eastAsia="Verdana" w:hAnsi="Verdana" w:cs="Verdana"/>
                <w:i/>
                <w:noProof/>
                <w:color w:val="000000"/>
                <w:sz w:val="18"/>
              </w:rPr>
            </w:pPr>
            <w:r>
              <w:rPr>
                <w:rFonts w:ascii="Verdana" w:eastAsia="Verdana" w:hAnsi="Verdana" w:cs="Verdana"/>
                <w:i/>
                <w:noProof/>
                <w:color w:val="000000"/>
                <w:sz w:val="18"/>
              </w:rPr>
              <w:t xml:space="preserve">Refund to Member States </w:t>
            </w:r>
          </w:p>
        </w:tc>
        <w:tc>
          <w:tcPr>
            <w:tcW w:w="1569" w:type="dxa"/>
            <w:gridSpan w:val="3"/>
            <w:tcBorders>
              <w:top w:val="nil"/>
              <w:left w:val="nil"/>
              <w:bottom w:val="nil"/>
              <w:right w:val="nil"/>
              <w:tl2br w:val="nil"/>
              <w:tr2bl w:val="nil"/>
            </w:tcBorders>
            <w:shd w:val="clear" w:color="auto" w:fill="auto"/>
            <w:tcMar>
              <w:left w:w="60" w:type="dxa"/>
              <w:right w:w="60" w:type="dxa"/>
            </w:tcMar>
            <w:vAlign w:val="center"/>
          </w:tcPr>
          <w:p w14:paraId="4F748D14"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 xml:space="preserve"> (41)</w:t>
            </w:r>
          </w:p>
        </w:tc>
        <w:tc>
          <w:tcPr>
            <w:tcW w:w="1747" w:type="dxa"/>
            <w:gridSpan w:val="2"/>
            <w:tcBorders>
              <w:top w:val="nil"/>
              <w:left w:val="nil"/>
              <w:bottom w:val="nil"/>
              <w:right w:val="nil"/>
              <w:tl2br w:val="nil"/>
              <w:tr2bl w:val="nil"/>
            </w:tcBorders>
            <w:shd w:val="clear" w:color="auto" w:fill="auto"/>
            <w:tcMar>
              <w:left w:w="60" w:type="dxa"/>
              <w:right w:w="60" w:type="dxa"/>
            </w:tcMar>
            <w:vAlign w:val="center"/>
          </w:tcPr>
          <w:p w14:paraId="45550B70"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91" w:type="dxa"/>
            <w:gridSpan w:val="3"/>
            <w:tcBorders>
              <w:top w:val="nil"/>
              <w:left w:val="nil"/>
              <w:bottom w:val="nil"/>
              <w:right w:val="nil"/>
              <w:tl2br w:val="nil"/>
              <w:tr2bl w:val="nil"/>
            </w:tcBorders>
            <w:shd w:val="clear" w:color="auto" w:fill="auto"/>
            <w:tcMar>
              <w:left w:w="60" w:type="dxa"/>
              <w:right w:w="60" w:type="dxa"/>
            </w:tcMar>
            <w:vAlign w:val="center"/>
          </w:tcPr>
          <w:p w14:paraId="6AA492FD"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 xml:space="preserve"> (41)</w:t>
            </w:r>
          </w:p>
        </w:tc>
        <w:tc>
          <w:tcPr>
            <w:tcW w:w="1635" w:type="dxa"/>
            <w:gridSpan w:val="3"/>
            <w:tcBorders>
              <w:top w:val="nil"/>
              <w:left w:val="nil"/>
              <w:bottom w:val="nil"/>
              <w:right w:val="nil"/>
              <w:tl2br w:val="nil"/>
              <w:tr2bl w:val="nil"/>
            </w:tcBorders>
            <w:shd w:val="clear" w:color="auto" w:fill="auto"/>
            <w:tcMar>
              <w:left w:w="60" w:type="dxa"/>
              <w:right w:w="60" w:type="dxa"/>
            </w:tcMar>
            <w:vAlign w:val="center"/>
          </w:tcPr>
          <w:p w14:paraId="46A7E2CE"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5" w:type="dxa"/>
            <w:gridSpan w:val="3"/>
            <w:tcBorders>
              <w:top w:val="nil"/>
              <w:left w:val="nil"/>
              <w:bottom w:val="nil"/>
              <w:right w:val="nil"/>
              <w:tl2br w:val="nil"/>
              <w:tr2bl w:val="nil"/>
            </w:tcBorders>
            <w:shd w:val="clear" w:color="auto" w:fill="auto"/>
            <w:tcMar>
              <w:left w:w="60" w:type="dxa"/>
              <w:right w:w="60" w:type="dxa"/>
            </w:tcMar>
            <w:vAlign w:val="center"/>
          </w:tcPr>
          <w:p w14:paraId="31B4CC15"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25" w:type="dxa"/>
            <w:gridSpan w:val="3"/>
            <w:tcBorders>
              <w:top w:val="nil"/>
              <w:left w:val="nil"/>
              <w:bottom w:val="nil"/>
              <w:right w:val="nil"/>
              <w:tl2br w:val="nil"/>
              <w:tr2bl w:val="nil"/>
            </w:tcBorders>
            <w:shd w:val="clear" w:color="auto" w:fill="auto"/>
            <w:tcMar>
              <w:left w:w="60" w:type="dxa"/>
              <w:right w:w="60" w:type="dxa"/>
            </w:tcMar>
            <w:vAlign w:val="center"/>
          </w:tcPr>
          <w:p w14:paraId="000613E8"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02" w:type="dxa"/>
            <w:gridSpan w:val="3"/>
            <w:tcBorders>
              <w:top w:val="nil"/>
              <w:left w:val="nil"/>
              <w:bottom w:val="nil"/>
              <w:right w:val="nil"/>
              <w:tl2br w:val="nil"/>
              <w:tr2bl w:val="nil"/>
            </w:tcBorders>
            <w:shd w:val="clear" w:color="auto" w:fill="auto"/>
            <w:tcMar>
              <w:left w:w="60" w:type="dxa"/>
              <w:right w:w="60" w:type="dxa"/>
            </w:tcMar>
            <w:vAlign w:val="center"/>
          </w:tcPr>
          <w:p w14:paraId="04364955" w14:textId="77777777" w:rsidR="00FD1E19" w:rsidRDefault="00FD1E19" w:rsidP="00BE7E4A">
            <w:pPr>
              <w:pStyle w:val="DMETW37225BIPCNA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w:t>
            </w:r>
          </w:p>
        </w:tc>
      </w:tr>
      <w:tr w:rsidR="00FD1E19" w14:paraId="04B46372" w14:textId="77777777" w:rsidTr="00BE7E4A">
        <w:trPr>
          <w:cantSplit/>
          <w:trHeight w:hRule="exact" w:val="225"/>
        </w:trPr>
        <w:tc>
          <w:tcPr>
            <w:tcW w:w="3286" w:type="dxa"/>
            <w:tcBorders>
              <w:top w:val="nil"/>
              <w:left w:val="nil"/>
              <w:bottom w:val="nil"/>
              <w:right w:val="nil"/>
              <w:tl2br w:val="nil"/>
              <w:tr2bl w:val="nil"/>
            </w:tcBorders>
            <w:shd w:val="clear" w:color="auto" w:fill="auto"/>
            <w:tcMar>
              <w:left w:w="60" w:type="dxa"/>
              <w:right w:w="60" w:type="dxa"/>
            </w:tcMar>
            <w:vAlign w:val="center"/>
          </w:tcPr>
          <w:p w14:paraId="128DEE20" w14:textId="77777777" w:rsidR="00FD1E19" w:rsidRDefault="00FD1E19" w:rsidP="00BE7E4A">
            <w:pPr>
              <w:pStyle w:val="DMETW37225BIPCNA11"/>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569" w:type="dxa"/>
            <w:gridSpan w:val="3"/>
            <w:tcBorders>
              <w:top w:val="nil"/>
              <w:left w:val="nil"/>
              <w:bottom w:val="nil"/>
              <w:right w:val="nil"/>
              <w:tl2br w:val="nil"/>
              <w:tr2bl w:val="nil"/>
            </w:tcBorders>
            <w:shd w:val="clear" w:color="auto" w:fill="auto"/>
            <w:tcMar>
              <w:left w:w="60" w:type="dxa"/>
              <w:right w:w="60" w:type="dxa"/>
            </w:tcMar>
            <w:vAlign w:val="center"/>
          </w:tcPr>
          <w:p w14:paraId="69F4EBCF"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47" w:type="dxa"/>
            <w:gridSpan w:val="2"/>
            <w:tcBorders>
              <w:top w:val="nil"/>
              <w:left w:val="nil"/>
              <w:bottom w:val="nil"/>
              <w:right w:val="nil"/>
              <w:tl2br w:val="nil"/>
              <w:tr2bl w:val="nil"/>
            </w:tcBorders>
            <w:shd w:val="clear" w:color="auto" w:fill="auto"/>
            <w:tcMar>
              <w:left w:w="60" w:type="dxa"/>
              <w:right w:w="60" w:type="dxa"/>
            </w:tcMar>
            <w:vAlign w:val="center"/>
          </w:tcPr>
          <w:p w14:paraId="74074827"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91" w:type="dxa"/>
            <w:gridSpan w:val="3"/>
            <w:tcBorders>
              <w:top w:val="nil"/>
              <w:left w:val="nil"/>
              <w:bottom w:val="nil"/>
              <w:right w:val="nil"/>
              <w:tl2br w:val="nil"/>
              <w:tr2bl w:val="nil"/>
            </w:tcBorders>
            <w:shd w:val="clear" w:color="auto" w:fill="auto"/>
            <w:tcMar>
              <w:left w:w="60" w:type="dxa"/>
              <w:right w:w="60" w:type="dxa"/>
            </w:tcMar>
            <w:vAlign w:val="center"/>
          </w:tcPr>
          <w:p w14:paraId="5667E5D8"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35" w:type="dxa"/>
            <w:gridSpan w:val="3"/>
            <w:tcBorders>
              <w:top w:val="nil"/>
              <w:left w:val="nil"/>
              <w:bottom w:val="nil"/>
              <w:right w:val="nil"/>
              <w:tl2br w:val="nil"/>
              <w:tr2bl w:val="nil"/>
            </w:tcBorders>
            <w:shd w:val="clear" w:color="auto" w:fill="auto"/>
            <w:tcMar>
              <w:left w:w="60" w:type="dxa"/>
              <w:right w:w="60" w:type="dxa"/>
            </w:tcMar>
            <w:vAlign w:val="center"/>
          </w:tcPr>
          <w:p w14:paraId="6AE97C0A"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(1 169)</w:t>
            </w:r>
          </w:p>
        </w:tc>
        <w:tc>
          <w:tcPr>
            <w:tcW w:w="1535" w:type="dxa"/>
            <w:gridSpan w:val="3"/>
            <w:tcBorders>
              <w:top w:val="nil"/>
              <w:left w:val="nil"/>
              <w:bottom w:val="nil"/>
              <w:right w:val="nil"/>
              <w:tl2br w:val="nil"/>
              <w:tr2bl w:val="nil"/>
            </w:tcBorders>
            <w:shd w:val="clear" w:color="auto" w:fill="auto"/>
            <w:tcMar>
              <w:left w:w="60" w:type="dxa"/>
              <w:right w:w="60" w:type="dxa"/>
            </w:tcMar>
            <w:vAlign w:val="center"/>
          </w:tcPr>
          <w:p w14:paraId="1A486D0B" w14:textId="77777777" w:rsidR="00FD1E19" w:rsidRDefault="00FD1E19" w:rsidP="00BE7E4A">
            <w:pPr>
              <w:pStyle w:val="DMETW37225BIPCNA11"/>
              <w:jc w:val="right"/>
              <w:rPr>
                <w:rFonts w:ascii="Verdana" w:eastAsia="Verdana" w:hAnsi="Verdana" w:cs="Verdana"/>
                <w:i/>
                <w:noProof/>
                <w:color w:val="000000"/>
                <w:sz w:val="18"/>
              </w:rPr>
            </w:pPr>
          </w:p>
        </w:tc>
        <w:tc>
          <w:tcPr>
            <w:tcW w:w="1525" w:type="dxa"/>
            <w:gridSpan w:val="3"/>
            <w:tcBorders>
              <w:top w:val="nil"/>
              <w:left w:val="nil"/>
              <w:bottom w:val="nil"/>
              <w:right w:val="nil"/>
              <w:tl2br w:val="nil"/>
              <w:tr2bl w:val="nil"/>
            </w:tcBorders>
            <w:shd w:val="clear" w:color="auto" w:fill="auto"/>
            <w:tcMar>
              <w:left w:w="60" w:type="dxa"/>
              <w:right w:w="60" w:type="dxa"/>
            </w:tcMar>
            <w:vAlign w:val="center"/>
          </w:tcPr>
          <w:p w14:paraId="678BF791"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02" w:type="dxa"/>
            <w:gridSpan w:val="3"/>
            <w:tcBorders>
              <w:top w:val="nil"/>
              <w:left w:val="nil"/>
              <w:bottom w:val="nil"/>
              <w:right w:val="nil"/>
              <w:tl2br w:val="nil"/>
              <w:tr2bl w:val="nil"/>
            </w:tcBorders>
            <w:shd w:val="clear" w:color="auto" w:fill="auto"/>
            <w:tcMar>
              <w:left w:w="60" w:type="dxa"/>
              <w:right w:w="60" w:type="dxa"/>
            </w:tcMar>
            <w:vAlign w:val="center"/>
          </w:tcPr>
          <w:p w14:paraId="7FA554D5" w14:textId="77777777" w:rsidR="00FD1E19" w:rsidRDefault="00FD1E19" w:rsidP="00BE7E4A">
            <w:pPr>
              <w:pStyle w:val="DMETW37225BIPCNA11"/>
              <w:jc w:val="right"/>
              <w:rPr>
                <w:rFonts w:ascii="Verdana" w:eastAsia="Verdana" w:hAnsi="Verdana" w:cs="Verdana"/>
                <w:i/>
                <w:noProof/>
                <w:color w:val="000000"/>
                <w:sz w:val="18"/>
                <w:lang w:bidi="en-GB"/>
              </w:rPr>
            </w:pPr>
            <w:r>
              <w:rPr>
                <w:rFonts w:ascii="Verdana" w:eastAsia="Verdana" w:hAnsi="Verdana" w:cs="Verdana"/>
                <w:i/>
                <w:noProof/>
                <w:color w:val="000000"/>
                <w:sz w:val="18"/>
              </w:rPr>
              <w:t>(1 169)</w:t>
            </w:r>
          </w:p>
        </w:tc>
      </w:tr>
      <w:tr w:rsidR="00FD1E19" w14:paraId="2BE5C936" w14:textId="77777777" w:rsidTr="00BE7E4A">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14:paraId="1757CDD4" w14:textId="77777777" w:rsidR="00FD1E19" w:rsidRDefault="00FD1E19" w:rsidP="00BE7E4A">
            <w:pPr>
              <w:pStyle w:val="DMETW37225BIPCNA11"/>
              <w:rPr>
                <w:rFonts w:ascii="Verdana" w:eastAsia="Verdana" w:hAnsi="Verdana" w:cs="Verdana"/>
                <w:b/>
                <w:noProof/>
                <w:color w:val="000000"/>
                <w:sz w:val="18"/>
              </w:rPr>
            </w:pPr>
            <w:r>
              <w:rPr>
                <w:rFonts w:ascii="Verdana" w:eastAsia="Verdana" w:hAnsi="Verdana" w:cs="Verdana"/>
                <w:b/>
                <w:noProof/>
                <w:color w:val="000000"/>
                <w:sz w:val="18"/>
              </w:rPr>
              <w:t>BALANCE AS AT 31.12.2024</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14:paraId="1E800773"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29 290</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14:paraId="30AA7A8E"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4 840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14:paraId="172C60C5"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24 449</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14:paraId="1C892E79"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(24 667)</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14:paraId="55C8A7AE"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14:paraId="0DD5A23E"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696</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14:paraId="57BDEACE" w14:textId="77777777" w:rsidR="00FD1E19" w:rsidRDefault="00FD1E19" w:rsidP="00BE7E4A">
            <w:pPr>
              <w:pStyle w:val="DMETW37225BIPCNA11"/>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479</w:t>
            </w:r>
          </w:p>
        </w:tc>
      </w:tr>
      <w:tr w:rsidR="00FD1E19" w14:paraId="3CE12761" w14:textId="77777777" w:rsidTr="00BE7E4A">
        <w:trPr>
          <w:cantSplit/>
          <w:trHeight w:hRule="exact" w:val="225"/>
        </w:trPr>
        <w:tc>
          <w:tcPr>
            <w:tcW w:w="3286" w:type="dxa"/>
            <w:tcBorders>
              <w:top w:val="nil"/>
              <w:left w:val="nil"/>
              <w:bottom w:val="nil"/>
              <w:right w:val="nil"/>
              <w:tl2br w:val="nil"/>
              <w:tr2bl w:val="nil"/>
            </w:tcBorders>
            <w:shd w:val="clear" w:color="auto" w:fill="auto"/>
            <w:tcMar>
              <w:left w:w="60" w:type="dxa"/>
              <w:right w:w="60" w:type="dxa"/>
            </w:tcMar>
            <w:vAlign w:val="center"/>
          </w:tcPr>
          <w:p w14:paraId="2964F76F" w14:textId="77777777" w:rsidR="00FD1E19" w:rsidRDefault="00FD1E19" w:rsidP="00BE7E4A">
            <w:pPr>
              <w:pStyle w:val="DMETW37225BIPCNA11"/>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569" w:type="dxa"/>
            <w:gridSpan w:val="3"/>
            <w:tcBorders>
              <w:top w:val="nil"/>
              <w:left w:val="nil"/>
              <w:bottom w:val="nil"/>
              <w:right w:val="nil"/>
              <w:tl2br w:val="nil"/>
              <w:tr2bl w:val="nil"/>
            </w:tcBorders>
            <w:shd w:val="clear" w:color="auto" w:fill="auto"/>
            <w:tcMar>
              <w:left w:w="60" w:type="dxa"/>
              <w:right w:w="60" w:type="dxa"/>
            </w:tcMar>
            <w:vAlign w:val="center"/>
          </w:tcPr>
          <w:p w14:paraId="2175167F"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47" w:type="dxa"/>
            <w:gridSpan w:val="2"/>
            <w:tcBorders>
              <w:top w:val="nil"/>
              <w:left w:val="nil"/>
              <w:bottom w:val="nil"/>
              <w:right w:val="nil"/>
              <w:tl2br w:val="nil"/>
              <w:tr2bl w:val="nil"/>
            </w:tcBorders>
            <w:shd w:val="clear" w:color="auto" w:fill="auto"/>
            <w:tcMar>
              <w:left w:w="60" w:type="dxa"/>
              <w:right w:w="60" w:type="dxa"/>
            </w:tcMar>
            <w:vAlign w:val="center"/>
          </w:tcPr>
          <w:p w14:paraId="23ECD051"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 xml:space="preserve"> (800)</w:t>
            </w:r>
          </w:p>
        </w:tc>
        <w:tc>
          <w:tcPr>
            <w:tcW w:w="1691" w:type="dxa"/>
            <w:gridSpan w:val="3"/>
            <w:tcBorders>
              <w:top w:val="nil"/>
              <w:left w:val="nil"/>
              <w:bottom w:val="nil"/>
              <w:right w:val="nil"/>
              <w:tl2br w:val="nil"/>
              <w:tr2bl w:val="nil"/>
            </w:tcBorders>
            <w:shd w:val="clear" w:color="auto" w:fill="auto"/>
            <w:tcMar>
              <w:left w:w="60" w:type="dxa"/>
              <w:right w:w="60" w:type="dxa"/>
            </w:tcMar>
            <w:vAlign w:val="center"/>
          </w:tcPr>
          <w:p w14:paraId="4F008685"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 xml:space="preserve"> 800</w:t>
            </w:r>
          </w:p>
        </w:tc>
        <w:tc>
          <w:tcPr>
            <w:tcW w:w="1635" w:type="dxa"/>
            <w:gridSpan w:val="3"/>
            <w:tcBorders>
              <w:top w:val="nil"/>
              <w:left w:val="nil"/>
              <w:bottom w:val="nil"/>
              <w:right w:val="nil"/>
              <w:tl2br w:val="nil"/>
              <w:tr2bl w:val="nil"/>
            </w:tcBorders>
            <w:shd w:val="clear" w:color="auto" w:fill="auto"/>
            <w:tcMar>
              <w:left w:w="60" w:type="dxa"/>
              <w:right w:w="60" w:type="dxa"/>
            </w:tcMar>
            <w:vAlign w:val="center"/>
          </w:tcPr>
          <w:p w14:paraId="62358703"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5" w:type="dxa"/>
            <w:gridSpan w:val="3"/>
            <w:tcBorders>
              <w:top w:val="nil"/>
              <w:left w:val="nil"/>
              <w:bottom w:val="nil"/>
              <w:right w:val="nil"/>
              <w:tl2br w:val="nil"/>
              <w:tr2bl w:val="nil"/>
            </w:tcBorders>
            <w:shd w:val="clear" w:color="auto" w:fill="auto"/>
            <w:tcMar>
              <w:left w:w="60" w:type="dxa"/>
              <w:right w:w="60" w:type="dxa"/>
            </w:tcMar>
            <w:vAlign w:val="center"/>
          </w:tcPr>
          <w:p w14:paraId="3A89711B"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25" w:type="dxa"/>
            <w:gridSpan w:val="3"/>
            <w:tcBorders>
              <w:top w:val="nil"/>
              <w:left w:val="nil"/>
              <w:bottom w:val="nil"/>
              <w:right w:val="nil"/>
              <w:tl2br w:val="nil"/>
              <w:tr2bl w:val="nil"/>
            </w:tcBorders>
            <w:shd w:val="clear" w:color="auto" w:fill="auto"/>
            <w:tcMar>
              <w:left w:w="60" w:type="dxa"/>
              <w:right w:w="60" w:type="dxa"/>
            </w:tcMar>
            <w:vAlign w:val="center"/>
          </w:tcPr>
          <w:p w14:paraId="45C4EBAE"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02" w:type="dxa"/>
            <w:gridSpan w:val="3"/>
            <w:tcBorders>
              <w:top w:val="nil"/>
              <w:left w:val="nil"/>
              <w:bottom w:val="nil"/>
              <w:right w:val="nil"/>
              <w:tl2br w:val="nil"/>
              <w:tr2bl w:val="nil"/>
            </w:tcBorders>
            <w:shd w:val="clear" w:color="auto" w:fill="auto"/>
            <w:tcMar>
              <w:left w:w="60" w:type="dxa"/>
              <w:right w:w="60" w:type="dxa"/>
            </w:tcMar>
            <w:vAlign w:val="center"/>
          </w:tcPr>
          <w:p w14:paraId="2E924801" w14:textId="77777777" w:rsidR="00FD1E19" w:rsidRDefault="00FD1E19" w:rsidP="00BE7E4A">
            <w:pPr>
              <w:pStyle w:val="DMETW37225BIPCNA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800</w:t>
            </w:r>
          </w:p>
        </w:tc>
      </w:tr>
      <w:tr w:rsidR="00FD1E19" w14:paraId="5F44E09E" w14:textId="77777777" w:rsidTr="00BE7E4A">
        <w:trPr>
          <w:cantSplit/>
          <w:trHeight w:hRule="exact" w:val="225"/>
        </w:trPr>
        <w:tc>
          <w:tcPr>
            <w:tcW w:w="3286" w:type="dxa"/>
            <w:tcBorders>
              <w:top w:val="nil"/>
              <w:left w:val="nil"/>
              <w:bottom w:val="nil"/>
              <w:right w:val="nil"/>
              <w:tl2br w:val="nil"/>
              <w:tr2bl w:val="nil"/>
            </w:tcBorders>
            <w:shd w:val="clear" w:color="auto" w:fill="auto"/>
            <w:tcMar>
              <w:left w:w="60" w:type="dxa"/>
              <w:right w:w="60" w:type="dxa"/>
            </w:tcMar>
            <w:vAlign w:val="center"/>
          </w:tcPr>
          <w:p w14:paraId="24B085FD" w14:textId="77777777" w:rsidR="00FD1E19" w:rsidRDefault="00FD1E19" w:rsidP="00BE7E4A">
            <w:pPr>
              <w:pStyle w:val="DMETW37225BIPCNA11"/>
              <w:rPr>
                <w:rFonts w:ascii="Verdana" w:eastAsia="Verdana" w:hAnsi="Verdana" w:cs="Verdana"/>
                <w:i/>
                <w:noProof/>
                <w:color w:val="000000"/>
                <w:sz w:val="18"/>
              </w:rPr>
            </w:pPr>
            <w:r>
              <w:rPr>
                <w:rFonts w:ascii="Verdana" w:eastAsia="Verdana" w:hAnsi="Verdana" w:cs="Verdana"/>
                <w:i/>
                <w:noProof/>
                <w:color w:val="000000"/>
                <w:sz w:val="18"/>
              </w:rPr>
              <w:t xml:space="preserve">Refund to Member States </w:t>
            </w:r>
          </w:p>
        </w:tc>
        <w:tc>
          <w:tcPr>
            <w:tcW w:w="1569" w:type="dxa"/>
            <w:gridSpan w:val="3"/>
            <w:tcBorders>
              <w:top w:val="nil"/>
              <w:left w:val="nil"/>
              <w:bottom w:val="nil"/>
              <w:right w:val="nil"/>
              <w:tl2br w:val="nil"/>
              <w:tr2bl w:val="nil"/>
            </w:tcBorders>
            <w:shd w:val="clear" w:color="auto" w:fill="auto"/>
            <w:tcMar>
              <w:left w:w="60" w:type="dxa"/>
              <w:right w:w="60" w:type="dxa"/>
            </w:tcMar>
            <w:vAlign w:val="center"/>
          </w:tcPr>
          <w:p w14:paraId="2310F4E8"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747" w:type="dxa"/>
            <w:gridSpan w:val="2"/>
            <w:tcBorders>
              <w:top w:val="nil"/>
              <w:left w:val="nil"/>
              <w:bottom w:val="nil"/>
              <w:right w:val="nil"/>
              <w:tl2br w:val="nil"/>
              <w:tr2bl w:val="nil"/>
            </w:tcBorders>
            <w:shd w:val="clear" w:color="auto" w:fill="auto"/>
            <w:tcMar>
              <w:left w:w="60" w:type="dxa"/>
              <w:right w:w="60" w:type="dxa"/>
            </w:tcMar>
            <w:vAlign w:val="center"/>
          </w:tcPr>
          <w:p w14:paraId="5C903262"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91" w:type="dxa"/>
            <w:gridSpan w:val="3"/>
            <w:tcBorders>
              <w:top w:val="nil"/>
              <w:left w:val="nil"/>
              <w:bottom w:val="nil"/>
              <w:right w:val="nil"/>
              <w:tl2br w:val="nil"/>
              <w:tr2bl w:val="nil"/>
            </w:tcBorders>
            <w:shd w:val="clear" w:color="auto" w:fill="auto"/>
            <w:tcMar>
              <w:left w:w="60" w:type="dxa"/>
              <w:right w:w="60" w:type="dxa"/>
            </w:tcMar>
            <w:vAlign w:val="center"/>
          </w:tcPr>
          <w:p w14:paraId="22E9CC18"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635" w:type="dxa"/>
            <w:gridSpan w:val="3"/>
            <w:tcBorders>
              <w:top w:val="nil"/>
              <w:left w:val="nil"/>
              <w:bottom w:val="nil"/>
              <w:right w:val="nil"/>
              <w:tl2br w:val="nil"/>
              <w:tr2bl w:val="nil"/>
            </w:tcBorders>
            <w:shd w:val="clear" w:color="auto" w:fill="auto"/>
            <w:tcMar>
              <w:left w:w="60" w:type="dxa"/>
              <w:right w:w="60" w:type="dxa"/>
            </w:tcMar>
            <w:vAlign w:val="center"/>
          </w:tcPr>
          <w:p w14:paraId="7E477D2C"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35" w:type="dxa"/>
            <w:gridSpan w:val="3"/>
            <w:tcBorders>
              <w:top w:val="nil"/>
              <w:left w:val="nil"/>
              <w:bottom w:val="nil"/>
              <w:right w:val="nil"/>
              <w:tl2br w:val="nil"/>
              <w:tr2bl w:val="nil"/>
            </w:tcBorders>
            <w:shd w:val="clear" w:color="auto" w:fill="auto"/>
            <w:tcMar>
              <w:left w:w="60" w:type="dxa"/>
              <w:right w:w="60" w:type="dxa"/>
            </w:tcMar>
            <w:vAlign w:val="center"/>
          </w:tcPr>
          <w:p w14:paraId="1799F3A1"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25" w:type="dxa"/>
            <w:gridSpan w:val="3"/>
            <w:tcBorders>
              <w:top w:val="nil"/>
              <w:left w:val="nil"/>
              <w:bottom w:val="nil"/>
              <w:right w:val="nil"/>
              <w:tl2br w:val="nil"/>
              <w:tr2bl w:val="nil"/>
            </w:tcBorders>
            <w:shd w:val="clear" w:color="auto" w:fill="auto"/>
            <w:tcMar>
              <w:left w:w="60" w:type="dxa"/>
              <w:right w:w="60" w:type="dxa"/>
            </w:tcMar>
            <w:vAlign w:val="center"/>
          </w:tcPr>
          <w:p w14:paraId="082417AC"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02" w:type="dxa"/>
            <w:gridSpan w:val="3"/>
            <w:tcBorders>
              <w:top w:val="nil"/>
              <w:left w:val="nil"/>
              <w:bottom w:val="nil"/>
              <w:right w:val="nil"/>
              <w:tl2br w:val="nil"/>
              <w:tr2bl w:val="nil"/>
            </w:tcBorders>
            <w:shd w:val="clear" w:color="auto" w:fill="auto"/>
            <w:tcMar>
              <w:left w:w="60" w:type="dxa"/>
              <w:right w:w="60" w:type="dxa"/>
            </w:tcMar>
            <w:vAlign w:val="center"/>
          </w:tcPr>
          <w:p w14:paraId="6BACCD17" w14:textId="77777777" w:rsidR="00FD1E19" w:rsidRDefault="00FD1E19" w:rsidP="00BE7E4A">
            <w:pPr>
              <w:pStyle w:val="DMETW37225BIPCNA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w:t>
            </w:r>
          </w:p>
        </w:tc>
      </w:tr>
      <w:tr w:rsidR="00FD1E19" w14:paraId="759788D3" w14:textId="77777777" w:rsidTr="00BE7E4A">
        <w:trPr>
          <w:cantSplit/>
          <w:trHeight w:hRule="exact" w:val="225"/>
        </w:trPr>
        <w:tc>
          <w:tcPr>
            <w:tcW w:w="3286" w:type="dxa"/>
            <w:tcBorders>
              <w:top w:val="nil"/>
              <w:left w:val="nil"/>
              <w:bottom w:val="nil"/>
              <w:right w:val="nil"/>
              <w:tl2br w:val="nil"/>
              <w:tr2bl w:val="nil"/>
            </w:tcBorders>
            <w:shd w:val="clear" w:color="auto" w:fill="auto"/>
            <w:tcMar>
              <w:left w:w="60" w:type="dxa"/>
              <w:right w:w="60" w:type="dxa"/>
            </w:tcMar>
            <w:vAlign w:val="center"/>
          </w:tcPr>
          <w:p w14:paraId="7069F193" w14:textId="77777777" w:rsidR="00FD1E19" w:rsidRDefault="00FD1E19" w:rsidP="00BE7E4A">
            <w:pPr>
              <w:pStyle w:val="DMETW37225BIPCNA11"/>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569" w:type="dxa"/>
            <w:gridSpan w:val="3"/>
            <w:tcBorders>
              <w:top w:val="nil"/>
              <w:left w:val="nil"/>
              <w:bottom w:val="nil"/>
              <w:right w:val="nil"/>
              <w:tl2br w:val="nil"/>
              <w:tr2bl w:val="nil"/>
            </w:tcBorders>
            <w:shd w:val="clear" w:color="auto" w:fill="auto"/>
            <w:tcMar>
              <w:left w:w="60" w:type="dxa"/>
              <w:right w:w="60" w:type="dxa"/>
            </w:tcMar>
            <w:vAlign w:val="center"/>
          </w:tcPr>
          <w:p w14:paraId="2B658EFD"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47" w:type="dxa"/>
            <w:gridSpan w:val="2"/>
            <w:tcBorders>
              <w:top w:val="nil"/>
              <w:left w:val="nil"/>
              <w:bottom w:val="nil"/>
              <w:right w:val="nil"/>
              <w:tl2br w:val="nil"/>
              <w:tr2bl w:val="nil"/>
            </w:tcBorders>
            <w:shd w:val="clear" w:color="auto" w:fill="auto"/>
            <w:tcMar>
              <w:left w:w="60" w:type="dxa"/>
              <w:right w:w="60" w:type="dxa"/>
            </w:tcMar>
            <w:vAlign w:val="center"/>
          </w:tcPr>
          <w:p w14:paraId="722B39AD"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91" w:type="dxa"/>
            <w:gridSpan w:val="3"/>
            <w:tcBorders>
              <w:top w:val="nil"/>
              <w:left w:val="nil"/>
              <w:bottom w:val="nil"/>
              <w:right w:val="nil"/>
              <w:tl2br w:val="nil"/>
              <w:tr2bl w:val="nil"/>
            </w:tcBorders>
            <w:shd w:val="clear" w:color="auto" w:fill="auto"/>
            <w:tcMar>
              <w:left w:w="60" w:type="dxa"/>
              <w:right w:w="60" w:type="dxa"/>
            </w:tcMar>
            <w:vAlign w:val="center"/>
          </w:tcPr>
          <w:p w14:paraId="7F50A3C5"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35" w:type="dxa"/>
            <w:gridSpan w:val="3"/>
            <w:tcBorders>
              <w:top w:val="nil"/>
              <w:left w:val="nil"/>
              <w:bottom w:val="nil"/>
              <w:right w:val="nil"/>
              <w:tl2br w:val="nil"/>
              <w:tr2bl w:val="nil"/>
            </w:tcBorders>
            <w:shd w:val="clear" w:color="auto" w:fill="auto"/>
            <w:tcMar>
              <w:left w:w="60" w:type="dxa"/>
              <w:right w:w="60" w:type="dxa"/>
            </w:tcMar>
            <w:vAlign w:val="center"/>
          </w:tcPr>
          <w:p w14:paraId="53A7BB92"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(1 004)</w:t>
            </w:r>
          </w:p>
        </w:tc>
        <w:tc>
          <w:tcPr>
            <w:tcW w:w="1535" w:type="dxa"/>
            <w:gridSpan w:val="3"/>
            <w:tcBorders>
              <w:top w:val="nil"/>
              <w:left w:val="nil"/>
              <w:bottom w:val="nil"/>
              <w:right w:val="nil"/>
              <w:tl2br w:val="nil"/>
              <w:tr2bl w:val="nil"/>
            </w:tcBorders>
            <w:shd w:val="clear" w:color="auto" w:fill="auto"/>
            <w:tcMar>
              <w:left w:w="60" w:type="dxa"/>
              <w:right w:w="60" w:type="dxa"/>
            </w:tcMar>
            <w:vAlign w:val="center"/>
          </w:tcPr>
          <w:p w14:paraId="64D3A561"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25" w:type="dxa"/>
            <w:gridSpan w:val="3"/>
            <w:tcBorders>
              <w:top w:val="nil"/>
              <w:left w:val="nil"/>
              <w:bottom w:val="nil"/>
              <w:right w:val="nil"/>
              <w:tl2br w:val="nil"/>
              <w:tr2bl w:val="nil"/>
            </w:tcBorders>
            <w:shd w:val="clear" w:color="auto" w:fill="auto"/>
            <w:tcMar>
              <w:left w:w="60" w:type="dxa"/>
              <w:right w:w="60" w:type="dxa"/>
            </w:tcMar>
            <w:vAlign w:val="center"/>
          </w:tcPr>
          <w:p w14:paraId="267C762C" w14:textId="77777777" w:rsidR="00FD1E19" w:rsidRDefault="00FD1E19" w:rsidP="00BE7E4A">
            <w:pPr>
              <w:pStyle w:val="DMETW37225BIPCNA11"/>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702" w:type="dxa"/>
            <w:gridSpan w:val="3"/>
            <w:tcBorders>
              <w:top w:val="nil"/>
              <w:left w:val="nil"/>
              <w:bottom w:val="nil"/>
              <w:right w:val="nil"/>
              <w:tl2br w:val="nil"/>
              <w:tr2bl w:val="nil"/>
            </w:tcBorders>
            <w:shd w:val="clear" w:color="auto" w:fill="auto"/>
            <w:tcMar>
              <w:left w:w="60" w:type="dxa"/>
              <w:right w:w="60" w:type="dxa"/>
            </w:tcMar>
            <w:vAlign w:val="center"/>
          </w:tcPr>
          <w:p w14:paraId="0FCE3A19" w14:textId="77777777" w:rsidR="00FD1E19" w:rsidRDefault="00FD1E19" w:rsidP="00BE7E4A">
            <w:pPr>
              <w:pStyle w:val="DMETW37225BIPCNA11"/>
              <w:jc w:val="right"/>
              <w:rPr>
                <w:rFonts w:ascii="Verdana" w:eastAsia="Verdana" w:hAnsi="Verdana" w:cs="Verdana"/>
                <w:i/>
                <w:noProof/>
                <w:color w:val="000000"/>
                <w:sz w:val="18"/>
                <w:lang w:bidi="en-GB"/>
              </w:rPr>
            </w:pPr>
            <w:r>
              <w:rPr>
                <w:rFonts w:ascii="Verdana" w:eastAsia="Verdana" w:hAnsi="Verdana" w:cs="Verdana"/>
                <w:i/>
                <w:noProof/>
                <w:color w:val="000000"/>
                <w:sz w:val="18"/>
              </w:rPr>
              <w:t>(1 004)</w:t>
            </w:r>
          </w:p>
        </w:tc>
      </w:tr>
      <w:tr w:rsidR="00FD1E19" w14:paraId="4B342A99" w14:textId="77777777" w:rsidTr="00BE7E4A">
        <w:trPr>
          <w:cantSplit/>
          <w:trHeight w:hRule="exact" w:val="225"/>
        </w:trPr>
        <w:tc>
          <w:tcPr>
            <w:tcW w:w="3286" w:type="dxa"/>
            <w:tcBorders>
              <w:top w:val="nil"/>
              <w:left w:val="nil"/>
              <w:bottom w:val="nil"/>
              <w:right w:val="nil"/>
              <w:tl2br w:val="nil"/>
              <w:tr2bl w:val="nil"/>
            </w:tcBorders>
            <w:shd w:val="solid" w:color="CCE1EA" w:fill="FFFFFF"/>
            <w:tcMar>
              <w:left w:w="60" w:type="dxa"/>
              <w:right w:w="60" w:type="dxa"/>
            </w:tcMar>
            <w:vAlign w:val="center"/>
          </w:tcPr>
          <w:p w14:paraId="51690C40" w14:textId="77777777" w:rsidR="00FD1E19" w:rsidRDefault="00FD1E19" w:rsidP="00BE7E4A">
            <w:pPr>
              <w:pStyle w:val="DMETW37225BIPCNA11"/>
              <w:rPr>
                <w:rFonts w:ascii="Verdana" w:eastAsia="Verdana" w:hAnsi="Verdana" w:cs="Verdana"/>
                <w:b/>
                <w:noProof/>
                <w:color w:val="000000"/>
                <w:sz w:val="18"/>
              </w:rPr>
            </w:pPr>
            <w:r>
              <w:rPr>
                <w:rFonts w:ascii="Verdana" w:eastAsia="Verdana" w:hAnsi="Verdana" w:cs="Verdana"/>
                <w:b/>
                <w:noProof/>
                <w:color w:val="000000"/>
                <w:sz w:val="18"/>
              </w:rPr>
              <w:t>BALANCE AS AT 31.12.2025</w:t>
            </w:r>
          </w:p>
        </w:tc>
        <w:tc>
          <w:tcPr>
            <w:tcW w:w="1569" w:type="dxa"/>
            <w:gridSpan w:val="3"/>
            <w:tcBorders>
              <w:top w:val="nil"/>
              <w:left w:val="nil"/>
              <w:bottom w:val="nil"/>
              <w:right w:val="nil"/>
              <w:tl2br w:val="nil"/>
              <w:tr2bl w:val="nil"/>
            </w:tcBorders>
            <w:shd w:val="solid" w:color="CCE1EA" w:fill="FFFFFF"/>
            <w:tcMar>
              <w:left w:w="60" w:type="dxa"/>
              <w:right w:w="60" w:type="dxa"/>
            </w:tcMar>
            <w:vAlign w:val="center"/>
          </w:tcPr>
          <w:p w14:paraId="4607C7FE"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29 278</w:t>
            </w:r>
          </w:p>
        </w:tc>
        <w:tc>
          <w:tcPr>
            <w:tcW w:w="1747" w:type="dxa"/>
            <w:gridSpan w:val="2"/>
            <w:tcBorders>
              <w:top w:val="nil"/>
              <w:left w:val="nil"/>
              <w:bottom w:val="nil"/>
              <w:right w:val="nil"/>
              <w:tl2br w:val="nil"/>
              <w:tr2bl w:val="nil"/>
            </w:tcBorders>
            <w:shd w:val="solid" w:color="CCE1EA" w:fill="FFFFFF"/>
            <w:tcMar>
              <w:left w:w="60" w:type="dxa"/>
              <w:right w:w="60" w:type="dxa"/>
            </w:tcMar>
            <w:vAlign w:val="center"/>
          </w:tcPr>
          <w:p w14:paraId="339045D3"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4 040</w:t>
            </w:r>
          </w:p>
        </w:tc>
        <w:tc>
          <w:tcPr>
            <w:tcW w:w="1691" w:type="dxa"/>
            <w:gridSpan w:val="3"/>
            <w:tcBorders>
              <w:top w:val="nil"/>
              <w:left w:val="nil"/>
              <w:bottom w:val="nil"/>
              <w:right w:val="nil"/>
              <w:tl2br w:val="nil"/>
              <w:tr2bl w:val="nil"/>
            </w:tcBorders>
            <w:shd w:val="solid" w:color="CCE1EA" w:fill="FFFFFF"/>
            <w:tcMar>
              <w:left w:w="60" w:type="dxa"/>
              <w:right w:w="60" w:type="dxa"/>
            </w:tcMar>
            <w:vAlign w:val="center"/>
          </w:tcPr>
          <w:p w14:paraId="40D36E5E"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25 237</w:t>
            </w:r>
          </w:p>
        </w:tc>
        <w:tc>
          <w:tcPr>
            <w:tcW w:w="1635" w:type="dxa"/>
            <w:gridSpan w:val="3"/>
            <w:tcBorders>
              <w:top w:val="nil"/>
              <w:left w:val="nil"/>
              <w:bottom w:val="nil"/>
              <w:right w:val="nil"/>
              <w:tl2br w:val="nil"/>
              <w:tr2bl w:val="nil"/>
            </w:tcBorders>
            <w:shd w:val="solid" w:color="CCE1EA" w:fill="FFFFFF"/>
            <w:tcMar>
              <w:left w:w="60" w:type="dxa"/>
              <w:right w:w="60" w:type="dxa"/>
            </w:tcMar>
            <w:vAlign w:val="center"/>
          </w:tcPr>
          <w:p w14:paraId="0A3DE744"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(25 671)</w:t>
            </w:r>
          </w:p>
        </w:tc>
        <w:tc>
          <w:tcPr>
            <w:tcW w:w="1535" w:type="dxa"/>
            <w:gridSpan w:val="3"/>
            <w:tcBorders>
              <w:top w:val="nil"/>
              <w:left w:val="nil"/>
              <w:bottom w:val="nil"/>
              <w:right w:val="nil"/>
              <w:tl2br w:val="nil"/>
              <w:tr2bl w:val="nil"/>
            </w:tcBorders>
            <w:shd w:val="solid" w:color="CCE1EA" w:fill="FFFFFF"/>
            <w:tcMar>
              <w:left w:w="60" w:type="dxa"/>
              <w:right w:w="60" w:type="dxa"/>
            </w:tcMar>
            <w:vAlign w:val="center"/>
          </w:tcPr>
          <w:p w14:paraId="03DDCA63"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525" w:type="dxa"/>
            <w:gridSpan w:val="3"/>
            <w:tcBorders>
              <w:top w:val="nil"/>
              <w:left w:val="nil"/>
              <w:bottom w:val="nil"/>
              <w:right w:val="nil"/>
              <w:tl2br w:val="nil"/>
              <w:tr2bl w:val="nil"/>
            </w:tcBorders>
            <w:shd w:val="solid" w:color="CCE1EA" w:fill="FFFFFF"/>
            <w:tcMar>
              <w:left w:w="60" w:type="dxa"/>
              <w:right w:w="60" w:type="dxa"/>
            </w:tcMar>
            <w:vAlign w:val="center"/>
          </w:tcPr>
          <w:p w14:paraId="6EA9F1A8"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696</w:t>
            </w:r>
          </w:p>
        </w:tc>
        <w:tc>
          <w:tcPr>
            <w:tcW w:w="1702" w:type="dxa"/>
            <w:gridSpan w:val="3"/>
            <w:tcBorders>
              <w:top w:val="nil"/>
              <w:left w:val="nil"/>
              <w:bottom w:val="nil"/>
              <w:right w:val="nil"/>
              <w:tl2br w:val="nil"/>
              <w:tr2bl w:val="nil"/>
            </w:tcBorders>
            <w:shd w:val="solid" w:color="CCE1EA" w:fill="FFFFFF"/>
            <w:tcMar>
              <w:left w:w="60" w:type="dxa"/>
              <w:right w:w="60" w:type="dxa"/>
            </w:tcMar>
            <w:vAlign w:val="center"/>
          </w:tcPr>
          <w:p w14:paraId="08A8B4FE" w14:textId="77777777" w:rsidR="00FD1E19" w:rsidRDefault="00FD1E19" w:rsidP="00BE7E4A">
            <w:pPr>
              <w:pStyle w:val="DMETW37225BIPCNA11"/>
              <w:jc w:val="right"/>
              <w:rPr>
                <w:rFonts w:ascii="Verdana" w:eastAsia="Verdana" w:hAnsi="Verdana" w:cs="Verdana"/>
                <w:b/>
                <w:noProof/>
                <w:color w:val="000000"/>
                <w:sz w:val="18"/>
              </w:rPr>
            </w:pPr>
            <w:r>
              <w:rPr>
                <w:rFonts w:ascii="Verdana" w:eastAsia="Verdana" w:hAnsi="Verdana" w:cs="Verdana"/>
                <w:b/>
                <w:noProof/>
                <w:color w:val="000000"/>
                <w:sz w:val="18"/>
              </w:rPr>
              <w:t xml:space="preserve">  263</w:t>
            </w:r>
          </w:p>
        </w:tc>
      </w:tr>
    </w:tbl>
    <w:p w14:paraId="2B52FD82" w14:textId="77777777" w:rsidR="00FD1E19" w:rsidRDefault="00FD1E19" w:rsidP="00FD1E19">
      <w:pPr>
        <w:pStyle w:val="Textstand-alone"/>
      </w:pPr>
    </w:p>
    <w:bookmarkEnd w:id="28"/>
    <w:p w14:paraId="29D43A79" w14:textId="77777777" w:rsidR="00FD1E19" w:rsidRPr="004D794B" w:rsidRDefault="00FD1E19" w:rsidP="00FD1E19">
      <w:pPr>
        <w:pStyle w:val="Textstand-alone"/>
        <w:sectPr w:rsidR="00FD1E19" w:rsidRPr="004D794B" w:rsidSect="00FD1E19">
          <w:headerReference w:type="default" r:id="rId50"/>
          <w:footerReference w:type="default" r:id="rId51"/>
          <w:pgSz w:w="16838" w:h="11906" w:orient="landscape" w:code="9"/>
          <w:pgMar w:top="1134" w:right="1134" w:bottom="1134" w:left="1134" w:header="708" w:footer="708" w:gutter="0"/>
          <w:cols w:space="708"/>
          <w:docGrid w:linePitch="360"/>
        </w:sectPr>
      </w:pPr>
    </w:p>
    <w:p w14:paraId="4DD3EA0E" w14:textId="77777777" w:rsidR="00FD1E19" w:rsidRDefault="00FD1E19" w:rsidP="00FD1E19">
      <w:pPr>
        <w:pStyle w:val="HEADERTITLE1"/>
        <w:spacing w:before="240" w:after="720"/>
        <w:rPr>
          <w:sz w:val="40"/>
        </w:rPr>
      </w:pPr>
      <w:bookmarkStart w:id="37" w:name="_Toc9948393"/>
      <w:bookmarkStart w:id="38" w:name="_DMBM_37237"/>
    </w:p>
    <w:p w14:paraId="55C6FA78" w14:textId="77777777" w:rsidR="00FD1E19" w:rsidRDefault="00FD1E19" w:rsidP="00FD1E19">
      <w:pPr>
        <w:pStyle w:val="HEADERTITLE1"/>
        <w:spacing w:before="240" w:after="720"/>
        <w:rPr>
          <w:sz w:val="40"/>
        </w:rPr>
      </w:pPr>
    </w:p>
    <w:p w14:paraId="4D83B033" w14:textId="77777777" w:rsidR="00FD1E19" w:rsidRDefault="00FD1E19" w:rsidP="00FD1E19">
      <w:pPr>
        <w:pStyle w:val="HEADERTITLE1"/>
        <w:spacing w:before="240" w:after="720"/>
        <w:rPr>
          <w:sz w:val="40"/>
        </w:rPr>
      </w:pPr>
    </w:p>
    <w:p w14:paraId="500B6FDD" w14:textId="77777777" w:rsidR="00FD1E19" w:rsidRDefault="00FD1E19" w:rsidP="00FD1E19">
      <w:pPr>
        <w:pStyle w:val="HEADERTITLE1"/>
        <w:spacing w:before="240" w:after="720"/>
        <w:rPr>
          <w:sz w:val="40"/>
        </w:rPr>
      </w:pPr>
    </w:p>
    <w:p w14:paraId="61CF5B3B" w14:textId="77777777" w:rsidR="00FD1E19" w:rsidRPr="008F6DF9" w:rsidRDefault="00FD1E19" w:rsidP="00FD1E19">
      <w:pPr>
        <w:pStyle w:val="HEADERTITLE1"/>
        <w:rPr>
          <w:sz w:val="40"/>
          <w:szCs w:val="40"/>
        </w:rPr>
      </w:pPr>
      <w:bookmarkStart w:id="39" w:name="_Toc232609784"/>
      <w:r w:rsidRPr="008F6DF9">
        <w:rPr>
          <w:sz w:val="40"/>
          <w:szCs w:val="40"/>
        </w:rPr>
        <w:t>NOTES TO THE FINANCIAL STATEMENTS OF THE EDF</w:t>
      </w:r>
      <w:bookmarkEnd w:id="37"/>
      <w:bookmarkEnd w:id="39"/>
    </w:p>
    <w:p w14:paraId="6AEBE07D" w14:textId="77777777" w:rsidR="00FD1E19" w:rsidRDefault="00FD1E19" w:rsidP="00FD1E19">
      <w:pPr>
        <w:pStyle w:val="TOPHEADERNOTE"/>
        <w:rPr>
          <w:noProof/>
        </w:rPr>
      </w:pPr>
      <w:r>
        <w:rPr>
          <w:noProof/>
        </w:rPr>
        <w:t xml:space="preserve"> </w:t>
      </w:r>
    </w:p>
    <w:p w14:paraId="7610177D" w14:textId="77777777" w:rsidR="00FD1E19" w:rsidRDefault="00FD1E19" w:rsidP="00FD1E19">
      <w:pPr>
        <w:pStyle w:val="TOPHEADERNOTE"/>
        <w:rPr>
          <w:noProof/>
        </w:rPr>
      </w:pPr>
    </w:p>
    <w:p w14:paraId="62620ED1" w14:textId="77777777" w:rsidR="00FD1E19" w:rsidRDefault="00FD1E19" w:rsidP="00FD1E19">
      <w:pPr>
        <w:pStyle w:val="TOPHEADERNOTE"/>
        <w:rPr>
          <w:noProof/>
        </w:rPr>
      </w:pPr>
    </w:p>
    <w:p w14:paraId="66DF643B" w14:textId="77777777" w:rsidR="00FD1E19" w:rsidRDefault="00FD1E19" w:rsidP="00FD1E19">
      <w:pPr>
        <w:pStyle w:val="TOPHEADERNOTE"/>
        <w:rPr>
          <w:noProof/>
        </w:rPr>
      </w:pPr>
    </w:p>
    <w:p w14:paraId="23151263" w14:textId="77777777" w:rsidR="00FD1E19" w:rsidRDefault="00FD1E19" w:rsidP="00FD1E19">
      <w:pPr>
        <w:pStyle w:val="TOPHEADERNOTE"/>
        <w:rPr>
          <w:noProof/>
        </w:rPr>
      </w:pPr>
    </w:p>
    <w:p w14:paraId="7A6F2977" w14:textId="77777777" w:rsidR="00FD1E19" w:rsidRDefault="00FD1E19" w:rsidP="00FD1E19">
      <w:pPr>
        <w:pStyle w:val="TOPHEADERNOTE"/>
        <w:rPr>
          <w:noProof/>
        </w:rPr>
      </w:pPr>
    </w:p>
    <w:p w14:paraId="1596C1B4" w14:textId="77777777" w:rsidR="00FD1E19" w:rsidRDefault="00FD1E19" w:rsidP="00FD1E19">
      <w:pPr>
        <w:pStyle w:val="TOPHEADERNOTE"/>
        <w:rPr>
          <w:noProof/>
        </w:rPr>
      </w:pPr>
    </w:p>
    <w:p w14:paraId="5391D973" w14:textId="77777777" w:rsidR="00FD1E19" w:rsidRDefault="00FD1E19" w:rsidP="00FD1E19">
      <w:pPr>
        <w:pStyle w:val="TOPHEADERNOTE"/>
        <w:rPr>
          <w:noProof/>
        </w:rPr>
      </w:pPr>
    </w:p>
    <w:p w14:paraId="1D50006C" w14:textId="77777777" w:rsidR="00FD1E19" w:rsidRDefault="00FD1E19" w:rsidP="00FD1E19">
      <w:pPr>
        <w:pStyle w:val="TOPHEADERNOTE"/>
        <w:rPr>
          <w:noProof/>
        </w:rPr>
      </w:pPr>
    </w:p>
    <w:p w14:paraId="212CFB70" w14:textId="77777777" w:rsidR="00FD1E19" w:rsidRDefault="00FD1E19" w:rsidP="00FD1E19">
      <w:pPr>
        <w:pStyle w:val="TOPHEADERNOTE"/>
        <w:rPr>
          <w:noProof/>
        </w:rPr>
      </w:pPr>
    </w:p>
    <w:p w14:paraId="55B6C71C" w14:textId="77777777" w:rsidR="00FD1E19" w:rsidRDefault="00FD1E19" w:rsidP="00FD1E19">
      <w:pPr>
        <w:pStyle w:val="TOPHEADERNOTE"/>
        <w:rPr>
          <w:noProof/>
        </w:rPr>
      </w:pPr>
    </w:p>
    <w:p w14:paraId="60016BB1" w14:textId="77777777" w:rsidR="00FD1E19" w:rsidRDefault="00FD1E19" w:rsidP="00FD1E19">
      <w:pPr>
        <w:pStyle w:val="TOPHEADERNOTE"/>
        <w:rPr>
          <w:noProof/>
        </w:rPr>
      </w:pPr>
    </w:p>
    <w:p w14:paraId="318D3C12" w14:textId="77777777" w:rsidR="00FD1E19" w:rsidRDefault="00FD1E19" w:rsidP="00FD1E19">
      <w:pPr>
        <w:pStyle w:val="TOPHEADERNOTE"/>
        <w:rPr>
          <w:noProof/>
        </w:rPr>
      </w:pPr>
    </w:p>
    <w:p w14:paraId="12463F0E" w14:textId="77777777" w:rsidR="00FD1E19" w:rsidRDefault="00FD1E19" w:rsidP="00FD1E19">
      <w:pPr>
        <w:pStyle w:val="TOPHEADERNOTE"/>
        <w:rPr>
          <w:noProof/>
        </w:rPr>
      </w:pPr>
    </w:p>
    <w:p w14:paraId="2BEDBEA0" w14:textId="77777777" w:rsidR="00FD1E19" w:rsidRDefault="00FD1E19" w:rsidP="00FD1E19">
      <w:pPr>
        <w:pStyle w:val="TOPHEADERNOTE"/>
        <w:rPr>
          <w:noProof/>
        </w:rPr>
      </w:pPr>
    </w:p>
    <w:p w14:paraId="5AB6BEFD" w14:textId="77777777" w:rsidR="00FD1E19" w:rsidRDefault="00FD1E19" w:rsidP="00FD1E19">
      <w:pPr>
        <w:pStyle w:val="TOPHEADERNOTE"/>
        <w:rPr>
          <w:noProof/>
        </w:rPr>
      </w:pPr>
    </w:p>
    <w:p w14:paraId="2FC9D8F6" w14:textId="77777777" w:rsidR="00FD1E19" w:rsidRDefault="00FD1E19" w:rsidP="00FD1E19">
      <w:pPr>
        <w:pStyle w:val="TOPHEADERNOTE"/>
        <w:rPr>
          <w:noProof/>
        </w:rPr>
      </w:pPr>
    </w:p>
    <w:p w14:paraId="6D95222B" w14:textId="77777777" w:rsidR="00FD1E19" w:rsidRDefault="00FD1E19" w:rsidP="00FD1E19">
      <w:pPr>
        <w:pStyle w:val="TOPHEADERNOTE"/>
        <w:rPr>
          <w:noProof/>
        </w:rPr>
      </w:pPr>
    </w:p>
    <w:p w14:paraId="0D4CAC6F" w14:textId="77777777" w:rsidR="00FD1E19" w:rsidRDefault="00FD1E19" w:rsidP="00FD1E19">
      <w:pPr>
        <w:pStyle w:val="TOPHEADERNOTE"/>
        <w:rPr>
          <w:noProof/>
        </w:rPr>
      </w:pPr>
    </w:p>
    <w:p w14:paraId="517FC583" w14:textId="77777777" w:rsidR="00FD1E19" w:rsidRDefault="00FD1E19" w:rsidP="00FD1E19">
      <w:pPr>
        <w:pStyle w:val="TOPHEADERNOTE"/>
        <w:rPr>
          <w:noProof/>
        </w:rPr>
      </w:pPr>
    </w:p>
    <w:p w14:paraId="2DC90C5B" w14:textId="77777777" w:rsidR="00FD1E19" w:rsidRDefault="00FD1E19" w:rsidP="00FD1E19">
      <w:pPr>
        <w:pStyle w:val="TOPHEADERNOTE"/>
        <w:rPr>
          <w:noProof/>
        </w:rPr>
      </w:pPr>
    </w:p>
    <w:p w14:paraId="14EBC9C4" w14:textId="77777777" w:rsidR="00FD1E19" w:rsidRDefault="00FD1E19" w:rsidP="00FD1E19">
      <w:pPr>
        <w:pStyle w:val="TOPHEADERNOTE"/>
        <w:rPr>
          <w:noProof/>
        </w:rPr>
      </w:pPr>
    </w:p>
    <w:p w14:paraId="34A81B5A" w14:textId="77777777" w:rsidR="00FD1E19" w:rsidRDefault="00FD1E19" w:rsidP="00FD1E19">
      <w:pPr>
        <w:pStyle w:val="TOPHEADERNOTE"/>
        <w:rPr>
          <w:noProof/>
        </w:rPr>
      </w:pPr>
    </w:p>
    <w:p w14:paraId="302E198C" w14:textId="77777777" w:rsidR="00FD1E19" w:rsidRDefault="00FD1E19" w:rsidP="00FD1E19">
      <w:pPr>
        <w:pStyle w:val="TOPHEADERNOTE"/>
        <w:rPr>
          <w:noProof/>
        </w:rPr>
      </w:pPr>
    </w:p>
    <w:p w14:paraId="7396DF21" w14:textId="77777777" w:rsidR="00FD1E19" w:rsidRDefault="00FD1E19" w:rsidP="00FD1E19">
      <w:pPr>
        <w:pStyle w:val="TOPHEADERNOTE"/>
        <w:rPr>
          <w:noProof/>
        </w:rPr>
      </w:pPr>
    </w:p>
    <w:p w14:paraId="7DFAFBEE" w14:textId="77777777" w:rsidR="00FD1E19" w:rsidRDefault="00FD1E19" w:rsidP="00FD1E19">
      <w:pPr>
        <w:pStyle w:val="TOPHEADERNOTE"/>
        <w:rPr>
          <w:noProof/>
        </w:rPr>
      </w:pPr>
    </w:p>
    <w:p w14:paraId="209FDEE9" w14:textId="77777777" w:rsidR="00FD1E19" w:rsidRDefault="00FD1E19" w:rsidP="00FD1E19">
      <w:pPr>
        <w:pStyle w:val="TOPHEADERNOTE"/>
        <w:rPr>
          <w:noProof/>
        </w:rPr>
      </w:pPr>
    </w:p>
    <w:p w14:paraId="30375774" w14:textId="77777777" w:rsidR="00FD1E19" w:rsidRDefault="00FD1E19" w:rsidP="00FD1E19">
      <w:pPr>
        <w:pStyle w:val="TOPHEADERNOTE"/>
        <w:rPr>
          <w:noProof/>
        </w:rPr>
      </w:pPr>
    </w:p>
    <w:p w14:paraId="5622C991" w14:textId="77777777" w:rsidR="00FD1E19" w:rsidRDefault="00FD1E19" w:rsidP="00FD1E19">
      <w:pPr>
        <w:pStyle w:val="TOPHEADERNOTE"/>
        <w:rPr>
          <w:noProof/>
        </w:rPr>
      </w:pPr>
      <w:r>
        <w:rPr>
          <w:noProof/>
        </w:rPr>
        <w:t>It should be noted that due to the rounding of figures into millions of euros, some financial data in the tables may appear not to add-up</w:t>
      </w:r>
    </w:p>
    <w:p w14:paraId="0F9BA402" w14:textId="77777777" w:rsidR="00FD1E19" w:rsidRDefault="00FD1E19" w:rsidP="00FD1E19">
      <w:pPr>
        <w:pStyle w:val="TOPHEADERNOTE"/>
        <w:rPr>
          <w:noProof/>
        </w:rPr>
      </w:pPr>
    </w:p>
    <w:p w14:paraId="60EF9C85" w14:textId="77777777" w:rsidR="00FD1E19" w:rsidRPr="008F6DF9" w:rsidRDefault="00FD1E19" w:rsidP="00FD1E19">
      <w:pPr>
        <w:pStyle w:val="TOPHEADERNOTE"/>
        <w:rPr>
          <w:noProof/>
        </w:rPr>
      </w:pPr>
      <w:r>
        <w:rPr>
          <w:noProof/>
        </w:rPr>
        <w:br w:type="page"/>
      </w:r>
      <w:bookmarkEnd w:id="38"/>
    </w:p>
    <w:p w14:paraId="63547235" w14:textId="77777777" w:rsidR="00FD1E19" w:rsidRDefault="00FD1E19" w:rsidP="00FD1E19">
      <w:pPr>
        <w:rPr>
          <w:noProof/>
        </w:rPr>
        <w:sectPr w:rsidR="00FD1E19" w:rsidSect="00FD1E19">
          <w:headerReference w:type="even" r:id="rId52"/>
          <w:headerReference w:type="default" r:id="rId53"/>
          <w:footerReference w:type="even" r:id="rId54"/>
          <w:footerReference w:type="default" r:id="rId55"/>
          <w:headerReference w:type="first" r:id="rId56"/>
          <w:footerReference w:type="first" r:id="rId57"/>
          <w:pgSz w:w="11906" w:h="16838" w:code="9"/>
          <w:pgMar w:top="1134" w:right="1134" w:bottom="1134" w:left="1134" w:header="709" w:footer="709" w:gutter="0"/>
          <w:cols w:space="708"/>
          <w:docGrid w:linePitch="360"/>
        </w:sectPr>
      </w:pPr>
      <w:bookmarkStart w:id="40" w:name="_DMBM_37248"/>
      <w:bookmarkEnd w:id="40"/>
    </w:p>
    <w:p w14:paraId="39AE3791" w14:textId="77777777" w:rsidR="00FD1E19" w:rsidRPr="00E41868" w:rsidRDefault="00FD1E19" w:rsidP="00FD1E19">
      <w:pPr>
        <w:pStyle w:val="HEADER1Part2"/>
        <w:rPr>
          <w:noProof/>
        </w:rPr>
      </w:pPr>
      <w:bookmarkStart w:id="41" w:name="Significant_acc_pol"/>
      <w:bookmarkStart w:id="42" w:name="_Toc393205650"/>
      <w:bookmarkStart w:id="43" w:name="_Toc457387394"/>
      <w:bookmarkStart w:id="44" w:name="_DMBM_37286"/>
      <w:bookmarkStart w:id="45" w:name="_CSF_TOC_1_1"/>
      <w:r w:rsidRPr="00E41868">
        <w:rPr>
          <w:noProof/>
        </w:rPr>
        <w:t>SIGNIFICANT ACCOUNTING POLICIES</w:t>
      </w:r>
      <w:bookmarkEnd w:id="41"/>
      <w:bookmarkEnd w:id="42"/>
      <w:bookmarkEnd w:id="43"/>
    </w:p>
    <w:p w14:paraId="6B96871F" w14:textId="77777777" w:rsidR="00FD1E19" w:rsidRPr="00E41868" w:rsidRDefault="00FD1E19" w:rsidP="00FD1E19">
      <w:pPr>
        <w:pStyle w:val="HEADER2Part2"/>
        <w:rPr>
          <w:noProof/>
        </w:rPr>
      </w:pPr>
      <w:r w:rsidRPr="00E41868">
        <w:rPr>
          <w:noProof/>
        </w:rPr>
        <w:t>ACCOUNTING PRINCIPLES</w:t>
      </w:r>
    </w:p>
    <w:p w14:paraId="08CA9B1D" w14:textId="77777777" w:rsidR="00FD1E19" w:rsidRDefault="00FD1E19" w:rsidP="00FD1E19">
      <w:pPr>
        <w:pStyle w:val="Textstand-alone"/>
      </w:pPr>
      <w:r>
        <w:t xml:space="preserve">The objective of financial statements is to provide information about the financial position, performance and cashflows of an entity that is useful to a wide range of stakeholders. </w:t>
      </w:r>
    </w:p>
    <w:p w14:paraId="5FAD5BE9" w14:textId="77777777" w:rsidR="00FD1E19" w:rsidRDefault="00FD1E19" w:rsidP="00FD1E19">
      <w:pPr>
        <w:pStyle w:val="Textstand-alone"/>
      </w:pPr>
      <w:r w:rsidRPr="00B4313A">
        <w:t xml:space="preserve">The overall considerations (or accounting principles) to be followed when preparing the financial statements are laid down in EU </w:t>
      </w:r>
      <w:r>
        <w:t>A</w:t>
      </w:r>
      <w:r w:rsidRPr="00B4313A">
        <w:t xml:space="preserve">ccounting </w:t>
      </w:r>
      <w:r>
        <w:t>R</w:t>
      </w:r>
      <w:r w:rsidRPr="00B4313A">
        <w:t xml:space="preserve">ule 1 </w:t>
      </w:r>
      <w:r>
        <w:t>‘</w:t>
      </w:r>
      <w:r w:rsidRPr="00B4313A">
        <w:t>Financial Statements</w:t>
      </w:r>
      <w:r>
        <w:t>’</w:t>
      </w:r>
      <w:r w:rsidRPr="00B4313A">
        <w:t xml:space="preserve"> </w:t>
      </w:r>
      <w:r>
        <w:t xml:space="preserve">and are </w:t>
      </w:r>
      <w:r w:rsidRPr="00B4313A">
        <w:t xml:space="preserve">the same as </w:t>
      </w:r>
      <w:r>
        <w:t xml:space="preserve">those described </w:t>
      </w:r>
      <w:r w:rsidRPr="00B4313A">
        <w:t xml:space="preserve">in IPSAS 1: fair presentation, accrual basis, going concern, consistency of presentation, </w:t>
      </w:r>
      <w:r>
        <w:t xml:space="preserve">materiality, </w:t>
      </w:r>
      <w:r w:rsidRPr="00274ECD">
        <w:t>aggregation</w:t>
      </w:r>
      <w:r w:rsidRPr="00B4313A">
        <w:t xml:space="preserve">, offsetting and comparative information. The qualitative characteristics of financial reporting are relevance, </w:t>
      </w:r>
      <w:r>
        <w:t>faithful representation (</w:t>
      </w:r>
      <w:r w:rsidRPr="00B4313A">
        <w:t>reliability</w:t>
      </w:r>
      <w:r>
        <w:t>)</w:t>
      </w:r>
      <w:r w:rsidRPr="00B4313A">
        <w:t>, understandability</w:t>
      </w:r>
      <w:r>
        <w:t>, timeliness,</w:t>
      </w:r>
      <w:r w:rsidRPr="00B4313A">
        <w:t xml:space="preserve"> comparability</w:t>
      </w:r>
      <w:r>
        <w:t xml:space="preserve"> and verifiability</w:t>
      </w:r>
      <w:r w:rsidRPr="00B4313A">
        <w:t>.</w:t>
      </w:r>
    </w:p>
    <w:p w14:paraId="18ABD236" w14:textId="77777777" w:rsidR="00FD1E19" w:rsidRDefault="00FD1E19" w:rsidP="00FD1E19">
      <w:pPr>
        <w:pStyle w:val="HEADER2Part2"/>
        <w:rPr>
          <w:noProof/>
        </w:rPr>
      </w:pPr>
      <w:r w:rsidRPr="00E41868">
        <w:rPr>
          <w:noProof/>
        </w:rPr>
        <w:t>BASIS OF PREPARATION</w:t>
      </w:r>
    </w:p>
    <w:p w14:paraId="12AC2FEC" w14:textId="77777777" w:rsidR="00FD1E19" w:rsidRDefault="00FD1E19" w:rsidP="00FD1E19">
      <w:pPr>
        <w:pStyle w:val="HEADER3Part2"/>
        <w:rPr>
          <w:noProof/>
        </w:rPr>
      </w:pPr>
      <w:r>
        <w:rPr>
          <w:noProof/>
        </w:rPr>
        <w:t>Reporting period</w:t>
      </w:r>
    </w:p>
    <w:p w14:paraId="72B71D17" w14:textId="77777777" w:rsidR="00FD1E19" w:rsidRPr="00C81612" w:rsidRDefault="00FD1E19" w:rsidP="00FD1E19">
      <w:pPr>
        <w:pStyle w:val="Textstand-alone"/>
      </w:pPr>
      <w:r>
        <w:t>Financial statements are presented annually. The accounting year begins on 1 January and ends            on 31 December.</w:t>
      </w:r>
    </w:p>
    <w:p w14:paraId="75E3E992" w14:textId="77777777" w:rsidR="00FD1E19" w:rsidRPr="00E41868" w:rsidRDefault="00FD1E19" w:rsidP="00FD1E19">
      <w:pPr>
        <w:pStyle w:val="HEADER3Part2"/>
        <w:rPr>
          <w:noProof/>
        </w:rPr>
      </w:pPr>
      <w:r w:rsidRPr="00E41868">
        <w:rPr>
          <w:noProof/>
        </w:rPr>
        <w:t>Currency and basis for conversion</w:t>
      </w:r>
    </w:p>
    <w:p w14:paraId="43848DBC" w14:textId="77777777" w:rsidR="00FD1E19" w:rsidRDefault="00FD1E19" w:rsidP="00FD1E19">
      <w:pPr>
        <w:pStyle w:val="Textstand-alone"/>
      </w:pPr>
      <w:r w:rsidRPr="00B4313A">
        <w:t>The annual accounts are presented in euro, the euro being the EU</w:t>
      </w:r>
      <w:r>
        <w:t>’</w:t>
      </w:r>
      <w:r w:rsidRPr="00B4313A">
        <w:t xml:space="preserve">s functional currency. Foreign currency transactions are translated into euro using the exchange rates prevailing at the dates of the transactions. </w:t>
      </w:r>
      <w:r>
        <w:t>Foreign exchange gains and losses resulting from the settlement of foreign currency transactions and from the re-translation at year-end exchange rates of monetary assets and liabilities denominated in foreign currencies are recognised in the statement of financial performance. Different conversion methods apply to property, plant and equipment and intangible assets, which retain their value in euro at the date when they were purchased.</w:t>
      </w:r>
    </w:p>
    <w:p w14:paraId="4F3E3D56" w14:textId="77777777" w:rsidR="00FD1E19" w:rsidRPr="00B4313A" w:rsidRDefault="00FD1E19" w:rsidP="00FD1E19">
      <w:pPr>
        <w:pStyle w:val="Textstand-alone"/>
      </w:pPr>
      <w:r w:rsidRPr="00B4313A">
        <w:t xml:space="preserve">Year-end balances of monetary assets and liabilities denominated in foreign currencies are </w:t>
      </w:r>
      <w:r>
        <w:t>translated</w:t>
      </w:r>
      <w:r w:rsidRPr="00B4313A">
        <w:t xml:space="preserve"> into euro on the basis of the </w:t>
      </w:r>
      <w:r>
        <w:t xml:space="preserve">European Central Bank (ECB) </w:t>
      </w:r>
      <w:r w:rsidRPr="00B4313A">
        <w:t>exchange rates applying on 31 December.</w:t>
      </w:r>
    </w:p>
    <w:p w14:paraId="21C3F67E" w14:textId="77777777" w:rsidR="00FD1E19" w:rsidRDefault="00FD1E19" w:rsidP="00FD1E19">
      <w:pPr>
        <w:pStyle w:val="HEADER5"/>
        <w:rPr>
          <w:noProof/>
        </w:rPr>
      </w:pPr>
      <w:r w:rsidRPr="00E41868">
        <w:rPr>
          <w:noProof/>
        </w:rPr>
        <w:t>Euro exchange rates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1690"/>
        <w:gridCol w:w="1690"/>
        <w:gridCol w:w="572"/>
        <w:gridCol w:w="1419"/>
        <w:gridCol w:w="1345"/>
        <w:gridCol w:w="1690"/>
      </w:tblGrid>
      <w:tr w:rsidR="00FD1E19" w14:paraId="4904CFA7" w14:textId="77777777" w:rsidTr="00BE7E4A">
        <w:trPr>
          <w:trHeight w:hRule="exact" w:val="510"/>
        </w:trPr>
        <w:tc>
          <w:tcPr>
            <w:tcW w:w="693" w:type="pct"/>
            <w:tcBorders>
              <w:top w:val="nil"/>
              <w:left w:val="nil"/>
              <w:bottom w:val="nil"/>
              <w:right w:val="nil"/>
              <w:tl2br w:val="nil"/>
              <w:tr2bl w:val="nil"/>
            </w:tcBorders>
            <w:shd w:val="solid" w:color="016794" w:fill="FFFFFF"/>
            <w:tcMar>
              <w:left w:w="60" w:type="dxa"/>
              <w:right w:w="60" w:type="dxa"/>
            </w:tcMar>
            <w:vAlign w:val="center"/>
          </w:tcPr>
          <w:p w14:paraId="75D408FA" w14:textId="77777777" w:rsidR="00FD1E19" w:rsidRDefault="00FD1E19" w:rsidP="00BE7E4A">
            <w:pPr>
              <w:pStyle w:val="DMETW22316BIPCURR"/>
              <w:rPr>
                <w:rFonts w:ascii="Verdana" w:eastAsia="Verdana" w:hAnsi="Verdana" w:cs="Verdana"/>
                <w:noProof/>
                <w:color w:val="FFFFFF"/>
                <w:lang w:bidi="en-GB"/>
              </w:rPr>
            </w:pPr>
            <w:r>
              <w:rPr>
                <w:rFonts w:ascii="Verdana" w:eastAsia="Verdana" w:hAnsi="Verdana" w:cs="Verdana"/>
                <w:noProof/>
                <w:color w:val="FFFFFF"/>
                <w:lang w:bidi="en-GB"/>
              </w:rPr>
              <w:t>Currency</w:t>
            </w:r>
          </w:p>
        </w:tc>
        <w:tc>
          <w:tcPr>
            <w:tcW w:w="866" w:type="pct"/>
            <w:tcBorders>
              <w:top w:val="nil"/>
              <w:left w:val="nil"/>
              <w:bottom w:val="nil"/>
              <w:right w:val="nil"/>
              <w:tl2br w:val="nil"/>
              <w:tr2bl w:val="nil"/>
            </w:tcBorders>
            <w:shd w:val="solid" w:color="016794" w:fill="FFFFFF"/>
            <w:tcMar>
              <w:left w:w="60" w:type="dxa"/>
              <w:right w:w="60" w:type="dxa"/>
            </w:tcMar>
            <w:vAlign w:val="center"/>
          </w:tcPr>
          <w:p w14:paraId="62694A6A" w14:textId="77777777" w:rsidR="00FD1E19" w:rsidRDefault="00FD1E19" w:rsidP="00BE7E4A">
            <w:pPr>
              <w:pStyle w:val="DMETW22316BIPCURR"/>
              <w:jc w:val="right"/>
              <w:rPr>
                <w:rFonts w:ascii="Verdana" w:eastAsia="Verdana" w:hAnsi="Verdana" w:cs="Verdana"/>
                <w:noProof/>
                <w:color w:val="FFFFFF"/>
              </w:rPr>
            </w:pPr>
            <w:r>
              <w:rPr>
                <w:rFonts w:ascii="Verdana" w:eastAsia="Verdana" w:hAnsi="Verdana" w:cs="Verdana"/>
                <w:noProof/>
                <w:color w:val="FFFFFF"/>
              </w:rPr>
              <w:t>31.12.2025</w:t>
            </w:r>
          </w:p>
        </w:tc>
        <w:tc>
          <w:tcPr>
            <w:tcW w:w="866" w:type="pct"/>
            <w:tcBorders>
              <w:top w:val="nil"/>
              <w:left w:val="nil"/>
              <w:bottom w:val="nil"/>
              <w:right w:val="nil"/>
              <w:tl2br w:val="nil"/>
              <w:tr2bl w:val="nil"/>
            </w:tcBorders>
            <w:shd w:val="solid" w:color="016794" w:fill="FFFFFF"/>
            <w:tcMar>
              <w:left w:w="60" w:type="dxa"/>
              <w:right w:w="60" w:type="dxa"/>
            </w:tcMar>
            <w:vAlign w:val="center"/>
          </w:tcPr>
          <w:p w14:paraId="7C58BE6A" w14:textId="77777777" w:rsidR="00FD1E19" w:rsidRDefault="00FD1E19" w:rsidP="00BE7E4A">
            <w:pPr>
              <w:pStyle w:val="DMETW22316BIPCURR"/>
              <w:jc w:val="right"/>
              <w:rPr>
                <w:rFonts w:ascii="Verdana" w:eastAsia="Verdana" w:hAnsi="Verdana" w:cs="Verdana"/>
                <w:noProof/>
                <w:color w:val="FFFFFF"/>
              </w:rPr>
            </w:pPr>
            <w:r>
              <w:rPr>
                <w:rFonts w:ascii="Verdana" w:eastAsia="Verdana" w:hAnsi="Verdana" w:cs="Verdana"/>
                <w:noProof/>
                <w:color w:val="FFFFFF"/>
              </w:rPr>
              <w:t>31.12.2024</w:t>
            </w:r>
          </w:p>
        </w:tc>
        <w:tc>
          <w:tcPr>
            <w:tcW w:w="293" w:type="pct"/>
            <w:tcBorders>
              <w:top w:val="nil"/>
              <w:left w:val="nil"/>
              <w:bottom w:val="nil"/>
              <w:right w:val="nil"/>
              <w:tl2br w:val="nil"/>
              <w:tr2bl w:val="nil"/>
            </w:tcBorders>
            <w:shd w:val="solid" w:color="016794" w:fill="FFFFFF"/>
          </w:tcPr>
          <w:p w14:paraId="738DD6A6" w14:textId="77777777" w:rsidR="00FD1E19" w:rsidRDefault="00FD1E19" w:rsidP="00BE7E4A">
            <w:pPr>
              <w:pStyle w:val="DMETW22316BIPCURR"/>
              <w:rPr>
                <w:rFonts w:ascii="Verdana" w:eastAsia="Verdana" w:hAnsi="Verdana" w:cs="Verdana"/>
                <w:noProof/>
                <w:color w:val="FFFFFF"/>
              </w:rPr>
            </w:pPr>
          </w:p>
        </w:tc>
        <w:tc>
          <w:tcPr>
            <w:tcW w:w="727" w:type="pct"/>
            <w:tcBorders>
              <w:top w:val="nil"/>
              <w:left w:val="nil"/>
              <w:bottom w:val="nil"/>
              <w:right w:val="nil"/>
              <w:tl2br w:val="nil"/>
              <w:tr2bl w:val="nil"/>
            </w:tcBorders>
            <w:shd w:val="solid" w:color="016794" w:fill="FFFFFF"/>
            <w:tcMar>
              <w:left w:w="60" w:type="dxa"/>
              <w:right w:w="60" w:type="dxa"/>
            </w:tcMar>
            <w:vAlign w:val="center"/>
          </w:tcPr>
          <w:p w14:paraId="23709F1C" w14:textId="77777777" w:rsidR="00FD1E19" w:rsidRDefault="00FD1E19" w:rsidP="00BE7E4A">
            <w:pPr>
              <w:pStyle w:val="DMETW22316BIPCURR"/>
              <w:rPr>
                <w:rFonts w:ascii="Verdana" w:eastAsia="Verdana" w:hAnsi="Verdana" w:cs="Verdana"/>
                <w:noProof/>
                <w:color w:val="FFFFFF"/>
              </w:rPr>
            </w:pPr>
            <w:r>
              <w:rPr>
                <w:rFonts w:ascii="Verdana" w:eastAsia="Verdana" w:hAnsi="Verdana" w:cs="Verdana"/>
                <w:noProof/>
                <w:color w:val="FFFFFF"/>
              </w:rPr>
              <w:t>Currency</w:t>
            </w:r>
          </w:p>
        </w:tc>
        <w:tc>
          <w:tcPr>
            <w:tcW w:w="689" w:type="pct"/>
            <w:tcBorders>
              <w:top w:val="nil"/>
              <w:left w:val="nil"/>
              <w:bottom w:val="nil"/>
              <w:right w:val="nil"/>
              <w:tl2br w:val="nil"/>
              <w:tr2bl w:val="nil"/>
            </w:tcBorders>
            <w:shd w:val="solid" w:color="016794" w:fill="FFFFFF"/>
            <w:tcMar>
              <w:left w:w="60" w:type="dxa"/>
              <w:right w:w="60" w:type="dxa"/>
            </w:tcMar>
            <w:vAlign w:val="center"/>
          </w:tcPr>
          <w:p w14:paraId="3294B1F1" w14:textId="77777777" w:rsidR="00FD1E19" w:rsidRDefault="00FD1E19" w:rsidP="00BE7E4A">
            <w:pPr>
              <w:pStyle w:val="DMETW22316BIPCURR"/>
              <w:jc w:val="right"/>
              <w:rPr>
                <w:rFonts w:ascii="Verdana" w:eastAsia="Verdana" w:hAnsi="Verdana" w:cs="Verdana"/>
                <w:noProof/>
                <w:color w:val="FFFFFF"/>
              </w:rPr>
            </w:pPr>
            <w:r>
              <w:rPr>
                <w:rFonts w:ascii="Verdana" w:eastAsia="Verdana" w:hAnsi="Verdana" w:cs="Verdana"/>
                <w:noProof/>
                <w:color w:val="FFFFFF"/>
              </w:rPr>
              <w:t>31.12.2025</w:t>
            </w:r>
          </w:p>
        </w:tc>
        <w:tc>
          <w:tcPr>
            <w:tcW w:w="866" w:type="pct"/>
            <w:tcBorders>
              <w:top w:val="nil"/>
              <w:left w:val="nil"/>
              <w:bottom w:val="nil"/>
              <w:right w:val="nil"/>
              <w:tl2br w:val="nil"/>
              <w:tr2bl w:val="nil"/>
            </w:tcBorders>
            <w:shd w:val="solid" w:color="016794" w:fill="FFFFFF"/>
            <w:tcMar>
              <w:left w:w="60" w:type="dxa"/>
              <w:right w:w="60" w:type="dxa"/>
            </w:tcMar>
            <w:vAlign w:val="center"/>
          </w:tcPr>
          <w:p w14:paraId="0D7B29F2" w14:textId="77777777" w:rsidR="00FD1E19" w:rsidRDefault="00FD1E19" w:rsidP="00BE7E4A">
            <w:pPr>
              <w:pStyle w:val="DMETW22316BIPCURR"/>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012125B0" w14:textId="77777777" w:rsidTr="00BE7E4A">
        <w:trPr>
          <w:trHeight w:hRule="exact" w:val="255"/>
        </w:trPr>
        <w:tc>
          <w:tcPr>
            <w:tcW w:w="693" w:type="pct"/>
            <w:tcBorders>
              <w:top w:val="nil"/>
              <w:left w:val="nil"/>
              <w:bottom w:val="single" w:sz="4" w:space="0" w:color="016794"/>
              <w:right w:val="nil"/>
              <w:tl2br w:val="nil"/>
              <w:tr2bl w:val="nil"/>
            </w:tcBorders>
            <w:shd w:val="solid" w:color="FFFFFF" w:fill="FFFFFF"/>
            <w:tcMar>
              <w:left w:w="60" w:type="dxa"/>
              <w:right w:w="60" w:type="dxa"/>
            </w:tcMar>
            <w:vAlign w:val="center"/>
          </w:tcPr>
          <w:p w14:paraId="589F0FFC"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BGN</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14:paraId="693519F9" w14:textId="77777777" w:rsidR="00FD1E19" w:rsidRDefault="00FD1E19" w:rsidP="00BE7E4A">
            <w:pPr>
              <w:pStyle w:val="DMETW22316BIPCURR"/>
              <w:jc w:val="right"/>
              <w:rPr>
                <w:rFonts w:ascii="Verdana" w:eastAsia="Verdana" w:hAnsi="Verdana" w:cs="Verdana"/>
                <w:b/>
                <w:noProof/>
                <w:color w:val="000000"/>
                <w:sz w:val="18"/>
              </w:rPr>
            </w:pPr>
            <w:r>
              <w:rPr>
                <w:rFonts w:ascii="Verdana" w:eastAsia="Verdana" w:hAnsi="Verdana" w:cs="Verdana"/>
                <w:b/>
                <w:noProof/>
                <w:color w:val="000000"/>
                <w:sz w:val="18"/>
              </w:rPr>
              <w:t>1.9558</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14:paraId="35326715"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1.9558</w:t>
            </w:r>
          </w:p>
        </w:tc>
        <w:tc>
          <w:tcPr>
            <w:tcW w:w="293" w:type="pct"/>
            <w:tcBorders>
              <w:top w:val="nil"/>
              <w:left w:val="nil"/>
              <w:bottom w:val="single" w:sz="4" w:space="0" w:color="016794"/>
              <w:right w:val="nil"/>
              <w:tl2br w:val="nil"/>
              <w:tr2bl w:val="nil"/>
            </w:tcBorders>
            <w:shd w:val="solid" w:color="FFFFFF" w:fill="FFFFFF"/>
          </w:tcPr>
          <w:p w14:paraId="69A9739B" w14:textId="77777777" w:rsidR="00FD1E19" w:rsidRDefault="00FD1E19" w:rsidP="00BE7E4A">
            <w:pPr>
              <w:pStyle w:val="DMETW22316BIPCURR"/>
              <w:rPr>
                <w:rFonts w:ascii="Verdana" w:eastAsia="Verdana" w:hAnsi="Verdana" w:cs="Verdana"/>
                <w:b/>
                <w:noProof/>
                <w:color w:val="000000"/>
                <w:sz w:val="18"/>
              </w:rPr>
            </w:pPr>
          </w:p>
        </w:tc>
        <w:tc>
          <w:tcPr>
            <w:tcW w:w="727" w:type="pct"/>
            <w:tcBorders>
              <w:top w:val="nil"/>
              <w:left w:val="nil"/>
              <w:bottom w:val="single" w:sz="4" w:space="0" w:color="016794"/>
              <w:right w:val="nil"/>
              <w:tl2br w:val="nil"/>
              <w:tr2bl w:val="nil"/>
            </w:tcBorders>
            <w:shd w:val="solid" w:color="FFFFFF" w:fill="FFFFFF"/>
            <w:tcMar>
              <w:left w:w="60" w:type="dxa"/>
              <w:right w:w="60" w:type="dxa"/>
            </w:tcMar>
            <w:vAlign w:val="center"/>
          </w:tcPr>
          <w:p w14:paraId="24C4FF7D"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PLN</w:t>
            </w:r>
          </w:p>
        </w:tc>
        <w:tc>
          <w:tcPr>
            <w:tcW w:w="689" w:type="pct"/>
            <w:tcBorders>
              <w:top w:val="nil"/>
              <w:left w:val="nil"/>
              <w:bottom w:val="single" w:sz="4" w:space="0" w:color="016794"/>
              <w:right w:val="nil"/>
              <w:tl2br w:val="nil"/>
              <w:tr2bl w:val="nil"/>
            </w:tcBorders>
            <w:shd w:val="solid" w:color="FFFFFF" w:fill="FFFFFF"/>
            <w:tcMar>
              <w:left w:w="60" w:type="dxa"/>
              <w:right w:w="60" w:type="dxa"/>
            </w:tcMar>
            <w:vAlign w:val="bottom"/>
          </w:tcPr>
          <w:p w14:paraId="348A33C1" w14:textId="77777777" w:rsidR="00FD1E19" w:rsidRDefault="00FD1E19" w:rsidP="00BE7E4A">
            <w:pPr>
              <w:pStyle w:val="DMETW22316BIPCURR"/>
              <w:jc w:val="right"/>
              <w:rPr>
                <w:rFonts w:ascii="Verdana" w:eastAsia="Verdana" w:hAnsi="Verdana" w:cs="Verdana"/>
                <w:b/>
                <w:noProof/>
                <w:color w:val="000000"/>
                <w:sz w:val="18"/>
              </w:rPr>
            </w:pPr>
            <w:r w:rsidRPr="00577F04">
              <w:rPr>
                <w:rFonts w:ascii="Verdana" w:eastAsia="Verdana" w:hAnsi="Verdana" w:cs="Verdana"/>
                <w:b/>
                <w:noProof/>
                <w:color w:val="000000"/>
                <w:sz w:val="18"/>
              </w:rPr>
              <w:t>4.</w:t>
            </w:r>
            <w:r>
              <w:rPr>
                <w:rFonts w:ascii="Verdana" w:eastAsia="Verdana" w:hAnsi="Verdana" w:cs="Verdana"/>
                <w:b/>
                <w:noProof/>
                <w:color w:val="000000"/>
                <w:sz w:val="18"/>
              </w:rPr>
              <w:t>221</w:t>
            </w:r>
          </w:p>
        </w:tc>
        <w:tc>
          <w:tcPr>
            <w:tcW w:w="866" w:type="pct"/>
            <w:tcBorders>
              <w:top w:val="nil"/>
              <w:left w:val="nil"/>
              <w:bottom w:val="single" w:sz="4" w:space="0" w:color="016794"/>
              <w:right w:val="nil"/>
              <w:tl2br w:val="nil"/>
              <w:tr2bl w:val="nil"/>
            </w:tcBorders>
            <w:shd w:val="solid" w:color="FFFFFF" w:fill="FFFFFF"/>
            <w:tcMar>
              <w:left w:w="60" w:type="dxa"/>
              <w:right w:w="60" w:type="dxa"/>
            </w:tcMar>
            <w:vAlign w:val="bottom"/>
          </w:tcPr>
          <w:p w14:paraId="34F048AF"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4.275</w:t>
            </w:r>
          </w:p>
        </w:tc>
      </w:tr>
      <w:tr w:rsidR="00FD1E19" w14:paraId="56E12D1B" w14:textId="77777777" w:rsidTr="00BE7E4A">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FAF88AE"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CZK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3C1B80CF" w14:textId="77777777" w:rsidR="00FD1E19" w:rsidRDefault="00FD1E19" w:rsidP="00BE7E4A">
            <w:pPr>
              <w:pStyle w:val="DMETW22316BIPCURR"/>
              <w:jc w:val="right"/>
              <w:rPr>
                <w:rFonts w:ascii="Verdana" w:eastAsia="Verdana" w:hAnsi="Verdana" w:cs="Verdana"/>
                <w:b/>
                <w:noProof/>
                <w:color w:val="000000"/>
                <w:sz w:val="18"/>
              </w:rPr>
            </w:pPr>
            <w:r w:rsidRPr="00B97E22">
              <w:rPr>
                <w:rFonts w:ascii="Verdana" w:eastAsia="Verdana" w:hAnsi="Verdana" w:cs="Verdana"/>
                <w:b/>
                <w:noProof/>
                <w:color w:val="000000"/>
                <w:sz w:val="18"/>
              </w:rPr>
              <w:t>2</w:t>
            </w:r>
            <w:r>
              <w:rPr>
                <w:rFonts w:ascii="Verdana" w:eastAsia="Verdana" w:hAnsi="Verdana" w:cs="Verdana"/>
                <w:b/>
                <w:noProof/>
                <w:color w:val="000000"/>
                <w:sz w:val="18"/>
              </w:rPr>
              <w:t>4.237</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0629657C"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25.1</w:t>
            </w:r>
            <w:r>
              <w:rPr>
                <w:rFonts w:ascii="Verdana" w:eastAsia="Verdana" w:hAnsi="Verdana" w:cs="Verdana"/>
                <w:bCs/>
                <w:noProof/>
                <w:color w:val="000000"/>
                <w:sz w:val="18"/>
              </w:rPr>
              <w:t>85</w:t>
            </w:r>
          </w:p>
        </w:tc>
        <w:tc>
          <w:tcPr>
            <w:tcW w:w="293" w:type="pct"/>
            <w:tcBorders>
              <w:top w:val="single" w:sz="4" w:space="0" w:color="016794"/>
              <w:left w:val="nil"/>
              <w:bottom w:val="single" w:sz="4" w:space="0" w:color="016794"/>
              <w:right w:val="nil"/>
              <w:tl2br w:val="nil"/>
              <w:tr2bl w:val="nil"/>
            </w:tcBorders>
            <w:shd w:val="solid" w:color="FFFFFF" w:fill="FFFFFF"/>
          </w:tcPr>
          <w:p w14:paraId="7D27092E" w14:textId="77777777" w:rsidR="00FD1E19" w:rsidRDefault="00FD1E19" w:rsidP="00BE7E4A">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5D982052"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RON</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301CD84F" w14:textId="77777777" w:rsidR="00FD1E19" w:rsidRDefault="00FD1E19" w:rsidP="00BE7E4A">
            <w:pPr>
              <w:pStyle w:val="DMETW22316BIPCURR"/>
              <w:jc w:val="right"/>
              <w:rPr>
                <w:rFonts w:ascii="Verdana" w:eastAsia="Verdana" w:hAnsi="Verdana" w:cs="Verdana"/>
                <w:b/>
                <w:noProof/>
                <w:color w:val="000000"/>
                <w:sz w:val="18"/>
              </w:rPr>
            </w:pPr>
            <w:r>
              <w:rPr>
                <w:rFonts w:ascii="Verdana" w:eastAsia="Verdana" w:hAnsi="Verdana" w:cs="Verdana"/>
                <w:b/>
                <w:noProof/>
                <w:color w:val="000000"/>
                <w:sz w:val="18"/>
              </w:rPr>
              <w:t>5.0968</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5DA32577"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4.9743</w:t>
            </w:r>
          </w:p>
        </w:tc>
      </w:tr>
      <w:tr w:rsidR="00FD1E19" w14:paraId="78A34F81" w14:textId="77777777" w:rsidTr="00BE7E4A">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178C4DB6"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DKK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7C8DFDFB" w14:textId="77777777" w:rsidR="00FD1E19" w:rsidRDefault="00FD1E19" w:rsidP="00BE7E4A">
            <w:pPr>
              <w:pStyle w:val="DMETW22316BIPCURR"/>
              <w:jc w:val="right"/>
              <w:rPr>
                <w:rFonts w:ascii="Verdana" w:eastAsia="Verdana" w:hAnsi="Verdana" w:cs="Verdana"/>
                <w:b/>
                <w:noProof/>
                <w:color w:val="000000"/>
                <w:sz w:val="18"/>
              </w:rPr>
            </w:pPr>
            <w:r w:rsidRPr="00B97E22">
              <w:rPr>
                <w:rFonts w:ascii="Verdana" w:eastAsia="Verdana" w:hAnsi="Verdana" w:cs="Verdana"/>
                <w:b/>
                <w:noProof/>
                <w:color w:val="000000"/>
                <w:sz w:val="18"/>
              </w:rPr>
              <w:t>7.4</w:t>
            </w:r>
            <w:r>
              <w:rPr>
                <w:rFonts w:ascii="Verdana" w:eastAsia="Verdana" w:hAnsi="Verdana" w:cs="Verdana"/>
                <w:b/>
                <w:noProof/>
                <w:color w:val="000000"/>
                <w:sz w:val="18"/>
              </w:rPr>
              <w:t>689</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6E556F3B"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7.4578</w:t>
            </w:r>
          </w:p>
        </w:tc>
        <w:tc>
          <w:tcPr>
            <w:tcW w:w="293" w:type="pct"/>
            <w:tcBorders>
              <w:top w:val="single" w:sz="4" w:space="0" w:color="016794"/>
              <w:left w:val="nil"/>
              <w:bottom w:val="single" w:sz="4" w:space="0" w:color="016794"/>
              <w:right w:val="nil"/>
              <w:tl2br w:val="nil"/>
              <w:tr2bl w:val="nil"/>
            </w:tcBorders>
            <w:shd w:val="solid" w:color="FFFFFF" w:fill="FFFFFF"/>
          </w:tcPr>
          <w:p w14:paraId="5E991DBF" w14:textId="77777777" w:rsidR="00FD1E19" w:rsidRDefault="00FD1E19" w:rsidP="00BE7E4A">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33171735"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SEK</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17E21889" w14:textId="77777777" w:rsidR="00FD1E19" w:rsidRDefault="00FD1E19" w:rsidP="00BE7E4A">
            <w:pPr>
              <w:pStyle w:val="DMETW22316BIPCURR"/>
              <w:jc w:val="right"/>
              <w:rPr>
                <w:rFonts w:ascii="Verdana" w:eastAsia="Verdana" w:hAnsi="Verdana" w:cs="Verdana"/>
                <w:b/>
                <w:noProof/>
                <w:color w:val="000000"/>
                <w:sz w:val="18"/>
              </w:rPr>
            </w:pPr>
            <w:r>
              <w:rPr>
                <w:rFonts w:ascii="Verdana" w:eastAsia="Verdana" w:hAnsi="Verdana" w:cs="Verdana"/>
                <w:b/>
                <w:noProof/>
                <w:color w:val="000000"/>
                <w:sz w:val="18"/>
              </w:rPr>
              <w:t>10.8215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57D3EFCC"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11.459</w:t>
            </w:r>
          </w:p>
        </w:tc>
      </w:tr>
      <w:tr w:rsidR="00FD1E19" w14:paraId="69D91354" w14:textId="77777777" w:rsidTr="00BE7E4A">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2C2E055F"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GBP</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7C90CA93" w14:textId="77777777" w:rsidR="00FD1E19" w:rsidRDefault="00FD1E19" w:rsidP="00BE7E4A">
            <w:pPr>
              <w:pStyle w:val="DMETW22316BIPCURR"/>
              <w:jc w:val="right"/>
              <w:rPr>
                <w:rFonts w:ascii="Verdana" w:eastAsia="Verdana" w:hAnsi="Verdana" w:cs="Verdana"/>
                <w:b/>
                <w:noProof/>
                <w:color w:val="000000"/>
                <w:sz w:val="18"/>
              </w:rPr>
            </w:pPr>
            <w:r w:rsidRPr="00B97E22">
              <w:rPr>
                <w:rFonts w:ascii="Verdana" w:eastAsia="Verdana" w:hAnsi="Verdana" w:cs="Verdana"/>
                <w:b/>
                <w:noProof/>
                <w:color w:val="000000"/>
                <w:sz w:val="18"/>
              </w:rPr>
              <w:t>0.8</w:t>
            </w:r>
            <w:r>
              <w:rPr>
                <w:rFonts w:ascii="Verdana" w:eastAsia="Verdana" w:hAnsi="Verdana" w:cs="Verdana"/>
                <w:b/>
                <w:noProof/>
                <w:color w:val="000000"/>
                <w:sz w:val="18"/>
              </w:rPr>
              <w:t>726</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59B86B07"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0.82918</w:t>
            </w:r>
          </w:p>
        </w:tc>
        <w:tc>
          <w:tcPr>
            <w:tcW w:w="293" w:type="pct"/>
            <w:tcBorders>
              <w:top w:val="single" w:sz="4" w:space="0" w:color="016794"/>
              <w:left w:val="nil"/>
              <w:bottom w:val="single" w:sz="4" w:space="0" w:color="016794"/>
              <w:right w:val="nil"/>
              <w:tl2br w:val="nil"/>
              <w:tr2bl w:val="nil"/>
            </w:tcBorders>
            <w:shd w:val="solid" w:color="FFFFFF" w:fill="FFFFFF"/>
          </w:tcPr>
          <w:p w14:paraId="12EECEAD" w14:textId="77777777" w:rsidR="00FD1E19" w:rsidRDefault="00FD1E19" w:rsidP="00BE7E4A">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E7B823C"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CHF</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13402B44" w14:textId="77777777" w:rsidR="00FD1E19" w:rsidRDefault="00FD1E19" w:rsidP="00BE7E4A">
            <w:pPr>
              <w:pStyle w:val="DMETW22316BIPCURR"/>
              <w:jc w:val="right"/>
              <w:rPr>
                <w:rFonts w:ascii="Verdana" w:eastAsia="Verdana" w:hAnsi="Verdana" w:cs="Verdana"/>
                <w:b/>
                <w:noProof/>
                <w:color w:val="000000"/>
                <w:sz w:val="18"/>
              </w:rPr>
            </w:pPr>
            <w:r w:rsidRPr="00577F04">
              <w:rPr>
                <w:rFonts w:ascii="Verdana" w:eastAsia="Verdana" w:hAnsi="Verdana" w:cs="Verdana"/>
                <w:b/>
                <w:noProof/>
                <w:color w:val="000000"/>
                <w:sz w:val="18"/>
              </w:rPr>
              <w:t>0.9</w:t>
            </w:r>
            <w:r>
              <w:rPr>
                <w:rFonts w:ascii="Verdana" w:eastAsia="Verdana" w:hAnsi="Verdana" w:cs="Verdana"/>
                <w:b/>
                <w:noProof/>
                <w:color w:val="000000"/>
                <w:sz w:val="18"/>
              </w:rPr>
              <w:t>314</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1FC87FBC"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0.9412</w:t>
            </w:r>
          </w:p>
        </w:tc>
      </w:tr>
      <w:tr w:rsidR="00FD1E19" w14:paraId="12E4F445" w14:textId="77777777" w:rsidTr="00BE7E4A">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47C77B05"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NOK</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4AC7522C" w14:textId="77777777" w:rsidR="00FD1E19" w:rsidRDefault="00FD1E19" w:rsidP="00BE7E4A">
            <w:pPr>
              <w:pStyle w:val="DMETW22316BIPCURR"/>
              <w:jc w:val="right"/>
              <w:rPr>
                <w:rFonts w:ascii="Verdana" w:eastAsia="Verdana" w:hAnsi="Verdana" w:cs="Verdana"/>
                <w:b/>
                <w:noProof/>
                <w:color w:val="000000"/>
                <w:sz w:val="18"/>
              </w:rPr>
            </w:pPr>
            <w:r w:rsidRPr="00577F04">
              <w:rPr>
                <w:rFonts w:ascii="Verdana" w:eastAsia="Verdana" w:hAnsi="Verdana" w:cs="Verdana"/>
                <w:b/>
                <w:noProof/>
                <w:color w:val="000000"/>
                <w:sz w:val="18"/>
              </w:rPr>
              <w:t>11.</w:t>
            </w:r>
            <w:r>
              <w:rPr>
                <w:rFonts w:ascii="Verdana" w:eastAsia="Verdana" w:hAnsi="Verdana" w:cs="Verdana"/>
                <w:b/>
                <w:noProof/>
                <w:color w:val="000000"/>
                <w:sz w:val="18"/>
              </w:rPr>
              <w:t>843</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5BA83647"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11.795</w:t>
            </w:r>
          </w:p>
        </w:tc>
        <w:tc>
          <w:tcPr>
            <w:tcW w:w="293" w:type="pct"/>
            <w:tcBorders>
              <w:top w:val="single" w:sz="4" w:space="0" w:color="016794"/>
              <w:left w:val="nil"/>
              <w:bottom w:val="single" w:sz="4" w:space="0" w:color="016794"/>
              <w:right w:val="nil"/>
              <w:tl2br w:val="nil"/>
              <w:tr2bl w:val="nil"/>
            </w:tcBorders>
            <w:shd w:val="solid" w:color="FFFFFF" w:fill="FFFFFF"/>
          </w:tcPr>
          <w:p w14:paraId="5F3728E5" w14:textId="77777777" w:rsidR="00FD1E19" w:rsidRDefault="00FD1E19" w:rsidP="00BE7E4A">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6228B0A2"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JPY</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4E0D0FB7" w14:textId="77777777" w:rsidR="00FD1E19" w:rsidRDefault="00FD1E19" w:rsidP="00BE7E4A">
            <w:pPr>
              <w:pStyle w:val="DMETW22316BIPCURR"/>
              <w:jc w:val="right"/>
              <w:rPr>
                <w:rFonts w:ascii="Verdana" w:eastAsia="Verdana" w:hAnsi="Verdana" w:cs="Verdana"/>
                <w:b/>
                <w:noProof/>
                <w:color w:val="000000"/>
                <w:sz w:val="18"/>
              </w:rPr>
            </w:pPr>
            <w:r w:rsidRPr="00577F04">
              <w:rPr>
                <w:rFonts w:ascii="Verdana" w:eastAsia="Verdana" w:hAnsi="Verdana" w:cs="Verdana"/>
                <w:b/>
                <w:noProof/>
                <w:color w:val="000000"/>
                <w:sz w:val="18"/>
              </w:rPr>
              <w:t>1</w:t>
            </w:r>
            <w:r>
              <w:rPr>
                <w:rFonts w:ascii="Verdana" w:eastAsia="Verdana" w:hAnsi="Verdana" w:cs="Verdana"/>
                <w:b/>
                <w:noProof/>
                <w:color w:val="000000"/>
                <w:sz w:val="18"/>
              </w:rPr>
              <w:t>84.09</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6620C9A7"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163.06</w:t>
            </w:r>
          </w:p>
        </w:tc>
      </w:tr>
      <w:tr w:rsidR="00FD1E19" w14:paraId="4A20272B" w14:textId="77777777" w:rsidTr="00BE7E4A">
        <w:trPr>
          <w:trHeight w:hRule="exact" w:val="255"/>
        </w:trPr>
        <w:tc>
          <w:tcPr>
            <w:tcW w:w="693"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747BC46B"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HUF</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4B2B3668" w14:textId="77777777" w:rsidR="00FD1E19" w:rsidRDefault="00FD1E19" w:rsidP="00BE7E4A">
            <w:pPr>
              <w:pStyle w:val="DMETW22316BIPCURR"/>
              <w:jc w:val="right"/>
              <w:rPr>
                <w:rFonts w:ascii="Verdana" w:eastAsia="Verdana" w:hAnsi="Verdana" w:cs="Verdana"/>
                <w:b/>
                <w:noProof/>
                <w:color w:val="000000"/>
                <w:sz w:val="18"/>
              </w:rPr>
            </w:pPr>
            <w:r>
              <w:rPr>
                <w:rFonts w:ascii="Verdana" w:eastAsia="Verdana" w:hAnsi="Verdana" w:cs="Verdana"/>
                <w:b/>
                <w:noProof/>
                <w:color w:val="000000"/>
                <w:sz w:val="18"/>
              </w:rPr>
              <w:t>385.15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53D2FF3C"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411.35</w:t>
            </w:r>
          </w:p>
        </w:tc>
        <w:tc>
          <w:tcPr>
            <w:tcW w:w="293" w:type="pct"/>
            <w:tcBorders>
              <w:top w:val="single" w:sz="4" w:space="0" w:color="016794"/>
              <w:left w:val="nil"/>
              <w:bottom w:val="single" w:sz="4" w:space="0" w:color="016794"/>
              <w:right w:val="nil"/>
              <w:tl2br w:val="nil"/>
              <w:tr2bl w:val="nil"/>
            </w:tcBorders>
            <w:shd w:val="solid" w:color="FFFFFF" w:fill="FFFFFF"/>
          </w:tcPr>
          <w:p w14:paraId="60967743" w14:textId="77777777" w:rsidR="00FD1E19" w:rsidRDefault="00FD1E19" w:rsidP="00BE7E4A">
            <w:pPr>
              <w:pStyle w:val="DMETW22316BIPCURR"/>
              <w:rPr>
                <w:rFonts w:ascii="Verdana" w:eastAsia="Verdana" w:hAnsi="Verdana" w:cs="Verdana"/>
                <w:b/>
                <w:noProof/>
                <w:color w:val="000000"/>
                <w:sz w:val="18"/>
              </w:rPr>
            </w:pPr>
          </w:p>
        </w:tc>
        <w:tc>
          <w:tcPr>
            <w:tcW w:w="727"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center"/>
          </w:tcPr>
          <w:p w14:paraId="076A36B6" w14:textId="77777777" w:rsidR="00FD1E19" w:rsidRDefault="00FD1E19" w:rsidP="00BE7E4A">
            <w:pPr>
              <w:pStyle w:val="DMETW22316BIPCURR"/>
              <w:rPr>
                <w:rFonts w:ascii="Verdana" w:eastAsia="Verdana" w:hAnsi="Verdana" w:cs="Verdana"/>
                <w:b/>
                <w:noProof/>
                <w:color w:val="000000"/>
                <w:sz w:val="18"/>
              </w:rPr>
            </w:pPr>
            <w:r>
              <w:rPr>
                <w:rFonts w:ascii="Verdana" w:eastAsia="Verdana" w:hAnsi="Verdana" w:cs="Verdana"/>
                <w:b/>
                <w:noProof/>
                <w:color w:val="000000"/>
                <w:sz w:val="18"/>
              </w:rPr>
              <w:t>USD</w:t>
            </w:r>
          </w:p>
        </w:tc>
        <w:tc>
          <w:tcPr>
            <w:tcW w:w="689"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10C190C7" w14:textId="77777777" w:rsidR="00FD1E19" w:rsidRDefault="00FD1E19" w:rsidP="00BE7E4A">
            <w:pPr>
              <w:pStyle w:val="DMETW22316BIPCURR"/>
              <w:jc w:val="right"/>
              <w:rPr>
                <w:rFonts w:ascii="Verdana" w:eastAsia="Verdana" w:hAnsi="Verdana" w:cs="Verdana"/>
                <w:b/>
                <w:noProof/>
                <w:color w:val="000000"/>
                <w:sz w:val="18"/>
              </w:rPr>
            </w:pPr>
            <w:r w:rsidRPr="00577F04">
              <w:rPr>
                <w:rFonts w:ascii="Verdana" w:eastAsia="Verdana" w:hAnsi="Verdana" w:cs="Verdana"/>
                <w:b/>
                <w:noProof/>
                <w:color w:val="000000"/>
                <w:sz w:val="18"/>
              </w:rPr>
              <w:t>1.</w:t>
            </w:r>
            <w:r>
              <w:rPr>
                <w:rFonts w:ascii="Verdana" w:eastAsia="Verdana" w:hAnsi="Verdana" w:cs="Verdana"/>
                <w:b/>
                <w:noProof/>
                <w:color w:val="000000"/>
                <w:sz w:val="18"/>
              </w:rPr>
              <w:t>175</w:t>
            </w:r>
          </w:p>
        </w:tc>
        <w:tc>
          <w:tcPr>
            <w:tcW w:w="866" w:type="pct"/>
            <w:tcBorders>
              <w:top w:val="single" w:sz="4" w:space="0" w:color="016794"/>
              <w:left w:val="nil"/>
              <w:bottom w:val="single" w:sz="4" w:space="0" w:color="016794"/>
              <w:right w:val="nil"/>
              <w:tl2br w:val="nil"/>
              <w:tr2bl w:val="nil"/>
            </w:tcBorders>
            <w:shd w:val="solid" w:color="FFFFFF" w:fill="FFFFFF"/>
            <w:tcMar>
              <w:left w:w="60" w:type="dxa"/>
              <w:right w:w="60" w:type="dxa"/>
            </w:tcMar>
            <w:vAlign w:val="bottom"/>
          </w:tcPr>
          <w:p w14:paraId="6CDBDFA8" w14:textId="77777777" w:rsidR="00FD1E19" w:rsidRPr="00325798" w:rsidRDefault="00FD1E19" w:rsidP="00BE7E4A">
            <w:pPr>
              <w:pStyle w:val="DMETW22316BIPCURR"/>
              <w:jc w:val="right"/>
              <w:rPr>
                <w:rFonts w:ascii="Verdana" w:eastAsia="Verdana" w:hAnsi="Verdana" w:cs="Verdana"/>
                <w:bCs/>
                <w:noProof/>
                <w:color w:val="000000"/>
                <w:sz w:val="18"/>
              </w:rPr>
            </w:pPr>
            <w:r w:rsidRPr="00325798">
              <w:rPr>
                <w:rFonts w:ascii="Verdana" w:eastAsia="Verdana" w:hAnsi="Verdana" w:cs="Verdana"/>
                <w:bCs/>
                <w:noProof/>
                <w:color w:val="000000"/>
                <w:sz w:val="18"/>
              </w:rPr>
              <w:t>1.0389</w:t>
            </w:r>
          </w:p>
        </w:tc>
      </w:tr>
    </w:tbl>
    <w:p w14:paraId="4E8B6F44" w14:textId="77777777" w:rsidR="00FD1E19" w:rsidRPr="00E41868" w:rsidRDefault="00FD1E19" w:rsidP="00FD1E19">
      <w:pPr>
        <w:pStyle w:val="HEADER3Part2"/>
        <w:rPr>
          <w:noProof/>
        </w:rPr>
      </w:pPr>
      <w:r w:rsidRPr="00E41868">
        <w:rPr>
          <w:noProof/>
        </w:rPr>
        <w:t>Use of estimates</w:t>
      </w:r>
    </w:p>
    <w:p w14:paraId="56386AF4" w14:textId="77777777" w:rsidR="00FD1E19" w:rsidRDefault="00FD1E19" w:rsidP="00FD1E19">
      <w:pPr>
        <w:pStyle w:val="Textstand-alone"/>
      </w:pPr>
      <w:r w:rsidRPr="008E2184">
        <w:t>In accordance with IPSAS and generally accepted accounting principles, the financial statements necessarily include amounts based on estimates and assumptions by management based on the most reliable information available. Significant estimates include, but are not limited to: amounts for employee benefit liabilities, financial risk of accounts receivable and the amounts disclosed in the notes concerning financial instruments, impairment allowance for financial assets at amortised cost and for financial guarantee contract liabilities, accrued revenue and charges, provisions, degree of impairment of intangible assets and property, plant and equipment, net realisable value of inventories, contingent assets and liabilities. Actual results could differ from those estimates.</w:t>
      </w:r>
      <w:r w:rsidRPr="00A23408">
        <w:t xml:space="preserve"> </w:t>
      </w:r>
    </w:p>
    <w:p w14:paraId="4D6BF805" w14:textId="77777777" w:rsidR="00FD1E19" w:rsidRDefault="00FD1E19" w:rsidP="00FD1E19">
      <w:pPr>
        <w:pStyle w:val="Textstand-alone"/>
      </w:pPr>
      <w:r>
        <w:t>R</w:t>
      </w:r>
      <w:r w:rsidRPr="00B4313A">
        <w:t xml:space="preserve">easonable estimates are </w:t>
      </w:r>
      <w:r>
        <w:t xml:space="preserve">an </w:t>
      </w:r>
      <w:r w:rsidRPr="00B4313A">
        <w:t>essential part of the preparation of financial statements and do not undermine their reliability. An estimate may need revision if changes occur in the circumstances on which the estimate was based or as a result of new information or more experience. By its nature, the revision of an estimate does not relate to prior periods and is not the correction of an error. The effect of a change in accounting estimate shall be recognised in the surplus or deficit in the per</w:t>
      </w:r>
      <w:r>
        <w:t>iods in which it becomes known.</w:t>
      </w:r>
    </w:p>
    <w:p w14:paraId="4216A870" w14:textId="77777777" w:rsidR="00FD1E19" w:rsidRDefault="00FD1E19" w:rsidP="00FD1E19">
      <w:pPr>
        <w:pStyle w:val="HEADER3Part2"/>
        <w:rPr>
          <w:noProof/>
        </w:rPr>
      </w:pPr>
      <w:bookmarkStart w:id="46" w:name="_DMBM_37380"/>
      <w:bookmarkEnd w:id="44"/>
      <w:bookmarkEnd w:id="45"/>
      <w:r>
        <w:rPr>
          <w:noProof/>
        </w:rPr>
        <w:t>Application of new and amended European Union Accounting Rules (EAR)</w:t>
      </w:r>
    </w:p>
    <w:p w14:paraId="7A48BB9B" w14:textId="77777777" w:rsidR="00FD1E19" w:rsidRDefault="00FD1E19" w:rsidP="00FD1E19">
      <w:pPr>
        <w:pStyle w:val="HEADER5"/>
        <w:rPr>
          <w:noProof/>
        </w:rPr>
      </w:pPr>
      <w:r>
        <w:rPr>
          <w:noProof/>
        </w:rPr>
        <w:t>New EAR which are effective for annual periods beginning on or after 1 January 2025</w:t>
      </w:r>
    </w:p>
    <w:p w14:paraId="5352313A" w14:textId="77777777" w:rsidR="00FD1E19" w:rsidRDefault="00FD1E19" w:rsidP="00FD1E19">
      <w:pPr>
        <w:pStyle w:val="Textstand-alone"/>
      </w:pPr>
      <w:r w:rsidRPr="00F47D6D">
        <w:t xml:space="preserve">On 12 December 2025 the Accounting Officer of the European Commission adopted a targeted amendment of European Accounting Rule 1 ‘Financial Statements’. The amendment, which is effective for reporting periods beginning on or after 1 January 2025, introduced changes to the guidance on the Segment Report. As </w:t>
      </w:r>
      <w:r>
        <w:t xml:space="preserve">the EDF </w:t>
      </w:r>
      <w:r w:rsidRPr="00F47D6D">
        <w:t>is not obliged to, and does not prepare, a Segment Report, the amendment has no impact on these annual accounts</w:t>
      </w:r>
      <w:r>
        <w:t>.</w:t>
      </w:r>
    </w:p>
    <w:p w14:paraId="13376B18" w14:textId="77777777" w:rsidR="00FD1E19" w:rsidRDefault="00FD1E19" w:rsidP="00FD1E19">
      <w:pPr>
        <w:pStyle w:val="HEADER5"/>
        <w:rPr>
          <w:noProof/>
        </w:rPr>
      </w:pPr>
      <w:r>
        <w:rPr>
          <w:noProof/>
        </w:rPr>
        <w:t>New EAR adopted but not yet effective at 31 December 2025</w:t>
      </w:r>
    </w:p>
    <w:p w14:paraId="50143635" w14:textId="77777777" w:rsidR="00FD1E19" w:rsidRDefault="00FD1E19" w:rsidP="00FD1E19">
      <w:pPr>
        <w:pStyle w:val="Textstand-alone"/>
      </w:pPr>
      <w:r>
        <w:t>EAR 8 (revised 2025)</w:t>
      </w:r>
    </w:p>
    <w:p w14:paraId="32707BD3" w14:textId="77777777" w:rsidR="00FD1E19" w:rsidRDefault="00FD1E19" w:rsidP="00FD1E19">
      <w:pPr>
        <w:pStyle w:val="Textstand-alone"/>
      </w:pPr>
      <w:r w:rsidRPr="00F47D6D">
        <w:t xml:space="preserve">On 15 April 2025 the Accounting Officer of the European Commission adopted the revised EAR 8 ‘Leases’, which is effective for accounting periods beginning on or after 1 January 2027. The revised EAR 8 has been updated in line with IPSAS 43 ‘Leases’ (including the amendment ‘Concessionary Leases and Other Arrangements Conveying Rights over Assets’). The main change as compared to the current EAR 8 is the introduction of a right-of-use recognition and measurement model, which requires lessees to recognise all leases, including concessionary leases, on the balance sheet. </w:t>
      </w:r>
      <w:r>
        <w:t>The EDF</w:t>
      </w:r>
      <w:r w:rsidRPr="00F47D6D">
        <w:t xml:space="preserve"> does not expect to be affected by the initial application of the revised EAR 8, as it is not engaged in lease contracts or other relevant arrangements</w:t>
      </w:r>
      <w:r>
        <w:t>.</w:t>
      </w:r>
    </w:p>
    <w:p w14:paraId="204B2F10" w14:textId="77777777" w:rsidR="00FD1E19" w:rsidRDefault="00FD1E19" w:rsidP="00FD1E19">
      <w:pPr>
        <w:pStyle w:val="Textstand-alone"/>
      </w:pPr>
      <w:r>
        <w:t>EAR 1 (revised 2025)</w:t>
      </w:r>
    </w:p>
    <w:p w14:paraId="7F593161" w14:textId="77777777" w:rsidR="00FD1E19" w:rsidRDefault="00FD1E19" w:rsidP="00FD1E19">
      <w:pPr>
        <w:pStyle w:val="Textstand-alone"/>
      </w:pPr>
      <w:r w:rsidRPr="00F47D6D">
        <w:t xml:space="preserve">On 15 April 2025 the Accounting Officer of the European Commission adopted the amended European Accounting Rule 1 ‘Financial Statements’, which is effective for accounting periods beginning on or after 1 January 2027. The amendment aims at ensuring a consistent classification of all borrowings within financing activities, including those related to leases, the acquisition of property, plant and equipment, and back-to-back operations, all of which are currently classified within operating activities. </w:t>
      </w:r>
      <w:r>
        <w:t>The EDF</w:t>
      </w:r>
      <w:r w:rsidRPr="00F47D6D">
        <w:t xml:space="preserve"> does not expect to be affected by the initial application of the revised EAR 1, as it is not engaged in the relevant financing activities</w:t>
      </w:r>
      <w:r>
        <w:t>.</w:t>
      </w:r>
    </w:p>
    <w:p w14:paraId="1BC85BC3" w14:textId="77777777" w:rsidR="00FD1E19" w:rsidRDefault="00FD1E19" w:rsidP="00FD1E19">
      <w:pPr>
        <w:pStyle w:val="HEADER2Part2"/>
        <w:spacing w:before="0"/>
        <w:rPr>
          <w:noProof/>
        </w:rPr>
      </w:pPr>
      <w:bookmarkStart w:id="47" w:name="_DMBM_37306"/>
      <w:bookmarkEnd w:id="46"/>
      <w:r>
        <w:rPr>
          <w:noProof/>
        </w:rPr>
        <w:t>BALANCE SHEET</w:t>
      </w:r>
      <w:bookmarkEnd w:id="47"/>
    </w:p>
    <w:p w14:paraId="707515B0" w14:textId="77777777" w:rsidR="00FD1E19" w:rsidRDefault="00FD1E19" w:rsidP="00FD1E19">
      <w:pPr>
        <w:pStyle w:val="HEADER3Part2"/>
        <w:spacing w:before="240" w:after="240"/>
        <w:rPr>
          <w:noProof/>
        </w:rPr>
      </w:pPr>
      <w:bookmarkStart w:id="48" w:name="_Ref471899148"/>
      <w:bookmarkStart w:id="49" w:name="_CSF_TOC_1_2"/>
      <w:bookmarkStart w:id="50" w:name="_DMBM_37321"/>
      <w:r>
        <w:rPr>
          <w:noProof/>
        </w:rPr>
        <w:t>Financial assets</w:t>
      </w:r>
      <w:bookmarkEnd w:id="48"/>
    </w:p>
    <w:p w14:paraId="56CDF693" w14:textId="77777777" w:rsidR="00FD1E19" w:rsidRDefault="00FD1E19" w:rsidP="00FD1E19">
      <w:pPr>
        <w:pStyle w:val="HEADER5"/>
        <w:keepNext/>
        <w:keepLines/>
        <w:rPr>
          <w:noProof/>
        </w:rPr>
      </w:pPr>
      <w:r>
        <w:rPr>
          <w:noProof/>
        </w:rPr>
        <w:t>Classification at initial recognition</w:t>
      </w:r>
    </w:p>
    <w:p w14:paraId="36794623" w14:textId="77777777" w:rsidR="00FD1E19" w:rsidRDefault="00FD1E19" w:rsidP="00FD1E19">
      <w:pPr>
        <w:pStyle w:val="Textstand-alone"/>
      </w:pPr>
      <w:r>
        <w:t>The classification of the financial instruments is determined at initial recognition. Based on the management model and the asset contractual cash-flow characteristics the financial assets can be classified in three categories: Financial assets at amortised cost (‘AC’), financial assets at fair value through net assets/equity (‘FVNA’) or financial assets at fair value through surplus or deficit (‘FVSD’).</w:t>
      </w:r>
    </w:p>
    <w:p w14:paraId="6584734C" w14:textId="77777777" w:rsidR="00FD1E19" w:rsidRDefault="00FD1E19" w:rsidP="00FD1E19">
      <w:pPr>
        <w:pStyle w:val="TextSubtitlenumberingRCItalic"/>
        <w:keepNext/>
        <w:numPr>
          <w:ilvl w:val="0"/>
          <w:numId w:val="17"/>
        </w:numPr>
        <w:ind w:left="357" w:hanging="357"/>
        <w:rPr>
          <w:noProof/>
        </w:rPr>
      </w:pPr>
      <w:r>
        <w:rPr>
          <w:noProof/>
        </w:rPr>
        <w:t>Financial assets at amortised cost</w:t>
      </w:r>
    </w:p>
    <w:p w14:paraId="2548087F" w14:textId="77777777" w:rsidR="00FD1E19" w:rsidRDefault="00FD1E19" w:rsidP="00FD1E19">
      <w:pPr>
        <w:pStyle w:val="Textstand-alone"/>
      </w:pPr>
      <w:r w:rsidRPr="002F2948">
        <w:t xml:space="preserve">Financial assets at amortised cost are non-derivative financial assets that meet two conditions: </w:t>
      </w:r>
      <w:r>
        <w:t>(</w:t>
      </w:r>
      <w:r w:rsidRPr="002F2948">
        <w:t xml:space="preserve">1) The entity holds them in order to collect the contractual cash flows. </w:t>
      </w:r>
      <w:r>
        <w:t>(</w:t>
      </w:r>
      <w:r w:rsidRPr="002F2948">
        <w:t>2) On specified days, there are contractual cash flows that are solely payments of the principal and interest on the outstanding principal</w:t>
      </w:r>
      <w:r>
        <w:t>.</w:t>
      </w:r>
    </w:p>
    <w:p w14:paraId="577ABA77" w14:textId="77777777" w:rsidR="00FD1E19" w:rsidRDefault="00FD1E19" w:rsidP="00FD1E19">
      <w:pPr>
        <w:pStyle w:val="Textstand-alone"/>
      </w:pPr>
      <w:r>
        <w:t>This category comprises:</w:t>
      </w:r>
    </w:p>
    <w:p w14:paraId="1A504844" w14:textId="77777777" w:rsidR="00FD1E19" w:rsidRDefault="00FD1E19" w:rsidP="00FD1E19">
      <w:pPr>
        <w:pStyle w:val="DGTextstand-alonedashesjustified"/>
      </w:pPr>
      <w:r>
        <w:t>Cash and cash equivalents;</w:t>
      </w:r>
    </w:p>
    <w:p w14:paraId="14F114CC" w14:textId="77777777" w:rsidR="00FD1E19" w:rsidRDefault="00FD1E19" w:rsidP="00FD1E19">
      <w:pPr>
        <w:pStyle w:val="DGTextstand-alonedashesjustified"/>
      </w:pPr>
      <w:r>
        <w:t xml:space="preserve">Loans (including term deposits with an original maturity of more than three months); </w:t>
      </w:r>
    </w:p>
    <w:p w14:paraId="7FB7A382" w14:textId="77777777" w:rsidR="00FD1E19" w:rsidRDefault="00FD1E19" w:rsidP="00FD1E19">
      <w:pPr>
        <w:pStyle w:val="DGTextstand-alonedashesjustified"/>
      </w:pPr>
      <w:r>
        <w:t>Exchange receivables</w:t>
      </w:r>
    </w:p>
    <w:p w14:paraId="4308A46B" w14:textId="77777777" w:rsidR="00FD1E19" w:rsidRDefault="00FD1E19" w:rsidP="00FD1E19">
      <w:pPr>
        <w:pStyle w:val="Textstand-alone"/>
      </w:pPr>
      <w:r>
        <w:t xml:space="preserve">Financial assets at amortised cost are included in current assets, except for those with a maturity of more than 12 months from the reporting date. </w:t>
      </w:r>
    </w:p>
    <w:p w14:paraId="3D986FD1" w14:textId="77777777" w:rsidR="00FD1E19" w:rsidRDefault="00FD1E19" w:rsidP="00FD1E19">
      <w:pPr>
        <w:pStyle w:val="TextSubtitlenumberingRCItalic"/>
        <w:keepNext/>
        <w:numPr>
          <w:ilvl w:val="0"/>
          <w:numId w:val="17"/>
        </w:numPr>
        <w:ind w:left="357" w:hanging="357"/>
        <w:rPr>
          <w:noProof/>
        </w:rPr>
      </w:pPr>
      <w:r>
        <w:rPr>
          <w:noProof/>
        </w:rPr>
        <w:t>Financial assets at fair value through net assets/equity</w:t>
      </w:r>
    </w:p>
    <w:p w14:paraId="1C0681B1" w14:textId="77777777" w:rsidR="00FD1E19" w:rsidRDefault="00FD1E19" w:rsidP="00FD1E19">
      <w:pPr>
        <w:pStyle w:val="DGTextstand-alone"/>
      </w:pPr>
      <w:r>
        <w:t xml:space="preserve">These non-derivatives financial assets have contractual cash flows that represent only principal and interest on the outstanding principal. In addition, the management model is to hold the financial assets both to collect contractual cash flows and to sell the financial assets. </w:t>
      </w:r>
    </w:p>
    <w:p w14:paraId="40AA11D5" w14:textId="77777777" w:rsidR="00FD1E19" w:rsidRDefault="00FD1E19" w:rsidP="00FD1E19">
      <w:pPr>
        <w:pStyle w:val="DGTextstand-alone"/>
      </w:pPr>
      <w:r>
        <w:t>Assets in this category are classified as current assets, if they are expected to be realised within 12 months from the reporting date.</w:t>
      </w:r>
    </w:p>
    <w:p w14:paraId="577AEA80" w14:textId="77777777" w:rsidR="00FD1E19" w:rsidRDefault="00FD1E19" w:rsidP="00FD1E19">
      <w:pPr>
        <w:pStyle w:val="DGTextstand-alone"/>
      </w:pPr>
      <w:r>
        <w:t>The entity did not hold such assets at 31 December 2025.</w:t>
      </w:r>
    </w:p>
    <w:p w14:paraId="21830D57" w14:textId="77777777" w:rsidR="00FD1E19" w:rsidRDefault="00FD1E19" w:rsidP="00FD1E19">
      <w:pPr>
        <w:pStyle w:val="TextSubtitlenumberingRCItalic"/>
        <w:numPr>
          <w:ilvl w:val="0"/>
          <w:numId w:val="17"/>
        </w:numPr>
        <w:ind w:left="357" w:hanging="357"/>
        <w:rPr>
          <w:noProof/>
        </w:rPr>
      </w:pPr>
      <w:r>
        <w:rPr>
          <w:noProof/>
        </w:rPr>
        <w:t>Financial assets at fair value through surplus or deficit</w:t>
      </w:r>
    </w:p>
    <w:p w14:paraId="3BA3781B" w14:textId="77777777" w:rsidR="00FD1E19" w:rsidRDefault="00FD1E19" w:rsidP="00FD1E19">
      <w:pPr>
        <w:pStyle w:val="DGTextstand-alone"/>
      </w:pPr>
      <w:r w:rsidRPr="00566BD9">
        <w:t xml:space="preserve">The entity </w:t>
      </w:r>
      <w:r>
        <w:t>c</w:t>
      </w:r>
      <w:r w:rsidRPr="00566BD9">
        <w:t xml:space="preserve">lassifies derivatives and equity investments </w:t>
      </w:r>
      <w:r>
        <w:t>as FVSD because the contractual cash flows do not represent only principal and interests on the principal.</w:t>
      </w:r>
    </w:p>
    <w:p w14:paraId="094371D0" w14:textId="77777777" w:rsidR="00FD1E19" w:rsidRDefault="00FD1E19" w:rsidP="00FD1E19">
      <w:pPr>
        <w:pStyle w:val="DGTextstand-alone"/>
      </w:pPr>
      <w:r>
        <w:t>In addition, the entity classifies the debt securities it holds as FVSD because the portfolios of debt securities are managed and evaluated on a portfolio fair value basis.</w:t>
      </w:r>
    </w:p>
    <w:p w14:paraId="7B71EF68" w14:textId="77777777" w:rsidR="00FD1E19" w:rsidRDefault="00FD1E19" w:rsidP="00FD1E19">
      <w:pPr>
        <w:pStyle w:val="DGTextstand-alone"/>
      </w:pPr>
      <w:r>
        <w:t>Assets in this category are classified as current assets, if they are expected to be realised within 12 months from the reporting date.</w:t>
      </w:r>
    </w:p>
    <w:p w14:paraId="5CFA677C" w14:textId="77777777" w:rsidR="00FD1E19" w:rsidRDefault="00FD1E19" w:rsidP="00FD1E19">
      <w:pPr>
        <w:pStyle w:val="HEADER5"/>
        <w:keepNext/>
        <w:keepLines/>
        <w:rPr>
          <w:noProof/>
        </w:rPr>
      </w:pPr>
      <w:r>
        <w:rPr>
          <w:noProof/>
        </w:rPr>
        <w:t>Initial recognition and measurement</w:t>
      </w:r>
    </w:p>
    <w:p w14:paraId="0D60DFE2" w14:textId="77777777" w:rsidR="00FD1E19" w:rsidRDefault="00FD1E19" w:rsidP="00FD1E19">
      <w:pPr>
        <w:pStyle w:val="DGTextstand-alone"/>
      </w:pPr>
      <w:r>
        <w:t>Purchases of financial assets at fair value through surplus or deficit are recognised on their trade-date – the date on which the entity commits to purchase the asset. Cash equivalents and loans are recognised when cash is deposited in a financial institution or advanced to borrowers.</w:t>
      </w:r>
    </w:p>
    <w:p w14:paraId="5879A0CA" w14:textId="77777777" w:rsidR="00FD1E19" w:rsidRDefault="00FD1E19" w:rsidP="00FD1E19">
      <w:pPr>
        <w:pStyle w:val="DGTextstand-alone"/>
      </w:pPr>
      <w:r>
        <w:t>Financial assets are initially measured at fair value. For all financial assets not carried at fair value through surplus or deficit, the transactions costs are added to the fair value at initial recognition. For financial assets carried at fair value through surplus or deficit the transaction costs are expensed in the statement of financial performance.</w:t>
      </w:r>
    </w:p>
    <w:p w14:paraId="4D1A4E5B" w14:textId="77777777" w:rsidR="00FD1E19" w:rsidRDefault="00FD1E19" w:rsidP="00FD1E19">
      <w:pPr>
        <w:pStyle w:val="DGTextstand-alone"/>
      </w:pPr>
      <w:r>
        <w:t xml:space="preserve">The fair value of a financial asset on initial recognition is normally the transaction price unless the transaction is not at arm’s length i.e. at no or at nominal consideration for public policy purposes. In this case, the difference between the fair value of the financial instrument and the transaction price is a non-exchange component which is recognised as an expense in the statement of financial performance. In this case, the fair value of a financial asset is derived from current market transactions for a directly equivalent instrument. If there is no active market for the instrument, the fair value is derived from a valuation technique that uses available data from observable markets. </w:t>
      </w:r>
    </w:p>
    <w:p w14:paraId="053CE542" w14:textId="77777777" w:rsidR="00FD1E19" w:rsidRDefault="00FD1E19" w:rsidP="00FD1E19">
      <w:pPr>
        <w:pStyle w:val="HEADER5"/>
        <w:keepNext/>
        <w:keepLines/>
        <w:rPr>
          <w:noProof/>
        </w:rPr>
      </w:pPr>
      <w:r>
        <w:rPr>
          <w:noProof/>
        </w:rPr>
        <w:t>Subsequent measurement</w:t>
      </w:r>
    </w:p>
    <w:p w14:paraId="0C33D38C" w14:textId="77777777" w:rsidR="00FD1E19" w:rsidRDefault="00FD1E19" w:rsidP="00FD1E19">
      <w:pPr>
        <w:pStyle w:val="DGTextstand-alone"/>
      </w:pPr>
      <w:r>
        <w:t xml:space="preserve">Financial assets at amortised cost are subsequently measured at amortised cost using the effective interest method. </w:t>
      </w:r>
    </w:p>
    <w:p w14:paraId="3B4748AC" w14:textId="77777777" w:rsidR="00FD1E19" w:rsidRDefault="00FD1E19" w:rsidP="00FD1E19">
      <w:pPr>
        <w:pStyle w:val="DGTextstand-alone"/>
      </w:pPr>
      <w:r>
        <w:t>Financial assets at fair value through surplus or deficit are subsequently measured at fair value. Gains and losses from changes in the fair value (including those stemming from foreign exchange translation and any interests earned) are included in the statement of financial performance in the period in which they arise.</w:t>
      </w:r>
    </w:p>
    <w:p w14:paraId="38BBCBC5" w14:textId="77777777" w:rsidR="00FD1E19" w:rsidRDefault="00FD1E19" w:rsidP="00FD1E19">
      <w:pPr>
        <w:pStyle w:val="HEADER5"/>
        <w:rPr>
          <w:noProof/>
        </w:rPr>
      </w:pPr>
      <w:r>
        <w:rPr>
          <w:noProof/>
        </w:rPr>
        <w:t>Fair value at subsequent measurement</w:t>
      </w:r>
    </w:p>
    <w:p w14:paraId="178523E1" w14:textId="77777777" w:rsidR="00FD1E19" w:rsidRDefault="00FD1E19" w:rsidP="00FD1E19">
      <w:pPr>
        <w:pStyle w:val="DGTextstand-alone"/>
      </w:pPr>
      <w:r>
        <w:t xml:space="preserve">The fair values of quoted investments in active markets are based on current bid prices. If the market for a financial asset is not active (and for unlisted securities and over-the–counter derivatives), the EU establishes a fair value by using valuation techniques. These include the use of recent arm’s length transactions, reference to other instruments that are substantially the same, discounted cashflow analysis, option pricing models and other valuation techniques commonly used by market participants. </w:t>
      </w:r>
    </w:p>
    <w:p w14:paraId="69BE2403" w14:textId="77777777" w:rsidR="00FD1E19" w:rsidRDefault="00FD1E19" w:rsidP="00FD1E19">
      <w:pPr>
        <w:pStyle w:val="DGTextstand-alone"/>
      </w:pPr>
      <w:r>
        <w:t>Investments in venture capital funds which do not have a quoted market price in an active market are valued at the attributable net asset value, which is considered as an equivalent of their fair value.</w:t>
      </w:r>
    </w:p>
    <w:p w14:paraId="3E78668D" w14:textId="77777777" w:rsidR="00FD1E19" w:rsidRDefault="00FD1E19" w:rsidP="00FD1E19">
      <w:pPr>
        <w:pStyle w:val="HEADER5"/>
        <w:rPr>
          <w:noProof/>
        </w:rPr>
      </w:pPr>
      <w:r w:rsidRPr="0073349D">
        <w:rPr>
          <w:noProof/>
        </w:rPr>
        <w:t>Impairment of financial assets</w:t>
      </w:r>
    </w:p>
    <w:p w14:paraId="2C02F26F" w14:textId="77777777" w:rsidR="00FD1E19" w:rsidRDefault="00FD1E19" w:rsidP="00FD1E19">
      <w:pPr>
        <w:pStyle w:val="DGTextstand-alone"/>
      </w:pPr>
      <w:r>
        <w:t>The EU recognises and measures an impairment loss for expected credit losses on financial assets that are measured at amortised cost and at fair value through net assets/equity.</w:t>
      </w:r>
    </w:p>
    <w:p w14:paraId="081B638B" w14:textId="77777777" w:rsidR="00FD1E19" w:rsidRDefault="00FD1E19" w:rsidP="00FD1E19">
      <w:pPr>
        <w:pStyle w:val="DGTextstand-alone"/>
      </w:pPr>
      <w:r>
        <w:t>The expected credit loss (ECL) is the present value of the difference between the contractual cash flows and the cash flows that the EU expects to receive. The ECL incorporates reasonable and supportable information that is available without undue cost or effort at the reporting date.</w:t>
      </w:r>
    </w:p>
    <w:p w14:paraId="1DC68F75" w14:textId="77777777" w:rsidR="00FD1E19" w:rsidRDefault="00FD1E19" w:rsidP="00FD1E19">
      <w:pPr>
        <w:pStyle w:val="DGTextstand-alone"/>
      </w:pPr>
      <w:r>
        <w:t>For assets at amortised cost, the asset’s carrying amount is reduced by the amount of the impairment loss which is recognised in the statement of financial performance. If, in a subsequent period, the amount of the impairment loss decreases, the previously recognised impairment loss is reversed through the statement of financial performance.</w:t>
      </w:r>
    </w:p>
    <w:p w14:paraId="657A4BAD" w14:textId="77777777" w:rsidR="00FD1E19" w:rsidRDefault="00FD1E19" w:rsidP="00FD1E19">
      <w:pPr>
        <w:pStyle w:val="TextSubtitleItalicnumberinglettera"/>
        <w:numPr>
          <w:ilvl w:val="0"/>
          <w:numId w:val="18"/>
        </w:numPr>
        <w:rPr>
          <w:noProof/>
        </w:rPr>
      </w:pPr>
      <w:r>
        <w:rPr>
          <w:noProof/>
        </w:rPr>
        <w:t>Receivables</w:t>
      </w:r>
    </w:p>
    <w:p w14:paraId="1FB61353" w14:textId="77777777" w:rsidR="00FD1E19" w:rsidRDefault="00FD1E19" w:rsidP="00FD1E19">
      <w:pPr>
        <w:pStyle w:val="TextSubtitleItalicnumberinglettera"/>
        <w:numPr>
          <w:ilvl w:val="0"/>
          <w:numId w:val="0"/>
        </w:numPr>
        <w:rPr>
          <w:noProof/>
        </w:rPr>
      </w:pPr>
    </w:p>
    <w:p w14:paraId="27102B13" w14:textId="77777777" w:rsidR="00FD1E19" w:rsidRDefault="00FD1E19" w:rsidP="00FD1E19">
      <w:pPr>
        <w:pStyle w:val="TextSubtitleItalicnumberinglettera"/>
        <w:numPr>
          <w:ilvl w:val="0"/>
          <w:numId w:val="0"/>
        </w:numPr>
        <w:jc w:val="both"/>
        <w:rPr>
          <w:i w:val="0"/>
          <w:noProof/>
        </w:rPr>
      </w:pPr>
      <w:r>
        <w:rPr>
          <w:i w:val="0"/>
          <w:noProof/>
        </w:rPr>
        <w:t xml:space="preserve">The entity measures the impairment loss at the amount of lifetime ECL, using practical expedients (e.g. provision matrix). </w:t>
      </w:r>
    </w:p>
    <w:p w14:paraId="32513C2A" w14:textId="77777777" w:rsidR="00FD1E19" w:rsidRDefault="00FD1E19" w:rsidP="00FD1E19">
      <w:pPr>
        <w:pStyle w:val="TextSubtitleItalicnumberinglettera"/>
        <w:numPr>
          <w:ilvl w:val="0"/>
          <w:numId w:val="0"/>
        </w:numPr>
        <w:rPr>
          <w:noProof/>
        </w:rPr>
      </w:pPr>
    </w:p>
    <w:p w14:paraId="717DDCF0" w14:textId="77777777" w:rsidR="00FD1E19" w:rsidRDefault="00FD1E19" w:rsidP="00FD1E19">
      <w:pPr>
        <w:pStyle w:val="TextSubtitleItalicnumberinglettera"/>
        <w:numPr>
          <w:ilvl w:val="0"/>
          <w:numId w:val="18"/>
        </w:numPr>
        <w:rPr>
          <w:noProof/>
        </w:rPr>
      </w:pPr>
      <w:r>
        <w:rPr>
          <w:noProof/>
        </w:rPr>
        <w:t>Cash and cash equivalents</w:t>
      </w:r>
    </w:p>
    <w:p w14:paraId="0491E08C" w14:textId="77777777" w:rsidR="00FD1E19" w:rsidRDefault="00FD1E19" w:rsidP="00FD1E19">
      <w:pPr>
        <w:pStyle w:val="TextSubtitleItalicnumberinglettera"/>
        <w:numPr>
          <w:ilvl w:val="0"/>
          <w:numId w:val="0"/>
        </w:numPr>
        <w:rPr>
          <w:noProof/>
        </w:rPr>
      </w:pPr>
    </w:p>
    <w:p w14:paraId="6B6009FD" w14:textId="77777777" w:rsidR="00FD1E19" w:rsidRDefault="00FD1E19" w:rsidP="00FD1E19">
      <w:pPr>
        <w:pStyle w:val="TextSubtitleItalicnumberinglettera"/>
        <w:numPr>
          <w:ilvl w:val="0"/>
          <w:numId w:val="0"/>
        </w:numPr>
        <w:jc w:val="both"/>
        <w:rPr>
          <w:i w:val="0"/>
          <w:noProof/>
        </w:rPr>
      </w:pPr>
      <w:r>
        <w:rPr>
          <w:i w:val="0"/>
          <w:noProof/>
        </w:rPr>
        <w:t>The entity holds cash and cash equivalents in current bank accounts and term deposits of up to three months. The cash is held in banks with very high credit ratings, thus having very low default probabilities. Given the short duration and low default probabilities, the expected credit losses from cash and cash equivalents are negligible. As a result, no impairment allowance is recognised for cash equivalents.</w:t>
      </w:r>
    </w:p>
    <w:p w14:paraId="5E6C126A" w14:textId="77777777" w:rsidR="00FD1E19" w:rsidRDefault="00FD1E19" w:rsidP="00FD1E19">
      <w:pPr>
        <w:pStyle w:val="TextSubtitleItalicnumberinglettera"/>
        <w:numPr>
          <w:ilvl w:val="0"/>
          <w:numId w:val="0"/>
        </w:numPr>
        <w:jc w:val="both"/>
        <w:rPr>
          <w:i w:val="0"/>
          <w:noProof/>
        </w:rPr>
      </w:pPr>
    </w:p>
    <w:p w14:paraId="730B4EBC" w14:textId="77777777" w:rsidR="00FD1E19" w:rsidRPr="007569C9" w:rsidRDefault="00FD1E19" w:rsidP="00FD1E19">
      <w:pPr>
        <w:pStyle w:val="TextSubtitleItalicnumberinglettera"/>
        <w:numPr>
          <w:ilvl w:val="0"/>
          <w:numId w:val="18"/>
        </w:numPr>
        <w:rPr>
          <w:noProof/>
        </w:rPr>
      </w:pPr>
      <w:r w:rsidRPr="007569C9">
        <w:rPr>
          <w:noProof/>
        </w:rPr>
        <w:t xml:space="preserve">Loans </w:t>
      </w:r>
    </w:p>
    <w:p w14:paraId="13D88786" w14:textId="77777777" w:rsidR="00FD1E19" w:rsidRPr="007569C9" w:rsidRDefault="00FD1E19" w:rsidP="00FD1E19">
      <w:pPr>
        <w:pStyle w:val="Textstand-alone"/>
      </w:pPr>
      <w:r w:rsidRPr="007569C9">
        <w:t>The ECL is measured with a three</w:t>
      </w:r>
      <w:r>
        <w:t>-</w:t>
      </w:r>
      <w:r w:rsidRPr="007569C9">
        <w:t>stage model that takes into account probability</w:t>
      </w:r>
      <w:r>
        <w:t>-</w:t>
      </w:r>
      <w:r w:rsidRPr="007569C9">
        <w:t>weighted default events during the lifetime of the financial asset and the evolution of credit risk since the origination of the financial asset. For loans, origination is the date of the irrevocable loan commitment</w:t>
      </w:r>
    </w:p>
    <w:p w14:paraId="74D3D1A7" w14:textId="77777777" w:rsidR="00FD1E19" w:rsidRPr="007569C9" w:rsidRDefault="00FD1E19" w:rsidP="00FD1E19">
      <w:pPr>
        <w:pStyle w:val="Textstand-alone"/>
      </w:pPr>
      <w:r w:rsidRPr="007569C9">
        <w:t>If there is no significant increase in credit risk since origination (‘stage 1’), the impairment loss is the ECL from possible default events in the next 12 months from the reporting date (’12 month ECL’). If there is a significant increase in credit risk since origination (‘stage 2’) or if there is objective evidence of a credit impairment (‘stage 3’), the impairment loss equals the ECL from possible default events over the whole lifetime of the financial asset (‘lifetime ECL’)</w:t>
      </w:r>
    </w:p>
    <w:p w14:paraId="7D1EF9C9" w14:textId="77777777" w:rsidR="00FD1E19" w:rsidRDefault="00FD1E19" w:rsidP="00FD1E19">
      <w:pPr>
        <w:pStyle w:val="HEADER5"/>
        <w:keepNext/>
        <w:rPr>
          <w:noProof/>
        </w:rPr>
      </w:pPr>
      <w:r w:rsidRPr="006F1A1E">
        <w:rPr>
          <w:noProof/>
        </w:rPr>
        <w:t>De</w:t>
      </w:r>
      <w:r>
        <w:rPr>
          <w:noProof/>
        </w:rPr>
        <w:t>-</w:t>
      </w:r>
      <w:r w:rsidRPr="006F1A1E">
        <w:rPr>
          <w:noProof/>
        </w:rPr>
        <w:t>recognition</w:t>
      </w:r>
    </w:p>
    <w:p w14:paraId="2861999E" w14:textId="77777777" w:rsidR="00FD1E19" w:rsidRDefault="00FD1E19" w:rsidP="00FD1E19">
      <w:pPr>
        <w:pStyle w:val="Textstand-alone"/>
        <w:keepNext/>
      </w:pPr>
      <w:r w:rsidRPr="0073349D">
        <w:t>Financial instruments are derecognised when the rights to receive cash</w:t>
      </w:r>
      <w:r>
        <w:t xml:space="preserve"> </w:t>
      </w:r>
      <w:r w:rsidRPr="0073349D">
        <w:t xml:space="preserve">flows from the investments have expired or the </w:t>
      </w:r>
      <w:r>
        <w:t>entity</w:t>
      </w:r>
      <w:r w:rsidRPr="0073349D">
        <w:t xml:space="preserve"> has transferred substantially all risks and rewards of ownership to another party. Sales of financial assets through surplus or deficit are recognised on their trade</w:t>
      </w:r>
      <w:r>
        <w:t xml:space="preserve"> </w:t>
      </w:r>
      <w:r w:rsidRPr="0073349D">
        <w:t>date.</w:t>
      </w:r>
    </w:p>
    <w:bookmarkEnd w:id="49"/>
    <w:bookmarkEnd w:id="50"/>
    <w:p w14:paraId="434F1724" w14:textId="77777777" w:rsidR="00FD1E19" w:rsidRDefault="00FD1E19" w:rsidP="00FD1E19">
      <w:pPr>
        <w:pStyle w:val="Textstand-alone"/>
        <w:sectPr w:rsidR="00FD1E19" w:rsidSect="00FD1E19">
          <w:headerReference w:type="default" r:id="rId58"/>
          <w:footerReference w:type="default" r:id="rId59"/>
          <w:pgSz w:w="11906" w:h="16838" w:code="9"/>
          <w:pgMar w:top="1134" w:right="1134" w:bottom="1134" w:left="1134" w:header="709" w:footer="709" w:gutter="0"/>
          <w:cols w:space="708"/>
          <w:docGrid w:linePitch="360"/>
        </w:sectPr>
      </w:pPr>
    </w:p>
    <w:p w14:paraId="4C37AAA0" w14:textId="77777777" w:rsidR="00FD1E19" w:rsidRDefault="00FD1E19" w:rsidP="00FD1E19">
      <w:pPr>
        <w:pStyle w:val="HEADER3Part2"/>
        <w:rPr>
          <w:noProof/>
        </w:rPr>
      </w:pPr>
      <w:bookmarkStart w:id="51" w:name="_DMBM_37309"/>
      <w:r>
        <w:rPr>
          <w:noProof/>
        </w:rPr>
        <w:t>Pre-</w:t>
      </w:r>
      <w:r w:rsidRPr="00264FC8">
        <w:rPr>
          <w:noProof/>
        </w:rPr>
        <w:t>financing</w:t>
      </w:r>
      <w:r>
        <w:rPr>
          <w:noProof/>
        </w:rPr>
        <w:t xml:space="preserve"> amounts</w:t>
      </w:r>
    </w:p>
    <w:p w14:paraId="0E99A135" w14:textId="77777777" w:rsidR="00FD1E19" w:rsidRDefault="00FD1E19" w:rsidP="00FD1E19">
      <w:pPr>
        <w:pStyle w:val="Textstand-alone"/>
      </w:pPr>
      <w:r>
        <w:t xml:space="preserve">Pre-financing is a payment intended to provide the beneficiary with a cash advance, i.e. a float. It may be split into a number of payments over a period defined in the particular contract, decision, agreement or basic legal act. The float or advance is either used for the purpose for which it was provided during the period defined in the agreement or it is repaid. If the beneficiaries do not incur eligible expenditure, they have the obligation to return the pre-financing advance to the entity. Thus, as the entity retains control over the pre-financing and is entitled to a refund for the ineligible part, the amount is recognised as an asset. </w:t>
      </w:r>
    </w:p>
    <w:p w14:paraId="36CA2301" w14:textId="77777777" w:rsidR="00FD1E19" w:rsidRDefault="00FD1E19" w:rsidP="00FD1E19">
      <w:pPr>
        <w:pStyle w:val="Textstand-alone"/>
      </w:pPr>
      <w:r>
        <w:t>Pre-financing is initially recognised on the balance sheet when cash is transferred to the recipient. It is measured at the amount of the consideration given. In subsequent periods pre-financing is measured at the amount initially recognised on the balance sheet less eligible expenses (including estimated amounts where necessary) incurred during the period.</w:t>
      </w:r>
    </w:p>
    <w:p w14:paraId="03ADB269" w14:textId="77777777" w:rsidR="00FD1E19" w:rsidRDefault="00FD1E19" w:rsidP="00FD1E19">
      <w:pPr>
        <w:pStyle w:val="Textstand-alone"/>
        <w:sectPr w:rsidR="00FD1E19" w:rsidSect="00FD1E19">
          <w:headerReference w:type="default" r:id="rId60"/>
          <w:footerReference w:type="default" r:id="rId61"/>
          <w:type w:val="continuous"/>
          <w:pgSz w:w="11906" w:h="16838" w:code="9"/>
          <w:pgMar w:top="1134" w:right="1134" w:bottom="1134" w:left="1134" w:header="709" w:footer="709" w:gutter="0"/>
          <w:cols w:space="708"/>
          <w:docGrid w:linePitch="360"/>
        </w:sectPr>
      </w:pPr>
    </w:p>
    <w:bookmarkEnd w:id="51"/>
    <w:p w14:paraId="39A21FD7" w14:textId="77777777" w:rsidR="00FD1E19" w:rsidRPr="000352B6" w:rsidRDefault="00FD1E19" w:rsidP="00FD1E19">
      <w:pPr>
        <w:pStyle w:val="Textstand-alone"/>
        <w:sectPr w:rsidR="00FD1E19" w:rsidRPr="000352B6" w:rsidSect="00FD1E19">
          <w:headerReference w:type="default" r:id="rId62"/>
          <w:footerReference w:type="default" r:id="rId63"/>
          <w:type w:val="continuous"/>
          <w:pgSz w:w="11906" w:h="16838" w:code="9"/>
          <w:pgMar w:top="1440" w:right="1440" w:bottom="1440" w:left="1440" w:header="708" w:footer="708" w:gutter="0"/>
          <w:cols w:space="708"/>
          <w:docGrid w:linePitch="360"/>
        </w:sectPr>
      </w:pPr>
    </w:p>
    <w:p w14:paraId="1BAC4FB4" w14:textId="77777777" w:rsidR="00FD1E19" w:rsidRPr="00427D57" w:rsidRDefault="00FD1E19" w:rsidP="00FD1E19">
      <w:pPr>
        <w:pStyle w:val="HEADER3Part2"/>
        <w:rPr>
          <w:noProof/>
        </w:rPr>
      </w:pPr>
      <w:bookmarkStart w:id="52" w:name="_DMBM_37310"/>
      <w:r w:rsidRPr="00427D57">
        <w:rPr>
          <w:noProof/>
        </w:rPr>
        <w:t>Receivables and recoverables</w:t>
      </w:r>
    </w:p>
    <w:p w14:paraId="3C7A62A4" w14:textId="77777777" w:rsidR="00FD1E19" w:rsidRDefault="00FD1E19" w:rsidP="00FD1E19">
      <w:pPr>
        <w:pStyle w:val="Textstand-alone"/>
      </w:pPr>
      <w:r>
        <w:t>The EAR’s require separate presentation of exchange and non-exchange transactions. To distinguish between the two categories, the term ‘receivable’ is reserved for exchange transactions, whereas for non-exchange transactions, i.e. when the EU receives value from another entity without directly giving approximately equal value in exchange, the term ‘recoverables’ is used (e.g. recoverables from Member States related to own resources).</w:t>
      </w:r>
    </w:p>
    <w:p w14:paraId="3E26F489" w14:textId="77777777" w:rsidR="00FD1E19" w:rsidRDefault="00FD1E19" w:rsidP="00FD1E19">
      <w:pPr>
        <w:pStyle w:val="Textstand-alone"/>
      </w:pPr>
      <w:r>
        <w:t xml:space="preserve">Receivables from exchange transactions meet the definition of financial instruments. </w:t>
      </w:r>
      <w:r w:rsidRPr="006F4D9E">
        <w:t>The entity classified them as financial assets at amortised cost and mea</w:t>
      </w:r>
      <w:r>
        <w:t>sured them accordingly.</w:t>
      </w:r>
    </w:p>
    <w:p w14:paraId="77800621" w14:textId="77777777" w:rsidR="00FD1E19" w:rsidRDefault="00FD1E19" w:rsidP="00FD1E19">
      <w:pPr>
        <w:pStyle w:val="Textstand-alone"/>
      </w:pPr>
      <w:r w:rsidRPr="006F4D9E">
        <w:t>Recoverables from non-exchange transactions are carried at fair value as at the date of acquisition less write-down for impairment.</w:t>
      </w:r>
      <w:r>
        <w:t xml:space="preserve"> </w:t>
      </w:r>
      <w:r w:rsidRPr="006F4D9E">
        <w:t>A write-down for impairment is established when there is objective evidence that the entity will not be able to collect all amounts due according to the original terms of the recoverables. The amount of the write-down is the difference between the asset’s carrying amount and the recoverable amount. The amount of the write-down is recognised in the statement of financial performance</w:t>
      </w:r>
      <w:r>
        <w:t>.</w:t>
      </w:r>
      <w:bookmarkEnd w:id="52"/>
    </w:p>
    <w:p w14:paraId="05782271" w14:textId="77777777" w:rsidR="00FD1E19" w:rsidRDefault="00FD1E19" w:rsidP="00FD1E19">
      <w:pPr>
        <w:pStyle w:val="HEADER3Part2"/>
        <w:rPr>
          <w:noProof/>
        </w:rPr>
      </w:pPr>
      <w:bookmarkStart w:id="53" w:name="_DMBM_37311"/>
      <w:r>
        <w:rPr>
          <w:noProof/>
        </w:rPr>
        <w:t>Cash and cash equivalents</w:t>
      </w:r>
    </w:p>
    <w:p w14:paraId="6CCE05AA" w14:textId="77777777" w:rsidR="00FD1E19" w:rsidRDefault="00FD1E19" w:rsidP="00FD1E19">
      <w:pPr>
        <w:pStyle w:val="Textstand-alone"/>
      </w:pPr>
      <w:r w:rsidRPr="00335C3F">
        <w:t>Cash and cash equivalents are financial assets at amortised cost and include cash at hand, deposits held at call or at short notice with banks, and other short-term highly liquid investments with original maturities of three months or less.</w:t>
      </w:r>
    </w:p>
    <w:p w14:paraId="36BC48F0" w14:textId="77777777" w:rsidR="00FD1E19" w:rsidRDefault="00FD1E19" w:rsidP="00FD1E19">
      <w:pPr>
        <w:pStyle w:val="HEADER3Part2"/>
        <w:rPr>
          <w:noProof/>
        </w:rPr>
      </w:pPr>
      <w:bookmarkStart w:id="54" w:name="_DMBM_37312"/>
      <w:bookmarkEnd w:id="53"/>
      <w:r>
        <w:rPr>
          <w:noProof/>
        </w:rPr>
        <w:t>Payables</w:t>
      </w:r>
    </w:p>
    <w:p w14:paraId="7046F487" w14:textId="77777777" w:rsidR="00FD1E19" w:rsidRDefault="00FD1E19" w:rsidP="00FD1E19">
      <w:pPr>
        <w:pStyle w:val="Textstand-alone"/>
      </w:pPr>
      <w:r>
        <w:t xml:space="preserve">Included under accounts payable are both amounts related to exchange transactions such as the purchase of goods and services, and to non-exchange transactions e.g. to cost claims from beneficiaries, grants or other EU funding, or pre-financing received (see Note 1.4.1). </w:t>
      </w:r>
    </w:p>
    <w:p w14:paraId="6D1FDAF9" w14:textId="77777777" w:rsidR="00FD1E19" w:rsidRDefault="00FD1E19" w:rsidP="00FD1E19">
      <w:pPr>
        <w:pStyle w:val="Textstand-alone"/>
      </w:pPr>
      <w:r>
        <w:t>Where grants or other funding are provided to the beneficiaries, the cost claims are recorded as payables for the requested amount, at the moment when the cost claim is received. Upon verification and acceptance of the eligible costs, the payables are valued at the accepted and eligible amount.</w:t>
      </w:r>
    </w:p>
    <w:p w14:paraId="7A206D14" w14:textId="77777777" w:rsidR="00FD1E19" w:rsidRDefault="00FD1E19" w:rsidP="00FD1E19">
      <w:pPr>
        <w:pStyle w:val="Textstand-alone"/>
      </w:pPr>
      <w:r>
        <w:t>Payables arising from the purchase of goods and services are recognised at invoice reception for the original amount. The corresponding expenses are entered in the accounts when the supplies or services are delivered and accepted by the entity.</w:t>
      </w:r>
    </w:p>
    <w:p w14:paraId="49058463" w14:textId="77777777" w:rsidR="00FD1E19" w:rsidRDefault="00FD1E19" w:rsidP="00FD1E19">
      <w:pPr>
        <w:pStyle w:val="HEADER3Part2"/>
        <w:rPr>
          <w:noProof/>
        </w:rPr>
      </w:pPr>
      <w:bookmarkStart w:id="55" w:name="_DMBM_37324"/>
      <w:bookmarkEnd w:id="54"/>
      <w:r w:rsidRPr="00EA0381">
        <w:rPr>
          <w:noProof/>
        </w:rPr>
        <w:t>Financial liabilities</w:t>
      </w:r>
    </w:p>
    <w:p w14:paraId="73B4A7FF" w14:textId="77777777" w:rsidR="00FD1E19" w:rsidRPr="00F74423" w:rsidRDefault="00FD1E19" w:rsidP="00FD1E19">
      <w:pPr>
        <w:pStyle w:val="Textstand-alone"/>
        <w:rPr>
          <w:lang w:val="en-IE"/>
        </w:rPr>
      </w:pPr>
      <w:r w:rsidRPr="00F74423">
        <w:rPr>
          <w:lang w:val="en-IE"/>
        </w:rPr>
        <w:t>Financial liabilities are classified as financial liabilities carried at amortised cost, financial liabilities at fair value through surplus or deficit, or as financial guarantee contract liabilities.</w:t>
      </w:r>
    </w:p>
    <w:p w14:paraId="749DE043" w14:textId="77777777" w:rsidR="00FD1E19" w:rsidRPr="00F74423" w:rsidRDefault="00FD1E19" w:rsidP="00FD1E19">
      <w:pPr>
        <w:pStyle w:val="Textstand-alone"/>
        <w:rPr>
          <w:lang w:val="en-IE"/>
        </w:rPr>
      </w:pPr>
      <w:r w:rsidRPr="00F74423">
        <w:rPr>
          <w:lang w:val="en-IE"/>
        </w:rPr>
        <w:t xml:space="preserve">Financial liabilities at amortised cost are initially recognised at fair value including transaction costs incurred and subsequently carried at amortised cost using the effective interest method. They are derecognised from the statement of financial position if and only if the obligation is discharged, waived, cancelled or expired. </w:t>
      </w:r>
    </w:p>
    <w:p w14:paraId="67B169A4" w14:textId="77777777" w:rsidR="00FD1E19" w:rsidRPr="00F74423" w:rsidRDefault="00FD1E19" w:rsidP="00FD1E19">
      <w:pPr>
        <w:pStyle w:val="Textstand-alone"/>
        <w:rPr>
          <w:lang w:val="en-IE"/>
        </w:rPr>
      </w:pPr>
      <w:r w:rsidRPr="00F74423">
        <w:rPr>
          <w:lang w:val="en-IE"/>
        </w:rPr>
        <w:t>Financial liabilities at fair value through surplus or deficit include derivatives where the fair value is negative. Where the guarantee contract requires the entity to make payments in response to changes in financial instruments prices or foreign exchange rates, the guarantee contract is a derivative. They follow the same accounting treatment as financial assets at fair value through surplus or deficit.</w:t>
      </w:r>
    </w:p>
    <w:p w14:paraId="1C2EA9CC" w14:textId="77777777" w:rsidR="00FD1E19" w:rsidRPr="00F74423" w:rsidRDefault="00FD1E19" w:rsidP="00FD1E19">
      <w:pPr>
        <w:pStyle w:val="Textstand-alone"/>
        <w:rPr>
          <w:lang w:val="en-IE"/>
        </w:rPr>
      </w:pPr>
      <w:r w:rsidRPr="00F74423">
        <w:rPr>
          <w:lang w:val="en-IE"/>
        </w:rPr>
        <w:t xml:space="preserve">The entity recognises a financial guarantee contract liability when it enters into a contract that requires to make specified payments to reimburse the guarantee holder for a loss it incurs because a specified debtor fails to make payment when due in accordance with the original or modified terms of a debt instrument. Financial guarantee contract liabilities are initially recognised at fair value. </w:t>
      </w:r>
    </w:p>
    <w:p w14:paraId="4534BC31" w14:textId="77777777" w:rsidR="00FD1E19" w:rsidRPr="00F74423" w:rsidRDefault="00FD1E19" w:rsidP="00FD1E19">
      <w:pPr>
        <w:pStyle w:val="Textstand-alone"/>
        <w:rPr>
          <w:lang w:val="en-IE"/>
        </w:rPr>
      </w:pPr>
      <w:r w:rsidRPr="00F74423">
        <w:rPr>
          <w:lang w:val="en-IE"/>
        </w:rPr>
        <w:t xml:space="preserve">The subsequent measurement depends on the evolution of the credit risk exposure from the financial guarantee. If there is no significant increase in credit risk (‘stage 1’), financial guarantee liabilities are measured at the higher of the 12 months expected credit losses and the amount initially recognised less, when appropriate, cumulative amortisation. If there is a significant increase in credit risk (‘stage 2’), financial guarantee liabilities are measured at the higher of the lifetime expected credit losses and the amount initially recognised less, when appropriate, cumulative amortisation. </w:t>
      </w:r>
    </w:p>
    <w:p w14:paraId="13248FC7" w14:textId="77777777" w:rsidR="00FD1E19" w:rsidRDefault="00FD1E19" w:rsidP="00FD1E19">
      <w:pPr>
        <w:pStyle w:val="Textstand-alone"/>
        <w:rPr>
          <w:lang w:val="en-IE"/>
        </w:rPr>
      </w:pPr>
      <w:r w:rsidRPr="00F74423">
        <w:rPr>
          <w:lang w:val="en-IE"/>
        </w:rPr>
        <w:t>Financial liabilities are classified as non-current liabilities, except for maturities less than 12 months after the balance sheet date. Financial guarantee contracts are classified as current liabilities except if the entity has an unconditional right to defer the settlement of the liability for at least twelve months after the reporting date.</w:t>
      </w:r>
      <w:r w:rsidRPr="00DD20DE">
        <w:rPr>
          <w:lang w:val="en-IE"/>
        </w:rPr>
        <w:t xml:space="preserve"> </w:t>
      </w:r>
      <w:bookmarkEnd w:id="55"/>
      <w:r>
        <w:rPr>
          <w:lang w:val="en-IE"/>
        </w:rPr>
        <w:t xml:space="preserve"> </w:t>
      </w:r>
    </w:p>
    <w:p w14:paraId="7CAC6EF3" w14:textId="77777777" w:rsidR="00FD1E19" w:rsidRDefault="00FD1E19" w:rsidP="00FD1E19">
      <w:pPr>
        <w:pStyle w:val="HEADER3Part2"/>
        <w:rPr>
          <w:noProof/>
        </w:rPr>
      </w:pPr>
      <w:bookmarkStart w:id="56" w:name="_DMBM_37313"/>
      <w:r>
        <w:rPr>
          <w:noProof/>
        </w:rPr>
        <w:t>Accrued and deferred revenue and charges</w:t>
      </w:r>
    </w:p>
    <w:p w14:paraId="7E29602D" w14:textId="77777777" w:rsidR="00FD1E19" w:rsidRDefault="00FD1E19" w:rsidP="00FD1E19">
      <w:pPr>
        <w:pStyle w:val="DGTextstand-alone"/>
      </w:pPr>
      <w:r>
        <w:t>Transactions and events are recognised in the financial statements in the period to which they relate. At year-end, if an invoice is not yet issued but the service has been rendered, or the supplies have been delivered by the entity or a contractual agreement exists (e.g. by reference to a contract), an accrued revenue will be recognised in the financial statements. In addition, at year-end, if an invoice is issued but the services have not yet been rendered or the goods supplied have not yet been delivered, the revenue will be deferred and recognised in the subsequent accounting period.</w:t>
      </w:r>
    </w:p>
    <w:p w14:paraId="145BA0F3" w14:textId="77777777" w:rsidR="00FD1E19" w:rsidRDefault="00FD1E19" w:rsidP="00FD1E19">
      <w:pPr>
        <w:pStyle w:val="DGTextstand-alone"/>
      </w:pPr>
      <w:r>
        <w:t>Expenses are also accounted for in the period to which they relate. At the end of the accounting period, accrued expenses are recognised based on an estimated amount of the transfer obligation of the period. Accrued expenses are calculated in accordance with detailed operational and practical guidelines issued by the Accounting Officer. These guidelines aim to ensure that the financial statements provide a faithful representation of the economic and other phenomena they purport to represent. By analogy, if a payment has been made in advance for services or goods that have not yet been received, the expense will be deferred and recognised in the subsequent accounting period.</w:t>
      </w:r>
    </w:p>
    <w:p w14:paraId="1A3A54D5" w14:textId="77777777" w:rsidR="00FD1E19" w:rsidRDefault="00FD1E19" w:rsidP="00FD1E19">
      <w:pPr>
        <w:pStyle w:val="HEADER2Part2"/>
        <w:spacing w:before="0" w:after="0"/>
        <w:rPr>
          <w:noProof/>
        </w:rPr>
      </w:pPr>
      <w:bookmarkStart w:id="57" w:name="_CSF_TOC_1_3"/>
      <w:bookmarkStart w:id="58" w:name="_DMBM_37327"/>
      <w:bookmarkEnd w:id="56"/>
      <w:r w:rsidRPr="00E41868">
        <w:rPr>
          <w:noProof/>
        </w:rPr>
        <w:t>ST</w:t>
      </w:r>
      <w:r>
        <w:rPr>
          <w:noProof/>
        </w:rPr>
        <w:t>ATEMENT OF FINANCIAL PERFORMANCE</w:t>
      </w:r>
    </w:p>
    <w:p w14:paraId="4AD53EF4" w14:textId="77777777" w:rsidR="00FD1E19" w:rsidRDefault="00FD1E19" w:rsidP="00FD1E19">
      <w:pPr>
        <w:pStyle w:val="HEADER3Part2"/>
        <w:rPr>
          <w:noProof/>
        </w:rPr>
      </w:pPr>
      <w:r>
        <w:rPr>
          <w:noProof/>
        </w:rPr>
        <w:t>Revenue</w:t>
      </w:r>
    </w:p>
    <w:p w14:paraId="71DCECBB" w14:textId="77777777" w:rsidR="00FD1E19" w:rsidRDefault="00FD1E19" w:rsidP="00FD1E19">
      <w:pPr>
        <w:pStyle w:val="Textstand-alone"/>
      </w:pPr>
      <w:r>
        <w:t xml:space="preserve">Revenue comprises gross inflows of economic benefits or service potential received and receivable by the entity, which represents an increase in net assets, other than increases relating to contributions from owners. </w:t>
      </w:r>
    </w:p>
    <w:p w14:paraId="4372B6D2" w14:textId="77777777" w:rsidR="00FD1E19" w:rsidRDefault="00FD1E19" w:rsidP="00FD1E19">
      <w:pPr>
        <w:pStyle w:val="Textstand-alone"/>
      </w:pPr>
      <w:r>
        <w:t>Depending on the nature of the underlying transactions in the statement of financial performance, revenue can be categorised as either</w:t>
      </w:r>
      <w:r w:rsidRPr="00C72931">
        <w:t xml:space="preserve"> revenue from non-exchange transactions </w:t>
      </w:r>
      <w:r>
        <w:t xml:space="preserve">or </w:t>
      </w:r>
      <w:r w:rsidRPr="00C72931">
        <w:t>revenue from exchange transactions.</w:t>
      </w:r>
      <w:r>
        <w:t xml:space="preserve">  </w:t>
      </w:r>
    </w:p>
    <w:p w14:paraId="22DC7DEB" w14:textId="77777777" w:rsidR="00FD1E19" w:rsidRDefault="00FD1E19" w:rsidP="00FD1E19">
      <w:pPr>
        <w:pStyle w:val="HEADER5"/>
        <w:rPr>
          <w:noProof/>
        </w:rPr>
      </w:pPr>
      <w:r>
        <w:rPr>
          <w:noProof/>
        </w:rPr>
        <w:t>Revenue from non-exchange transactions</w:t>
      </w:r>
    </w:p>
    <w:p w14:paraId="7FD75BDC" w14:textId="77777777" w:rsidR="00FD1E19" w:rsidRDefault="00FD1E19" w:rsidP="00FD1E19">
      <w:pPr>
        <w:pStyle w:val="Textstand-alone"/>
      </w:pPr>
      <w:r>
        <w:t>Revenue from non-exchange transactions relates to transactions such as taxes and transfers where the transferor provides resources to the recipient entity, without the recipient entity providing approximately equal value directly in exchange. Transfers are inflows of future economic benefits or service potential from non-exchange transactions, other than taxes. For the EU entities, transfers mostly comprise funds received from the Commission (e.g. a balancing subsidy to the traditional agencies or an operating subsidy for the delegation agreements).</w:t>
      </w:r>
    </w:p>
    <w:p w14:paraId="03EC0FAC" w14:textId="77777777" w:rsidR="00FD1E19" w:rsidRDefault="00FD1E19" w:rsidP="00FD1E19">
      <w:pPr>
        <w:pStyle w:val="Textstand-alone"/>
      </w:pPr>
      <w:r>
        <w:t>The entity shall recognise an asset in respect of transfers when the entity controls the resources as a result of a past event (the transfer) and expects to receive future economic benefits or service potential from those resources, and when the fair value can be reliably measured. An inflow of resources from a non-exchange transaction recognised as an asset (i.e. cash) is also recognised as revenue, except to the extent that the entity has a present obligation in respect of that transfer (condition), which needs to be satisfied before the revenue can be recognised. Until the condition is met the revenue is deferred and recognised as a liability.</w:t>
      </w:r>
    </w:p>
    <w:p w14:paraId="1221D9A2" w14:textId="77777777" w:rsidR="00FD1E19" w:rsidRDefault="00FD1E19" w:rsidP="00FD1E19">
      <w:pPr>
        <w:pStyle w:val="HEADER5"/>
        <w:rPr>
          <w:noProof/>
        </w:rPr>
      </w:pPr>
      <w:r>
        <w:rPr>
          <w:noProof/>
        </w:rPr>
        <w:t>Revenue from exchange transactions</w:t>
      </w:r>
    </w:p>
    <w:p w14:paraId="37A6CC68" w14:textId="77777777" w:rsidR="00FD1E19" w:rsidRDefault="00FD1E19" w:rsidP="00FD1E19">
      <w:pPr>
        <w:pStyle w:val="Textstand-alone"/>
      </w:pPr>
      <w:r>
        <w:t>Revenue from the sale of goods and services is recognised when the significant risk and rewards of ownership of the goods are transferred to the purchaser. Revenue associated with a transaction involving the provision of services is recognised by reference to the stage of completion of the transaction at the reporting date.</w:t>
      </w:r>
    </w:p>
    <w:p w14:paraId="14FC803C" w14:textId="77777777" w:rsidR="00FD1E19" w:rsidRPr="00217E2C" w:rsidRDefault="00FD1E19" w:rsidP="00FD1E19">
      <w:pPr>
        <w:pStyle w:val="TextSubtitleItalicnumberinglettera"/>
        <w:numPr>
          <w:ilvl w:val="0"/>
          <w:numId w:val="80"/>
        </w:numPr>
        <w:rPr>
          <w:noProof/>
        </w:rPr>
      </w:pPr>
      <w:r>
        <w:rPr>
          <w:noProof/>
        </w:rPr>
        <w:t>Interest revenue and expense</w:t>
      </w:r>
    </w:p>
    <w:p w14:paraId="35D03818" w14:textId="77777777" w:rsidR="00FD1E19" w:rsidRDefault="00FD1E19" w:rsidP="00FD1E19">
      <w:pPr>
        <w:pStyle w:val="Textstand-alone"/>
      </w:pPr>
      <w:r>
        <w:t>Interest revenue and interest expense from financial assets and financial liabilities at amortised cost are recognised in the statement of financial performance using the effective interest method. This is a method of calculating the amortised cost of a financial asset or a financial liability and of allocating the interest revenue or interest expense over the relevant period.</w:t>
      </w:r>
    </w:p>
    <w:p w14:paraId="1004B056" w14:textId="77777777" w:rsidR="00FD1E19" w:rsidRPr="00217E2C" w:rsidRDefault="00FD1E19" w:rsidP="00FD1E19">
      <w:pPr>
        <w:pStyle w:val="TextSubtitleItalicnumberinglettera"/>
        <w:numPr>
          <w:ilvl w:val="0"/>
          <w:numId w:val="80"/>
        </w:numPr>
        <w:rPr>
          <w:noProof/>
        </w:rPr>
      </w:pPr>
      <w:r>
        <w:rPr>
          <w:noProof/>
        </w:rPr>
        <w:t>Revenue from dividends</w:t>
      </w:r>
    </w:p>
    <w:p w14:paraId="1EED8EE3" w14:textId="77777777" w:rsidR="00FD1E19" w:rsidRDefault="00FD1E19" w:rsidP="00FD1E19">
      <w:pPr>
        <w:pStyle w:val="DGTextstand-alone"/>
      </w:pPr>
      <w:r>
        <w:t>Revenue from dividends and similar distributions is recognised when the right to receive payment is established.</w:t>
      </w:r>
    </w:p>
    <w:p w14:paraId="1A8F646C" w14:textId="77777777" w:rsidR="00FD1E19" w:rsidRDefault="00FD1E19" w:rsidP="00FD1E19">
      <w:pPr>
        <w:pStyle w:val="TextSubtitleItalicnumberinglettera"/>
        <w:numPr>
          <w:ilvl w:val="0"/>
          <w:numId w:val="80"/>
        </w:numPr>
        <w:rPr>
          <w:noProof/>
        </w:rPr>
      </w:pPr>
      <w:r>
        <w:rPr>
          <w:noProof/>
        </w:rPr>
        <w:t>Revenue and expense from financial assets at fair value through surplus or deficit</w:t>
      </w:r>
    </w:p>
    <w:p w14:paraId="0A0C416E" w14:textId="77777777" w:rsidR="00FD1E19" w:rsidRPr="00764F21" w:rsidRDefault="00FD1E19" w:rsidP="00FD1E19">
      <w:pPr>
        <w:pStyle w:val="Textstand-alone"/>
      </w:pPr>
      <w:r w:rsidRPr="00764F21">
        <w:t>This refers to the fair value gains (revenue) and fair value losses (expense) from these financial assets, including those stemming from foreign exchange translation. For interest-bearing financial assets, this also includes interest.</w:t>
      </w:r>
    </w:p>
    <w:p w14:paraId="1336C34C" w14:textId="77777777" w:rsidR="00FD1E19" w:rsidRDefault="00FD1E19" w:rsidP="00FD1E19">
      <w:pPr>
        <w:pStyle w:val="TextSubtitleItalicnumberinglettera"/>
        <w:numPr>
          <w:ilvl w:val="0"/>
          <w:numId w:val="80"/>
        </w:numPr>
        <w:rPr>
          <w:noProof/>
        </w:rPr>
      </w:pPr>
      <w:r>
        <w:rPr>
          <w:noProof/>
        </w:rPr>
        <w:t>Revenue from financial guarantee contracts</w:t>
      </w:r>
    </w:p>
    <w:p w14:paraId="36EF0623" w14:textId="77777777" w:rsidR="00FD1E19" w:rsidRPr="00764F21" w:rsidRDefault="00FD1E19" w:rsidP="00FD1E19">
      <w:pPr>
        <w:pStyle w:val="Textstand-alone"/>
      </w:pPr>
      <w:r w:rsidRPr="00764F21">
        <w:t xml:space="preserve">The revenue from financial guarantee contracts (guarantee premium) is recognised over the time the </w:t>
      </w:r>
      <w:r>
        <w:t>entity</w:t>
      </w:r>
      <w:r w:rsidRPr="00764F21">
        <w:t xml:space="preserve"> stands ready to compensate the holder of the financial guarantee contract f</w:t>
      </w:r>
      <w:r>
        <w:t>or the credit loss it may incur.</w:t>
      </w:r>
    </w:p>
    <w:bookmarkEnd w:id="57"/>
    <w:bookmarkEnd w:id="58"/>
    <w:p w14:paraId="0ACB4A27" w14:textId="77777777" w:rsidR="00FD1E19" w:rsidRDefault="00FD1E19" w:rsidP="00FD1E19">
      <w:pPr>
        <w:pStyle w:val="Textstand-alone"/>
        <w:sectPr w:rsidR="00FD1E19" w:rsidSect="00FD1E19">
          <w:headerReference w:type="default" r:id="rId64"/>
          <w:footerReference w:type="default" r:id="rId65"/>
          <w:pgSz w:w="11906" w:h="16838" w:code="9"/>
          <w:pgMar w:top="1134" w:right="1134" w:bottom="1134" w:left="1134" w:header="709" w:footer="709" w:gutter="0"/>
          <w:cols w:space="708"/>
          <w:docGrid w:linePitch="360"/>
        </w:sectPr>
      </w:pPr>
    </w:p>
    <w:p w14:paraId="33E8810D" w14:textId="77777777" w:rsidR="00FD1E19" w:rsidRDefault="00FD1E19" w:rsidP="00FD1E19">
      <w:pPr>
        <w:pStyle w:val="HEADER3Part2"/>
        <w:rPr>
          <w:noProof/>
        </w:rPr>
      </w:pPr>
      <w:bookmarkStart w:id="59" w:name="_DMBM_37318"/>
      <w:r>
        <w:rPr>
          <w:noProof/>
        </w:rPr>
        <w:t>Expenses</w:t>
      </w:r>
    </w:p>
    <w:p w14:paraId="79ABA31D" w14:textId="77777777" w:rsidR="00FD1E19" w:rsidRDefault="00FD1E19" w:rsidP="00FD1E19">
      <w:pPr>
        <w:pStyle w:val="Textstand-alone"/>
      </w:pPr>
      <w:r>
        <w:t xml:space="preserve">Expenses are decreases in economic benefits or service potential during the reporting period in the form of outflows or consumption of assets or the incurring of liabilities that result in decreases in net assets. They include both the expenses from exchange transactions and expenses from non exchange transactions. </w:t>
      </w:r>
    </w:p>
    <w:p w14:paraId="489D961B" w14:textId="77777777" w:rsidR="00FD1E19" w:rsidRDefault="00FD1E19" w:rsidP="00FD1E19">
      <w:pPr>
        <w:pStyle w:val="Textstand-alone"/>
      </w:pPr>
      <w:r>
        <w:t xml:space="preserve">Expenses from exchange transactions arising from the purchase of goods and services are recognised when the supplies are delivered and accepted by the entity. They are valued at the original invoice amount. Furthermore, at the balance sheet date expenses related to the service delivered during the period for which an invoice has not yet been received or accepted are recognised in the statement of financial performance. </w:t>
      </w:r>
    </w:p>
    <w:p w14:paraId="60946C56" w14:textId="77777777" w:rsidR="00FD1E19" w:rsidRDefault="00FD1E19" w:rsidP="00FD1E19">
      <w:pPr>
        <w:pStyle w:val="Textstand-alone"/>
      </w:pPr>
      <w:r>
        <w:t>Expenses from non exchange transactions relate to transfers to beneficiaries and can be of three types: entitlements, transfers under agreement and discretionary grants, contributions and donations. Transfers are recognised as expenses in the period during which the events giving rise to the transfer occurred, as long as the nature of the transfer is allowed by regulation or an agreement has been signed authorising the transfer; any eligibility criteria have been met by the beneficiary; and a reasonable estimate of the amount can be made.</w:t>
      </w:r>
    </w:p>
    <w:p w14:paraId="390D19FA" w14:textId="77777777" w:rsidR="00FD1E19" w:rsidRDefault="00FD1E19" w:rsidP="00FD1E19">
      <w:pPr>
        <w:pStyle w:val="Textstand-alone"/>
      </w:pPr>
      <w:r>
        <w:t>When a request for payment or cost claim is received and meets the recognition criteria, it is recognised as an expense for the eligible amount. At year-end, incurred eligible expenses due to the beneficiaries but not yet reported are estimated and recorded as accrued expense.</w:t>
      </w:r>
    </w:p>
    <w:p w14:paraId="46AA5387" w14:textId="77777777" w:rsidR="00FD1E19" w:rsidRDefault="00FD1E19" w:rsidP="00FD1E19">
      <w:pPr>
        <w:pStyle w:val="Textstand-alone"/>
        <w:sectPr w:rsidR="00FD1E19" w:rsidSect="00FD1E19">
          <w:headerReference w:type="default" r:id="rId66"/>
          <w:footerReference w:type="default" r:id="rId67"/>
          <w:type w:val="continuous"/>
          <w:pgSz w:w="11906" w:h="16838" w:code="9"/>
          <w:pgMar w:top="1134" w:right="1134" w:bottom="1134" w:left="1134" w:header="709" w:footer="709" w:gutter="0"/>
          <w:cols w:space="708"/>
          <w:docGrid w:linePitch="360"/>
        </w:sectPr>
      </w:pPr>
    </w:p>
    <w:p w14:paraId="0F53355E" w14:textId="77777777" w:rsidR="00FD1E19" w:rsidRDefault="00FD1E19" w:rsidP="00FD1E19">
      <w:pPr>
        <w:pStyle w:val="HEADER2Part2"/>
        <w:keepNext/>
        <w:keepLines/>
        <w:spacing w:after="0"/>
        <w:rPr>
          <w:noProof/>
        </w:rPr>
      </w:pPr>
      <w:bookmarkStart w:id="60" w:name="_CSF_TOC_1_4"/>
      <w:bookmarkStart w:id="61" w:name="_DMBM_37289"/>
      <w:bookmarkEnd w:id="59"/>
      <w:r w:rsidRPr="00E41868">
        <w:rPr>
          <w:noProof/>
        </w:rPr>
        <w:t>CONTINGENT ASSETS AND LIABILITIES</w:t>
      </w:r>
    </w:p>
    <w:p w14:paraId="06330A07" w14:textId="77777777" w:rsidR="00FD1E19" w:rsidRDefault="00FD1E19" w:rsidP="00FD1E19">
      <w:pPr>
        <w:pStyle w:val="HEADER2Part2"/>
        <w:keepNext/>
        <w:keepLines/>
        <w:rPr>
          <w:noProof/>
        </w:rPr>
        <w:sectPr w:rsidR="00FD1E19" w:rsidSect="00FD1E19">
          <w:headerReference w:type="default" r:id="rId68"/>
          <w:footerReference w:type="default" r:id="rId69"/>
          <w:type w:val="continuous"/>
          <w:pgSz w:w="11906" w:h="16838" w:code="9"/>
          <w:pgMar w:top="1134" w:right="1134" w:bottom="1134" w:left="1134" w:header="709" w:footer="709" w:gutter="0"/>
          <w:cols w:space="708"/>
          <w:docGrid w:linePitch="360"/>
        </w:sectPr>
      </w:pPr>
    </w:p>
    <w:bookmarkEnd w:id="60"/>
    <w:bookmarkEnd w:id="61"/>
    <w:p w14:paraId="6F146ED4" w14:textId="77777777" w:rsidR="00FD1E19" w:rsidRDefault="00FD1E19" w:rsidP="00FD1E19">
      <w:pPr>
        <w:pStyle w:val="Textstand-alone"/>
        <w:keepNext/>
        <w:keepLines/>
        <w:sectPr w:rsidR="00FD1E19" w:rsidSect="00FD1E19">
          <w:headerReference w:type="default" r:id="rId70"/>
          <w:footerReference w:type="default" r:id="rId71"/>
          <w:type w:val="continuous"/>
          <w:pgSz w:w="11906" w:h="16838" w:code="9"/>
          <w:pgMar w:top="1134" w:right="1134" w:bottom="1134" w:left="1134" w:header="709" w:footer="709" w:gutter="0"/>
          <w:cols w:space="708"/>
          <w:docGrid w:linePitch="360"/>
        </w:sectPr>
      </w:pPr>
    </w:p>
    <w:p w14:paraId="7DECB55F" w14:textId="77777777" w:rsidR="00FD1E19" w:rsidRDefault="00FD1E19" w:rsidP="00FD1E19">
      <w:pPr>
        <w:pStyle w:val="HEADER3Part2"/>
        <w:keepNext/>
        <w:keepLines/>
        <w:rPr>
          <w:noProof/>
        </w:rPr>
      </w:pPr>
      <w:bookmarkStart w:id="62" w:name="_DMBM_37315"/>
      <w:r>
        <w:rPr>
          <w:noProof/>
        </w:rPr>
        <w:t xml:space="preserve">Contingent assets </w:t>
      </w:r>
    </w:p>
    <w:p w14:paraId="7CF6EF2D" w14:textId="77777777" w:rsidR="00FD1E19" w:rsidRDefault="00FD1E19" w:rsidP="00FD1E19">
      <w:pPr>
        <w:pStyle w:val="Textstand-alone"/>
        <w:keepNext/>
        <w:keepLines/>
      </w:pPr>
      <w:r>
        <w:t>A contingent asset is a possible asset that arises from past events and of which the existence will be confirmed only by the occurrence or non-occurrence of one or more uncertain future events not wholly within the control of the entity. A contingent asset is disclosed when an inflow of economic benefits or service potential is probable.</w:t>
      </w:r>
    </w:p>
    <w:p w14:paraId="1A417DB8" w14:textId="77777777" w:rsidR="00FD1E19" w:rsidRDefault="00FD1E19" w:rsidP="00FD1E19">
      <w:pPr>
        <w:pStyle w:val="HEADER3Part2"/>
        <w:rPr>
          <w:noProof/>
        </w:rPr>
      </w:pPr>
      <w:bookmarkStart w:id="63" w:name="_DMBM_37316"/>
      <w:bookmarkEnd w:id="62"/>
      <w:r>
        <w:rPr>
          <w:noProof/>
        </w:rPr>
        <w:t xml:space="preserve">Contingent liabilities </w:t>
      </w:r>
    </w:p>
    <w:p w14:paraId="5D80AA99" w14:textId="77777777" w:rsidR="00FD1E19" w:rsidRDefault="00FD1E19" w:rsidP="00FD1E19">
      <w:pPr>
        <w:pStyle w:val="Textstand-alone"/>
      </w:pPr>
      <w:r>
        <w:t xml:space="preserve">A contingent liability is either a possible obligation of which the existence will be confirmed only by the occurrence or non-occurrence of one or more uncertain future events not wholly within the control of the entity; or a present obligation where it is not probable that an outflow of resources embodying economic benefits or service potential will be required to settle the obligation. </w:t>
      </w:r>
    </w:p>
    <w:p w14:paraId="2C1D969C" w14:textId="77777777" w:rsidR="00FD1E19" w:rsidRDefault="00FD1E19" w:rsidP="00FD1E19">
      <w:pPr>
        <w:pStyle w:val="Textstand-alone"/>
      </w:pPr>
      <w:r>
        <w:t xml:space="preserve">A contingent liability also arises in the rare circumstances where a present obligation exists but cannot be measured with sufficient reliability. </w:t>
      </w:r>
    </w:p>
    <w:p w14:paraId="0627AF26" w14:textId="77777777" w:rsidR="00FD1E19" w:rsidRDefault="00FD1E19" w:rsidP="00FD1E19">
      <w:pPr>
        <w:pStyle w:val="Textstand-alone"/>
      </w:pPr>
      <w:r>
        <w:t>Contingent liabilities are not recognised in the accounts. They are disclosed unless the possibility of an outflow of resources embodying economic benefits or service potential is remote.</w:t>
      </w:r>
    </w:p>
    <w:p w14:paraId="3B76FB6E" w14:textId="77777777" w:rsidR="00FD1E19" w:rsidRDefault="00FD1E19" w:rsidP="00FD1E19">
      <w:pPr>
        <w:pStyle w:val="HEADER2Part2"/>
        <w:rPr>
          <w:noProof/>
        </w:rPr>
      </w:pPr>
      <w:bookmarkStart w:id="64" w:name="_DMBM_37249"/>
      <w:bookmarkStart w:id="65" w:name="_DMBM_37328"/>
      <w:bookmarkEnd w:id="63"/>
      <w:bookmarkEnd w:id="64"/>
      <w:r>
        <w:rPr>
          <w:noProof/>
        </w:rPr>
        <w:t>FUND CAPITAL</w:t>
      </w:r>
    </w:p>
    <w:p w14:paraId="5E986E65" w14:textId="77777777" w:rsidR="00FD1E19" w:rsidRDefault="00FD1E19" w:rsidP="00FD1E19">
      <w:pPr>
        <w:pStyle w:val="Textstand-alone"/>
      </w:pPr>
      <w:r>
        <w:t xml:space="preserve">The EDF member states provide contributions to the Fund for the implementation of EDF programmes as laid down in the Internal Agreement of each EDF. According to the applicable legal basis the capital calls, i.e. the requests for funding for a given year N, are decided by a Council Decision in year N-1, with the funds to be received clearly assigned to specified future periods. </w:t>
      </w:r>
    </w:p>
    <w:p w14:paraId="18D004D1" w14:textId="77777777" w:rsidR="00FD1E19" w:rsidRDefault="00FD1E19" w:rsidP="00FD1E19">
      <w:pPr>
        <w:pStyle w:val="Textstand-alone"/>
      </w:pPr>
      <w:r>
        <w:t xml:space="preserve">The contributions meet the criteria of contribution from owners (EAR 1) and are thus treated as fund capital in the EDF financial statements. The fund capital represents the total amount of contributions to be received from the EDF members states. As the uncalled fund capital is openly deducted from the total fund capital (see Statement of Changes in Net Assets), only the called fund capital is recognised in the Balance Sheet. </w:t>
      </w:r>
    </w:p>
    <w:p w14:paraId="7F557D85" w14:textId="77777777" w:rsidR="00FD1E19" w:rsidRDefault="00FD1E19" w:rsidP="00FD1E19">
      <w:pPr>
        <w:pStyle w:val="Textstand-alone"/>
      </w:pPr>
      <w:r>
        <w:t>As the agreed contributions are assigned to specified reporting periods, with the EDF’s legal claim against the EDF member states arising only in these periods, any amounts received in advance are recognised as deferred capital contributions under payables rather than as called capital</w:t>
      </w:r>
      <w:r w:rsidRPr="007247AF">
        <w:t>.</w:t>
      </w:r>
      <w:bookmarkEnd w:id="65"/>
    </w:p>
    <w:p w14:paraId="0DBD4EFB" w14:textId="77777777" w:rsidR="00FD1E19" w:rsidRPr="00BE3994" w:rsidRDefault="00FD1E19" w:rsidP="00FD1E19">
      <w:pPr>
        <w:pStyle w:val="HEADER2Part2"/>
        <w:rPr>
          <w:noProof/>
        </w:rPr>
      </w:pPr>
      <w:bookmarkStart w:id="66" w:name="_DMBM_37320"/>
      <w:r w:rsidRPr="00BE3994">
        <w:rPr>
          <w:noProof/>
        </w:rPr>
        <w:t>CO-FINANCING</w:t>
      </w:r>
    </w:p>
    <w:p w14:paraId="328BA9CF" w14:textId="77777777" w:rsidR="00FD1E19" w:rsidRDefault="00FD1E19" w:rsidP="00FD1E19">
      <w:pPr>
        <w:pStyle w:val="Textstand-alone"/>
      </w:pPr>
      <w:r w:rsidRPr="00FA3937">
        <w:t>Co-financing contributions received fulfil the criteria of revenues from non-exchange transactions under condition</w:t>
      </w:r>
      <w:r>
        <w:t>s</w:t>
      </w:r>
      <w:r w:rsidRPr="00FA3937">
        <w:t xml:space="preserve"> </w:t>
      </w:r>
      <w:r>
        <w:t xml:space="preserve">and they </w:t>
      </w:r>
      <w:r w:rsidRPr="00FA3937">
        <w:t>are presented as payables to Member States</w:t>
      </w:r>
      <w:r>
        <w:t>,</w:t>
      </w:r>
      <w:r w:rsidRPr="00FA3937">
        <w:t xml:space="preserve"> </w:t>
      </w:r>
      <w:r>
        <w:t>non-Member States and others</w:t>
      </w:r>
      <w:r w:rsidRPr="00FA3937">
        <w:t>. The EDF is required to use the contributions to deliver services to third parties or is otherwise required to return the assets (the</w:t>
      </w:r>
      <w:r>
        <w:t xml:space="preserve"> contributions received)</w:t>
      </w:r>
      <w:r w:rsidRPr="00FA3937">
        <w:t>. The outstanding payable</w:t>
      </w:r>
      <w:r>
        <w:t>s</w:t>
      </w:r>
      <w:r w:rsidRPr="00FA3937">
        <w:t xml:space="preserve"> </w:t>
      </w:r>
      <w:r>
        <w:t>relating to</w:t>
      </w:r>
      <w:r w:rsidRPr="00FA3937">
        <w:t xml:space="preserve"> co</w:t>
      </w:r>
      <w:r>
        <w:t>-financing agreements represent</w:t>
      </w:r>
      <w:r w:rsidRPr="00FA3937">
        <w:t xml:space="preserve"> the co-financing contribution</w:t>
      </w:r>
      <w:r>
        <w:t>s</w:t>
      </w:r>
      <w:r w:rsidRPr="00FA3937">
        <w:t xml:space="preserve"> received less the expenses incurred related to the project. T</w:t>
      </w:r>
      <w:r>
        <w:t>he effect on net assets is nil.</w:t>
      </w:r>
    </w:p>
    <w:p w14:paraId="32FE2DA3" w14:textId="77777777" w:rsidR="00FD1E19" w:rsidRDefault="00FD1E19" w:rsidP="00FD1E19">
      <w:pPr>
        <w:pStyle w:val="Textstand-alone"/>
      </w:pPr>
      <w:r>
        <w:t>Expenses relating to co-financing projects are recognised as they are incurred. The corresponding amount of contributions is recognised as operating revenue and the effect on the economic result of the year is nil.</w:t>
      </w:r>
    </w:p>
    <w:p w14:paraId="5C298BF9" w14:textId="77777777" w:rsidR="00FD1E19" w:rsidRDefault="00FD1E19" w:rsidP="00FD1E19">
      <w:pPr>
        <w:pStyle w:val="Textstand-alone"/>
      </w:pPr>
    </w:p>
    <w:bookmarkEnd w:id="66"/>
    <w:p w14:paraId="40EBAD6B" w14:textId="77777777" w:rsidR="00FD1E19" w:rsidRDefault="00FD1E19" w:rsidP="00FD1E19">
      <w:pPr>
        <w:pStyle w:val="Textstand-alone"/>
        <w:spacing w:before="0" w:after="0"/>
        <w:sectPr w:rsidR="00FD1E19" w:rsidSect="00FD1E19">
          <w:headerReference w:type="default" r:id="rId72"/>
          <w:footerReference w:type="default" r:id="rId73"/>
          <w:pgSz w:w="11906" w:h="16838" w:code="9"/>
          <w:pgMar w:top="1134" w:right="1134" w:bottom="1134" w:left="1134" w:header="709" w:footer="709" w:gutter="0"/>
          <w:cols w:space="708"/>
          <w:docGrid w:linePitch="360"/>
        </w:sectPr>
      </w:pPr>
    </w:p>
    <w:p w14:paraId="2C68B32B" w14:textId="77777777" w:rsidR="00FD1E19" w:rsidRPr="00F64D38" w:rsidRDefault="00FD1E19" w:rsidP="00FD1E19">
      <w:pPr>
        <w:pStyle w:val="HEADER1Part2"/>
        <w:rPr>
          <w:noProof/>
        </w:rPr>
      </w:pPr>
      <w:bookmarkStart w:id="67" w:name="_DMBM_37238"/>
      <w:r w:rsidRPr="00F64D38">
        <w:rPr>
          <w:noProof/>
        </w:rPr>
        <w:t>NOTES TO THE BALANCE SHEET</w:t>
      </w:r>
    </w:p>
    <w:p w14:paraId="47AE5588" w14:textId="77777777" w:rsidR="00FD1E19" w:rsidRPr="00F64D38" w:rsidRDefault="00FD1E19" w:rsidP="00FD1E19">
      <w:pPr>
        <w:pStyle w:val="HEADERTABLE"/>
        <w:rPr>
          <w:noProof/>
        </w:rPr>
      </w:pPr>
      <w:r w:rsidRPr="00F64D38">
        <w:rPr>
          <w:noProof/>
        </w:rPr>
        <w:t>ASSETS</w:t>
      </w:r>
    </w:p>
    <w:p w14:paraId="0614253E" w14:textId="77777777" w:rsidR="00FD1E19" w:rsidRDefault="00FD1E19" w:rsidP="00FD1E19">
      <w:pPr>
        <w:pStyle w:val="HEADER2Part2"/>
        <w:ind w:left="3402" w:hanging="3402"/>
        <w:jc w:val="both"/>
        <w:rPr>
          <w:noProof/>
        </w:rPr>
      </w:pPr>
      <w:r w:rsidRPr="00F64D38">
        <w:rPr>
          <w:noProof/>
        </w:rPr>
        <w:t>FINANCIAL ASSETS</w:t>
      </w:r>
    </w:p>
    <w:p w14:paraId="4DE55F0A" w14:textId="77777777" w:rsidR="00FD1E19" w:rsidRDefault="00FD1E19" w:rsidP="00FD1E19">
      <w:pPr>
        <w:pStyle w:val="Textstand-alone"/>
      </w:pPr>
      <w:bookmarkStart w:id="68" w:name="BIP_SEL004"/>
      <w:r>
        <w:t>A financial asset is any asset that is:</w:t>
      </w:r>
    </w:p>
    <w:p w14:paraId="737BE037" w14:textId="77777777" w:rsidR="00FD1E19" w:rsidRDefault="00FD1E19" w:rsidP="00FD1E19">
      <w:pPr>
        <w:pStyle w:val="Textstand-alone"/>
      </w:pPr>
      <w:r>
        <w:t xml:space="preserve">(a) Cash; </w:t>
      </w:r>
    </w:p>
    <w:p w14:paraId="72559929" w14:textId="77777777" w:rsidR="00FD1E19" w:rsidRDefault="00FD1E19" w:rsidP="00FD1E19">
      <w:pPr>
        <w:pStyle w:val="Textstand-alone"/>
      </w:pPr>
      <w:r>
        <w:t xml:space="preserve">(b) An equity instrument of another entity; </w:t>
      </w:r>
    </w:p>
    <w:p w14:paraId="58E1AB69" w14:textId="77777777" w:rsidR="00FD1E19" w:rsidRDefault="00FD1E19" w:rsidP="00FD1E19">
      <w:pPr>
        <w:pStyle w:val="Textstand-alone"/>
      </w:pPr>
      <w:r>
        <w:t>(c) A contractual right: to either receive cash or another financial asset from another entity or to exchange financial assets or financial liabilities with another entity under conditions that are potentially favourable to the entity; or</w:t>
      </w:r>
    </w:p>
    <w:p w14:paraId="6479BC2D" w14:textId="77777777" w:rsidR="00FD1E19" w:rsidRDefault="00FD1E19" w:rsidP="00FD1E19">
      <w:pPr>
        <w:pStyle w:val="Textstand-alone"/>
      </w:pPr>
      <w:r>
        <w:t>(d) A contract that will or may be settled in the entity’s own equity instruments.</w:t>
      </w:r>
    </w:p>
    <w:p w14:paraId="2D34ECCE" w14:textId="77777777" w:rsidR="00FD1E19" w:rsidRDefault="00FD1E19" w:rsidP="00FD1E19">
      <w:pPr>
        <w:pStyle w:val="Textstand-alone"/>
      </w:pPr>
      <w:r>
        <w:t>Financial assets are classified in the following categories:'financial assets at amortised costs', ‘financial assets at fair value through surplus or deficit’ and ‘financial assets at fair value through net assets/equity'. The classification of the financial instruments is determined at initial recognition and re-evaluated at each balance sheet date.</w:t>
      </w:r>
    </w:p>
    <w:bookmarkEnd w:id="68"/>
    <w:p w14:paraId="626D683C" w14:textId="77777777" w:rsidR="00FD1E19" w:rsidRDefault="00FD1E19" w:rsidP="00FD1E19">
      <w:pPr>
        <w:pStyle w:val="Textstand-alone"/>
      </w:pPr>
      <w:r w:rsidRPr="00806277">
        <w:t>The financial assets of the EDF comprise financial assets at FVSD and loans</w:t>
      </w:r>
      <w:r>
        <w:t xml:space="preserve"> and are as follows:</w:t>
      </w:r>
      <w:r w:rsidRPr="00806277">
        <w:t xml:space="preserve">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7"/>
        <w:gridCol w:w="1958"/>
        <w:gridCol w:w="1583"/>
      </w:tblGrid>
      <w:tr w:rsidR="00FD1E19" w14:paraId="595337DB" w14:textId="77777777" w:rsidTr="00BE7E4A">
        <w:trPr>
          <w:trHeight w:hRule="exact" w:val="255"/>
        </w:trPr>
        <w:tc>
          <w:tcPr>
            <w:tcW w:w="9758" w:type="dxa"/>
            <w:gridSpan w:val="3"/>
            <w:tcBorders>
              <w:top w:val="nil"/>
              <w:left w:val="nil"/>
              <w:bottom w:val="nil"/>
              <w:right w:val="nil"/>
              <w:tl2br w:val="nil"/>
              <w:tr2bl w:val="nil"/>
            </w:tcBorders>
            <w:shd w:val="clear" w:color="auto" w:fill="auto"/>
            <w:tcMar>
              <w:left w:w="60" w:type="dxa"/>
              <w:right w:w="60" w:type="dxa"/>
            </w:tcMar>
            <w:vAlign w:val="center"/>
          </w:tcPr>
          <w:p w14:paraId="1A44B7FD" w14:textId="77777777" w:rsidR="00FD1E19" w:rsidRDefault="00FD1E19" w:rsidP="00BE7E4A">
            <w:pPr>
              <w:pStyle w:val="DMETW37225BIPFA"/>
              <w:jc w:val="right"/>
              <w:rPr>
                <w:rFonts w:ascii="Verdana" w:eastAsia="Verdana" w:hAnsi="Verdana" w:cs="Verdana"/>
                <w:i/>
                <w:noProof/>
                <w:color w:val="000000"/>
                <w:sz w:val="16"/>
                <w:lang w:bidi="en-GB"/>
              </w:rPr>
            </w:pPr>
            <w:r>
              <w:rPr>
                <w:rFonts w:ascii="Verdana" w:eastAsia="Verdana" w:hAnsi="Verdana" w:cs="Verdana"/>
                <w:i/>
                <w:noProof/>
                <w:color w:val="000000"/>
                <w:sz w:val="16"/>
                <w:lang w:bidi="en-GB"/>
              </w:rPr>
              <w:t>EUR million</w:t>
            </w:r>
          </w:p>
        </w:tc>
      </w:tr>
      <w:tr w:rsidR="00FD1E19" w14:paraId="61BC6380" w14:textId="77777777" w:rsidTr="00BE7E4A">
        <w:trPr>
          <w:trHeight w:hRule="exact" w:val="255"/>
        </w:trPr>
        <w:tc>
          <w:tcPr>
            <w:tcW w:w="6217" w:type="dxa"/>
            <w:tcBorders>
              <w:top w:val="nil"/>
              <w:left w:val="nil"/>
              <w:bottom w:val="nil"/>
              <w:right w:val="nil"/>
              <w:tl2br w:val="nil"/>
              <w:tr2bl w:val="nil"/>
            </w:tcBorders>
            <w:shd w:val="solid" w:color="016794" w:fill="FFFFFF"/>
            <w:tcMar>
              <w:left w:w="60" w:type="dxa"/>
              <w:right w:w="60" w:type="dxa"/>
            </w:tcMar>
            <w:vAlign w:val="center"/>
          </w:tcPr>
          <w:p w14:paraId="6892A951" w14:textId="77777777" w:rsidR="00FD1E19" w:rsidRDefault="00FD1E19" w:rsidP="00BE7E4A">
            <w:pPr>
              <w:pStyle w:val="DMETW37225BIPFA"/>
              <w:rPr>
                <w:rFonts w:ascii="Verdana" w:eastAsia="Verdana" w:hAnsi="Verdana" w:cs="Verdana"/>
                <w:noProof/>
                <w:color w:val="FFFFFF"/>
              </w:rPr>
            </w:pPr>
          </w:p>
        </w:tc>
        <w:tc>
          <w:tcPr>
            <w:tcW w:w="1958" w:type="dxa"/>
            <w:tcBorders>
              <w:top w:val="nil"/>
              <w:left w:val="nil"/>
              <w:bottom w:val="nil"/>
              <w:right w:val="nil"/>
              <w:tl2br w:val="nil"/>
              <w:tr2bl w:val="nil"/>
            </w:tcBorders>
            <w:shd w:val="solid" w:color="016794" w:fill="FFFFFF"/>
            <w:tcMar>
              <w:left w:w="60" w:type="dxa"/>
              <w:right w:w="60" w:type="dxa"/>
            </w:tcMar>
            <w:vAlign w:val="center"/>
          </w:tcPr>
          <w:p w14:paraId="5D7683AE" w14:textId="77777777" w:rsidR="00FD1E19" w:rsidRDefault="00FD1E19" w:rsidP="00BE7E4A">
            <w:pPr>
              <w:pStyle w:val="DMETW37225BIPFA"/>
              <w:jc w:val="right"/>
              <w:rPr>
                <w:rFonts w:ascii="Verdana" w:eastAsia="Verdana" w:hAnsi="Verdana" w:cs="Verdana"/>
                <w:noProof/>
                <w:color w:val="FFFFFF"/>
              </w:rPr>
            </w:pPr>
            <w:r>
              <w:rPr>
                <w:rFonts w:ascii="Verdana" w:eastAsia="Verdana" w:hAnsi="Verdana" w:cs="Verdana"/>
                <w:noProof/>
                <w:color w:val="FFFFFF"/>
              </w:rPr>
              <w:t>31.12.2025</w:t>
            </w:r>
          </w:p>
        </w:tc>
        <w:tc>
          <w:tcPr>
            <w:tcW w:w="1583" w:type="dxa"/>
            <w:tcBorders>
              <w:top w:val="nil"/>
              <w:left w:val="nil"/>
              <w:bottom w:val="nil"/>
              <w:right w:val="nil"/>
              <w:tl2br w:val="nil"/>
              <w:tr2bl w:val="nil"/>
            </w:tcBorders>
            <w:shd w:val="solid" w:color="016794" w:fill="FFFFFF"/>
            <w:tcMar>
              <w:left w:w="60" w:type="dxa"/>
              <w:right w:w="60" w:type="dxa"/>
            </w:tcMar>
            <w:vAlign w:val="center"/>
          </w:tcPr>
          <w:p w14:paraId="26A6A2B3" w14:textId="77777777" w:rsidR="00FD1E19" w:rsidRDefault="00FD1E19" w:rsidP="00BE7E4A">
            <w:pPr>
              <w:pStyle w:val="DMETW37225BIPFA"/>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27B4A5C7" w14:textId="77777777" w:rsidTr="00BE7E4A">
        <w:trPr>
          <w:trHeight w:hRule="exact" w:val="255"/>
        </w:trPr>
        <w:tc>
          <w:tcPr>
            <w:tcW w:w="6217" w:type="dxa"/>
            <w:tcBorders>
              <w:top w:val="nil"/>
              <w:left w:val="nil"/>
              <w:bottom w:val="nil"/>
              <w:right w:val="nil"/>
              <w:tl2br w:val="nil"/>
              <w:tr2bl w:val="nil"/>
            </w:tcBorders>
            <w:shd w:val="clear" w:color="auto" w:fill="auto"/>
            <w:tcMar>
              <w:left w:w="60" w:type="dxa"/>
              <w:right w:w="60" w:type="dxa"/>
            </w:tcMar>
            <w:vAlign w:val="center"/>
          </w:tcPr>
          <w:p w14:paraId="1342015D" w14:textId="77777777" w:rsidR="00FD1E19" w:rsidRDefault="00FD1E19" w:rsidP="00BE7E4A">
            <w:pPr>
              <w:pStyle w:val="DMETW37225BIPFA"/>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1958" w:type="dxa"/>
            <w:tcBorders>
              <w:top w:val="nil"/>
              <w:left w:val="nil"/>
              <w:bottom w:val="nil"/>
              <w:right w:val="nil"/>
              <w:tl2br w:val="nil"/>
              <w:tr2bl w:val="nil"/>
            </w:tcBorders>
            <w:shd w:val="solid" w:color="FFFFFF" w:fill="FFFFFF"/>
            <w:tcMar>
              <w:left w:w="60" w:type="dxa"/>
              <w:right w:w="60" w:type="dxa"/>
            </w:tcMar>
            <w:vAlign w:val="center"/>
          </w:tcPr>
          <w:p w14:paraId="663B1AC9" w14:textId="77777777" w:rsidR="00FD1E19" w:rsidRDefault="00FD1E19" w:rsidP="00BE7E4A">
            <w:pPr>
              <w:pStyle w:val="DMETW37225BIPFA"/>
              <w:jc w:val="right"/>
              <w:rPr>
                <w:rFonts w:ascii="Verdana" w:eastAsia="Verdana" w:hAnsi="Verdana" w:cs="Verdana"/>
                <w:i/>
                <w:noProof/>
                <w:color w:val="000000"/>
                <w:sz w:val="18"/>
              </w:rPr>
            </w:pPr>
          </w:p>
        </w:tc>
        <w:tc>
          <w:tcPr>
            <w:tcW w:w="1583" w:type="dxa"/>
            <w:tcBorders>
              <w:top w:val="nil"/>
              <w:left w:val="nil"/>
              <w:bottom w:val="nil"/>
              <w:right w:val="nil"/>
              <w:tl2br w:val="nil"/>
              <w:tr2bl w:val="nil"/>
            </w:tcBorders>
            <w:shd w:val="solid" w:color="FFFFFF" w:fill="FFFFFF"/>
            <w:tcMar>
              <w:left w:w="60" w:type="dxa"/>
              <w:right w:w="60" w:type="dxa"/>
            </w:tcMar>
            <w:vAlign w:val="center"/>
          </w:tcPr>
          <w:p w14:paraId="047F6E3C" w14:textId="77777777" w:rsidR="00FD1E19" w:rsidRDefault="00FD1E19" w:rsidP="00BE7E4A">
            <w:pPr>
              <w:pStyle w:val="DMETW37225BIPFA"/>
              <w:jc w:val="right"/>
              <w:rPr>
                <w:rFonts w:ascii="Verdana" w:eastAsia="Verdana" w:hAnsi="Verdana" w:cs="Verdana"/>
                <w:i/>
                <w:noProof/>
                <w:color w:val="000000"/>
                <w:sz w:val="18"/>
                <w:lang w:bidi="en-GB"/>
              </w:rPr>
            </w:pPr>
          </w:p>
        </w:tc>
      </w:tr>
      <w:tr w:rsidR="00FD1E19" w14:paraId="514D3577" w14:textId="77777777" w:rsidTr="00BE7E4A">
        <w:trPr>
          <w:trHeight w:hRule="exact" w:val="255"/>
        </w:trPr>
        <w:tc>
          <w:tcPr>
            <w:tcW w:w="6217" w:type="dxa"/>
            <w:tcBorders>
              <w:top w:val="nil"/>
              <w:left w:val="nil"/>
              <w:bottom w:val="nil"/>
              <w:right w:val="nil"/>
              <w:tl2br w:val="nil"/>
              <w:tr2bl w:val="nil"/>
            </w:tcBorders>
            <w:shd w:val="clear" w:color="auto" w:fill="auto"/>
            <w:tcMar>
              <w:left w:w="60" w:type="dxa"/>
              <w:right w:w="60" w:type="dxa"/>
            </w:tcMar>
            <w:vAlign w:val="bottom"/>
          </w:tcPr>
          <w:p w14:paraId="58487CB0" w14:textId="77777777" w:rsidR="00FD1E19" w:rsidRDefault="00FD1E19" w:rsidP="00BE7E4A">
            <w:pPr>
              <w:pStyle w:val="DMETW37225BIPFA"/>
              <w:rPr>
                <w:rFonts w:ascii="Verdana" w:eastAsia="Verdana" w:hAnsi="Verdana" w:cs="Verdana"/>
                <w:i/>
                <w:noProof/>
                <w:color w:val="000000"/>
                <w:sz w:val="18"/>
              </w:rPr>
            </w:pPr>
            <w:r>
              <w:rPr>
                <w:rFonts w:ascii="Verdana" w:eastAsia="Verdana" w:hAnsi="Verdana" w:cs="Verdana"/>
                <w:i/>
                <w:noProof/>
                <w:color w:val="000000"/>
                <w:sz w:val="18"/>
              </w:rPr>
              <w:t xml:space="preserve">Financial assets at fair value through surplus or deficit (FVSD) </w:t>
            </w:r>
          </w:p>
        </w:tc>
        <w:tc>
          <w:tcPr>
            <w:tcW w:w="1958" w:type="dxa"/>
            <w:tcBorders>
              <w:top w:val="nil"/>
              <w:left w:val="nil"/>
              <w:bottom w:val="nil"/>
              <w:right w:val="nil"/>
              <w:tl2br w:val="nil"/>
              <w:tr2bl w:val="nil"/>
            </w:tcBorders>
            <w:shd w:val="solid" w:color="FFFFFF" w:fill="FFFFFF"/>
            <w:tcMar>
              <w:left w:w="60" w:type="dxa"/>
              <w:right w:w="60" w:type="dxa"/>
            </w:tcMar>
            <w:vAlign w:val="center"/>
          </w:tcPr>
          <w:p w14:paraId="6FE44B05" w14:textId="77777777" w:rsidR="00FD1E19" w:rsidRDefault="00FD1E19" w:rsidP="00BE7E4A">
            <w:pPr>
              <w:pStyle w:val="DMETW37225BIPFA"/>
              <w:jc w:val="right"/>
              <w:rPr>
                <w:rFonts w:ascii="Verdana" w:eastAsia="Verdana" w:hAnsi="Verdana" w:cs="Verdana"/>
                <w:i/>
                <w:noProof/>
                <w:color w:val="000000"/>
                <w:sz w:val="18"/>
              </w:rPr>
            </w:pPr>
            <w:r>
              <w:rPr>
                <w:rFonts w:ascii="Verdana" w:eastAsia="Verdana" w:hAnsi="Verdana" w:cs="Verdana"/>
                <w:i/>
                <w:noProof/>
                <w:color w:val="000000"/>
                <w:sz w:val="18"/>
              </w:rPr>
              <w:t xml:space="preserve"> 92</w:t>
            </w:r>
          </w:p>
        </w:tc>
        <w:tc>
          <w:tcPr>
            <w:tcW w:w="1583" w:type="dxa"/>
            <w:tcBorders>
              <w:top w:val="nil"/>
              <w:left w:val="nil"/>
              <w:bottom w:val="nil"/>
              <w:right w:val="nil"/>
              <w:tl2br w:val="nil"/>
              <w:tr2bl w:val="nil"/>
            </w:tcBorders>
            <w:shd w:val="solid" w:color="FFFFFF" w:fill="FFFFFF"/>
            <w:tcMar>
              <w:left w:w="60" w:type="dxa"/>
              <w:right w:w="60" w:type="dxa"/>
            </w:tcMar>
            <w:vAlign w:val="center"/>
          </w:tcPr>
          <w:p w14:paraId="241EEBEA" w14:textId="77777777" w:rsidR="00FD1E19" w:rsidRDefault="00FD1E19" w:rsidP="00BE7E4A">
            <w:pPr>
              <w:pStyle w:val="DMETW37225BIP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112</w:t>
            </w:r>
          </w:p>
        </w:tc>
      </w:tr>
      <w:tr w:rsidR="00FD1E19" w14:paraId="0DDF137F" w14:textId="77777777" w:rsidTr="00BE7E4A">
        <w:trPr>
          <w:trHeight w:hRule="exact" w:val="255"/>
        </w:trPr>
        <w:tc>
          <w:tcPr>
            <w:tcW w:w="6217" w:type="dxa"/>
            <w:tcBorders>
              <w:top w:val="nil"/>
              <w:left w:val="nil"/>
              <w:bottom w:val="nil"/>
              <w:right w:val="nil"/>
              <w:tl2br w:val="nil"/>
              <w:tr2bl w:val="nil"/>
            </w:tcBorders>
            <w:shd w:val="clear" w:color="auto" w:fill="auto"/>
            <w:tcMar>
              <w:left w:w="60" w:type="dxa"/>
              <w:right w:w="60" w:type="dxa"/>
            </w:tcMar>
            <w:vAlign w:val="bottom"/>
          </w:tcPr>
          <w:p w14:paraId="1A08FEAF" w14:textId="77777777" w:rsidR="00FD1E19" w:rsidRDefault="00FD1E19" w:rsidP="00BE7E4A">
            <w:pPr>
              <w:pStyle w:val="DMETW37225BIPFA"/>
              <w:rPr>
                <w:rFonts w:ascii="Verdana" w:eastAsia="Verdana" w:hAnsi="Verdana" w:cs="Verdana"/>
                <w:i/>
                <w:noProof/>
                <w:color w:val="000000"/>
                <w:sz w:val="18"/>
              </w:rPr>
            </w:pPr>
            <w:r>
              <w:rPr>
                <w:rFonts w:ascii="Verdana" w:eastAsia="Verdana" w:hAnsi="Verdana" w:cs="Verdana"/>
                <w:i/>
                <w:noProof/>
                <w:color w:val="000000"/>
                <w:sz w:val="18"/>
              </w:rPr>
              <w:t>Loans</w:t>
            </w:r>
          </w:p>
        </w:tc>
        <w:tc>
          <w:tcPr>
            <w:tcW w:w="1958" w:type="dxa"/>
            <w:tcBorders>
              <w:top w:val="nil"/>
              <w:left w:val="nil"/>
              <w:bottom w:val="nil"/>
              <w:right w:val="nil"/>
              <w:tl2br w:val="nil"/>
              <w:tr2bl w:val="nil"/>
            </w:tcBorders>
            <w:shd w:val="solid" w:color="FFFFFF" w:fill="FFFFFF"/>
            <w:tcMar>
              <w:left w:w="60" w:type="dxa"/>
              <w:right w:w="60" w:type="dxa"/>
            </w:tcMar>
            <w:vAlign w:val="center"/>
          </w:tcPr>
          <w:p w14:paraId="661F3AFE" w14:textId="77777777" w:rsidR="00FD1E19" w:rsidRDefault="00FD1E19" w:rsidP="00BE7E4A">
            <w:pPr>
              <w:pStyle w:val="DMETW37225BIPFA"/>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583" w:type="dxa"/>
            <w:tcBorders>
              <w:top w:val="nil"/>
              <w:left w:val="nil"/>
              <w:bottom w:val="nil"/>
              <w:right w:val="nil"/>
              <w:tl2br w:val="nil"/>
              <w:tr2bl w:val="nil"/>
            </w:tcBorders>
            <w:shd w:val="solid" w:color="FFFFFF" w:fill="FFFFFF"/>
            <w:tcMar>
              <w:left w:w="60" w:type="dxa"/>
              <w:right w:w="60" w:type="dxa"/>
            </w:tcMar>
            <w:vAlign w:val="center"/>
          </w:tcPr>
          <w:p w14:paraId="5726FDAF" w14:textId="77777777" w:rsidR="00FD1E19" w:rsidRDefault="00FD1E19" w:rsidP="00BE7E4A">
            <w:pPr>
              <w:pStyle w:val="DMETW37225BIP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w:t>
            </w:r>
          </w:p>
        </w:tc>
      </w:tr>
      <w:tr w:rsidR="00FD1E19" w14:paraId="56B224E3" w14:textId="77777777" w:rsidTr="00BE7E4A">
        <w:trPr>
          <w:trHeight w:hRule="exact" w:val="255"/>
        </w:trPr>
        <w:tc>
          <w:tcPr>
            <w:tcW w:w="6217" w:type="dxa"/>
            <w:tcBorders>
              <w:top w:val="nil"/>
              <w:left w:val="nil"/>
              <w:bottom w:val="nil"/>
              <w:right w:val="nil"/>
              <w:tl2br w:val="nil"/>
              <w:tr2bl w:val="nil"/>
            </w:tcBorders>
            <w:shd w:val="solid" w:color="CCE1EA" w:fill="FFFFFF"/>
            <w:tcMar>
              <w:left w:w="60" w:type="dxa"/>
              <w:right w:w="60" w:type="dxa"/>
            </w:tcMar>
            <w:vAlign w:val="center"/>
          </w:tcPr>
          <w:p w14:paraId="41FB9859" w14:textId="77777777" w:rsidR="00FD1E19" w:rsidRDefault="00FD1E19" w:rsidP="00BE7E4A">
            <w:pPr>
              <w:pStyle w:val="DMETW37225BIPFA"/>
              <w:rPr>
                <w:rFonts w:ascii="Verdana" w:eastAsia="Verdana" w:hAnsi="Verdana" w:cs="Verdana"/>
                <w:b/>
                <w:noProof/>
                <w:color w:val="000000"/>
                <w:sz w:val="18"/>
              </w:rPr>
            </w:pP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6C10646C" w14:textId="77777777" w:rsidR="00FD1E19" w:rsidRDefault="00FD1E19" w:rsidP="00BE7E4A">
            <w:pPr>
              <w:pStyle w:val="DMETW37225BIPFA"/>
              <w:jc w:val="right"/>
              <w:rPr>
                <w:rFonts w:ascii="Verdana" w:eastAsia="Verdana" w:hAnsi="Verdana" w:cs="Verdana"/>
                <w:b/>
                <w:noProof/>
                <w:color w:val="000000"/>
                <w:sz w:val="18"/>
              </w:rPr>
            </w:pPr>
            <w:r>
              <w:rPr>
                <w:rFonts w:ascii="Verdana" w:eastAsia="Verdana" w:hAnsi="Verdana" w:cs="Verdana"/>
                <w:b/>
                <w:noProof/>
                <w:color w:val="000000"/>
                <w:sz w:val="18"/>
              </w:rPr>
              <w:t xml:space="preserve">  116</w:t>
            </w:r>
          </w:p>
        </w:tc>
        <w:tc>
          <w:tcPr>
            <w:tcW w:w="1583" w:type="dxa"/>
            <w:tcBorders>
              <w:top w:val="nil"/>
              <w:left w:val="nil"/>
              <w:bottom w:val="nil"/>
              <w:right w:val="nil"/>
              <w:tl2br w:val="nil"/>
              <w:tr2bl w:val="nil"/>
            </w:tcBorders>
            <w:shd w:val="solid" w:color="CCE1EA" w:fill="FFFFFF"/>
            <w:tcMar>
              <w:left w:w="60" w:type="dxa"/>
              <w:right w:w="60" w:type="dxa"/>
            </w:tcMar>
            <w:vAlign w:val="center"/>
          </w:tcPr>
          <w:p w14:paraId="4BE9781F" w14:textId="77777777" w:rsidR="00FD1E19" w:rsidRDefault="00FD1E19" w:rsidP="00BE7E4A">
            <w:pPr>
              <w:pStyle w:val="DMETW37225BIPFA"/>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128</w:t>
            </w:r>
          </w:p>
        </w:tc>
      </w:tr>
      <w:tr w:rsidR="00FD1E19" w14:paraId="32DF6CD2" w14:textId="77777777" w:rsidTr="00BE7E4A">
        <w:trPr>
          <w:trHeight w:hRule="exact" w:val="255"/>
        </w:trPr>
        <w:tc>
          <w:tcPr>
            <w:tcW w:w="6217" w:type="dxa"/>
            <w:tcBorders>
              <w:top w:val="nil"/>
              <w:left w:val="nil"/>
              <w:bottom w:val="nil"/>
              <w:right w:val="nil"/>
              <w:tl2br w:val="nil"/>
              <w:tr2bl w:val="nil"/>
            </w:tcBorders>
            <w:shd w:val="clear" w:color="auto" w:fill="auto"/>
            <w:tcMar>
              <w:left w:w="60" w:type="dxa"/>
              <w:right w:w="60" w:type="dxa"/>
            </w:tcMar>
            <w:vAlign w:val="center"/>
          </w:tcPr>
          <w:p w14:paraId="0B3DFA53" w14:textId="77777777" w:rsidR="00FD1E19" w:rsidRDefault="00FD1E19" w:rsidP="00BE7E4A">
            <w:pPr>
              <w:pStyle w:val="DMETW37225BIPFA"/>
              <w:rPr>
                <w:rFonts w:ascii="Verdana" w:eastAsia="Verdana" w:hAnsi="Verdana" w:cs="Verdana"/>
                <w:b/>
                <w:i/>
                <w:noProof/>
                <w:color w:val="000000"/>
                <w:sz w:val="18"/>
              </w:rPr>
            </w:pPr>
            <w:r>
              <w:rPr>
                <w:rFonts w:ascii="Verdana" w:eastAsia="Verdana" w:hAnsi="Verdana" w:cs="Verdana"/>
                <w:b/>
                <w:i/>
                <w:noProof/>
                <w:color w:val="000000"/>
                <w:sz w:val="18"/>
              </w:rPr>
              <w:t>Current</w:t>
            </w:r>
          </w:p>
        </w:tc>
        <w:tc>
          <w:tcPr>
            <w:tcW w:w="1958" w:type="dxa"/>
            <w:tcBorders>
              <w:top w:val="nil"/>
              <w:left w:val="nil"/>
              <w:bottom w:val="nil"/>
              <w:right w:val="nil"/>
              <w:tl2br w:val="nil"/>
              <w:tr2bl w:val="nil"/>
            </w:tcBorders>
            <w:shd w:val="clear" w:color="auto" w:fill="auto"/>
            <w:tcMar>
              <w:left w:w="60" w:type="dxa"/>
              <w:right w:w="60" w:type="dxa"/>
            </w:tcMar>
            <w:vAlign w:val="center"/>
          </w:tcPr>
          <w:p w14:paraId="63B8FE2B" w14:textId="77777777" w:rsidR="00FD1E19" w:rsidRDefault="00FD1E19" w:rsidP="00BE7E4A">
            <w:pPr>
              <w:pStyle w:val="DMETW37225BIPFA"/>
              <w:jc w:val="center"/>
              <w:rPr>
                <w:rFonts w:ascii="Verdana" w:eastAsia="Verdana" w:hAnsi="Verdana" w:cs="Verdana"/>
                <w:noProof/>
                <w:color w:val="000000"/>
                <w:sz w:val="18"/>
              </w:rPr>
            </w:pPr>
          </w:p>
        </w:tc>
        <w:tc>
          <w:tcPr>
            <w:tcW w:w="1583" w:type="dxa"/>
            <w:tcBorders>
              <w:top w:val="nil"/>
              <w:left w:val="nil"/>
              <w:bottom w:val="nil"/>
              <w:right w:val="nil"/>
              <w:tl2br w:val="nil"/>
              <w:tr2bl w:val="nil"/>
            </w:tcBorders>
            <w:shd w:val="clear" w:color="auto" w:fill="auto"/>
            <w:tcMar>
              <w:left w:w="60" w:type="dxa"/>
              <w:right w:w="60" w:type="dxa"/>
            </w:tcMar>
            <w:vAlign w:val="center"/>
          </w:tcPr>
          <w:p w14:paraId="4AFBA46B" w14:textId="77777777" w:rsidR="00FD1E19" w:rsidRDefault="00FD1E19" w:rsidP="00BE7E4A">
            <w:pPr>
              <w:pStyle w:val="DMETW37225BIPFA"/>
              <w:jc w:val="right"/>
              <w:rPr>
                <w:rFonts w:ascii="Verdana" w:eastAsia="Verdana" w:hAnsi="Verdana" w:cs="Verdana"/>
                <w:i/>
                <w:noProof/>
                <w:color w:val="000000"/>
                <w:sz w:val="18"/>
                <w:lang w:bidi="en-GB"/>
              </w:rPr>
            </w:pPr>
          </w:p>
        </w:tc>
      </w:tr>
      <w:tr w:rsidR="00FD1E19" w14:paraId="68586693" w14:textId="77777777" w:rsidTr="00BE7E4A">
        <w:trPr>
          <w:trHeight w:hRule="exact" w:val="255"/>
        </w:trPr>
        <w:tc>
          <w:tcPr>
            <w:tcW w:w="6217" w:type="dxa"/>
            <w:tcBorders>
              <w:top w:val="nil"/>
              <w:left w:val="nil"/>
              <w:bottom w:val="nil"/>
              <w:right w:val="nil"/>
              <w:tl2br w:val="nil"/>
              <w:tr2bl w:val="nil"/>
            </w:tcBorders>
            <w:shd w:val="clear" w:color="auto" w:fill="auto"/>
            <w:tcMar>
              <w:left w:w="60" w:type="dxa"/>
              <w:right w:w="60" w:type="dxa"/>
            </w:tcMar>
            <w:vAlign w:val="bottom"/>
          </w:tcPr>
          <w:p w14:paraId="405E86DC" w14:textId="77777777" w:rsidR="00FD1E19" w:rsidRDefault="00FD1E19" w:rsidP="00BE7E4A">
            <w:pPr>
              <w:pStyle w:val="DMETW37225BIPFA"/>
              <w:rPr>
                <w:rFonts w:ascii="Verdana" w:eastAsia="Verdana" w:hAnsi="Verdana" w:cs="Verdana"/>
                <w:i/>
                <w:noProof/>
                <w:color w:val="000000"/>
                <w:sz w:val="18"/>
              </w:rPr>
            </w:pPr>
            <w:r>
              <w:rPr>
                <w:rFonts w:ascii="Verdana" w:eastAsia="Verdana" w:hAnsi="Verdana" w:cs="Verdana"/>
                <w:i/>
                <w:noProof/>
                <w:color w:val="000000"/>
                <w:sz w:val="18"/>
              </w:rPr>
              <w:t>Loans</w:t>
            </w:r>
          </w:p>
        </w:tc>
        <w:tc>
          <w:tcPr>
            <w:tcW w:w="1958" w:type="dxa"/>
            <w:tcBorders>
              <w:top w:val="nil"/>
              <w:left w:val="nil"/>
              <w:bottom w:val="nil"/>
              <w:right w:val="nil"/>
              <w:tl2br w:val="nil"/>
              <w:tr2bl w:val="nil"/>
            </w:tcBorders>
            <w:shd w:val="solid" w:color="FFFFFF" w:fill="FFFFFF"/>
            <w:tcMar>
              <w:left w:w="60" w:type="dxa"/>
              <w:right w:w="60" w:type="dxa"/>
            </w:tcMar>
            <w:vAlign w:val="center"/>
          </w:tcPr>
          <w:p w14:paraId="05688635" w14:textId="77777777" w:rsidR="00FD1E19" w:rsidRDefault="00FD1E19" w:rsidP="00BE7E4A">
            <w:pPr>
              <w:pStyle w:val="DMETW37225BIPFA"/>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583" w:type="dxa"/>
            <w:tcBorders>
              <w:top w:val="nil"/>
              <w:left w:val="nil"/>
              <w:bottom w:val="nil"/>
              <w:right w:val="nil"/>
              <w:tl2br w:val="nil"/>
              <w:tr2bl w:val="nil"/>
            </w:tcBorders>
            <w:shd w:val="solid" w:color="FFFFFF" w:fill="FFFFFF"/>
            <w:tcMar>
              <w:left w:w="60" w:type="dxa"/>
              <w:right w:w="60" w:type="dxa"/>
            </w:tcMar>
            <w:vAlign w:val="center"/>
          </w:tcPr>
          <w:p w14:paraId="15F16264" w14:textId="77777777" w:rsidR="00FD1E19" w:rsidRDefault="00FD1E19" w:rsidP="00BE7E4A">
            <w:pPr>
              <w:pStyle w:val="DMETW37225BIPF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381D7F93" w14:textId="77777777" w:rsidTr="00BE7E4A">
        <w:trPr>
          <w:trHeight w:hRule="exact" w:val="255"/>
        </w:trPr>
        <w:tc>
          <w:tcPr>
            <w:tcW w:w="6217" w:type="dxa"/>
            <w:tcBorders>
              <w:top w:val="nil"/>
              <w:left w:val="nil"/>
              <w:bottom w:val="nil"/>
              <w:right w:val="nil"/>
              <w:tl2br w:val="nil"/>
              <w:tr2bl w:val="nil"/>
            </w:tcBorders>
            <w:shd w:val="solid" w:color="CCE1EA" w:fill="FFFFFF"/>
            <w:tcMar>
              <w:left w:w="60" w:type="dxa"/>
              <w:right w:w="60" w:type="dxa"/>
            </w:tcMar>
            <w:vAlign w:val="center"/>
          </w:tcPr>
          <w:p w14:paraId="226403D9" w14:textId="77777777" w:rsidR="00FD1E19" w:rsidRDefault="00FD1E19" w:rsidP="00BE7E4A">
            <w:pPr>
              <w:pStyle w:val="DMETW37225BIPFA"/>
              <w:rPr>
                <w:rFonts w:ascii="Verdana" w:eastAsia="Verdana" w:hAnsi="Verdana" w:cs="Verdana"/>
                <w:b/>
                <w:noProof/>
                <w:color w:val="000000"/>
                <w:sz w:val="18"/>
              </w:rPr>
            </w:pPr>
          </w:p>
        </w:tc>
        <w:tc>
          <w:tcPr>
            <w:tcW w:w="1958" w:type="dxa"/>
            <w:tcBorders>
              <w:top w:val="nil"/>
              <w:left w:val="nil"/>
              <w:bottom w:val="nil"/>
              <w:right w:val="nil"/>
              <w:tl2br w:val="nil"/>
              <w:tr2bl w:val="nil"/>
            </w:tcBorders>
            <w:shd w:val="solid" w:color="CCE1EA" w:fill="FFFFFF"/>
            <w:tcMar>
              <w:left w:w="60" w:type="dxa"/>
              <w:right w:w="60" w:type="dxa"/>
            </w:tcMar>
            <w:vAlign w:val="center"/>
          </w:tcPr>
          <w:p w14:paraId="71F46BA1" w14:textId="77777777" w:rsidR="00FD1E19" w:rsidRDefault="00FD1E19" w:rsidP="00BE7E4A">
            <w:pPr>
              <w:pStyle w:val="DMETW37225BIPFA"/>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583" w:type="dxa"/>
            <w:tcBorders>
              <w:top w:val="nil"/>
              <w:left w:val="nil"/>
              <w:bottom w:val="nil"/>
              <w:right w:val="nil"/>
              <w:tl2br w:val="nil"/>
              <w:tr2bl w:val="nil"/>
            </w:tcBorders>
            <w:shd w:val="solid" w:color="CCE1EA" w:fill="FFFFFF"/>
            <w:tcMar>
              <w:left w:w="60" w:type="dxa"/>
              <w:right w:w="60" w:type="dxa"/>
            </w:tcMar>
            <w:vAlign w:val="center"/>
          </w:tcPr>
          <w:p w14:paraId="48D1EA7C" w14:textId="77777777" w:rsidR="00FD1E19" w:rsidRDefault="00FD1E19" w:rsidP="00BE7E4A">
            <w:pPr>
              <w:pStyle w:val="DMETW37225BIPFA"/>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5</w:t>
            </w:r>
          </w:p>
        </w:tc>
      </w:tr>
      <w:tr w:rsidR="00FD1E19" w14:paraId="31CDB159" w14:textId="77777777" w:rsidTr="00BE7E4A">
        <w:trPr>
          <w:trHeight w:hRule="exact" w:val="300"/>
        </w:trPr>
        <w:tc>
          <w:tcPr>
            <w:tcW w:w="6217" w:type="dxa"/>
            <w:tcBorders>
              <w:top w:val="nil"/>
              <w:left w:val="nil"/>
              <w:bottom w:val="single" w:sz="4" w:space="0" w:color="016794"/>
              <w:right w:val="nil"/>
              <w:tl2br w:val="nil"/>
              <w:tr2bl w:val="nil"/>
            </w:tcBorders>
            <w:shd w:val="clear" w:color="auto" w:fill="auto"/>
            <w:tcMar>
              <w:left w:w="60" w:type="dxa"/>
              <w:right w:w="60" w:type="dxa"/>
            </w:tcMar>
            <w:vAlign w:val="center"/>
          </w:tcPr>
          <w:p w14:paraId="5EB3ECCA" w14:textId="77777777" w:rsidR="00FD1E19" w:rsidRDefault="00FD1E19" w:rsidP="00BE7E4A">
            <w:pPr>
              <w:pStyle w:val="DMETW37225BIPFA"/>
              <w:rPr>
                <w:rFonts w:ascii="Verdana" w:eastAsia="Verdana" w:hAnsi="Verdana" w:cs="Verdana"/>
                <w:b/>
                <w:noProof/>
                <w:color w:val="000000"/>
                <w:sz w:val="18"/>
              </w:rPr>
            </w:pPr>
            <w:r>
              <w:rPr>
                <w:rFonts w:ascii="Verdana" w:eastAsia="Verdana" w:hAnsi="Verdana" w:cs="Verdana"/>
                <w:b/>
                <w:noProof/>
                <w:color w:val="000000"/>
                <w:sz w:val="18"/>
              </w:rPr>
              <w:t>Total</w:t>
            </w:r>
          </w:p>
        </w:tc>
        <w:tc>
          <w:tcPr>
            <w:tcW w:w="1958" w:type="dxa"/>
            <w:tcBorders>
              <w:top w:val="nil"/>
              <w:left w:val="nil"/>
              <w:bottom w:val="single" w:sz="4" w:space="0" w:color="016794"/>
              <w:right w:val="nil"/>
              <w:tl2br w:val="nil"/>
              <w:tr2bl w:val="nil"/>
            </w:tcBorders>
            <w:shd w:val="clear" w:color="auto" w:fill="auto"/>
            <w:tcMar>
              <w:left w:w="60" w:type="dxa"/>
              <w:right w:w="60" w:type="dxa"/>
            </w:tcMar>
            <w:vAlign w:val="center"/>
          </w:tcPr>
          <w:p w14:paraId="378FD8AD" w14:textId="77777777" w:rsidR="00FD1E19" w:rsidRDefault="00FD1E19" w:rsidP="00BE7E4A">
            <w:pPr>
              <w:pStyle w:val="DMETW37225BIPFA"/>
              <w:jc w:val="right"/>
              <w:rPr>
                <w:rFonts w:ascii="Verdana" w:eastAsia="Verdana" w:hAnsi="Verdana" w:cs="Verdana"/>
                <w:b/>
                <w:noProof/>
                <w:color w:val="000000"/>
                <w:sz w:val="18"/>
              </w:rPr>
            </w:pPr>
            <w:r>
              <w:rPr>
                <w:rFonts w:ascii="Verdana" w:eastAsia="Verdana" w:hAnsi="Verdana" w:cs="Verdana"/>
                <w:b/>
                <w:noProof/>
                <w:color w:val="000000"/>
                <w:sz w:val="18"/>
              </w:rPr>
              <w:t xml:space="preserve">  117</w:t>
            </w:r>
          </w:p>
        </w:tc>
        <w:tc>
          <w:tcPr>
            <w:tcW w:w="1583" w:type="dxa"/>
            <w:tcBorders>
              <w:top w:val="nil"/>
              <w:left w:val="nil"/>
              <w:bottom w:val="single" w:sz="4" w:space="0" w:color="016794"/>
              <w:right w:val="nil"/>
              <w:tl2br w:val="nil"/>
              <w:tr2bl w:val="nil"/>
            </w:tcBorders>
            <w:shd w:val="clear" w:color="auto" w:fill="auto"/>
            <w:tcMar>
              <w:left w:w="60" w:type="dxa"/>
              <w:right w:w="60" w:type="dxa"/>
            </w:tcMar>
            <w:vAlign w:val="center"/>
          </w:tcPr>
          <w:p w14:paraId="24782FC7" w14:textId="77777777" w:rsidR="00FD1E19" w:rsidRDefault="00FD1E19" w:rsidP="00BE7E4A">
            <w:pPr>
              <w:pStyle w:val="DMETW37225BIPFA"/>
              <w:jc w:val="right"/>
              <w:rPr>
                <w:rFonts w:ascii="Verdana" w:eastAsia="Verdana" w:hAnsi="Verdana" w:cs="Verdana"/>
                <w:b/>
                <w:noProof/>
                <w:color w:val="000000"/>
                <w:sz w:val="18"/>
              </w:rPr>
            </w:pPr>
            <w:r>
              <w:rPr>
                <w:rFonts w:ascii="Verdana" w:eastAsia="Verdana" w:hAnsi="Verdana" w:cs="Verdana"/>
                <w:b/>
                <w:noProof/>
                <w:color w:val="000000"/>
                <w:sz w:val="18"/>
              </w:rPr>
              <w:t xml:space="preserve">  132</w:t>
            </w:r>
          </w:p>
        </w:tc>
      </w:tr>
    </w:tbl>
    <w:p w14:paraId="3B1964D2" w14:textId="77777777" w:rsidR="00FD1E19" w:rsidRDefault="00FD1E19" w:rsidP="00FD1E19">
      <w:pPr>
        <w:pStyle w:val="Textstand-alone"/>
        <w:ind w:right="-1"/>
      </w:pPr>
      <w:bookmarkStart w:id="69" w:name="DOC_TBL00012_1_1"/>
      <w:bookmarkEnd w:id="69"/>
      <w:r>
        <w:t xml:space="preserve">The EUR 92 million of financial assets at FVSD relate to equity investments in the following areas: </w:t>
      </w:r>
    </w:p>
    <w:p w14:paraId="583D9CB0" w14:textId="77777777" w:rsidR="00FD1E19" w:rsidRPr="0068110E" w:rsidRDefault="00FD1E19" w:rsidP="00FD1E19">
      <w:pPr>
        <w:pStyle w:val="DGTextstand-alonedashesjustified"/>
        <w:numPr>
          <w:ilvl w:val="0"/>
          <w:numId w:val="19"/>
        </w:numPr>
      </w:pPr>
      <w:r w:rsidRPr="0068110E">
        <w:t xml:space="preserve">Renewable sustainable energy via Climate Investor One, ElectriFI and </w:t>
      </w:r>
      <w:r w:rsidRPr="00834990">
        <w:t>the Global Energy Efficiency and Renewable Energy Fund</w:t>
      </w:r>
      <w:r w:rsidRPr="0068110E">
        <w:t xml:space="preserve"> </w:t>
      </w:r>
      <w:r>
        <w:t>(</w:t>
      </w:r>
      <w:r w:rsidRPr="0068110E">
        <w:t>GEEREF</w:t>
      </w:r>
      <w:r>
        <w:t>);</w:t>
      </w:r>
    </w:p>
    <w:p w14:paraId="4EB0E1F4" w14:textId="77777777" w:rsidR="00FD1E19" w:rsidRPr="0068110E" w:rsidRDefault="00FD1E19" w:rsidP="00FD1E19">
      <w:pPr>
        <w:pStyle w:val="DGTextstand-alonedashesjustified"/>
        <w:numPr>
          <w:ilvl w:val="0"/>
          <w:numId w:val="19"/>
        </w:numPr>
      </w:pPr>
      <w:r w:rsidRPr="0068110E">
        <w:t>Promoting inclusive smallholder and rural SME finance via the ABC FUND</w:t>
      </w:r>
      <w:r>
        <w:t>;</w:t>
      </w:r>
    </w:p>
    <w:p w14:paraId="72D93B8F" w14:textId="77777777" w:rsidR="00FD1E19" w:rsidRPr="0068110E" w:rsidRDefault="00FD1E19" w:rsidP="00FD1E19">
      <w:pPr>
        <w:pStyle w:val="DGTextstand-alonedashesjustified"/>
        <w:numPr>
          <w:ilvl w:val="0"/>
          <w:numId w:val="19"/>
        </w:numPr>
      </w:pPr>
      <w:r w:rsidRPr="0068110E">
        <w:t>Financial inclusion in Uganda via the aBi Finance</w:t>
      </w:r>
      <w:r>
        <w:t>; and</w:t>
      </w:r>
    </w:p>
    <w:p w14:paraId="12CEC8B3" w14:textId="77777777" w:rsidR="00FD1E19" w:rsidRPr="0068110E" w:rsidRDefault="00FD1E19" w:rsidP="00FD1E19">
      <w:pPr>
        <w:pStyle w:val="DGTextstand-alonedashesjustified"/>
        <w:numPr>
          <w:ilvl w:val="0"/>
          <w:numId w:val="19"/>
        </w:numPr>
      </w:pPr>
      <w:r w:rsidRPr="0068110E">
        <w:t xml:space="preserve">Creating jobs and sustainable growth in Africa via the Boost Africa intitiative. </w:t>
      </w:r>
    </w:p>
    <w:p w14:paraId="21F6364C" w14:textId="77777777" w:rsidR="00FD1E19" w:rsidRDefault="00FD1E19" w:rsidP="00FD1E19">
      <w:pPr>
        <w:pStyle w:val="Textstand-alone"/>
      </w:pPr>
      <w:r>
        <w:t xml:space="preserve">The EUR 24 million of non-current loans and EUR 1 milllion of current loans concern two main areas: sustainable agriculture via the AgriFI and electricity access and generation from sustainable energy sources via the ElectriFI investment Facility. </w:t>
      </w:r>
    </w:p>
    <w:p w14:paraId="7D8DCF15" w14:textId="77777777" w:rsidR="00FD1E19" w:rsidRDefault="00FD1E19" w:rsidP="00FD1E19">
      <w:pPr>
        <w:pStyle w:val="HEADER2Part2"/>
        <w:ind w:left="3402" w:hanging="3402"/>
        <w:jc w:val="both"/>
        <w:rPr>
          <w:noProof/>
        </w:rPr>
      </w:pPr>
      <w:bookmarkStart w:id="70" w:name="_Ref35550594"/>
      <w:r w:rsidRPr="00F64D38">
        <w:rPr>
          <w:noProof/>
        </w:rPr>
        <w:t>PRE-FINANCING</w:t>
      </w:r>
      <w:bookmarkEnd w:id="70"/>
    </w:p>
    <w:p w14:paraId="444E51CA" w14:textId="77777777" w:rsidR="00FD1E19" w:rsidRPr="00F64D38" w:rsidRDefault="00FD1E19" w:rsidP="00FD1E19">
      <w:pPr>
        <w:pStyle w:val="Textstand-alone"/>
        <w:spacing w:before="0"/>
      </w:pPr>
      <w:r w:rsidRPr="00F64D38">
        <w:t>Many contracts provide for payments of advances before the commencement of works, delivery of supplies or the provision of services. Sometimes the payment schedules of contracts foresee payments based on progress reports. Pre-financing is normally paid in the currency of the country or territory where the project is executed.</w:t>
      </w:r>
    </w:p>
    <w:p w14:paraId="0BA48149" w14:textId="77777777" w:rsidR="00FD1E19" w:rsidRPr="00F64D38" w:rsidRDefault="00FD1E19" w:rsidP="00FD1E19">
      <w:pPr>
        <w:pStyle w:val="Textstand-alone"/>
        <w:spacing w:after="0"/>
      </w:pPr>
      <w:r w:rsidRPr="00F64D38">
        <w:t>The timing of use of pre-financing governs whether it is disclosed as a current or a non-current pre</w:t>
      </w:r>
      <w:r w:rsidRPr="00F64D38">
        <w:noBreakHyphen/>
        <w:t>financing. The use is defined by the project's underlying agreement. Any use due within twelve months after the reporting date are disclosed as current pre</w:t>
      </w:r>
      <w:r w:rsidRPr="00F64D38">
        <w:noBreakHyphen/>
        <w:t>financing. As many of the EDF projects are long-term in nature, it is necessary that the related advances are available for more than one year. Thus some pre-financing amounts are shown as non</w:t>
      </w:r>
      <w:r w:rsidRPr="00F64D38">
        <w:noBreakHyphen/>
        <w:t>current assets.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74"/>
        <w:gridCol w:w="1356"/>
        <w:gridCol w:w="1033"/>
        <w:gridCol w:w="851"/>
        <w:gridCol w:w="788"/>
        <w:gridCol w:w="1390"/>
        <w:gridCol w:w="1566"/>
      </w:tblGrid>
      <w:tr w:rsidR="00FD1E19" w14:paraId="4CEB5697" w14:textId="77777777" w:rsidTr="00BE7E4A">
        <w:trPr>
          <w:trHeight w:val="255"/>
        </w:trPr>
        <w:tc>
          <w:tcPr>
            <w:tcW w:w="9758" w:type="dxa"/>
            <w:gridSpan w:val="7"/>
            <w:tcBorders>
              <w:top w:val="nil"/>
              <w:left w:val="nil"/>
              <w:bottom w:val="nil"/>
              <w:right w:val="nil"/>
              <w:tl2br w:val="nil"/>
              <w:tr2bl w:val="nil"/>
            </w:tcBorders>
            <w:shd w:val="clear" w:color="auto" w:fill="auto"/>
            <w:tcMar>
              <w:left w:w="60" w:type="dxa"/>
              <w:right w:w="60" w:type="dxa"/>
            </w:tcMar>
            <w:vAlign w:val="center"/>
          </w:tcPr>
          <w:p w14:paraId="41008B43" w14:textId="77777777" w:rsidR="00FD1E19" w:rsidRDefault="00FD1E19" w:rsidP="00BE7E4A">
            <w:pPr>
              <w:pStyle w:val="DMETW37225BIPPF"/>
              <w:jc w:val="right"/>
              <w:rPr>
                <w:rFonts w:ascii="Verdana" w:eastAsia="Verdana" w:hAnsi="Verdana" w:cs="Verdana"/>
                <w:i/>
                <w:noProof/>
                <w:color w:val="000000"/>
                <w:sz w:val="16"/>
                <w:lang w:bidi="en-GB"/>
              </w:rPr>
            </w:pPr>
            <w:bookmarkStart w:id="71" w:name="DOC_TBL00030_1_1"/>
            <w:bookmarkEnd w:id="71"/>
            <w:r>
              <w:rPr>
                <w:rFonts w:ascii="Verdana" w:eastAsia="Verdana" w:hAnsi="Verdana" w:cs="Verdana"/>
                <w:i/>
                <w:noProof/>
                <w:color w:val="000000"/>
                <w:sz w:val="16"/>
                <w:lang w:bidi="en-GB"/>
              </w:rPr>
              <w:t>EUR million</w:t>
            </w:r>
          </w:p>
        </w:tc>
      </w:tr>
      <w:tr w:rsidR="00FD1E19" w14:paraId="423628F7" w14:textId="77777777" w:rsidTr="00BE7E4A">
        <w:trPr>
          <w:trHeight w:val="255"/>
        </w:trPr>
        <w:tc>
          <w:tcPr>
            <w:tcW w:w="2774" w:type="dxa"/>
            <w:tcBorders>
              <w:top w:val="nil"/>
              <w:left w:val="nil"/>
              <w:bottom w:val="nil"/>
              <w:right w:val="nil"/>
              <w:tl2br w:val="nil"/>
              <w:tr2bl w:val="nil"/>
            </w:tcBorders>
            <w:shd w:val="solid" w:color="016794" w:fill="FFFFFF"/>
            <w:tcMar>
              <w:left w:w="60" w:type="dxa"/>
              <w:right w:w="60" w:type="dxa"/>
            </w:tcMar>
            <w:vAlign w:val="center"/>
          </w:tcPr>
          <w:p w14:paraId="7B65C31B" w14:textId="77777777" w:rsidR="00FD1E19" w:rsidRDefault="00FD1E19" w:rsidP="00BE7E4A">
            <w:pPr>
              <w:pStyle w:val="DMETW37225BIPPF"/>
              <w:jc w:val="center"/>
              <w:rPr>
                <w:rFonts w:ascii="Verdana" w:eastAsia="Verdana" w:hAnsi="Verdana" w:cs="Verdana"/>
                <w:noProof/>
                <w:color w:val="FFFFFF"/>
              </w:rPr>
            </w:pPr>
          </w:p>
        </w:tc>
        <w:tc>
          <w:tcPr>
            <w:tcW w:w="1356" w:type="dxa"/>
            <w:tcBorders>
              <w:top w:val="nil"/>
              <w:left w:val="nil"/>
              <w:bottom w:val="nil"/>
              <w:right w:val="nil"/>
              <w:tl2br w:val="nil"/>
              <w:tr2bl w:val="nil"/>
            </w:tcBorders>
            <w:shd w:val="solid" w:color="016794" w:fill="FFFFFF"/>
            <w:tcMar>
              <w:left w:w="60" w:type="dxa"/>
              <w:right w:w="60" w:type="dxa"/>
            </w:tcMar>
            <w:vAlign w:val="center"/>
          </w:tcPr>
          <w:p w14:paraId="09FAE45D" w14:textId="77777777" w:rsidR="00FD1E19" w:rsidRDefault="00FD1E19" w:rsidP="00BE7E4A">
            <w:pPr>
              <w:pStyle w:val="DMETW37225BIPPF"/>
              <w:jc w:val="center"/>
              <w:rPr>
                <w:rFonts w:ascii="Verdana" w:eastAsia="Verdana" w:hAnsi="Verdana" w:cs="Verdana"/>
                <w:noProof/>
                <w:color w:val="FFFFFF"/>
              </w:rPr>
            </w:pPr>
            <w:r>
              <w:rPr>
                <w:rFonts w:ascii="Verdana" w:eastAsia="Verdana" w:hAnsi="Verdana" w:cs="Verdana"/>
                <w:noProof/>
                <w:color w:val="FFFFFF"/>
              </w:rPr>
              <w:t>Note</w:t>
            </w:r>
          </w:p>
        </w:tc>
        <w:tc>
          <w:tcPr>
            <w:tcW w:w="1033" w:type="dxa"/>
            <w:tcBorders>
              <w:top w:val="nil"/>
              <w:left w:val="nil"/>
              <w:bottom w:val="nil"/>
              <w:right w:val="nil"/>
              <w:tl2br w:val="nil"/>
              <w:tr2bl w:val="nil"/>
            </w:tcBorders>
            <w:shd w:val="solid" w:color="016794" w:fill="FFFFFF"/>
            <w:tcMar>
              <w:left w:w="60" w:type="dxa"/>
              <w:right w:w="60" w:type="dxa"/>
            </w:tcMar>
            <w:vAlign w:val="center"/>
          </w:tcPr>
          <w:p w14:paraId="79177981" w14:textId="77777777" w:rsidR="00FD1E19" w:rsidRDefault="00FD1E19" w:rsidP="00BE7E4A">
            <w:pPr>
              <w:pStyle w:val="DMETW37225BIPPF"/>
              <w:jc w:val="right"/>
              <w:rPr>
                <w:rFonts w:ascii="Verdana" w:eastAsia="Verdana" w:hAnsi="Verdana" w:cs="Verdana"/>
                <w:noProof/>
                <w:color w:val="FFFFFF"/>
              </w:rPr>
            </w:pPr>
            <w:r>
              <w:rPr>
                <w:rFonts w:ascii="Verdana" w:eastAsia="Verdana" w:hAnsi="Verdana" w:cs="Verdana"/>
                <w:noProof/>
                <w:color w:val="FFFFFF"/>
              </w:rPr>
              <w:t>Ninth EDF</w:t>
            </w:r>
          </w:p>
        </w:tc>
        <w:tc>
          <w:tcPr>
            <w:tcW w:w="851" w:type="dxa"/>
            <w:tcBorders>
              <w:top w:val="nil"/>
              <w:left w:val="nil"/>
              <w:bottom w:val="nil"/>
              <w:right w:val="nil"/>
              <w:tl2br w:val="nil"/>
              <w:tr2bl w:val="nil"/>
            </w:tcBorders>
            <w:shd w:val="solid" w:color="016794" w:fill="FFFFFF"/>
            <w:tcMar>
              <w:left w:w="60" w:type="dxa"/>
              <w:right w:w="60" w:type="dxa"/>
            </w:tcMar>
            <w:vAlign w:val="center"/>
          </w:tcPr>
          <w:p w14:paraId="149D5323" w14:textId="77777777" w:rsidR="00FD1E19" w:rsidRDefault="00FD1E19" w:rsidP="00BE7E4A">
            <w:pPr>
              <w:pStyle w:val="DMETW37225BIPPF"/>
              <w:jc w:val="right"/>
              <w:rPr>
                <w:rFonts w:ascii="Verdana" w:eastAsia="Verdana" w:hAnsi="Verdana" w:cs="Verdana"/>
                <w:noProof/>
                <w:color w:val="FFFFFF"/>
              </w:rPr>
            </w:pPr>
            <w:r>
              <w:rPr>
                <w:rFonts w:ascii="Verdana" w:eastAsia="Verdana" w:hAnsi="Verdana" w:cs="Verdana"/>
                <w:noProof/>
                <w:color w:val="FFFFFF"/>
              </w:rPr>
              <w:t>10th EDF</w:t>
            </w:r>
          </w:p>
        </w:tc>
        <w:tc>
          <w:tcPr>
            <w:tcW w:w="788" w:type="dxa"/>
            <w:tcBorders>
              <w:top w:val="nil"/>
              <w:left w:val="nil"/>
              <w:bottom w:val="nil"/>
              <w:right w:val="nil"/>
              <w:tl2br w:val="nil"/>
              <w:tr2bl w:val="nil"/>
            </w:tcBorders>
            <w:shd w:val="solid" w:color="016794" w:fill="FFFFFF"/>
            <w:tcMar>
              <w:left w:w="60" w:type="dxa"/>
              <w:right w:w="60" w:type="dxa"/>
            </w:tcMar>
            <w:vAlign w:val="center"/>
          </w:tcPr>
          <w:p w14:paraId="728B1032" w14:textId="77777777" w:rsidR="00FD1E19" w:rsidRDefault="00FD1E19" w:rsidP="00BE7E4A">
            <w:pPr>
              <w:pStyle w:val="DMETW37225BIPPF"/>
              <w:jc w:val="right"/>
              <w:rPr>
                <w:rFonts w:ascii="Verdana" w:eastAsia="Verdana" w:hAnsi="Verdana" w:cs="Verdana"/>
                <w:noProof/>
                <w:color w:val="FFFFFF"/>
              </w:rPr>
            </w:pPr>
            <w:r>
              <w:rPr>
                <w:rFonts w:ascii="Verdana" w:eastAsia="Verdana" w:hAnsi="Verdana" w:cs="Verdana"/>
                <w:noProof/>
                <w:color w:val="FFFFFF"/>
              </w:rPr>
              <w:t>11th EDF</w:t>
            </w:r>
          </w:p>
        </w:tc>
        <w:tc>
          <w:tcPr>
            <w:tcW w:w="1390" w:type="dxa"/>
            <w:tcBorders>
              <w:top w:val="nil"/>
              <w:left w:val="nil"/>
              <w:bottom w:val="nil"/>
              <w:right w:val="nil"/>
              <w:tl2br w:val="nil"/>
              <w:tr2bl w:val="nil"/>
            </w:tcBorders>
            <w:shd w:val="solid" w:color="016794" w:fill="FFFFFF"/>
            <w:tcMar>
              <w:left w:w="60" w:type="dxa"/>
              <w:right w:w="60" w:type="dxa"/>
            </w:tcMar>
            <w:vAlign w:val="center"/>
          </w:tcPr>
          <w:p w14:paraId="5BF94DFE" w14:textId="77777777" w:rsidR="00FD1E19" w:rsidRDefault="00FD1E19" w:rsidP="00BE7E4A">
            <w:pPr>
              <w:pStyle w:val="DMETW37225BIPPF"/>
              <w:jc w:val="right"/>
              <w:rPr>
                <w:rFonts w:ascii="Verdana" w:eastAsia="Verdana" w:hAnsi="Verdana" w:cs="Verdana"/>
                <w:noProof/>
                <w:color w:val="FFFFFF"/>
              </w:rPr>
            </w:pPr>
            <w:r>
              <w:rPr>
                <w:rFonts w:ascii="Verdana" w:eastAsia="Verdana" w:hAnsi="Verdana" w:cs="Verdana"/>
                <w:noProof/>
                <w:color w:val="FFFFFF"/>
              </w:rPr>
              <w:t>31.12.2025</w:t>
            </w:r>
          </w:p>
        </w:tc>
        <w:tc>
          <w:tcPr>
            <w:tcW w:w="1566" w:type="dxa"/>
            <w:tcBorders>
              <w:top w:val="nil"/>
              <w:left w:val="nil"/>
              <w:bottom w:val="nil"/>
              <w:right w:val="nil"/>
              <w:tl2br w:val="nil"/>
              <w:tr2bl w:val="nil"/>
            </w:tcBorders>
            <w:shd w:val="solid" w:color="016794" w:fill="FFFFFF"/>
            <w:tcMar>
              <w:left w:w="60" w:type="dxa"/>
              <w:right w:w="60" w:type="dxa"/>
            </w:tcMar>
            <w:vAlign w:val="center"/>
          </w:tcPr>
          <w:p w14:paraId="0631DE9F" w14:textId="77777777" w:rsidR="00FD1E19" w:rsidRDefault="00FD1E19" w:rsidP="00BE7E4A">
            <w:pPr>
              <w:pStyle w:val="DMETW37225BIPPF"/>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6714EF33" w14:textId="77777777" w:rsidTr="00BE7E4A">
        <w:trPr>
          <w:trHeight w:val="255"/>
        </w:trPr>
        <w:tc>
          <w:tcPr>
            <w:tcW w:w="2774" w:type="dxa"/>
            <w:tcBorders>
              <w:top w:val="nil"/>
              <w:left w:val="nil"/>
              <w:bottom w:val="nil"/>
              <w:right w:val="nil"/>
              <w:tl2br w:val="nil"/>
              <w:tr2bl w:val="nil"/>
            </w:tcBorders>
            <w:shd w:val="clear" w:color="auto" w:fill="auto"/>
            <w:tcMar>
              <w:left w:w="60" w:type="dxa"/>
              <w:right w:w="60" w:type="dxa"/>
            </w:tcMar>
            <w:vAlign w:val="center"/>
          </w:tcPr>
          <w:p w14:paraId="32CE7634" w14:textId="77777777" w:rsidR="00FD1E19" w:rsidRDefault="00FD1E19" w:rsidP="00BE7E4A">
            <w:pPr>
              <w:pStyle w:val="DMETW37225BIPPF"/>
              <w:rPr>
                <w:rFonts w:ascii="Verdana" w:eastAsia="Verdana" w:hAnsi="Verdana" w:cs="Verdana"/>
                <w:i/>
                <w:noProof/>
                <w:color w:val="000000"/>
                <w:sz w:val="18"/>
              </w:rPr>
            </w:pPr>
            <w:r>
              <w:rPr>
                <w:rFonts w:ascii="Verdana" w:eastAsia="Verdana" w:hAnsi="Verdana" w:cs="Verdana"/>
                <w:i/>
                <w:noProof/>
                <w:color w:val="000000"/>
                <w:sz w:val="18"/>
              </w:rPr>
              <w:t>Non-current pre-financing</w:t>
            </w:r>
          </w:p>
        </w:tc>
        <w:tc>
          <w:tcPr>
            <w:tcW w:w="1356" w:type="dxa"/>
            <w:tcBorders>
              <w:top w:val="nil"/>
              <w:left w:val="nil"/>
              <w:bottom w:val="nil"/>
              <w:right w:val="nil"/>
              <w:tl2br w:val="nil"/>
              <w:tr2bl w:val="nil"/>
            </w:tcBorders>
            <w:shd w:val="clear" w:color="auto" w:fill="auto"/>
            <w:tcMar>
              <w:left w:w="60" w:type="dxa"/>
              <w:right w:w="60" w:type="dxa"/>
            </w:tcMar>
            <w:vAlign w:val="center"/>
          </w:tcPr>
          <w:p w14:paraId="35998700" w14:textId="77777777" w:rsidR="00FD1E19" w:rsidRDefault="00FD1E19" w:rsidP="00BE7E4A">
            <w:pPr>
              <w:pStyle w:val="DMETW37225BIPPF"/>
              <w:jc w:val="center"/>
              <w:rPr>
                <w:rFonts w:ascii="Verdana" w:eastAsia="Verdana" w:hAnsi="Verdana" w:cs="Verdana"/>
                <w:noProof/>
                <w:color w:val="000000"/>
                <w:sz w:val="18"/>
              </w:rPr>
            </w:pPr>
            <w:r>
              <w:rPr>
                <w:rFonts w:ascii="Verdana" w:eastAsia="Verdana" w:hAnsi="Verdana" w:cs="Verdana"/>
                <w:noProof/>
                <w:color w:val="000000"/>
                <w:sz w:val="18"/>
              </w:rPr>
              <w:t>2.2.1</w:t>
            </w:r>
          </w:p>
        </w:tc>
        <w:tc>
          <w:tcPr>
            <w:tcW w:w="1033" w:type="dxa"/>
            <w:tcBorders>
              <w:top w:val="nil"/>
              <w:left w:val="nil"/>
              <w:bottom w:val="nil"/>
              <w:right w:val="nil"/>
              <w:tl2br w:val="nil"/>
              <w:tr2bl w:val="nil"/>
            </w:tcBorders>
            <w:shd w:val="clear" w:color="auto" w:fill="auto"/>
            <w:tcMar>
              <w:left w:w="60" w:type="dxa"/>
              <w:right w:w="60" w:type="dxa"/>
            </w:tcMar>
            <w:vAlign w:val="center"/>
          </w:tcPr>
          <w:p w14:paraId="5DDCEA3B"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7F12D476"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 xml:space="preserve"> 382</w:t>
            </w:r>
          </w:p>
        </w:tc>
        <w:tc>
          <w:tcPr>
            <w:tcW w:w="788" w:type="dxa"/>
            <w:tcBorders>
              <w:top w:val="nil"/>
              <w:left w:val="nil"/>
              <w:bottom w:val="nil"/>
              <w:right w:val="nil"/>
              <w:tl2br w:val="nil"/>
              <w:tr2bl w:val="nil"/>
            </w:tcBorders>
            <w:shd w:val="clear" w:color="auto" w:fill="auto"/>
            <w:tcMar>
              <w:left w:w="60" w:type="dxa"/>
              <w:right w:w="60" w:type="dxa"/>
            </w:tcMar>
            <w:vAlign w:val="center"/>
          </w:tcPr>
          <w:p w14:paraId="106DBCD0"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 xml:space="preserve"> 110</w:t>
            </w:r>
          </w:p>
        </w:tc>
        <w:tc>
          <w:tcPr>
            <w:tcW w:w="1390" w:type="dxa"/>
            <w:tcBorders>
              <w:top w:val="nil"/>
              <w:left w:val="nil"/>
              <w:bottom w:val="nil"/>
              <w:right w:val="nil"/>
              <w:tl2br w:val="nil"/>
              <w:tr2bl w:val="nil"/>
            </w:tcBorders>
            <w:shd w:val="clear" w:color="auto" w:fill="auto"/>
            <w:tcMar>
              <w:left w:w="60" w:type="dxa"/>
              <w:right w:w="60" w:type="dxa"/>
            </w:tcMar>
            <w:vAlign w:val="center"/>
          </w:tcPr>
          <w:p w14:paraId="5CF13A79"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 xml:space="preserve"> 492</w:t>
            </w:r>
          </w:p>
        </w:tc>
        <w:tc>
          <w:tcPr>
            <w:tcW w:w="1566" w:type="dxa"/>
            <w:tcBorders>
              <w:top w:val="nil"/>
              <w:left w:val="nil"/>
              <w:bottom w:val="nil"/>
              <w:right w:val="nil"/>
              <w:tl2br w:val="nil"/>
              <w:tr2bl w:val="nil"/>
            </w:tcBorders>
            <w:shd w:val="clear" w:color="auto" w:fill="auto"/>
            <w:tcMar>
              <w:left w:w="60" w:type="dxa"/>
              <w:right w:w="60" w:type="dxa"/>
            </w:tcMar>
            <w:vAlign w:val="center"/>
          </w:tcPr>
          <w:p w14:paraId="2D5D15AA" w14:textId="77777777" w:rsidR="00FD1E19" w:rsidRDefault="00FD1E19" w:rsidP="00BE7E4A">
            <w:pPr>
              <w:pStyle w:val="DMETW37225BIPP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500</w:t>
            </w:r>
          </w:p>
        </w:tc>
      </w:tr>
      <w:tr w:rsidR="00FD1E19" w14:paraId="26ACEF13" w14:textId="77777777" w:rsidTr="00BE7E4A">
        <w:trPr>
          <w:trHeight w:val="255"/>
        </w:trPr>
        <w:tc>
          <w:tcPr>
            <w:tcW w:w="2774" w:type="dxa"/>
            <w:tcBorders>
              <w:top w:val="nil"/>
              <w:left w:val="nil"/>
              <w:bottom w:val="single" w:sz="4" w:space="0" w:color="016794"/>
              <w:right w:val="nil"/>
              <w:tl2br w:val="nil"/>
              <w:tr2bl w:val="nil"/>
            </w:tcBorders>
            <w:shd w:val="clear" w:color="auto" w:fill="auto"/>
            <w:tcMar>
              <w:left w:w="60" w:type="dxa"/>
              <w:right w:w="60" w:type="dxa"/>
            </w:tcMar>
            <w:vAlign w:val="center"/>
          </w:tcPr>
          <w:p w14:paraId="29296C91" w14:textId="77777777" w:rsidR="00FD1E19" w:rsidRDefault="00FD1E19" w:rsidP="00BE7E4A">
            <w:pPr>
              <w:pStyle w:val="DMETW37225BIPPF"/>
              <w:rPr>
                <w:rFonts w:ascii="Verdana" w:eastAsia="Verdana" w:hAnsi="Verdana" w:cs="Verdana"/>
                <w:i/>
                <w:noProof/>
                <w:color w:val="000000"/>
                <w:sz w:val="18"/>
              </w:rPr>
            </w:pPr>
            <w:r>
              <w:rPr>
                <w:rFonts w:ascii="Verdana" w:eastAsia="Verdana" w:hAnsi="Verdana" w:cs="Verdana"/>
                <w:i/>
                <w:noProof/>
                <w:color w:val="000000"/>
                <w:sz w:val="18"/>
              </w:rPr>
              <w:t>Current pre-financing</w:t>
            </w:r>
          </w:p>
        </w:tc>
        <w:tc>
          <w:tcPr>
            <w:tcW w:w="1356" w:type="dxa"/>
            <w:tcBorders>
              <w:top w:val="nil"/>
              <w:left w:val="nil"/>
              <w:bottom w:val="single" w:sz="4" w:space="0" w:color="016794"/>
              <w:right w:val="nil"/>
              <w:tl2br w:val="nil"/>
              <w:tr2bl w:val="nil"/>
            </w:tcBorders>
            <w:shd w:val="clear" w:color="auto" w:fill="auto"/>
            <w:tcMar>
              <w:left w:w="60" w:type="dxa"/>
              <w:right w:w="60" w:type="dxa"/>
            </w:tcMar>
            <w:vAlign w:val="center"/>
          </w:tcPr>
          <w:p w14:paraId="3536C5E0" w14:textId="77777777" w:rsidR="00FD1E19" w:rsidRDefault="00FD1E19" w:rsidP="00BE7E4A">
            <w:pPr>
              <w:pStyle w:val="DMETW37225BIPPF"/>
              <w:jc w:val="center"/>
              <w:rPr>
                <w:rFonts w:ascii="Verdana" w:eastAsia="Verdana" w:hAnsi="Verdana" w:cs="Verdana"/>
                <w:noProof/>
                <w:color w:val="000000"/>
                <w:sz w:val="18"/>
              </w:rPr>
            </w:pPr>
            <w:r>
              <w:rPr>
                <w:rFonts w:ascii="Verdana" w:eastAsia="Verdana" w:hAnsi="Verdana" w:cs="Verdana"/>
                <w:noProof/>
                <w:color w:val="000000"/>
                <w:sz w:val="18"/>
              </w:rPr>
              <w:t>2.2.2</w:t>
            </w:r>
          </w:p>
        </w:tc>
        <w:tc>
          <w:tcPr>
            <w:tcW w:w="1033" w:type="dxa"/>
            <w:tcBorders>
              <w:top w:val="nil"/>
              <w:left w:val="nil"/>
              <w:bottom w:val="single" w:sz="4" w:space="0" w:color="016794"/>
              <w:right w:val="nil"/>
              <w:tl2br w:val="nil"/>
              <w:tr2bl w:val="nil"/>
            </w:tcBorders>
            <w:shd w:val="clear" w:color="auto" w:fill="auto"/>
            <w:tcMar>
              <w:left w:w="60" w:type="dxa"/>
              <w:right w:w="60" w:type="dxa"/>
            </w:tcMar>
            <w:vAlign w:val="center"/>
          </w:tcPr>
          <w:p w14:paraId="1151FBFE"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single" w:sz="4" w:space="0" w:color="016794"/>
              <w:right w:val="nil"/>
              <w:tl2br w:val="nil"/>
              <w:tr2bl w:val="nil"/>
            </w:tcBorders>
            <w:shd w:val="clear" w:color="auto" w:fill="auto"/>
            <w:tcMar>
              <w:left w:w="60" w:type="dxa"/>
              <w:right w:w="60" w:type="dxa"/>
            </w:tcMar>
            <w:vAlign w:val="center"/>
          </w:tcPr>
          <w:p w14:paraId="113CFC0B"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 xml:space="preserve"> 50</w:t>
            </w:r>
          </w:p>
        </w:tc>
        <w:tc>
          <w:tcPr>
            <w:tcW w:w="788" w:type="dxa"/>
            <w:tcBorders>
              <w:top w:val="nil"/>
              <w:left w:val="nil"/>
              <w:bottom w:val="single" w:sz="4" w:space="0" w:color="016794"/>
              <w:right w:val="nil"/>
              <w:tl2br w:val="nil"/>
              <w:tr2bl w:val="nil"/>
            </w:tcBorders>
            <w:shd w:val="clear" w:color="auto" w:fill="auto"/>
            <w:tcMar>
              <w:left w:w="60" w:type="dxa"/>
              <w:right w:w="60" w:type="dxa"/>
            </w:tcMar>
            <w:vAlign w:val="center"/>
          </w:tcPr>
          <w:p w14:paraId="6B9DF162"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 xml:space="preserve"> 481</w:t>
            </w:r>
          </w:p>
        </w:tc>
        <w:tc>
          <w:tcPr>
            <w:tcW w:w="1390" w:type="dxa"/>
            <w:tcBorders>
              <w:top w:val="nil"/>
              <w:left w:val="nil"/>
              <w:bottom w:val="single" w:sz="4" w:space="0" w:color="016794"/>
              <w:right w:val="nil"/>
              <w:tl2br w:val="nil"/>
              <w:tr2bl w:val="nil"/>
            </w:tcBorders>
            <w:shd w:val="clear" w:color="auto" w:fill="auto"/>
            <w:tcMar>
              <w:left w:w="60" w:type="dxa"/>
              <w:right w:w="60" w:type="dxa"/>
            </w:tcMar>
            <w:vAlign w:val="center"/>
          </w:tcPr>
          <w:p w14:paraId="25423011" w14:textId="77777777" w:rsidR="00FD1E19" w:rsidRDefault="00FD1E19" w:rsidP="00BE7E4A">
            <w:pPr>
              <w:pStyle w:val="DMETW37225BIPPF"/>
              <w:jc w:val="right"/>
              <w:rPr>
                <w:rFonts w:ascii="Verdana" w:eastAsia="Verdana" w:hAnsi="Verdana" w:cs="Verdana"/>
                <w:i/>
                <w:noProof/>
                <w:color w:val="000000"/>
                <w:sz w:val="18"/>
              </w:rPr>
            </w:pPr>
            <w:r>
              <w:rPr>
                <w:rFonts w:ascii="Verdana" w:eastAsia="Verdana" w:hAnsi="Verdana" w:cs="Verdana"/>
                <w:i/>
                <w:noProof/>
                <w:color w:val="000000"/>
                <w:sz w:val="18"/>
              </w:rPr>
              <w:t xml:space="preserve"> 532</w:t>
            </w:r>
          </w:p>
        </w:tc>
        <w:tc>
          <w:tcPr>
            <w:tcW w:w="1566" w:type="dxa"/>
            <w:tcBorders>
              <w:top w:val="nil"/>
              <w:left w:val="nil"/>
              <w:bottom w:val="single" w:sz="4" w:space="0" w:color="016794"/>
              <w:right w:val="nil"/>
              <w:tl2br w:val="nil"/>
              <w:tr2bl w:val="nil"/>
            </w:tcBorders>
            <w:shd w:val="clear" w:color="auto" w:fill="auto"/>
            <w:tcMar>
              <w:left w:w="60" w:type="dxa"/>
              <w:right w:w="60" w:type="dxa"/>
            </w:tcMar>
            <w:vAlign w:val="center"/>
          </w:tcPr>
          <w:p w14:paraId="773AD291" w14:textId="77777777" w:rsidR="00FD1E19" w:rsidRDefault="00FD1E19" w:rsidP="00BE7E4A">
            <w:pPr>
              <w:pStyle w:val="DMETW37225BIPP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742</w:t>
            </w:r>
          </w:p>
        </w:tc>
      </w:tr>
      <w:tr w:rsidR="00FD1E19" w14:paraId="6ADEE0CC" w14:textId="77777777" w:rsidTr="00BE7E4A">
        <w:trPr>
          <w:trHeight w:val="255"/>
        </w:trPr>
        <w:tc>
          <w:tcPr>
            <w:tcW w:w="277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35C830B" w14:textId="77777777" w:rsidR="00FD1E19" w:rsidRDefault="00FD1E19" w:rsidP="00BE7E4A">
            <w:pPr>
              <w:pStyle w:val="DMETW37225BIPPF"/>
              <w:rPr>
                <w:rFonts w:ascii="Verdana" w:eastAsia="Verdana" w:hAnsi="Verdana" w:cs="Verdana"/>
                <w:b/>
                <w:noProof/>
                <w:color w:val="000000"/>
                <w:sz w:val="18"/>
              </w:rPr>
            </w:pPr>
            <w:r>
              <w:rPr>
                <w:rFonts w:ascii="Verdana" w:eastAsia="Verdana" w:hAnsi="Verdana" w:cs="Verdana"/>
                <w:b/>
                <w:noProof/>
                <w:color w:val="000000"/>
                <w:sz w:val="18"/>
              </w:rPr>
              <w:t>Total</w:t>
            </w:r>
          </w:p>
        </w:tc>
        <w:tc>
          <w:tcPr>
            <w:tcW w:w="135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F1C205A" w14:textId="77777777" w:rsidR="00FD1E19" w:rsidRDefault="00FD1E19" w:rsidP="00BE7E4A">
            <w:pPr>
              <w:pStyle w:val="DMETW37225BIPPF"/>
              <w:jc w:val="right"/>
              <w:rPr>
                <w:rFonts w:ascii="Verdana" w:eastAsia="Verdana" w:hAnsi="Verdana" w:cs="Verdana"/>
                <w:b/>
                <w:noProof/>
                <w:color w:val="000000"/>
                <w:sz w:val="18"/>
              </w:rPr>
            </w:pPr>
          </w:p>
        </w:tc>
        <w:tc>
          <w:tcPr>
            <w:tcW w:w="103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511F0FE" w14:textId="77777777" w:rsidR="00FD1E19" w:rsidRPr="009117E7" w:rsidRDefault="00FD1E19" w:rsidP="00BE7E4A">
            <w:pPr>
              <w:pStyle w:val="DMETW37225BIPPF"/>
              <w:jc w:val="right"/>
              <w:rPr>
                <w:rFonts w:ascii="Verdana" w:eastAsia="Verdana" w:hAnsi="Verdana" w:cs="Verdana"/>
                <w:b/>
                <w:bCs/>
                <w:noProof/>
                <w:color w:val="000000"/>
                <w:sz w:val="18"/>
              </w:rPr>
            </w:pPr>
            <w:r>
              <w:rPr>
                <w:rFonts w:ascii="Verdana" w:eastAsia="Verdana" w:hAnsi="Verdana" w:cs="Verdana"/>
                <w:b/>
                <w:noProof/>
                <w:color w:val="000000"/>
                <w:sz w:val="18"/>
              </w:rPr>
              <w:t xml:space="preserve">  </w:t>
            </w:r>
            <w:r w:rsidRPr="009117E7">
              <w:rPr>
                <w:rFonts w:ascii="Verdana" w:eastAsia="Verdana" w:hAnsi="Verdana" w:cs="Verdana"/>
                <w:b/>
                <w:bCs/>
                <w:i/>
                <w:noProof/>
                <w:color w:val="000000"/>
                <w:sz w:val="18"/>
              </w:rPr>
              <w:t>–</w:t>
            </w:r>
          </w:p>
        </w:tc>
        <w:tc>
          <w:tcPr>
            <w:tcW w:w="85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C570102" w14:textId="77777777" w:rsidR="00FD1E19" w:rsidRDefault="00FD1E19" w:rsidP="00BE7E4A">
            <w:pPr>
              <w:pStyle w:val="DMETW37225BIPPF"/>
              <w:jc w:val="right"/>
              <w:rPr>
                <w:rFonts w:ascii="Verdana" w:eastAsia="Verdana" w:hAnsi="Verdana" w:cs="Verdana"/>
                <w:b/>
                <w:noProof/>
                <w:color w:val="000000"/>
                <w:sz w:val="18"/>
              </w:rPr>
            </w:pPr>
            <w:r>
              <w:rPr>
                <w:rFonts w:ascii="Verdana" w:eastAsia="Verdana" w:hAnsi="Verdana" w:cs="Verdana"/>
                <w:b/>
                <w:noProof/>
                <w:color w:val="000000"/>
                <w:sz w:val="18"/>
              </w:rPr>
              <w:t xml:space="preserve">  432</w:t>
            </w:r>
          </w:p>
        </w:tc>
        <w:tc>
          <w:tcPr>
            <w:tcW w:w="78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0CEA788" w14:textId="77777777" w:rsidR="00FD1E19" w:rsidRDefault="00FD1E19" w:rsidP="00BE7E4A">
            <w:pPr>
              <w:pStyle w:val="DMETW37225BIPPF"/>
              <w:jc w:val="right"/>
              <w:rPr>
                <w:rFonts w:ascii="Verdana" w:eastAsia="Verdana" w:hAnsi="Verdana" w:cs="Verdana"/>
                <w:b/>
                <w:noProof/>
                <w:color w:val="000000"/>
                <w:sz w:val="18"/>
              </w:rPr>
            </w:pPr>
            <w:r>
              <w:rPr>
                <w:rFonts w:ascii="Verdana" w:eastAsia="Verdana" w:hAnsi="Verdana" w:cs="Verdana"/>
                <w:b/>
                <w:noProof/>
                <w:color w:val="000000"/>
                <w:sz w:val="18"/>
              </w:rPr>
              <w:t xml:space="preserve">  591</w:t>
            </w:r>
          </w:p>
        </w:tc>
        <w:tc>
          <w:tcPr>
            <w:tcW w:w="139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2FDE558" w14:textId="77777777" w:rsidR="00FD1E19" w:rsidRDefault="00FD1E19" w:rsidP="00BE7E4A">
            <w:pPr>
              <w:pStyle w:val="DMETW37225BIPPF"/>
              <w:jc w:val="right"/>
              <w:rPr>
                <w:rFonts w:ascii="Verdana" w:eastAsia="Verdana" w:hAnsi="Verdana" w:cs="Verdana"/>
                <w:b/>
                <w:noProof/>
                <w:color w:val="000000"/>
                <w:sz w:val="18"/>
              </w:rPr>
            </w:pPr>
            <w:r>
              <w:rPr>
                <w:rFonts w:ascii="Verdana" w:eastAsia="Verdana" w:hAnsi="Verdana" w:cs="Verdana"/>
                <w:b/>
                <w:noProof/>
                <w:color w:val="000000"/>
                <w:sz w:val="18"/>
              </w:rPr>
              <w:t xml:space="preserve"> 1 023</w:t>
            </w:r>
          </w:p>
        </w:tc>
        <w:tc>
          <w:tcPr>
            <w:tcW w:w="156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154521D" w14:textId="77777777" w:rsidR="00FD1E19" w:rsidRDefault="00FD1E19" w:rsidP="00BE7E4A">
            <w:pPr>
              <w:pStyle w:val="DMETW37225BIPPF"/>
              <w:jc w:val="right"/>
              <w:rPr>
                <w:rFonts w:ascii="Verdana" w:eastAsia="Verdana" w:hAnsi="Verdana" w:cs="Verdana"/>
                <w:b/>
                <w:noProof/>
                <w:color w:val="000000"/>
                <w:sz w:val="18"/>
              </w:rPr>
            </w:pPr>
            <w:r>
              <w:rPr>
                <w:rFonts w:ascii="Verdana" w:eastAsia="Verdana" w:hAnsi="Verdana" w:cs="Verdana"/>
                <w:b/>
                <w:noProof/>
                <w:color w:val="000000"/>
                <w:sz w:val="18"/>
              </w:rPr>
              <w:t xml:space="preserve"> 1 242</w:t>
            </w:r>
          </w:p>
        </w:tc>
      </w:tr>
    </w:tbl>
    <w:p w14:paraId="0362F025" w14:textId="77777777" w:rsidR="00FD1E19" w:rsidRPr="00A00B8B" w:rsidRDefault="00FD1E19" w:rsidP="00FD1E19">
      <w:pPr>
        <w:pStyle w:val="Textstand-alone"/>
        <w:rPr>
          <w:lang w:val="en-IE"/>
        </w:rPr>
      </w:pPr>
      <w:r w:rsidRPr="00A00B8B">
        <w:rPr>
          <w:lang w:val="en-IE"/>
        </w:rPr>
        <w:t>The decrease in total pre-financing by EUR 219 million is mainly explained by the reduction in pre-financing paid to beneficiaries under the 11th EDF, which declined from EUR 737 million in 2024 to EUR 591 million in 2025. This development reflects the maturity of the 11th EDF and the resulting decrease in the number of open contracts.</w:t>
      </w:r>
    </w:p>
    <w:p w14:paraId="05A35CA3" w14:textId="77777777" w:rsidR="00FD1E19" w:rsidRPr="00A00B8B" w:rsidRDefault="00FD1E19" w:rsidP="00FD1E19">
      <w:pPr>
        <w:pStyle w:val="Textstand-alone"/>
        <w:rPr>
          <w:lang w:val="en-IE"/>
        </w:rPr>
      </w:pPr>
      <w:r w:rsidRPr="00A00B8B">
        <w:rPr>
          <w:lang w:val="en-IE"/>
        </w:rPr>
        <w:t>Following the entry into force of the sunset clause at the end of 2020, no new financing agreements can be concluded under the 11th EDF as from 1 January 2021. However, specific contracts</w:t>
      </w:r>
      <w:r>
        <w:rPr>
          <w:lang w:val="en-IE"/>
        </w:rPr>
        <w:t xml:space="preserve"> based on</w:t>
      </w:r>
      <w:r w:rsidRPr="00A00B8B">
        <w:rPr>
          <w:lang w:val="en-IE"/>
        </w:rPr>
        <w:t xml:space="preserve"> existing financing agreements may still be signed. As a result, the number of newly signed contracts has gradually declined, from 452 in 2023 to 181 in 2024 and to 21 in 2025.</w:t>
      </w:r>
    </w:p>
    <w:p w14:paraId="67259E99" w14:textId="77777777" w:rsidR="00FD1E19" w:rsidRPr="00A00B8B" w:rsidRDefault="00FD1E19" w:rsidP="00FD1E19">
      <w:pPr>
        <w:pStyle w:val="Textstand-alone"/>
        <w:rPr>
          <w:lang w:val="en-IE"/>
        </w:rPr>
      </w:pPr>
      <w:r w:rsidRPr="00A00B8B">
        <w:rPr>
          <w:lang w:val="en-IE"/>
        </w:rPr>
        <w:t>Pre-financing related to the 10th EDF decreased from EUR 560 million in 2024 to EUR 432 million in 2025. This decrease is in line with the normal implementation cycle of the EDF and reflects the progressive closure of programmes.</w:t>
      </w:r>
    </w:p>
    <w:p w14:paraId="29423511" w14:textId="77777777" w:rsidR="00FD1E19" w:rsidRDefault="00FD1E19" w:rsidP="00FD1E19">
      <w:pPr>
        <w:pStyle w:val="Textstand-alone"/>
        <w:keepNext/>
        <w:keepLines/>
      </w:pPr>
      <w:r>
        <w:t>Out of the non-current</w:t>
      </w:r>
      <w:r w:rsidRPr="004630B7">
        <w:t xml:space="preserve"> pre-financing</w:t>
      </w:r>
      <w:r>
        <w:t xml:space="preserve">, </w:t>
      </w:r>
      <w:r w:rsidRPr="004630B7">
        <w:t xml:space="preserve">EUR </w:t>
      </w:r>
      <w:r>
        <w:t>373</w:t>
      </w:r>
      <w:r w:rsidRPr="004630B7">
        <w:t xml:space="preserve"> million </w:t>
      </w:r>
      <w:r>
        <w:t>(EUR 393 million in 2024)</w:t>
      </w:r>
      <w:r w:rsidRPr="004630B7">
        <w:t xml:space="preserve"> relates to the open pre</w:t>
      </w:r>
      <w:r>
        <w:t>-</w:t>
      </w:r>
      <w:r w:rsidRPr="004630B7">
        <w:t>financing for two contracts under the EU-Africa Infrastructure Trust Fund (AITF). The aim of th</w:t>
      </w:r>
      <w:r>
        <w:t>is</w:t>
      </w:r>
      <w:r w:rsidRPr="004630B7">
        <w:t xml:space="preserve"> Trust Fund is to provide financial support with grants to infrastructure projects alongside long-term financing made available by </w:t>
      </w:r>
      <w:r>
        <w:t>p</w:t>
      </w:r>
      <w:r w:rsidRPr="004630B7">
        <w:t xml:space="preserve">roject </w:t>
      </w:r>
      <w:r>
        <w:t>f</w:t>
      </w:r>
      <w:r w:rsidRPr="004630B7">
        <w:t xml:space="preserve">inanciers. The provision of such grant funds leverages the provision of long-term financing by participating finance institutions. At the time of the signature of the contracts, the Trust Fund’s type of actions </w:t>
      </w:r>
      <w:r>
        <w:t>was</w:t>
      </w:r>
      <w:r w:rsidRPr="004630B7">
        <w:t xml:space="preserve"> considered as adequately covered by the agreement (no template was yet available for financial instruments, nor did the Regulation mention this type of instrument). Consequently, payments made under these agreements were registered as pre-financing and not as a financial instrument component. Due to the long-term nature of the operations implemented by the Trust Fund, the annual clearing of the </w:t>
      </w:r>
      <w:r>
        <w:t>A</w:t>
      </w:r>
      <w:r w:rsidRPr="004630B7">
        <w:t xml:space="preserve">ITF’s old pre-financing is very limited and spreads out over the years. Therefore, to better reflect the project conditions, EUR </w:t>
      </w:r>
      <w:r>
        <w:t xml:space="preserve">373 </w:t>
      </w:r>
      <w:r w:rsidRPr="004630B7">
        <w:t xml:space="preserve">million </w:t>
      </w:r>
      <w:r>
        <w:t xml:space="preserve">of </w:t>
      </w:r>
      <w:r w:rsidRPr="004630B7">
        <w:t xml:space="preserve">the open pre-financing </w:t>
      </w:r>
      <w:r>
        <w:t>was</w:t>
      </w:r>
      <w:r w:rsidRPr="004630B7">
        <w:t xml:space="preserve"> re-class</w:t>
      </w:r>
      <w:r>
        <w:t>ifi</w:t>
      </w:r>
      <w:r w:rsidRPr="004630B7">
        <w:t xml:space="preserve">ed to long term </w:t>
      </w:r>
      <w:r>
        <w:t>while EUR 54 million corresponds to expenses accrued at year-end.</w:t>
      </w:r>
    </w:p>
    <w:p w14:paraId="6BFA8CB6" w14:textId="77777777" w:rsidR="00FD1E19" w:rsidRPr="00F64D38" w:rsidRDefault="00FD1E19" w:rsidP="00FD1E19">
      <w:pPr>
        <w:pStyle w:val="HEADER3Part2"/>
        <w:spacing w:before="60" w:after="60"/>
        <w:jc w:val="both"/>
        <w:rPr>
          <w:noProof/>
        </w:rPr>
      </w:pPr>
      <w:r w:rsidRPr="00F64D38">
        <w:rPr>
          <w:noProof/>
        </w:rPr>
        <w:t>Non-current pre-financing</w:t>
      </w:r>
      <w:r>
        <w:rPr>
          <w:noProof/>
        </w:rPr>
        <w:t xml:space="preserve"> by management mode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2687"/>
        <w:gridCol w:w="2258"/>
      </w:tblGrid>
      <w:tr w:rsidR="00FD1E19" w14:paraId="28607378" w14:textId="77777777" w:rsidTr="00BE7E4A">
        <w:trPr>
          <w:trHeight w:val="255"/>
        </w:trPr>
        <w:tc>
          <w:tcPr>
            <w:tcW w:w="9758" w:type="dxa"/>
            <w:gridSpan w:val="3"/>
            <w:tcBorders>
              <w:top w:val="nil"/>
              <w:left w:val="nil"/>
              <w:bottom w:val="nil"/>
              <w:right w:val="nil"/>
              <w:tl2br w:val="nil"/>
              <w:tr2bl w:val="nil"/>
            </w:tcBorders>
            <w:shd w:val="clear" w:color="auto" w:fill="auto"/>
            <w:tcMar>
              <w:left w:w="60" w:type="dxa"/>
              <w:right w:w="60" w:type="dxa"/>
            </w:tcMar>
            <w:vAlign w:val="center"/>
          </w:tcPr>
          <w:p w14:paraId="05F52386" w14:textId="77777777" w:rsidR="00FD1E19" w:rsidRDefault="00FD1E19" w:rsidP="00BE7E4A">
            <w:pPr>
              <w:pStyle w:val="DMETW37225BIPNCPFBMM"/>
              <w:keepNext/>
              <w:keepLines/>
              <w:jc w:val="right"/>
              <w:rPr>
                <w:rFonts w:ascii="Verdana" w:eastAsia="Verdana" w:hAnsi="Verdana" w:cs="Verdana"/>
                <w:i/>
                <w:noProof/>
                <w:color w:val="000000"/>
                <w:sz w:val="16"/>
                <w:lang w:bidi="en-GB"/>
              </w:rPr>
            </w:pPr>
            <w:bookmarkStart w:id="72" w:name="DOC_TBL00014_1_1"/>
            <w:bookmarkEnd w:id="72"/>
            <w:r>
              <w:rPr>
                <w:rFonts w:ascii="Verdana" w:eastAsia="Verdana" w:hAnsi="Verdana" w:cs="Verdana"/>
                <w:i/>
                <w:noProof/>
                <w:color w:val="000000"/>
                <w:sz w:val="16"/>
                <w:lang w:bidi="en-GB"/>
              </w:rPr>
              <w:t>EUR million</w:t>
            </w:r>
          </w:p>
        </w:tc>
      </w:tr>
      <w:tr w:rsidR="00FD1E19" w14:paraId="1941F8CB" w14:textId="77777777" w:rsidTr="00BE7E4A">
        <w:trPr>
          <w:trHeight w:val="255"/>
        </w:trPr>
        <w:tc>
          <w:tcPr>
            <w:tcW w:w="4813" w:type="dxa"/>
            <w:tcBorders>
              <w:top w:val="nil"/>
              <w:left w:val="nil"/>
              <w:bottom w:val="nil"/>
              <w:right w:val="nil"/>
              <w:tl2br w:val="nil"/>
              <w:tr2bl w:val="nil"/>
            </w:tcBorders>
            <w:shd w:val="solid" w:color="016794" w:fill="FFFFFF"/>
            <w:tcMar>
              <w:left w:w="60" w:type="dxa"/>
              <w:right w:w="60" w:type="dxa"/>
            </w:tcMar>
            <w:vAlign w:val="center"/>
          </w:tcPr>
          <w:p w14:paraId="173A8761" w14:textId="77777777" w:rsidR="00FD1E19" w:rsidRDefault="00FD1E19" w:rsidP="00BE7E4A">
            <w:pPr>
              <w:pStyle w:val="DMETW37225BIPNCPFBMM"/>
              <w:keepNext/>
              <w:keepLines/>
              <w:jc w:val="right"/>
              <w:rPr>
                <w:rFonts w:ascii="Verdana" w:eastAsia="Verdana" w:hAnsi="Verdana" w:cs="Verdana"/>
                <w:noProof/>
                <w:color w:val="FFFFFF"/>
                <w:sz w:val="18"/>
              </w:rPr>
            </w:pPr>
          </w:p>
        </w:tc>
        <w:tc>
          <w:tcPr>
            <w:tcW w:w="2687" w:type="dxa"/>
            <w:tcBorders>
              <w:top w:val="nil"/>
              <w:left w:val="nil"/>
              <w:bottom w:val="nil"/>
              <w:right w:val="nil"/>
              <w:tl2br w:val="nil"/>
              <w:tr2bl w:val="nil"/>
            </w:tcBorders>
            <w:shd w:val="solid" w:color="016794" w:fill="FFFFFF"/>
            <w:tcMar>
              <w:left w:w="60" w:type="dxa"/>
              <w:right w:w="60" w:type="dxa"/>
            </w:tcMar>
            <w:vAlign w:val="center"/>
          </w:tcPr>
          <w:p w14:paraId="3B686456" w14:textId="77777777" w:rsidR="00FD1E19" w:rsidRDefault="00FD1E19" w:rsidP="00BE7E4A">
            <w:pPr>
              <w:pStyle w:val="DMETW37225BIPNCPFBMM"/>
              <w:keepNext/>
              <w:keepLines/>
              <w:jc w:val="right"/>
              <w:rPr>
                <w:rFonts w:ascii="Verdana" w:eastAsia="Verdana" w:hAnsi="Verdana" w:cs="Verdana"/>
                <w:noProof/>
                <w:color w:val="FFFFFF"/>
              </w:rPr>
            </w:pPr>
            <w:r>
              <w:rPr>
                <w:rFonts w:ascii="Verdana" w:eastAsia="Verdana" w:hAnsi="Verdana" w:cs="Verdana"/>
                <w:noProof/>
                <w:color w:val="FFFFFF"/>
              </w:rPr>
              <w:t>31.12.2025</w:t>
            </w:r>
          </w:p>
        </w:tc>
        <w:tc>
          <w:tcPr>
            <w:tcW w:w="2258" w:type="dxa"/>
            <w:tcBorders>
              <w:top w:val="nil"/>
              <w:left w:val="nil"/>
              <w:bottom w:val="nil"/>
              <w:right w:val="nil"/>
              <w:tl2br w:val="nil"/>
              <w:tr2bl w:val="nil"/>
            </w:tcBorders>
            <w:shd w:val="solid" w:color="016794" w:fill="FFFFFF"/>
            <w:tcMar>
              <w:left w:w="60" w:type="dxa"/>
              <w:right w:w="60" w:type="dxa"/>
            </w:tcMar>
            <w:vAlign w:val="center"/>
          </w:tcPr>
          <w:p w14:paraId="2EDE17C0" w14:textId="77777777" w:rsidR="00FD1E19" w:rsidRDefault="00FD1E19" w:rsidP="00BE7E4A">
            <w:pPr>
              <w:pStyle w:val="DMETW37225BIPNCPFBMM"/>
              <w:keepNext/>
              <w:keepLine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7250741E"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12F247A2" w14:textId="77777777" w:rsidR="00FD1E19" w:rsidRDefault="00FD1E19" w:rsidP="00BE7E4A">
            <w:pPr>
              <w:pStyle w:val="DMETW37225BIPNCPFBMM"/>
              <w:keepNext/>
              <w:keepLines/>
              <w:rPr>
                <w:rFonts w:ascii="Verdana" w:eastAsia="Verdana" w:hAnsi="Verdana" w:cs="Verdana"/>
                <w:b/>
                <w:noProof/>
                <w:color w:val="000000"/>
                <w:sz w:val="18"/>
              </w:rPr>
            </w:pPr>
            <w:r>
              <w:rPr>
                <w:rFonts w:ascii="Verdana" w:eastAsia="Verdana" w:hAnsi="Verdana" w:cs="Verdana"/>
                <w:b/>
                <w:noProof/>
                <w:color w:val="000000"/>
                <w:sz w:val="18"/>
              </w:rPr>
              <w:t>Direct Management</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73B2DB0E" w14:textId="77777777" w:rsidR="00FD1E19" w:rsidRDefault="00FD1E19" w:rsidP="00BE7E4A">
            <w:pPr>
              <w:pStyle w:val="DMETW37225BIPNCPFBMM"/>
              <w:keepNext/>
              <w:keepLines/>
              <w:rPr>
                <w:rFonts w:ascii="Verdana" w:eastAsia="Verdana" w:hAnsi="Verdana" w:cs="Verdana"/>
                <w:b/>
                <w:noProof/>
                <w:color w:val="000000"/>
                <w:sz w:val="18"/>
              </w:rPr>
            </w:pPr>
          </w:p>
        </w:tc>
        <w:tc>
          <w:tcPr>
            <w:tcW w:w="2258" w:type="dxa"/>
            <w:tcBorders>
              <w:top w:val="nil"/>
              <w:left w:val="nil"/>
              <w:bottom w:val="nil"/>
              <w:right w:val="nil"/>
              <w:tl2br w:val="nil"/>
              <w:tr2bl w:val="nil"/>
            </w:tcBorders>
            <w:shd w:val="clear" w:color="auto" w:fill="auto"/>
            <w:tcMar>
              <w:left w:w="60" w:type="dxa"/>
              <w:right w:w="60" w:type="dxa"/>
            </w:tcMar>
            <w:vAlign w:val="center"/>
          </w:tcPr>
          <w:p w14:paraId="2F8A93AF" w14:textId="77777777" w:rsidR="00FD1E19" w:rsidRDefault="00FD1E19" w:rsidP="00BE7E4A">
            <w:pPr>
              <w:pStyle w:val="DMETW37225BIPNCPFBMM"/>
              <w:keepNext/>
              <w:keepLines/>
              <w:rPr>
                <w:rFonts w:ascii="Verdana" w:eastAsia="Verdana" w:hAnsi="Verdana" w:cs="Verdana"/>
                <w:b/>
                <w:noProof/>
                <w:color w:val="000000"/>
                <w:sz w:val="18"/>
                <w:lang w:bidi="en-GB"/>
              </w:rPr>
            </w:pPr>
          </w:p>
        </w:tc>
      </w:tr>
      <w:tr w:rsidR="00FD1E19" w14:paraId="774F0E05"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1383910C"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Implemented by:</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39602D6F" w14:textId="77777777" w:rsidR="00FD1E19" w:rsidRDefault="00FD1E19" w:rsidP="00BE7E4A">
            <w:pPr>
              <w:pStyle w:val="DMETW37225BIPNCPFBMM"/>
              <w:keepNext/>
              <w:keepLines/>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shd w:val="clear" w:color="auto" w:fill="auto"/>
            <w:tcMar>
              <w:left w:w="60" w:type="dxa"/>
              <w:right w:w="60" w:type="dxa"/>
            </w:tcMar>
            <w:vAlign w:val="center"/>
          </w:tcPr>
          <w:p w14:paraId="39BBDE61"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p>
        </w:tc>
      </w:tr>
      <w:tr w:rsidR="00FD1E19" w14:paraId="16794A88"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2ED9CD67"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Commission</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74A9BE5C"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19</w:t>
            </w:r>
          </w:p>
        </w:tc>
        <w:tc>
          <w:tcPr>
            <w:tcW w:w="2258" w:type="dxa"/>
            <w:tcBorders>
              <w:top w:val="nil"/>
              <w:left w:val="nil"/>
              <w:bottom w:val="nil"/>
              <w:right w:val="nil"/>
              <w:tl2br w:val="nil"/>
              <w:tr2bl w:val="nil"/>
            </w:tcBorders>
            <w:shd w:val="clear" w:color="auto" w:fill="auto"/>
            <w:tcMar>
              <w:left w:w="60" w:type="dxa"/>
              <w:right w:w="60" w:type="dxa"/>
            </w:tcMar>
            <w:vAlign w:val="center"/>
          </w:tcPr>
          <w:p w14:paraId="2EF8B660"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0F914766"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462D0C16"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EU executive agencies</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4935892D"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258" w:type="dxa"/>
            <w:tcBorders>
              <w:top w:val="nil"/>
              <w:left w:val="nil"/>
              <w:bottom w:val="nil"/>
              <w:right w:val="nil"/>
              <w:tl2br w:val="nil"/>
              <w:tr2bl w:val="nil"/>
            </w:tcBorders>
            <w:shd w:val="clear" w:color="auto" w:fill="auto"/>
            <w:tcMar>
              <w:left w:w="60" w:type="dxa"/>
              <w:right w:w="60" w:type="dxa"/>
            </w:tcMar>
            <w:vAlign w:val="center"/>
          </w:tcPr>
          <w:p w14:paraId="25DC4D61"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19245530" w14:textId="77777777" w:rsidTr="00BE7E4A">
        <w:trPr>
          <w:trHeight w:val="255"/>
        </w:trPr>
        <w:tc>
          <w:tcPr>
            <w:tcW w:w="4813" w:type="dxa"/>
            <w:tcBorders>
              <w:top w:val="nil"/>
              <w:left w:val="nil"/>
              <w:bottom w:val="single" w:sz="4" w:space="0" w:color="016794"/>
              <w:right w:val="nil"/>
              <w:tl2br w:val="nil"/>
              <w:tr2bl w:val="nil"/>
            </w:tcBorders>
            <w:shd w:val="clear" w:color="auto" w:fill="auto"/>
            <w:tcMar>
              <w:left w:w="60" w:type="dxa"/>
              <w:right w:w="60" w:type="dxa"/>
            </w:tcMar>
            <w:vAlign w:val="center"/>
          </w:tcPr>
          <w:p w14:paraId="536CE0A1"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EU delegations</w:t>
            </w:r>
          </w:p>
        </w:tc>
        <w:tc>
          <w:tcPr>
            <w:tcW w:w="2687" w:type="dxa"/>
            <w:tcBorders>
              <w:top w:val="nil"/>
              <w:left w:val="nil"/>
              <w:bottom w:val="single" w:sz="4" w:space="0" w:color="016794"/>
              <w:right w:val="nil"/>
              <w:tl2br w:val="nil"/>
              <w:tr2bl w:val="nil"/>
            </w:tcBorders>
            <w:shd w:val="clear" w:color="auto" w:fill="auto"/>
            <w:tcMar>
              <w:left w:w="60" w:type="dxa"/>
              <w:right w:w="60" w:type="dxa"/>
            </w:tcMar>
            <w:vAlign w:val="center"/>
          </w:tcPr>
          <w:p w14:paraId="12F272C2"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2258" w:type="dxa"/>
            <w:tcBorders>
              <w:top w:val="nil"/>
              <w:left w:val="nil"/>
              <w:bottom w:val="single" w:sz="4" w:space="0" w:color="016794"/>
              <w:right w:val="nil"/>
              <w:tl2br w:val="nil"/>
              <w:tr2bl w:val="nil"/>
            </w:tcBorders>
            <w:shd w:val="clear" w:color="auto" w:fill="auto"/>
            <w:tcMar>
              <w:left w:w="60" w:type="dxa"/>
              <w:right w:w="60" w:type="dxa"/>
            </w:tcMar>
            <w:vAlign w:val="center"/>
          </w:tcPr>
          <w:p w14:paraId="7A293006"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0C3F1D02" w14:textId="77777777" w:rsidTr="00BE7E4A">
        <w:trPr>
          <w:trHeight w:val="255"/>
        </w:trPr>
        <w:tc>
          <w:tcPr>
            <w:tcW w:w="48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1E4C16B" w14:textId="77777777" w:rsidR="00FD1E19" w:rsidRDefault="00FD1E19" w:rsidP="00BE7E4A">
            <w:pPr>
              <w:pStyle w:val="DMETW37225BIPNCPFBMM"/>
              <w:keepNext/>
              <w:keepLines/>
              <w:jc w:val="right"/>
              <w:rPr>
                <w:rFonts w:ascii="Verdana" w:eastAsia="Verdana" w:hAnsi="Verdana" w:cs="Verdana"/>
                <w:b/>
                <w:noProof/>
                <w:color w:val="000000"/>
                <w:sz w:val="18"/>
              </w:rPr>
            </w:pPr>
          </w:p>
        </w:tc>
        <w:tc>
          <w:tcPr>
            <w:tcW w:w="268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FDCFB70" w14:textId="77777777" w:rsidR="00FD1E19" w:rsidRDefault="00FD1E19" w:rsidP="00BE7E4A">
            <w:pPr>
              <w:pStyle w:val="DMETW37225BIPNCPFBMM"/>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20</w:t>
            </w:r>
          </w:p>
        </w:tc>
        <w:tc>
          <w:tcPr>
            <w:tcW w:w="225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BA6E229" w14:textId="77777777" w:rsidR="00FD1E19" w:rsidRDefault="00FD1E19" w:rsidP="00BE7E4A">
            <w:pPr>
              <w:pStyle w:val="DMETW37225BIPNCPFBMM"/>
              <w:keepNext/>
              <w:keepLine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w:t>
            </w:r>
          </w:p>
        </w:tc>
      </w:tr>
      <w:tr w:rsidR="00FD1E19" w14:paraId="1220D7F6" w14:textId="77777777" w:rsidTr="00BE7E4A">
        <w:trPr>
          <w:trHeight w:val="255"/>
        </w:trPr>
        <w:tc>
          <w:tcPr>
            <w:tcW w:w="4813" w:type="dxa"/>
            <w:tcBorders>
              <w:top w:val="single" w:sz="4" w:space="0" w:color="016794"/>
              <w:left w:val="nil"/>
              <w:bottom w:val="nil"/>
              <w:right w:val="nil"/>
              <w:tl2br w:val="nil"/>
              <w:tr2bl w:val="nil"/>
            </w:tcBorders>
            <w:shd w:val="clear" w:color="auto" w:fill="auto"/>
            <w:tcMar>
              <w:left w:w="60" w:type="dxa"/>
              <w:right w:w="60" w:type="dxa"/>
            </w:tcMar>
            <w:vAlign w:val="center"/>
          </w:tcPr>
          <w:p w14:paraId="6C488E98" w14:textId="77777777" w:rsidR="00FD1E19" w:rsidRDefault="00FD1E19" w:rsidP="00BE7E4A">
            <w:pPr>
              <w:pStyle w:val="DMETW37225BIPNCPFBMM"/>
              <w:keepNext/>
              <w:keepLines/>
              <w:rPr>
                <w:rFonts w:ascii="Verdana" w:eastAsia="Verdana" w:hAnsi="Verdana" w:cs="Verdana"/>
                <w:b/>
                <w:noProof/>
                <w:color w:val="000000"/>
                <w:sz w:val="18"/>
              </w:rPr>
            </w:pPr>
            <w:r>
              <w:rPr>
                <w:rFonts w:ascii="Verdana" w:eastAsia="Verdana" w:hAnsi="Verdana" w:cs="Verdana"/>
                <w:b/>
                <w:noProof/>
                <w:color w:val="000000"/>
                <w:sz w:val="18"/>
              </w:rPr>
              <w:t>Indirect Management</w:t>
            </w:r>
          </w:p>
        </w:tc>
        <w:tc>
          <w:tcPr>
            <w:tcW w:w="2687" w:type="dxa"/>
            <w:tcBorders>
              <w:top w:val="single" w:sz="4" w:space="0" w:color="016794"/>
              <w:left w:val="nil"/>
              <w:bottom w:val="nil"/>
              <w:right w:val="nil"/>
              <w:tl2br w:val="nil"/>
              <w:tr2bl w:val="nil"/>
            </w:tcBorders>
            <w:shd w:val="clear" w:color="auto" w:fill="auto"/>
            <w:tcMar>
              <w:left w:w="60" w:type="dxa"/>
              <w:right w:w="60" w:type="dxa"/>
            </w:tcMar>
            <w:vAlign w:val="center"/>
          </w:tcPr>
          <w:p w14:paraId="36935840" w14:textId="77777777" w:rsidR="00FD1E19" w:rsidRDefault="00FD1E19" w:rsidP="00BE7E4A">
            <w:pPr>
              <w:pStyle w:val="DMETW37225BIPNCPFBMM"/>
              <w:keepNext/>
              <w:keepLines/>
              <w:rPr>
                <w:rFonts w:ascii="Verdana" w:eastAsia="Verdana" w:hAnsi="Verdana" w:cs="Verdana"/>
                <w:b/>
                <w:noProof/>
                <w:color w:val="000000"/>
                <w:sz w:val="18"/>
              </w:rPr>
            </w:pPr>
          </w:p>
        </w:tc>
        <w:tc>
          <w:tcPr>
            <w:tcW w:w="2258" w:type="dxa"/>
            <w:tcBorders>
              <w:top w:val="single" w:sz="4" w:space="0" w:color="016794"/>
              <w:left w:val="nil"/>
              <w:bottom w:val="nil"/>
              <w:right w:val="nil"/>
              <w:tl2br w:val="nil"/>
              <w:tr2bl w:val="nil"/>
            </w:tcBorders>
            <w:shd w:val="clear" w:color="auto" w:fill="auto"/>
            <w:tcMar>
              <w:left w:w="60" w:type="dxa"/>
              <w:right w:w="60" w:type="dxa"/>
            </w:tcMar>
            <w:vAlign w:val="center"/>
          </w:tcPr>
          <w:p w14:paraId="4DAD72FB" w14:textId="77777777" w:rsidR="00FD1E19" w:rsidRDefault="00FD1E19" w:rsidP="00BE7E4A">
            <w:pPr>
              <w:pStyle w:val="DMETW37225BIPNCPFBMM"/>
              <w:keepNext/>
              <w:keepLines/>
              <w:rPr>
                <w:rFonts w:ascii="Verdana" w:eastAsia="Verdana" w:hAnsi="Verdana" w:cs="Verdana"/>
                <w:b/>
                <w:noProof/>
                <w:color w:val="000000"/>
                <w:sz w:val="18"/>
                <w:lang w:bidi="en-GB"/>
              </w:rPr>
            </w:pPr>
          </w:p>
        </w:tc>
      </w:tr>
      <w:tr w:rsidR="00FD1E19" w14:paraId="396FA2F3"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1109A481"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Implemented by :</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39F89BD1" w14:textId="77777777" w:rsidR="00FD1E19" w:rsidRDefault="00FD1E19" w:rsidP="00BE7E4A">
            <w:pPr>
              <w:pStyle w:val="DMETW37225BIPNCPFBMM"/>
              <w:keepNext/>
              <w:keepLines/>
              <w:jc w:val="right"/>
              <w:rPr>
                <w:rFonts w:ascii="Verdana" w:eastAsia="Verdana" w:hAnsi="Verdana" w:cs="Verdana"/>
                <w:i/>
                <w:noProof/>
                <w:color w:val="000000"/>
                <w:sz w:val="18"/>
              </w:rPr>
            </w:pPr>
          </w:p>
        </w:tc>
        <w:tc>
          <w:tcPr>
            <w:tcW w:w="2258" w:type="dxa"/>
            <w:tcBorders>
              <w:top w:val="nil"/>
              <w:left w:val="nil"/>
              <w:bottom w:val="nil"/>
              <w:right w:val="nil"/>
              <w:tl2br w:val="nil"/>
              <w:tr2bl w:val="nil"/>
            </w:tcBorders>
            <w:shd w:val="clear" w:color="auto" w:fill="auto"/>
            <w:tcMar>
              <w:left w:w="60" w:type="dxa"/>
              <w:right w:w="60" w:type="dxa"/>
            </w:tcMar>
            <w:vAlign w:val="center"/>
          </w:tcPr>
          <w:p w14:paraId="117E6830"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p>
        </w:tc>
      </w:tr>
      <w:tr w:rsidR="00FD1E19" w14:paraId="03C2BBAA"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0ACB0FE2"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EIB and EIF</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2B2D0F25"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388</w:t>
            </w:r>
          </w:p>
        </w:tc>
        <w:tc>
          <w:tcPr>
            <w:tcW w:w="2258" w:type="dxa"/>
            <w:tcBorders>
              <w:top w:val="nil"/>
              <w:left w:val="nil"/>
              <w:bottom w:val="nil"/>
              <w:right w:val="nil"/>
              <w:tl2br w:val="nil"/>
              <w:tr2bl w:val="nil"/>
            </w:tcBorders>
            <w:shd w:val="clear" w:color="auto" w:fill="auto"/>
            <w:tcMar>
              <w:left w:w="60" w:type="dxa"/>
              <w:right w:w="60" w:type="dxa"/>
            </w:tcMar>
            <w:vAlign w:val="center"/>
          </w:tcPr>
          <w:p w14:paraId="7AAAC133"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402</w:t>
            </w:r>
          </w:p>
        </w:tc>
      </w:tr>
      <w:tr w:rsidR="00FD1E19" w14:paraId="18DB30E3"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60A61F3B"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International organisations</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6008F64B"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67</w:t>
            </w:r>
          </w:p>
        </w:tc>
        <w:tc>
          <w:tcPr>
            <w:tcW w:w="2258" w:type="dxa"/>
            <w:tcBorders>
              <w:top w:val="nil"/>
              <w:left w:val="nil"/>
              <w:bottom w:val="nil"/>
              <w:right w:val="nil"/>
              <w:tl2br w:val="nil"/>
              <w:tr2bl w:val="nil"/>
            </w:tcBorders>
            <w:shd w:val="clear" w:color="auto" w:fill="auto"/>
            <w:tcMar>
              <w:left w:w="60" w:type="dxa"/>
              <w:right w:w="60" w:type="dxa"/>
            </w:tcMar>
            <w:vAlign w:val="center"/>
          </w:tcPr>
          <w:p w14:paraId="52DD8F9C"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65</w:t>
            </w:r>
          </w:p>
        </w:tc>
      </w:tr>
      <w:tr w:rsidR="00FD1E19" w14:paraId="7EBA0740"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2BEF2672"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Private-law bodies with a public service mission</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10A29CD0"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2258" w:type="dxa"/>
            <w:tcBorders>
              <w:top w:val="nil"/>
              <w:left w:val="nil"/>
              <w:bottom w:val="nil"/>
              <w:right w:val="nil"/>
              <w:tl2br w:val="nil"/>
              <w:tr2bl w:val="nil"/>
            </w:tcBorders>
            <w:shd w:val="clear" w:color="auto" w:fill="auto"/>
            <w:tcMar>
              <w:left w:w="60" w:type="dxa"/>
              <w:right w:w="60" w:type="dxa"/>
            </w:tcMar>
            <w:vAlign w:val="center"/>
          </w:tcPr>
          <w:p w14:paraId="49669048"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w:t>
            </w:r>
          </w:p>
        </w:tc>
      </w:tr>
      <w:tr w:rsidR="00FD1E19" w14:paraId="646EBA9A"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41B50E12"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Public-law bodies</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59E9B110"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2258" w:type="dxa"/>
            <w:tcBorders>
              <w:top w:val="nil"/>
              <w:left w:val="nil"/>
              <w:bottom w:val="nil"/>
              <w:right w:val="nil"/>
              <w:tl2br w:val="nil"/>
              <w:tr2bl w:val="nil"/>
            </w:tcBorders>
            <w:shd w:val="clear" w:color="auto" w:fill="auto"/>
            <w:tcMar>
              <w:left w:w="60" w:type="dxa"/>
              <w:right w:w="60" w:type="dxa"/>
            </w:tcMar>
            <w:vAlign w:val="center"/>
          </w:tcPr>
          <w:p w14:paraId="753A9B8F"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w:t>
            </w:r>
          </w:p>
        </w:tc>
      </w:tr>
      <w:tr w:rsidR="00FD1E19" w14:paraId="2F272232" w14:textId="77777777" w:rsidTr="00BE7E4A">
        <w:trPr>
          <w:trHeight w:val="255"/>
        </w:trPr>
        <w:tc>
          <w:tcPr>
            <w:tcW w:w="4813" w:type="dxa"/>
            <w:tcBorders>
              <w:top w:val="nil"/>
              <w:left w:val="nil"/>
              <w:bottom w:val="nil"/>
              <w:right w:val="nil"/>
              <w:tl2br w:val="nil"/>
              <w:tr2bl w:val="nil"/>
            </w:tcBorders>
            <w:shd w:val="clear" w:color="auto" w:fill="auto"/>
            <w:tcMar>
              <w:left w:w="60" w:type="dxa"/>
              <w:right w:w="60" w:type="dxa"/>
            </w:tcMar>
            <w:vAlign w:val="center"/>
          </w:tcPr>
          <w:p w14:paraId="06F99751" w14:textId="77777777" w:rsidR="00FD1E19" w:rsidRDefault="00FD1E19" w:rsidP="00BE7E4A">
            <w:pPr>
              <w:pStyle w:val="DMETW37225BIPNCPFBMM"/>
              <w:keepNext/>
              <w:keepLines/>
              <w:rPr>
                <w:rFonts w:ascii="Verdana" w:eastAsia="Verdana" w:hAnsi="Verdana" w:cs="Verdana"/>
                <w:i/>
                <w:noProof/>
                <w:color w:val="000000"/>
                <w:sz w:val="18"/>
              </w:rPr>
            </w:pPr>
            <w:r>
              <w:rPr>
                <w:rFonts w:ascii="Verdana" w:eastAsia="Verdana" w:hAnsi="Verdana" w:cs="Verdana"/>
                <w:i/>
                <w:noProof/>
                <w:color w:val="000000"/>
                <w:sz w:val="18"/>
              </w:rPr>
              <w:t>Third countries</w:t>
            </w:r>
          </w:p>
        </w:tc>
        <w:tc>
          <w:tcPr>
            <w:tcW w:w="2687" w:type="dxa"/>
            <w:tcBorders>
              <w:top w:val="nil"/>
              <w:left w:val="nil"/>
              <w:bottom w:val="nil"/>
              <w:right w:val="nil"/>
              <w:tl2br w:val="nil"/>
              <w:tr2bl w:val="nil"/>
            </w:tcBorders>
            <w:shd w:val="clear" w:color="auto" w:fill="auto"/>
            <w:tcMar>
              <w:left w:w="60" w:type="dxa"/>
              <w:right w:w="60" w:type="dxa"/>
            </w:tcMar>
            <w:vAlign w:val="center"/>
          </w:tcPr>
          <w:p w14:paraId="302EAB16" w14:textId="77777777" w:rsidR="00FD1E19" w:rsidRDefault="00FD1E19" w:rsidP="00BE7E4A">
            <w:pPr>
              <w:pStyle w:val="DMETW37225BIPNCPFBMM"/>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258" w:type="dxa"/>
            <w:tcBorders>
              <w:top w:val="nil"/>
              <w:left w:val="nil"/>
              <w:bottom w:val="nil"/>
              <w:right w:val="nil"/>
              <w:tl2br w:val="nil"/>
              <w:tr2bl w:val="nil"/>
            </w:tcBorders>
            <w:shd w:val="clear" w:color="auto" w:fill="auto"/>
            <w:tcMar>
              <w:left w:w="60" w:type="dxa"/>
              <w:right w:w="60" w:type="dxa"/>
            </w:tcMar>
            <w:vAlign w:val="center"/>
          </w:tcPr>
          <w:p w14:paraId="0966285D" w14:textId="77777777" w:rsidR="00FD1E19" w:rsidRDefault="00FD1E19" w:rsidP="00BE7E4A">
            <w:pPr>
              <w:pStyle w:val="DMETW37225BIPNCPFBMM"/>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w:t>
            </w:r>
          </w:p>
        </w:tc>
      </w:tr>
      <w:tr w:rsidR="00FD1E19" w14:paraId="1190C9C0" w14:textId="77777777" w:rsidTr="00BE7E4A">
        <w:trPr>
          <w:trHeight w:val="255"/>
        </w:trPr>
        <w:tc>
          <w:tcPr>
            <w:tcW w:w="4813" w:type="dxa"/>
            <w:tcBorders>
              <w:top w:val="single" w:sz="4" w:space="0" w:color="016794"/>
              <w:left w:val="nil"/>
              <w:bottom w:val="nil"/>
              <w:right w:val="nil"/>
              <w:tl2br w:val="nil"/>
              <w:tr2bl w:val="nil"/>
            </w:tcBorders>
            <w:shd w:val="clear" w:color="auto" w:fill="auto"/>
            <w:tcMar>
              <w:left w:w="60" w:type="dxa"/>
              <w:right w:w="60" w:type="dxa"/>
            </w:tcMar>
            <w:vAlign w:val="center"/>
          </w:tcPr>
          <w:p w14:paraId="0B57AAAA" w14:textId="77777777" w:rsidR="00FD1E19" w:rsidRDefault="00FD1E19" w:rsidP="00BE7E4A">
            <w:pPr>
              <w:pStyle w:val="DMETW37225BIPNCPFBMM"/>
              <w:jc w:val="right"/>
              <w:rPr>
                <w:rFonts w:ascii="Verdana" w:eastAsia="Verdana" w:hAnsi="Verdana" w:cs="Verdana"/>
                <w:b/>
                <w:noProof/>
                <w:color w:val="000000"/>
                <w:sz w:val="18"/>
              </w:rPr>
            </w:pPr>
          </w:p>
        </w:tc>
        <w:tc>
          <w:tcPr>
            <w:tcW w:w="2687" w:type="dxa"/>
            <w:tcBorders>
              <w:top w:val="single" w:sz="4" w:space="0" w:color="016794"/>
              <w:left w:val="nil"/>
              <w:bottom w:val="nil"/>
              <w:right w:val="nil"/>
              <w:tl2br w:val="nil"/>
              <w:tr2bl w:val="nil"/>
            </w:tcBorders>
            <w:shd w:val="clear" w:color="auto" w:fill="auto"/>
            <w:tcMar>
              <w:left w:w="60" w:type="dxa"/>
              <w:right w:w="60" w:type="dxa"/>
            </w:tcMar>
            <w:vAlign w:val="center"/>
          </w:tcPr>
          <w:p w14:paraId="3D3AEEB6" w14:textId="77777777" w:rsidR="00FD1E19" w:rsidRDefault="00FD1E19" w:rsidP="00BE7E4A">
            <w:pPr>
              <w:pStyle w:val="DMETW37225BIPNCPFBMM"/>
              <w:jc w:val="right"/>
              <w:rPr>
                <w:rFonts w:ascii="Verdana" w:eastAsia="Verdana" w:hAnsi="Verdana" w:cs="Verdana"/>
                <w:b/>
                <w:noProof/>
                <w:color w:val="000000"/>
                <w:sz w:val="18"/>
              </w:rPr>
            </w:pPr>
            <w:r>
              <w:rPr>
                <w:rFonts w:ascii="Verdana" w:eastAsia="Verdana" w:hAnsi="Verdana" w:cs="Verdana"/>
                <w:b/>
                <w:noProof/>
                <w:color w:val="000000"/>
                <w:sz w:val="18"/>
              </w:rPr>
              <w:t xml:space="preserve">  472</w:t>
            </w:r>
          </w:p>
        </w:tc>
        <w:tc>
          <w:tcPr>
            <w:tcW w:w="2258" w:type="dxa"/>
            <w:tcBorders>
              <w:top w:val="single" w:sz="4" w:space="0" w:color="016794"/>
              <w:left w:val="nil"/>
              <w:bottom w:val="nil"/>
              <w:right w:val="nil"/>
              <w:tl2br w:val="nil"/>
              <w:tr2bl w:val="nil"/>
            </w:tcBorders>
            <w:shd w:val="clear" w:color="auto" w:fill="auto"/>
            <w:tcMar>
              <w:left w:w="60" w:type="dxa"/>
              <w:right w:w="60" w:type="dxa"/>
            </w:tcMar>
            <w:vAlign w:val="center"/>
          </w:tcPr>
          <w:p w14:paraId="18E48360" w14:textId="77777777" w:rsidR="00FD1E19" w:rsidRDefault="00FD1E19" w:rsidP="00BE7E4A">
            <w:pPr>
              <w:pStyle w:val="DMETW37225BIPNCPFBMM"/>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497</w:t>
            </w:r>
          </w:p>
        </w:tc>
      </w:tr>
      <w:tr w:rsidR="00FD1E19" w14:paraId="458FE406" w14:textId="77777777" w:rsidTr="00BE7E4A">
        <w:trPr>
          <w:trHeight w:val="255"/>
        </w:trPr>
        <w:tc>
          <w:tcPr>
            <w:tcW w:w="4813" w:type="dxa"/>
            <w:tcBorders>
              <w:top w:val="nil"/>
              <w:left w:val="nil"/>
              <w:bottom w:val="nil"/>
              <w:right w:val="nil"/>
              <w:tl2br w:val="nil"/>
              <w:tr2bl w:val="nil"/>
            </w:tcBorders>
            <w:shd w:val="solid" w:color="CCE1EA" w:fill="FFFFFF"/>
            <w:tcMar>
              <w:left w:w="60" w:type="dxa"/>
              <w:right w:w="60" w:type="dxa"/>
            </w:tcMar>
            <w:vAlign w:val="center"/>
          </w:tcPr>
          <w:p w14:paraId="7A989659" w14:textId="77777777" w:rsidR="00FD1E19" w:rsidRDefault="00FD1E19" w:rsidP="00BE7E4A">
            <w:pPr>
              <w:pStyle w:val="DMETW37225BIPNCPFBMM"/>
              <w:rPr>
                <w:rFonts w:ascii="Verdana" w:eastAsia="Verdana" w:hAnsi="Verdana" w:cs="Verdana"/>
                <w:b/>
                <w:noProof/>
                <w:color w:val="000000"/>
                <w:sz w:val="18"/>
              </w:rPr>
            </w:pPr>
            <w:r>
              <w:rPr>
                <w:rFonts w:ascii="Verdana" w:eastAsia="Verdana" w:hAnsi="Verdana" w:cs="Verdana"/>
                <w:b/>
                <w:noProof/>
                <w:color w:val="000000"/>
                <w:sz w:val="18"/>
              </w:rPr>
              <w:t>Total</w:t>
            </w:r>
          </w:p>
        </w:tc>
        <w:tc>
          <w:tcPr>
            <w:tcW w:w="2687" w:type="dxa"/>
            <w:tcBorders>
              <w:top w:val="nil"/>
              <w:left w:val="nil"/>
              <w:bottom w:val="nil"/>
              <w:right w:val="nil"/>
              <w:tl2br w:val="nil"/>
              <w:tr2bl w:val="nil"/>
            </w:tcBorders>
            <w:shd w:val="solid" w:color="CCE1EA" w:fill="FFFFFF"/>
            <w:tcMar>
              <w:left w:w="60" w:type="dxa"/>
              <w:right w:w="60" w:type="dxa"/>
            </w:tcMar>
            <w:vAlign w:val="center"/>
          </w:tcPr>
          <w:p w14:paraId="4ACCDF19" w14:textId="77777777" w:rsidR="00FD1E19" w:rsidRDefault="00FD1E19" w:rsidP="00BE7E4A">
            <w:pPr>
              <w:pStyle w:val="DMETW37225BIPNCPFBMM"/>
              <w:jc w:val="right"/>
              <w:rPr>
                <w:rFonts w:ascii="Verdana" w:eastAsia="Verdana" w:hAnsi="Verdana" w:cs="Verdana"/>
                <w:b/>
                <w:noProof/>
                <w:color w:val="000000"/>
                <w:sz w:val="18"/>
              </w:rPr>
            </w:pPr>
            <w:r>
              <w:rPr>
                <w:rFonts w:ascii="Verdana" w:eastAsia="Verdana" w:hAnsi="Verdana" w:cs="Verdana"/>
                <w:b/>
                <w:noProof/>
                <w:color w:val="000000"/>
                <w:sz w:val="18"/>
              </w:rPr>
              <w:t xml:space="preserve">  492</w:t>
            </w:r>
          </w:p>
        </w:tc>
        <w:tc>
          <w:tcPr>
            <w:tcW w:w="2258" w:type="dxa"/>
            <w:tcBorders>
              <w:top w:val="nil"/>
              <w:left w:val="nil"/>
              <w:bottom w:val="nil"/>
              <w:right w:val="nil"/>
              <w:tl2br w:val="nil"/>
              <w:tr2bl w:val="nil"/>
            </w:tcBorders>
            <w:shd w:val="solid" w:color="CCE1EA" w:fill="FFFFFF"/>
            <w:tcMar>
              <w:left w:w="60" w:type="dxa"/>
              <w:right w:w="60" w:type="dxa"/>
            </w:tcMar>
            <w:vAlign w:val="center"/>
          </w:tcPr>
          <w:p w14:paraId="3097AB35" w14:textId="77777777" w:rsidR="00FD1E19" w:rsidRDefault="00FD1E19" w:rsidP="00BE7E4A">
            <w:pPr>
              <w:pStyle w:val="DMETW37225BIPNCPFBMM"/>
              <w:jc w:val="right"/>
              <w:rPr>
                <w:rFonts w:ascii="Verdana" w:eastAsia="Verdana" w:hAnsi="Verdana" w:cs="Verdana"/>
                <w:b/>
                <w:noProof/>
                <w:color w:val="000000"/>
                <w:sz w:val="18"/>
              </w:rPr>
            </w:pPr>
            <w:r>
              <w:rPr>
                <w:rFonts w:ascii="Verdana" w:eastAsia="Verdana" w:hAnsi="Verdana" w:cs="Verdana"/>
                <w:b/>
                <w:noProof/>
                <w:color w:val="000000"/>
                <w:sz w:val="18"/>
              </w:rPr>
              <w:t xml:space="preserve">  500</w:t>
            </w:r>
          </w:p>
        </w:tc>
      </w:tr>
    </w:tbl>
    <w:p w14:paraId="3C2B96DE" w14:textId="77777777" w:rsidR="00FD1E19" w:rsidRPr="00F64D38" w:rsidRDefault="00FD1E19" w:rsidP="00FD1E19">
      <w:pPr>
        <w:pStyle w:val="HEADER3Part2"/>
        <w:keepNext/>
        <w:keepLines/>
        <w:tabs>
          <w:tab w:val="left" w:pos="4253"/>
        </w:tabs>
        <w:jc w:val="both"/>
        <w:rPr>
          <w:noProof/>
        </w:rPr>
      </w:pPr>
      <w:r w:rsidRPr="00F64D38">
        <w:rPr>
          <w:noProof/>
        </w:rPr>
        <w:t>Current pre-financing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8"/>
        <w:gridCol w:w="1406"/>
        <w:gridCol w:w="1406"/>
        <w:gridCol w:w="1406"/>
        <w:gridCol w:w="1686"/>
        <w:gridCol w:w="1686"/>
      </w:tblGrid>
      <w:tr w:rsidR="00FD1E19" w14:paraId="27822DA6" w14:textId="77777777" w:rsidTr="00BE7E4A">
        <w:trPr>
          <w:trHeight w:val="255"/>
        </w:trPr>
        <w:tc>
          <w:tcPr>
            <w:tcW w:w="2189" w:type="dxa"/>
            <w:gridSpan w:val="6"/>
            <w:tcBorders>
              <w:top w:val="nil"/>
              <w:left w:val="nil"/>
              <w:bottom w:val="nil"/>
              <w:right w:val="nil"/>
              <w:tl2br w:val="nil"/>
              <w:tr2bl w:val="nil"/>
            </w:tcBorders>
            <w:shd w:val="clear" w:color="auto" w:fill="auto"/>
            <w:tcMar>
              <w:left w:w="60" w:type="dxa"/>
              <w:right w:w="60" w:type="dxa"/>
            </w:tcMar>
            <w:vAlign w:val="center"/>
          </w:tcPr>
          <w:p w14:paraId="6F479092" w14:textId="77777777" w:rsidR="00FD1E19" w:rsidRDefault="00FD1E19" w:rsidP="00BE7E4A">
            <w:pPr>
              <w:pStyle w:val="DMETW37225BIPCPF"/>
              <w:keepNext/>
              <w:keepLines/>
              <w:jc w:val="right"/>
              <w:rPr>
                <w:rFonts w:ascii="Verdana" w:eastAsia="Verdana" w:hAnsi="Verdana" w:cs="Verdana"/>
                <w:i/>
                <w:noProof/>
                <w:color w:val="000000"/>
                <w:sz w:val="16"/>
                <w:lang w:bidi="en-GB"/>
              </w:rPr>
            </w:pPr>
            <w:bookmarkStart w:id="73" w:name="DOC_TBL00015_1_1"/>
            <w:bookmarkEnd w:id="73"/>
            <w:r>
              <w:rPr>
                <w:rFonts w:ascii="Verdana" w:eastAsia="Verdana" w:hAnsi="Verdana" w:cs="Verdana"/>
                <w:i/>
                <w:noProof/>
                <w:color w:val="000000"/>
                <w:sz w:val="16"/>
                <w:lang w:bidi="en-GB"/>
              </w:rPr>
              <w:t>EUR million</w:t>
            </w:r>
          </w:p>
        </w:tc>
      </w:tr>
      <w:tr w:rsidR="00FD1E19" w14:paraId="39F4AD57" w14:textId="77777777" w:rsidTr="00BE7E4A">
        <w:trPr>
          <w:trHeight w:val="255"/>
        </w:trPr>
        <w:tc>
          <w:tcPr>
            <w:tcW w:w="2189" w:type="dxa"/>
            <w:tcBorders>
              <w:top w:val="nil"/>
              <w:left w:val="nil"/>
              <w:bottom w:val="nil"/>
              <w:right w:val="nil"/>
              <w:tl2br w:val="nil"/>
              <w:tr2bl w:val="nil"/>
            </w:tcBorders>
            <w:shd w:val="solid" w:color="016794" w:fill="FFFFFF"/>
            <w:tcMar>
              <w:left w:w="60" w:type="dxa"/>
              <w:right w:w="60" w:type="dxa"/>
            </w:tcMar>
            <w:vAlign w:val="center"/>
          </w:tcPr>
          <w:p w14:paraId="481DEF7A" w14:textId="77777777" w:rsidR="00FD1E19" w:rsidRDefault="00FD1E19" w:rsidP="00BE7E4A">
            <w:pPr>
              <w:pStyle w:val="DMETW37225BIPCPF"/>
              <w:keepNext/>
              <w:keepLines/>
              <w:jc w:val="center"/>
              <w:rPr>
                <w:rFonts w:ascii="Verdana" w:eastAsia="Verdana" w:hAnsi="Verdana" w:cs="Verdana"/>
                <w:noProof/>
                <w:color w:val="FFFFFF"/>
              </w:rPr>
            </w:pPr>
          </w:p>
        </w:tc>
        <w:tc>
          <w:tcPr>
            <w:tcW w:w="1418" w:type="dxa"/>
            <w:tcBorders>
              <w:top w:val="nil"/>
              <w:left w:val="nil"/>
              <w:bottom w:val="nil"/>
              <w:right w:val="nil"/>
              <w:tl2br w:val="nil"/>
              <w:tr2bl w:val="nil"/>
            </w:tcBorders>
            <w:shd w:val="solid" w:color="016794" w:fill="FFFFFF"/>
            <w:tcMar>
              <w:left w:w="60" w:type="dxa"/>
              <w:right w:w="60" w:type="dxa"/>
            </w:tcMar>
            <w:vAlign w:val="center"/>
          </w:tcPr>
          <w:p w14:paraId="3F7901AC" w14:textId="77777777" w:rsidR="00FD1E19" w:rsidRDefault="00FD1E19" w:rsidP="00BE7E4A">
            <w:pPr>
              <w:pStyle w:val="DMETW37225BIPCPF"/>
              <w:keepNext/>
              <w:keepLines/>
              <w:jc w:val="right"/>
              <w:rPr>
                <w:rFonts w:ascii="Verdana" w:eastAsia="Verdana" w:hAnsi="Verdana" w:cs="Verdana"/>
                <w:noProof/>
                <w:color w:val="FFFFFF"/>
              </w:rPr>
            </w:pPr>
            <w:r>
              <w:rPr>
                <w:rFonts w:ascii="Verdana" w:eastAsia="Verdana" w:hAnsi="Verdana" w:cs="Verdana"/>
                <w:noProof/>
                <w:color w:val="FFFFFF"/>
              </w:rPr>
              <w:t>Ninth EDF</w:t>
            </w:r>
          </w:p>
        </w:tc>
        <w:tc>
          <w:tcPr>
            <w:tcW w:w="1418" w:type="dxa"/>
            <w:tcBorders>
              <w:top w:val="nil"/>
              <w:left w:val="nil"/>
              <w:bottom w:val="nil"/>
              <w:right w:val="nil"/>
              <w:tl2br w:val="nil"/>
              <w:tr2bl w:val="nil"/>
            </w:tcBorders>
            <w:shd w:val="solid" w:color="016794" w:fill="FFFFFF"/>
            <w:tcMar>
              <w:left w:w="60" w:type="dxa"/>
              <w:right w:w="60" w:type="dxa"/>
            </w:tcMar>
            <w:vAlign w:val="center"/>
          </w:tcPr>
          <w:p w14:paraId="204201F9" w14:textId="77777777" w:rsidR="00FD1E19" w:rsidRDefault="00FD1E19" w:rsidP="00BE7E4A">
            <w:pPr>
              <w:pStyle w:val="DMETW37225BIPCPF"/>
              <w:keepNext/>
              <w:keepLines/>
              <w:jc w:val="right"/>
              <w:rPr>
                <w:rFonts w:ascii="Verdana" w:eastAsia="Verdana" w:hAnsi="Verdana" w:cs="Verdana"/>
                <w:noProof/>
                <w:color w:val="FFFFFF"/>
              </w:rPr>
            </w:pPr>
            <w:r>
              <w:rPr>
                <w:rFonts w:ascii="Verdana" w:eastAsia="Verdana" w:hAnsi="Verdana" w:cs="Verdana"/>
                <w:noProof/>
                <w:color w:val="FFFFFF"/>
              </w:rPr>
              <w:t>10th EDF</w:t>
            </w:r>
          </w:p>
        </w:tc>
        <w:tc>
          <w:tcPr>
            <w:tcW w:w="1418" w:type="dxa"/>
            <w:tcBorders>
              <w:top w:val="nil"/>
              <w:left w:val="nil"/>
              <w:bottom w:val="nil"/>
              <w:right w:val="nil"/>
              <w:tl2br w:val="nil"/>
              <w:tr2bl w:val="nil"/>
            </w:tcBorders>
            <w:shd w:val="solid" w:color="016794" w:fill="FFFFFF"/>
            <w:tcMar>
              <w:left w:w="60" w:type="dxa"/>
              <w:right w:w="60" w:type="dxa"/>
            </w:tcMar>
            <w:vAlign w:val="center"/>
          </w:tcPr>
          <w:p w14:paraId="1F5262CF" w14:textId="77777777" w:rsidR="00FD1E19" w:rsidRDefault="00FD1E19" w:rsidP="00BE7E4A">
            <w:pPr>
              <w:pStyle w:val="DMETW37225BIPCPF"/>
              <w:keepNext/>
              <w:keepLines/>
              <w:jc w:val="right"/>
              <w:rPr>
                <w:rFonts w:ascii="Verdana" w:eastAsia="Verdana" w:hAnsi="Verdana" w:cs="Verdana"/>
                <w:noProof/>
                <w:color w:val="FFFFFF"/>
              </w:rPr>
            </w:pPr>
            <w:r>
              <w:rPr>
                <w:rFonts w:ascii="Verdana" w:eastAsia="Verdana" w:hAnsi="Verdana" w:cs="Verdana"/>
                <w:noProof/>
                <w:color w:val="FFFFFF"/>
              </w:rPr>
              <w:t>11th EDF</w:t>
            </w:r>
          </w:p>
        </w:tc>
        <w:tc>
          <w:tcPr>
            <w:tcW w:w="1701" w:type="dxa"/>
            <w:tcBorders>
              <w:top w:val="nil"/>
              <w:left w:val="nil"/>
              <w:bottom w:val="nil"/>
              <w:right w:val="nil"/>
              <w:tl2br w:val="nil"/>
              <w:tr2bl w:val="nil"/>
            </w:tcBorders>
            <w:shd w:val="solid" w:color="016794" w:fill="FFFFFF"/>
            <w:tcMar>
              <w:left w:w="60" w:type="dxa"/>
              <w:right w:w="60" w:type="dxa"/>
            </w:tcMar>
            <w:vAlign w:val="center"/>
          </w:tcPr>
          <w:p w14:paraId="36A55F44" w14:textId="77777777" w:rsidR="00FD1E19" w:rsidRDefault="00FD1E19" w:rsidP="00BE7E4A">
            <w:pPr>
              <w:pStyle w:val="DMETW37225BIPCPF"/>
              <w:keepNext/>
              <w:keepLines/>
              <w:jc w:val="right"/>
              <w:rPr>
                <w:rFonts w:ascii="Verdana" w:eastAsia="Verdana" w:hAnsi="Verdana" w:cs="Verdana"/>
                <w:noProof/>
                <w:color w:val="FFFFFF"/>
              </w:rPr>
            </w:pPr>
            <w:r>
              <w:rPr>
                <w:rFonts w:ascii="Verdana" w:eastAsia="Verdana" w:hAnsi="Verdana" w:cs="Verdana"/>
                <w:noProof/>
                <w:color w:val="FFFFFF"/>
              </w:rPr>
              <w:t>31.12.2025</w:t>
            </w:r>
          </w:p>
        </w:tc>
        <w:tc>
          <w:tcPr>
            <w:tcW w:w="1701" w:type="dxa"/>
            <w:tcBorders>
              <w:top w:val="nil"/>
              <w:left w:val="nil"/>
              <w:bottom w:val="nil"/>
              <w:right w:val="nil"/>
              <w:tl2br w:val="nil"/>
              <w:tr2bl w:val="nil"/>
            </w:tcBorders>
            <w:shd w:val="solid" w:color="016794" w:fill="FFFFFF"/>
            <w:tcMar>
              <w:left w:w="60" w:type="dxa"/>
              <w:right w:w="60" w:type="dxa"/>
            </w:tcMar>
            <w:vAlign w:val="center"/>
          </w:tcPr>
          <w:p w14:paraId="014472CC" w14:textId="77777777" w:rsidR="00FD1E19" w:rsidRDefault="00FD1E19" w:rsidP="00BE7E4A">
            <w:pPr>
              <w:pStyle w:val="DMETW37225BIPCPF"/>
              <w:keepNext/>
              <w:keepLine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6C7DB41E" w14:textId="77777777" w:rsidTr="00BE7E4A">
        <w:trPr>
          <w:trHeight w:val="255"/>
        </w:trPr>
        <w:tc>
          <w:tcPr>
            <w:tcW w:w="2189" w:type="dxa"/>
            <w:tcBorders>
              <w:top w:val="nil"/>
              <w:left w:val="nil"/>
              <w:bottom w:val="nil"/>
              <w:right w:val="nil"/>
              <w:tl2br w:val="nil"/>
              <w:tr2bl w:val="nil"/>
            </w:tcBorders>
            <w:shd w:val="clear" w:color="auto" w:fill="auto"/>
            <w:tcMar>
              <w:left w:w="60" w:type="dxa"/>
              <w:right w:w="60" w:type="dxa"/>
            </w:tcMar>
            <w:vAlign w:val="center"/>
          </w:tcPr>
          <w:p w14:paraId="7AAAA30B" w14:textId="77777777" w:rsidR="00FD1E19" w:rsidRDefault="00FD1E19" w:rsidP="00BE7E4A">
            <w:pPr>
              <w:pStyle w:val="DMETW37225BIPCPF"/>
              <w:keepNext/>
              <w:keepLines/>
              <w:rPr>
                <w:rFonts w:ascii="Verdana" w:eastAsia="Verdana" w:hAnsi="Verdana" w:cs="Verdana"/>
                <w:i/>
                <w:noProof/>
                <w:color w:val="000000"/>
                <w:sz w:val="18"/>
              </w:rPr>
            </w:pPr>
            <w:r>
              <w:rPr>
                <w:rFonts w:ascii="Verdana" w:eastAsia="Verdana" w:hAnsi="Verdana" w:cs="Verdana"/>
                <w:i/>
                <w:noProof/>
                <w:color w:val="000000"/>
                <w:sz w:val="18"/>
              </w:rPr>
              <w:t>Pre-financing (gross)</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7F3DCA63"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008A3FAA"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313</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52B90E6F"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2 649</w:t>
            </w:r>
          </w:p>
        </w:tc>
        <w:tc>
          <w:tcPr>
            <w:tcW w:w="1701" w:type="dxa"/>
            <w:tcBorders>
              <w:top w:val="nil"/>
              <w:left w:val="nil"/>
              <w:bottom w:val="nil"/>
              <w:right w:val="nil"/>
              <w:tl2br w:val="nil"/>
              <w:tr2bl w:val="nil"/>
            </w:tcBorders>
            <w:shd w:val="clear" w:color="auto" w:fill="auto"/>
            <w:tcMar>
              <w:left w:w="60" w:type="dxa"/>
              <w:right w:w="60" w:type="dxa"/>
            </w:tcMar>
            <w:vAlign w:val="center"/>
          </w:tcPr>
          <w:p w14:paraId="206BA293"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2 965</w:t>
            </w:r>
          </w:p>
        </w:tc>
        <w:tc>
          <w:tcPr>
            <w:tcW w:w="1701" w:type="dxa"/>
            <w:tcBorders>
              <w:top w:val="nil"/>
              <w:left w:val="nil"/>
              <w:bottom w:val="nil"/>
              <w:right w:val="nil"/>
              <w:tl2br w:val="nil"/>
              <w:tr2bl w:val="nil"/>
            </w:tcBorders>
            <w:shd w:val="clear" w:color="auto" w:fill="auto"/>
            <w:tcMar>
              <w:left w:w="60" w:type="dxa"/>
              <w:right w:w="60" w:type="dxa"/>
            </w:tcMar>
            <w:vAlign w:val="center"/>
          </w:tcPr>
          <w:p w14:paraId="5C48B612" w14:textId="77777777" w:rsidR="00FD1E19" w:rsidRDefault="00FD1E19" w:rsidP="00BE7E4A">
            <w:pPr>
              <w:pStyle w:val="DMETW37225BIPCPF"/>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3 763</w:t>
            </w:r>
          </w:p>
        </w:tc>
      </w:tr>
      <w:tr w:rsidR="00FD1E19" w14:paraId="5F48E65D" w14:textId="77777777" w:rsidTr="00BE7E4A">
        <w:trPr>
          <w:trHeight w:val="255"/>
        </w:trPr>
        <w:tc>
          <w:tcPr>
            <w:tcW w:w="2189" w:type="dxa"/>
            <w:tcBorders>
              <w:top w:val="nil"/>
              <w:left w:val="nil"/>
              <w:bottom w:val="nil"/>
              <w:right w:val="nil"/>
              <w:tl2br w:val="nil"/>
              <w:tr2bl w:val="nil"/>
            </w:tcBorders>
            <w:shd w:val="clear" w:color="auto" w:fill="auto"/>
            <w:tcMar>
              <w:left w:w="60" w:type="dxa"/>
              <w:right w:w="60" w:type="dxa"/>
            </w:tcMar>
            <w:vAlign w:val="center"/>
          </w:tcPr>
          <w:p w14:paraId="2D73CC19" w14:textId="77777777" w:rsidR="00FD1E19" w:rsidRDefault="00FD1E19" w:rsidP="00BE7E4A">
            <w:pPr>
              <w:pStyle w:val="DMETW37225BIPCPF"/>
              <w:keepNext/>
              <w:keepLines/>
              <w:rPr>
                <w:rFonts w:ascii="Verdana" w:eastAsia="Verdana" w:hAnsi="Verdana" w:cs="Verdana"/>
                <w:i/>
                <w:noProof/>
                <w:color w:val="000000"/>
                <w:sz w:val="18"/>
              </w:rPr>
            </w:pPr>
            <w:r>
              <w:rPr>
                <w:rFonts w:ascii="Verdana" w:eastAsia="Verdana" w:hAnsi="Verdana" w:cs="Verdana"/>
                <w:i/>
                <w:noProof/>
                <w:color w:val="000000"/>
                <w:sz w:val="18"/>
              </w:rPr>
              <w:t>Cleared via cut-off</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4E69B5D2"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487111DB"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(263)</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34C6CCDC"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(2 168)</w:t>
            </w:r>
          </w:p>
        </w:tc>
        <w:tc>
          <w:tcPr>
            <w:tcW w:w="1701" w:type="dxa"/>
            <w:tcBorders>
              <w:top w:val="nil"/>
              <w:left w:val="nil"/>
              <w:bottom w:val="nil"/>
              <w:right w:val="nil"/>
              <w:tl2br w:val="nil"/>
              <w:tr2bl w:val="nil"/>
            </w:tcBorders>
            <w:shd w:val="clear" w:color="auto" w:fill="auto"/>
            <w:tcMar>
              <w:left w:w="60" w:type="dxa"/>
              <w:right w:w="60" w:type="dxa"/>
            </w:tcMar>
            <w:vAlign w:val="center"/>
          </w:tcPr>
          <w:p w14:paraId="49ADE6A4" w14:textId="77777777" w:rsidR="00FD1E19" w:rsidRDefault="00FD1E19" w:rsidP="00BE7E4A">
            <w:pPr>
              <w:pStyle w:val="DMETW37225BIPCPF"/>
              <w:keepNext/>
              <w:keepLines/>
              <w:jc w:val="right"/>
              <w:rPr>
                <w:rFonts w:ascii="Verdana" w:eastAsia="Verdana" w:hAnsi="Verdana" w:cs="Verdana"/>
                <w:i/>
                <w:noProof/>
                <w:color w:val="000000"/>
                <w:sz w:val="18"/>
              </w:rPr>
            </w:pPr>
            <w:r>
              <w:rPr>
                <w:rFonts w:ascii="Verdana" w:eastAsia="Verdana" w:hAnsi="Verdana" w:cs="Verdana"/>
                <w:i/>
                <w:noProof/>
                <w:color w:val="000000"/>
                <w:sz w:val="18"/>
              </w:rPr>
              <w:t>(2 433)</w:t>
            </w:r>
          </w:p>
        </w:tc>
        <w:tc>
          <w:tcPr>
            <w:tcW w:w="1701" w:type="dxa"/>
            <w:tcBorders>
              <w:top w:val="nil"/>
              <w:left w:val="nil"/>
              <w:bottom w:val="nil"/>
              <w:right w:val="nil"/>
              <w:tl2br w:val="nil"/>
              <w:tr2bl w:val="nil"/>
            </w:tcBorders>
            <w:shd w:val="clear" w:color="auto" w:fill="auto"/>
            <w:tcMar>
              <w:left w:w="60" w:type="dxa"/>
              <w:right w:w="60" w:type="dxa"/>
            </w:tcMar>
            <w:vAlign w:val="center"/>
          </w:tcPr>
          <w:p w14:paraId="2F760FCD" w14:textId="77777777" w:rsidR="00FD1E19" w:rsidRDefault="00FD1E19" w:rsidP="00BE7E4A">
            <w:pPr>
              <w:pStyle w:val="DMETW37225BIPCPF"/>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(3 022)</w:t>
            </w:r>
          </w:p>
        </w:tc>
      </w:tr>
      <w:tr w:rsidR="00FD1E19" w14:paraId="134A339A" w14:textId="77777777" w:rsidTr="00BE7E4A">
        <w:trPr>
          <w:trHeight w:val="255"/>
        </w:trPr>
        <w:tc>
          <w:tcPr>
            <w:tcW w:w="2189" w:type="dxa"/>
            <w:tcBorders>
              <w:top w:val="nil"/>
              <w:left w:val="nil"/>
              <w:bottom w:val="nil"/>
              <w:right w:val="nil"/>
              <w:tl2br w:val="nil"/>
              <w:tr2bl w:val="nil"/>
            </w:tcBorders>
            <w:shd w:val="solid" w:color="CCE1EA" w:fill="FFFFFF"/>
            <w:tcMar>
              <w:left w:w="60" w:type="dxa"/>
              <w:right w:w="60" w:type="dxa"/>
            </w:tcMar>
            <w:vAlign w:val="center"/>
          </w:tcPr>
          <w:p w14:paraId="0ABA7526" w14:textId="77777777" w:rsidR="00FD1E19" w:rsidRDefault="00FD1E19" w:rsidP="00BE7E4A">
            <w:pPr>
              <w:pStyle w:val="DMETW37225BIPCPF"/>
              <w:keepNext/>
              <w:keepLines/>
              <w:widowControl w:val="0"/>
              <w:rPr>
                <w:rFonts w:ascii="Verdana" w:eastAsia="Verdana" w:hAnsi="Verdana" w:cs="Verdana"/>
                <w:b/>
                <w:noProof/>
                <w:color w:val="000000"/>
                <w:sz w:val="18"/>
              </w:rPr>
            </w:pPr>
            <w:r>
              <w:rPr>
                <w:rFonts w:ascii="Verdana" w:eastAsia="Verdana" w:hAnsi="Verdana" w:cs="Verdana"/>
                <w:b/>
                <w:noProof/>
                <w:color w:val="000000"/>
                <w:sz w:val="18"/>
              </w:rPr>
              <w:t>Total</w:t>
            </w:r>
          </w:p>
        </w:tc>
        <w:tc>
          <w:tcPr>
            <w:tcW w:w="1418" w:type="dxa"/>
            <w:tcBorders>
              <w:top w:val="nil"/>
              <w:left w:val="nil"/>
              <w:bottom w:val="nil"/>
              <w:right w:val="nil"/>
              <w:tl2br w:val="nil"/>
              <w:tr2bl w:val="nil"/>
            </w:tcBorders>
            <w:shd w:val="solid" w:color="CCE1EA" w:fill="FFFFFF"/>
            <w:tcMar>
              <w:left w:w="60" w:type="dxa"/>
              <w:right w:w="60" w:type="dxa"/>
            </w:tcMar>
            <w:vAlign w:val="center"/>
          </w:tcPr>
          <w:p w14:paraId="2E2CF3D8" w14:textId="77777777" w:rsidR="00FD1E19" w:rsidRDefault="00FD1E19" w:rsidP="00BE7E4A">
            <w:pPr>
              <w:pStyle w:val="DMETW37225BIPCPF"/>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418" w:type="dxa"/>
            <w:tcBorders>
              <w:top w:val="nil"/>
              <w:left w:val="nil"/>
              <w:bottom w:val="nil"/>
              <w:right w:val="nil"/>
              <w:tl2br w:val="nil"/>
              <w:tr2bl w:val="nil"/>
            </w:tcBorders>
            <w:shd w:val="solid" w:color="CCE1EA" w:fill="FFFFFF"/>
            <w:tcMar>
              <w:left w:w="60" w:type="dxa"/>
              <w:right w:w="60" w:type="dxa"/>
            </w:tcMar>
            <w:vAlign w:val="center"/>
          </w:tcPr>
          <w:p w14:paraId="0D93726C" w14:textId="77777777" w:rsidR="00FD1E19" w:rsidRDefault="00FD1E19" w:rsidP="00BE7E4A">
            <w:pPr>
              <w:pStyle w:val="DMETW37225BIPCPF"/>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50</w:t>
            </w:r>
          </w:p>
        </w:tc>
        <w:tc>
          <w:tcPr>
            <w:tcW w:w="1418" w:type="dxa"/>
            <w:tcBorders>
              <w:top w:val="nil"/>
              <w:left w:val="nil"/>
              <w:bottom w:val="nil"/>
              <w:right w:val="nil"/>
              <w:tl2br w:val="nil"/>
              <w:tr2bl w:val="nil"/>
            </w:tcBorders>
            <w:shd w:val="solid" w:color="CCE1EA" w:fill="FFFFFF"/>
            <w:tcMar>
              <w:left w:w="60" w:type="dxa"/>
              <w:right w:w="60" w:type="dxa"/>
            </w:tcMar>
            <w:vAlign w:val="center"/>
          </w:tcPr>
          <w:p w14:paraId="6C99619D" w14:textId="77777777" w:rsidR="00FD1E19" w:rsidRDefault="00FD1E19" w:rsidP="00BE7E4A">
            <w:pPr>
              <w:pStyle w:val="DMETW37225BIPCPF"/>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481</w:t>
            </w:r>
          </w:p>
        </w:tc>
        <w:tc>
          <w:tcPr>
            <w:tcW w:w="1701" w:type="dxa"/>
            <w:tcBorders>
              <w:top w:val="nil"/>
              <w:left w:val="nil"/>
              <w:bottom w:val="nil"/>
              <w:right w:val="nil"/>
              <w:tl2br w:val="nil"/>
              <w:tr2bl w:val="nil"/>
            </w:tcBorders>
            <w:shd w:val="solid" w:color="CCE1EA" w:fill="FFFFFF"/>
            <w:tcMar>
              <w:left w:w="60" w:type="dxa"/>
              <w:right w:w="60" w:type="dxa"/>
            </w:tcMar>
            <w:vAlign w:val="center"/>
          </w:tcPr>
          <w:p w14:paraId="5342AFB5" w14:textId="77777777" w:rsidR="00FD1E19" w:rsidRDefault="00FD1E19" w:rsidP="00BE7E4A">
            <w:pPr>
              <w:pStyle w:val="DMETW37225BIPCPF"/>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532</w:t>
            </w:r>
          </w:p>
        </w:tc>
        <w:tc>
          <w:tcPr>
            <w:tcW w:w="1701" w:type="dxa"/>
            <w:tcBorders>
              <w:top w:val="nil"/>
              <w:left w:val="nil"/>
              <w:bottom w:val="nil"/>
              <w:right w:val="nil"/>
              <w:tl2br w:val="nil"/>
              <w:tr2bl w:val="nil"/>
            </w:tcBorders>
            <w:shd w:val="solid" w:color="CCE1EA" w:fill="FFFFFF"/>
            <w:tcMar>
              <w:left w:w="60" w:type="dxa"/>
              <w:right w:w="60" w:type="dxa"/>
            </w:tcMar>
            <w:vAlign w:val="center"/>
          </w:tcPr>
          <w:p w14:paraId="405B8D58" w14:textId="77777777" w:rsidR="00FD1E19" w:rsidRDefault="00FD1E19" w:rsidP="00BE7E4A">
            <w:pPr>
              <w:pStyle w:val="DMETW37225BIPCPF"/>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742</w:t>
            </w:r>
          </w:p>
        </w:tc>
      </w:tr>
    </w:tbl>
    <w:p w14:paraId="20AA4B20" w14:textId="77777777" w:rsidR="00FD1E19" w:rsidRPr="00F64D38" w:rsidRDefault="00FD1E19" w:rsidP="00FD1E19">
      <w:pPr>
        <w:pStyle w:val="HEADER3Part2"/>
        <w:keepNext/>
        <w:keepLines/>
        <w:widowControl w:val="0"/>
        <w:tabs>
          <w:tab w:val="left" w:pos="4253"/>
        </w:tabs>
        <w:jc w:val="both"/>
        <w:rPr>
          <w:noProof/>
        </w:rPr>
      </w:pPr>
      <w:r w:rsidRPr="00F64D38">
        <w:rPr>
          <w:noProof/>
        </w:rPr>
        <w:t>Current pre-financing</w:t>
      </w:r>
      <w:r>
        <w:rPr>
          <w:noProof/>
        </w:rPr>
        <w:t xml:space="preserve"> by management mode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0"/>
        <w:gridCol w:w="1999"/>
        <w:gridCol w:w="1999"/>
      </w:tblGrid>
      <w:tr w:rsidR="00FD1E19" w14:paraId="61EBA87B" w14:textId="77777777" w:rsidTr="00BE7E4A">
        <w:trPr>
          <w:trHeight w:val="255"/>
        </w:trPr>
        <w:tc>
          <w:tcPr>
            <w:tcW w:w="1181" w:type="dxa"/>
            <w:gridSpan w:val="3"/>
            <w:tcBorders>
              <w:top w:val="nil"/>
              <w:left w:val="nil"/>
              <w:bottom w:val="nil"/>
              <w:right w:val="nil"/>
              <w:tl2br w:val="nil"/>
              <w:tr2bl w:val="nil"/>
            </w:tcBorders>
            <w:shd w:val="clear" w:color="auto" w:fill="auto"/>
            <w:tcMar>
              <w:left w:w="60" w:type="dxa"/>
              <w:right w:w="60" w:type="dxa"/>
            </w:tcMar>
            <w:vAlign w:val="center"/>
          </w:tcPr>
          <w:p w14:paraId="4010DC99" w14:textId="77777777" w:rsidR="00FD1E19" w:rsidRDefault="00FD1E19" w:rsidP="00BE7E4A">
            <w:pPr>
              <w:pStyle w:val="DMETW37225BIPCFPBMM"/>
              <w:keepNext/>
              <w:keepLines/>
              <w:widowControl w:val="0"/>
              <w:jc w:val="right"/>
              <w:rPr>
                <w:rFonts w:ascii="Verdana" w:eastAsia="Verdana" w:hAnsi="Verdana" w:cs="Verdana"/>
                <w:i/>
                <w:noProof/>
                <w:color w:val="000000"/>
                <w:sz w:val="16"/>
                <w:lang w:bidi="en-GB"/>
              </w:rPr>
            </w:pPr>
            <w:bookmarkStart w:id="74" w:name="DOC_TBL00031_1_1"/>
            <w:bookmarkEnd w:id="74"/>
            <w:r>
              <w:rPr>
                <w:rFonts w:ascii="Verdana" w:eastAsia="Verdana" w:hAnsi="Verdana" w:cs="Verdana"/>
                <w:i/>
                <w:noProof/>
                <w:color w:val="000000"/>
                <w:sz w:val="16"/>
                <w:lang w:bidi="en-GB"/>
              </w:rPr>
              <w:t>EUR million</w:t>
            </w:r>
          </w:p>
        </w:tc>
      </w:tr>
      <w:tr w:rsidR="00FD1E19" w14:paraId="62B769FF" w14:textId="77777777" w:rsidTr="00BE7E4A">
        <w:trPr>
          <w:trHeight w:val="255"/>
        </w:trPr>
        <w:tc>
          <w:tcPr>
            <w:tcW w:w="1181" w:type="dxa"/>
            <w:tcBorders>
              <w:top w:val="nil"/>
              <w:left w:val="nil"/>
              <w:bottom w:val="nil"/>
              <w:right w:val="nil"/>
              <w:tl2br w:val="nil"/>
              <w:tr2bl w:val="nil"/>
            </w:tcBorders>
            <w:shd w:val="solid" w:color="016794" w:fill="FFFFFF"/>
            <w:tcMar>
              <w:left w:w="60" w:type="dxa"/>
              <w:right w:w="60" w:type="dxa"/>
            </w:tcMar>
            <w:vAlign w:val="center"/>
          </w:tcPr>
          <w:p w14:paraId="28AB5ACA" w14:textId="77777777" w:rsidR="00FD1E19" w:rsidRDefault="00FD1E19" w:rsidP="00BE7E4A">
            <w:pPr>
              <w:pStyle w:val="DMETW37225BIPCFPBMM"/>
              <w:keepNext/>
              <w:keepLines/>
              <w:widowControl w:val="0"/>
              <w:jc w:val="right"/>
              <w:rPr>
                <w:rFonts w:ascii="Verdana" w:eastAsia="Verdana" w:hAnsi="Verdana" w:cs="Verdana"/>
                <w:noProof/>
                <w:color w:val="FFFFFF"/>
                <w:sz w:val="18"/>
              </w:rPr>
            </w:pPr>
          </w:p>
        </w:tc>
        <w:tc>
          <w:tcPr>
            <w:tcW w:w="410" w:type="dxa"/>
            <w:tcBorders>
              <w:top w:val="nil"/>
              <w:left w:val="nil"/>
              <w:bottom w:val="nil"/>
              <w:right w:val="nil"/>
              <w:tl2br w:val="nil"/>
              <w:tr2bl w:val="nil"/>
            </w:tcBorders>
            <w:shd w:val="solid" w:color="016794" w:fill="FFFFFF"/>
            <w:tcMar>
              <w:left w:w="60" w:type="dxa"/>
              <w:right w:w="60" w:type="dxa"/>
            </w:tcMar>
            <w:vAlign w:val="center"/>
          </w:tcPr>
          <w:p w14:paraId="50C6C4A2" w14:textId="77777777" w:rsidR="00FD1E19" w:rsidRDefault="00FD1E19" w:rsidP="00BE7E4A">
            <w:pPr>
              <w:pStyle w:val="DMETW37225BIPCFPBMM"/>
              <w:keepNext/>
              <w:keepLines/>
              <w:widowControl w:val="0"/>
              <w:jc w:val="right"/>
              <w:rPr>
                <w:rFonts w:ascii="Verdana" w:eastAsia="Verdana" w:hAnsi="Verdana" w:cs="Verdana"/>
                <w:noProof/>
                <w:color w:val="FFFFFF"/>
              </w:rPr>
            </w:pPr>
            <w:r>
              <w:rPr>
                <w:rFonts w:ascii="Verdana" w:eastAsia="Verdana" w:hAnsi="Verdana" w:cs="Verdana"/>
                <w:noProof/>
                <w:color w:val="FFFFFF"/>
              </w:rPr>
              <w:t>31.12.2025</w:t>
            </w:r>
          </w:p>
        </w:tc>
        <w:tc>
          <w:tcPr>
            <w:tcW w:w="410" w:type="dxa"/>
            <w:tcBorders>
              <w:top w:val="nil"/>
              <w:left w:val="nil"/>
              <w:bottom w:val="nil"/>
              <w:right w:val="nil"/>
              <w:tl2br w:val="nil"/>
              <w:tr2bl w:val="nil"/>
            </w:tcBorders>
            <w:shd w:val="solid" w:color="016794" w:fill="FFFFFF"/>
            <w:tcMar>
              <w:left w:w="60" w:type="dxa"/>
              <w:right w:w="60" w:type="dxa"/>
            </w:tcMar>
            <w:vAlign w:val="center"/>
          </w:tcPr>
          <w:p w14:paraId="74725F1A" w14:textId="77777777" w:rsidR="00FD1E19" w:rsidRDefault="00FD1E19" w:rsidP="00BE7E4A">
            <w:pPr>
              <w:pStyle w:val="DMETW37225BIPCFPBMM"/>
              <w:keepNext/>
              <w:keepLines/>
              <w:widowControl w:val="0"/>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7586FD10"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316A37BA" w14:textId="77777777" w:rsidR="00FD1E19" w:rsidRDefault="00FD1E19" w:rsidP="00BE7E4A">
            <w:pPr>
              <w:pStyle w:val="DMETW37225BIPCFPBMM"/>
              <w:keepNext/>
              <w:keepLines/>
              <w:widowControl w:val="0"/>
              <w:rPr>
                <w:rFonts w:ascii="Verdana" w:eastAsia="Verdana" w:hAnsi="Verdana" w:cs="Verdana"/>
                <w:b/>
                <w:noProof/>
                <w:color w:val="000000"/>
                <w:sz w:val="18"/>
              </w:rPr>
            </w:pPr>
            <w:r>
              <w:rPr>
                <w:rFonts w:ascii="Verdana" w:eastAsia="Verdana" w:hAnsi="Verdana" w:cs="Verdana"/>
                <w:b/>
                <w:noProof/>
                <w:color w:val="000000"/>
                <w:sz w:val="18"/>
              </w:rPr>
              <w:t>Direct Management</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52E8971D" w14:textId="77777777" w:rsidR="00FD1E19" w:rsidRDefault="00FD1E19" w:rsidP="00BE7E4A">
            <w:pPr>
              <w:pStyle w:val="DMETW37225BIPCFPBMM"/>
              <w:keepNext/>
              <w:keepLines/>
              <w:widowControl w:val="0"/>
              <w:rPr>
                <w:rFonts w:ascii="Verdana" w:eastAsia="Verdana" w:hAnsi="Verdana" w:cs="Verdana"/>
                <w:b/>
                <w:noProof/>
                <w:color w:val="000000"/>
                <w:sz w:val="18"/>
              </w:rPr>
            </w:pPr>
          </w:p>
        </w:tc>
        <w:tc>
          <w:tcPr>
            <w:tcW w:w="410" w:type="dxa"/>
            <w:tcBorders>
              <w:top w:val="nil"/>
              <w:left w:val="nil"/>
              <w:bottom w:val="nil"/>
              <w:right w:val="nil"/>
              <w:tl2br w:val="nil"/>
              <w:tr2bl w:val="nil"/>
            </w:tcBorders>
            <w:shd w:val="clear" w:color="auto" w:fill="auto"/>
            <w:tcMar>
              <w:left w:w="60" w:type="dxa"/>
              <w:right w:w="60" w:type="dxa"/>
            </w:tcMar>
            <w:vAlign w:val="center"/>
          </w:tcPr>
          <w:p w14:paraId="3FFA0462" w14:textId="77777777" w:rsidR="00FD1E19" w:rsidRDefault="00FD1E19" w:rsidP="00BE7E4A">
            <w:pPr>
              <w:pStyle w:val="DMETW37225BIPCFPBMM"/>
              <w:keepNext/>
              <w:keepLines/>
              <w:widowControl w:val="0"/>
              <w:rPr>
                <w:rFonts w:ascii="Verdana" w:eastAsia="Verdana" w:hAnsi="Verdana" w:cs="Verdana"/>
                <w:b/>
                <w:noProof/>
                <w:color w:val="000000"/>
                <w:sz w:val="18"/>
                <w:lang w:bidi="en-GB"/>
              </w:rPr>
            </w:pPr>
          </w:p>
        </w:tc>
      </w:tr>
      <w:tr w:rsidR="00FD1E19" w14:paraId="2F43E400"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56A74A5E"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Implemented by:</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6ADCE637"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p>
        </w:tc>
        <w:tc>
          <w:tcPr>
            <w:tcW w:w="410" w:type="dxa"/>
            <w:tcBorders>
              <w:top w:val="nil"/>
              <w:left w:val="nil"/>
              <w:bottom w:val="nil"/>
              <w:right w:val="nil"/>
              <w:tl2br w:val="nil"/>
              <w:tr2bl w:val="nil"/>
            </w:tcBorders>
            <w:shd w:val="clear" w:color="auto" w:fill="auto"/>
            <w:tcMar>
              <w:left w:w="60" w:type="dxa"/>
              <w:right w:w="60" w:type="dxa"/>
            </w:tcMar>
            <w:vAlign w:val="center"/>
          </w:tcPr>
          <w:p w14:paraId="3778C5AA"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p>
        </w:tc>
      </w:tr>
      <w:tr w:rsidR="00FD1E19" w14:paraId="0A54C3A9"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5A8E944A"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Commission</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2ADBAEE1"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40</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48D0B8F7"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37</w:t>
            </w:r>
          </w:p>
        </w:tc>
      </w:tr>
      <w:tr w:rsidR="00FD1E19" w14:paraId="2DEB5223"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70E2DB65"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EU executive agencies</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4A07A9F3"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230FBDA6"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60E52A24" w14:textId="77777777" w:rsidTr="00BE7E4A">
        <w:trPr>
          <w:trHeight w:val="255"/>
        </w:trPr>
        <w:tc>
          <w:tcPr>
            <w:tcW w:w="1181" w:type="dxa"/>
            <w:tcBorders>
              <w:top w:val="nil"/>
              <w:left w:val="nil"/>
              <w:bottom w:val="single" w:sz="4" w:space="0" w:color="016794"/>
              <w:right w:val="nil"/>
              <w:tl2br w:val="nil"/>
              <w:tr2bl w:val="nil"/>
            </w:tcBorders>
            <w:shd w:val="clear" w:color="auto" w:fill="auto"/>
            <w:tcMar>
              <w:left w:w="60" w:type="dxa"/>
              <w:right w:w="60" w:type="dxa"/>
            </w:tcMar>
            <w:vAlign w:val="center"/>
          </w:tcPr>
          <w:p w14:paraId="37BAD179"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EU delegations</w:t>
            </w:r>
          </w:p>
        </w:tc>
        <w:tc>
          <w:tcPr>
            <w:tcW w:w="410" w:type="dxa"/>
            <w:tcBorders>
              <w:top w:val="nil"/>
              <w:left w:val="nil"/>
              <w:bottom w:val="single" w:sz="4" w:space="0" w:color="016794"/>
              <w:right w:val="nil"/>
              <w:tl2br w:val="nil"/>
              <w:tr2bl w:val="nil"/>
            </w:tcBorders>
            <w:shd w:val="clear" w:color="auto" w:fill="auto"/>
            <w:tcMar>
              <w:left w:w="60" w:type="dxa"/>
              <w:right w:w="60" w:type="dxa"/>
            </w:tcMar>
            <w:vAlign w:val="center"/>
          </w:tcPr>
          <w:p w14:paraId="1502D0BF"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21</w:t>
            </w:r>
          </w:p>
        </w:tc>
        <w:tc>
          <w:tcPr>
            <w:tcW w:w="410" w:type="dxa"/>
            <w:tcBorders>
              <w:top w:val="nil"/>
              <w:left w:val="nil"/>
              <w:bottom w:val="single" w:sz="4" w:space="0" w:color="016794"/>
              <w:right w:val="nil"/>
              <w:tl2br w:val="nil"/>
              <w:tr2bl w:val="nil"/>
            </w:tcBorders>
            <w:shd w:val="clear" w:color="auto" w:fill="auto"/>
            <w:tcMar>
              <w:left w:w="60" w:type="dxa"/>
              <w:right w:w="60" w:type="dxa"/>
            </w:tcMar>
            <w:vAlign w:val="center"/>
          </w:tcPr>
          <w:p w14:paraId="280EF54C"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47</w:t>
            </w:r>
          </w:p>
        </w:tc>
      </w:tr>
      <w:tr w:rsidR="00FD1E19" w14:paraId="43389296" w14:textId="77777777" w:rsidTr="00BE7E4A">
        <w:trPr>
          <w:trHeight w:val="255"/>
        </w:trPr>
        <w:tc>
          <w:tcPr>
            <w:tcW w:w="118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28E967F" w14:textId="77777777" w:rsidR="00FD1E19" w:rsidRDefault="00FD1E19" w:rsidP="00BE7E4A">
            <w:pPr>
              <w:pStyle w:val="DMETW37225BIPCFPBMM"/>
              <w:keepNext/>
              <w:keepLines/>
              <w:widowControl w:val="0"/>
              <w:jc w:val="right"/>
              <w:rPr>
                <w:rFonts w:ascii="Verdana" w:eastAsia="Verdana" w:hAnsi="Verdana" w:cs="Verdana"/>
                <w:b/>
                <w:noProof/>
                <w:color w:val="000000"/>
                <w:sz w:val="18"/>
              </w:rPr>
            </w:pPr>
          </w:p>
        </w:tc>
        <w:tc>
          <w:tcPr>
            <w:tcW w:w="41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33063CC" w14:textId="77777777" w:rsidR="00FD1E19" w:rsidRDefault="00FD1E19" w:rsidP="00BE7E4A">
            <w:pPr>
              <w:pStyle w:val="DMETW37225BIPCFPBMM"/>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61</w:t>
            </w:r>
          </w:p>
        </w:tc>
        <w:tc>
          <w:tcPr>
            <w:tcW w:w="41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27164E6" w14:textId="77777777" w:rsidR="00FD1E19" w:rsidRDefault="00FD1E19" w:rsidP="00BE7E4A">
            <w:pPr>
              <w:pStyle w:val="DMETW37225BIPCFPBMM"/>
              <w:keepNext/>
              <w:keepLines/>
              <w:widowControl w:val="0"/>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86</w:t>
            </w:r>
          </w:p>
        </w:tc>
      </w:tr>
      <w:tr w:rsidR="00FD1E19" w14:paraId="23918F48" w14:textId="77777777" w:rsidTr="00BE7E4A">
        <w:trPr>
          <w:trHeight w:val="255"/>
        </w:trPr>
        <w:tc>
          <w:tcPr>
            <w:tcW w:w="1181" w:type="dxa"/>
            <w:tcBorders>
              <w:top w:val="single" w:sz="4" w:space="0" w:color="016794"/>
              <w:left w:val="nil"/>
              <w:bottom w:val="nil"/>
              <w:right w:val="nil"/>
              <w:tl2br w:val="nil"/>
              <w:tr2bl w:val="nil"/>
            </w:tcBorders>
            <w:shd w:val="clear" w:color="auto" w:fill="auto"/>
            <w:tcMar>
              <w:left w:w="60" w:type="dxa"/>
              <w:right w:w="60" w:type="dxa"/>
            </w:tcMar>
            <w:vAlign w:val="center"/>
          </w:tcPr>
          <w:p w14:paraId="6C5C65D2" w14:textId="77777777" w:rsidR="00FD1E19" w:rsidRDefault="00FD1E19" w:rsidP="00BE7E4A">
            <w:pPr>
              <w:pStyle w:val="DMETW37225BIPCFPBMM"/>
              <w:keepNext/>
              <w:keepLines/>
              <w:widowControl w:val="0"/>
              <w:rPr>
                <w:rFonts w:ascii="Verdana" w:eastAsia="Verdana" w:hAnsi="Verdana" w:cs="Verdana"/>
                <w:b/>
                <w:i/>
                <w:noProof/>
                <w:color w:val="000000"/>
                <w:sz w:val="18"/>
              </w:rPr>
            </w:pPr>
            <w:r>
              <w:rPr>
                <w:rFonts w:ascii="Verdana" w:eastAsia="Verdana" w:hAnsi="Verdana" w:cs="Verdana"/>
                <w:b/>
                <w:i/>
                <w:noProof/>
                <w:color w:val="000000"/>
                <w:sz w:val="18"/>
              </w:rPr>
              <w:t>Indirect Management</w:t>
            </w:r>
          </w:p>
        </w:tc>
        <w:tc>
          <w:tcPr>
            <w:tcW w:w="410" w:type="dxa"/>
            <w:tcBorders>
              <w:top w:val="single" w:sz="4" w:space="0" w:color="016794"/>
              <w:left w:val="nil"/>
              <w:bottom w:val="nil"/>
              <w:right w:val="nil"/>
              <w:tl2br w:val="nil"/>
              <w:tr2bl w:val="nil"/>
            </w:tcBorders>
            <w:shd w:val="clear" w:color="auto" w:fill="auto"/>
            <w:tcMar>
              <w:left w:w="60" w:type="dxa"/>
              <w:right w:w="60" w:type="dxa"/>
            </w:tcMar>
            <w:vAlign w:val="center"/>
          </w:tcPr>
          <w:p w14:paraId="2FBB279F"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p>
        </w:tc>
        <w:tc>
          <w:tcPr>
            <w:tcW w:w="410" w:type="dxa"/>
            <w:tcBorders>
              <w:top w:val="single" w:sz="4" w:space="0" w:color="016794"/>
              <w:left w:val="nil"/>
              <w:bottom w:val="nil"/>
              <w:right w:val="nil"/>
              <w:tl2br w:val="nil"/>
              <w:tr2bl w:val="nil"/>
            </w:tcBorders>
            <w:shd w:val="clear" w:color="auto" w:fill="auto"/>
            <w:tcMar>
              <w:left w:w="60" w:type="dxa"/>
              <w:right w:w="60" w:type="dxa"/>
            </w:tcMar>
            <w:vAlign w:val="center"/>
          </w:tcPr>
          <w:p w14:paraId="39EBBBD4"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p>
        </w:tc>
      </w:tr>
      <w:tr w:rsidR="00FD1E19" w14:paraId="690C3780"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223279C6"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Implemented by :</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057678C0"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p>
        </w:tc>
        <w:tc>
          <w:tcPr>
            <w:tcW w:w="410" w:type="dxa"/>
            <w:tcBorders>
              <w:top w:val="nil"/>
              <w:left w:val="nil"/>
              <w:bottom w:val="nil"/>
              <w:right w:val="nil"/>
              <w:tl2br w:val="nil"/>
              <w:tr2bl w:val="nil"/>
            </w:tcBorders>
            <w:shd w:val="clear" w:color="auto" w:fill="auto"/>
            <w:tcMar>
              <w:left w:w="60" w:type="dxa"/>
              <w:right w:w="60" w:type="dxa"/>
            </w:tcMar>
            <w:vAlign w:val="center"/>
          </w:tcPr>
          <w:p w14:paraId="2D030CBB"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p>
        </w:tc>
      </w:tr>
      <w:tr w:rsidR="00FD1E19" w14:paraId="414DD150"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14BA13FA"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EIB and EIF</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419D1591"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62</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42513AE9"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62</w:t>
            </w:r>
          </w:p>
        </w:tc>
      </w:tr>
      <w:tr w:rsidR="00FD1E19" w14:paraId="26524179"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6163CDA4"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International organisations</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4CD4F5C7"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248</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20E5AE09"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388</w:t>
            </w:r>
          </w:p>
        </w:tc>
      </w:tr>
      <w:tr w:rsidR="00FD1E19" w14:paraId="3109585C"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3CA68D42"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Private-law bodies with a public service mission</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5C85EFB2"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50</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19496DE3"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71</w:t>
            </w:r>
          </w:p>
        </w:tc>
      </w:tr>
      <w:tr w:rsidR="00FD1E19" w14:paraId="2753A40F"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4E8F926B"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Public-law bodies</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74F0FA45"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79</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5BBE1C61"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77</w:t>
            </w:r>
          </w:p>
        </w:tc>
      </w:tr>
      <w:tr w:rsidR="00FD1E19" w14:paraId="6688B958" w14:textId="77777777" w:rsidTr="00BE7E4A">
        <w:trPr>
          <w:trHeight w:val="255"/>
        </w:trPr>
        <w:tc>
          <w:tcPr>
            <w:tcW w:w="1181" w:type="dxa"/>
            <w:tcBorders>
              <w:top w:val="nil"/>
              <w:left w:val="nil"/>
              <w:bottom w:val="nil"/>
              <w:right w:val="nil"/>
              <w:tl2br w:val="nil"/>
              <w:tr2bl w:val="nil"/>
            </w:tcBorders>
            <w:shd w:val="clear" w:color="auto" w:fill="auto"/>
            <w:tcMar>
              <w:left w:w="60" w:type="dxa"/>
              <w:right w:w="60" w:type="dxa"/>
            </w:tcMar>
            <w:vAlign w:val="center"/>
          </w:tcPr>
          <w:p w14:paraId="4EC99FBA"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Third countries</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280178F7"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29</w:t>
            </w:r>
          </w:p>
        </w:tc>
        <w:tc>
          <w:tcPr>
            <w:tcW w:w="410" w:type="dxa"/>
            <w:tcBorders>
              <w:top w:val="nil"/>
              <w:left w:val="nil"/>
              <w:bottom w:val="nil"/>
              <w:right w:val="nil"/>
              <w:tl2br w:val="nil"/>
              <w:tr2bl w:val="nil"/>
            </w:tcBorders>
            <w:shd w:val="clear" w:color="auto" w:fill="auto"/>
            <w:tcMar>
              <w:left w:w="60" w:type="dxa"/>
              <w:right w:w="60" w:type="dxa"/>
            </w:tcMar>
            <w:vAlign w:val="center"/>
          </w:tcPr>
          <w:p w14:paraId="5B8A5FC4"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56</w:t>
            </w:r>
          </w:p>
        </w:tc>
      </w:tr>
      <w:tr w:rsidR="00FD1E19" w14:paraId="79DFF764" w14:textId="77777777" w:rsidTr="00BE7E4A">
        <w:trPr>
          <w:trHeight w:val="255"/>
        </w:trPr>
        <w:tc>
          <w:tcPr>
            <w:tcW w:w="1181" w:type="dxa"/>
            <w:tcBorders>
              <w:top w:val="nil"/>
              <w:left w:val="nil"/>
              <w:bottom w:val="single" w:sz="4" w:space="0" w:color="016794"/>
              <w:right w:val="nil"/>
              <w:tl2br w:val="nil"/>
              <w:tr2bl w:val="nil"/>
            </w:tcBorders>
            <w:shd w:val="clear" w:color="auto" w:fill="auto"/>
            <w:tcMar>
              <w:left w:w="60" w:type="dxa"/>
              <w:right w:w="60" w:type="dxa"/>
            </w:tcMar>
            <w:vAlign w:val="center"/>
          </w:tcPr>
          <w:p w14:paraId="263B4853" w14:textId="77777777" w:rsidR="00FD1E19" w:rsidRDefault="00FD1E19" w:rsidP="00BE7E4A">
            <w:pPr>
              <w:pStyle w:val="DMETW37225BIPCFPBMM"/>
              <w:keepNext/>
              <w:keepLines/>
              <w:widowControl w:val="0"/>
              <w:rPr>
                <w:rFonts w:ascii="Verdana" w:eastAsia="Verdana" w:hAnsi="Verdana" w:cs="Verdana"/>
                <w:i/>
                <w:noProof/>
                <w:color w:val="000000"/>
                <w:sz w:val="18"/>
              </w:rPr>
            </w:pPr>
            <w:r>
              <w:rPr>
                <w:rFonts w:ascii="Verdana" w:eastAsia="Verdana" w:hAnsi="Verdana" w:cs="Verdana"/>
                <w:i/>
                <w:noProof/>
                <w:color w:val="000000"/>
                <w:sz w:val="18"/>
              </w:rPr>
              <w:t>EU bodies and Public Private Partnership</w:t>
            </w:r>
          </w:p>
        </w:tc>
        <w:tc>
          <w:tcPr>
            <w:tcW w:w="410" w:type="dxa"/>
            <w:tcBorders>
              <w:top w:val="nil"/>
              <w:left w:val="nil"/>
              <w:bottom w:val="single" w:sz="4" w:space="0" w:color="016794"/>
              <w:right w:val="nil"/>
              <w:tl2br w:val="nil"/>
              <w:tr2bl w:val="nil"/>
            </w:tcBorders>
            <w:shd w:val="clear" w:color="auto" w:fill="auto"/>
            <w:tcMar>
              <w:left w:w="60" w:type="dxa"/>
              <w:right w:w="60" w:type="dxa"/>
            </w:tcMar>
            <w:vAlign w:val="center"/>
          </w:tcPr>
          <w:p w14:paraId="4B526C72" w14:textId="77777777" w:rsidR="00FD1E19" w:rsidRDefault="00FD1E19" w:rsidP="00BE7E4A">
            <w:pPr>
              <w:pStyle w:val="DMETW37225BIPCFPBMM"/>
              <w:keepNext/>
              <w:keepLines/>
              <w:widowControl w:val="0"/>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410" w:type="dxa"/>
            <w:tcBorders>
              <w:top w:val="nil"/>
              <w:left w:val="nil"/>
              <w:bottom w:val="single" w:sz="4" w:space="0" w:color="016794"/>
              <w:right w:val="nil"/>
              <w:tl2br w:val="nil"/>
              <w:tr2bl w:val="nil"/>
            </w:tcBorders>
            <w:shd w:val="clear" w:color="auto" w:fill="auto"/>
            <w:tcMar>
              <w:left w:w="60" w:type="dxa"/>
              <w:right w:w="60" w:type="dxa"/>
            </w:tcMar>
            <w:vAlign w:val="center"/>
          </w:tcPr>
          <w:p w14:paraId="34173884" w14:textId="77777777" w:rsidR="00FD1E19" w:rsidRDefault="00FD1E19" w:rsidP="00BE7E4A">
            <w:pPr>
              <w:pStyle w:val="DMETW37225BIPCFPBMM"/>
              <w:keepNext/>
              <w:keepLines/>
              <w:widowControl w:val="0"/>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6D01D28D" w14:textId="77777777" w:rsidTr="00BE7E4A">
        <w:trPr>
          <w:trHeight w:val="255"/>
        </w:trPr>
        <w:tc>
          <w:tcPr>
            <w:tcW w:w="1181" w:type="dxa"/>
            <w:tcBorders>
              <w:top w:val="single" w:sz="4" w:space="0" w:color="016794"/>
              <w:left w:val="nil"/>
              <w:bottom w:val="nil"/>
              <w:right w:val="nil"/>
              <w:tl2br w:val="nil"/>
              <w:tr2bl w:val="nil"/>
            </w:tcBorders>
            <w:shd w:val="clear" w:color="auto" w:fill="auto"/>
            <w:tcMar>
              <w:left w:w="60" w:type="dxa"/>
              <w:right w:w="60" w:type="dxa"/>
            </w:tcMar>
            <w:vAlign w:val="center"/>
          </w:tcPr>
          <w:p w14:paraId="2022B68F" w14:textId="77777777" w:rsidR="00FD1E19" w:rsidRDefault="00FD1E19" w:rsidP="00BE7E4A">
            <w:pPr>
              <w:pStyle w:val="DMETW37225BIPCFPBMM"/>
              <w:keepNext/>
              <w:keepLines/>
              <w:widowControl w:val="0"/>
              <w:jc w:val="right"/>
              <w:rPr>
                <w:rFonts w:ascii="Verdana" w:eastAsia="Verdana" w:hAnsi="Verdana" w:cs="Verdana"/>
                <w:b/>
                <w:noProof/>
                <w:color w:val="000000"/>
                <w:sz w:val="18"/>
              </w:rPr>
            </w:pPr>
          </w:p>
        </w:tc>
        <w:tc>
          <w:tcPr>
            <w:tcW w:w="410" w:type="dxa"/>
            <w:tcBorders>
              <w:top w:val="single" w:sz="4" w:space="0" w:color="016794"/>
              <w:left w:val="nil"/>
              <w:bottom w:val="nil"/>
              <w:right w:val="nil"/>
              <w:tl2br w:val="nil"/>
              <w:tr2bl w:val="nil"/>
            </w:tcBorders>
            <w:shd w:val="clear" w:color="auto" w:fill="auto"/>
            <w:tcMar>
              <w:left w:w="60" w:type="dxa"/>
              <w:right w:w="60" w:type="dxa"/>
            </w:tcMar>
            <w:vAlign w:val="center"/>
          </w:tcPr>
          <w:p w14:paraId="6EC24FE8" w14:textId="77777777" w:rsidR="00FD1E19" w:rsidRDefault="00FD1E19" w:rsidP="00BE7E4A">
            <w:pPr>
              <w:pStyle w:val="DMETW37225BIPCFPBMM"/>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470</w:t>
            </w:r>
          </w:p>
        </w:tc>
        <w:tc>
          <w:tcPr>
            <w:tcW w:w="410" w:type="dxa"/>
            <w:tcBorders>
              <w:top w:val="single" w:sz="4" w:space="0" w:color="016794"/>
              <w:left w:val="nil"/>
              <w:bottom w:val="nil"/>
              <w:right w:val="nil"/>
              <w:tl2br w:val="nil"/>
              <w:tr2bl w:val="nil"/>
            </w:tcBorders>
            <w:shd w:val="clear" w:color="auto" w:fill="auto"/>
            <w:tcMar>
              <w:left w:w="60" w:type="dxa"/>
              <w:right w:w="60" w:type="dxa"/>
            </w:tcMar>
            <w:vAlign w:val="center"/>
          </w:tcPr>
          <w:p w14:paraId="2F806DD2" w14:textId="77777777" w:rsidR="00FD1E19" w:rsidRDefault="00FD1E19" w:rsidP="00BE7E4A">
            <w:pPr>
              <w:pStyle w:val="DMETW37225BIPCFPBMM"/>
              <w:keepNext/>
              <w:keepLines/>
              <w:widowControl w:val="0"/>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655</w:t>
            </w:r>
          </w:p>
        </w:tc>
      </w:tr>
      <w:tr w:rsidR="00FD1E19" w14:paraId="4F9B4E43" w14:textId="77777777" w:rsidTr="00BE7E4A">
        <w:trPr>
          <w:trHeight w:val="255"/>
        </w:trPr>
        <w:tc>
          <w:tcPr>
            <w:tcW w:w="1181" w:type="dxa"/>
            <w:tcBorders>
              <w:top w:val="nil"/>
              <w:left w:val="nil"/>
              <w:bottom w:val="nil"/>
              <w:right w:val="nil"/>
              <w:tl2br w:val="nil"/>
              <w:tr2bl w:val="nil"/>
            </w:tcBorders>
            <w:shd w:val="solid" w:color="CCE1EA" w:fill="FFFFFF"/>
            <w:tcMar>
              <w:left w:w="60" w:type="dxa"/>
              <w:right w:w="60" w:type="dxa"/>
            </w:tcMar>
            <w:vAlign w:val="center"/>
          </w:tcPr>
          <w:p w14:paraId="79F74D13" w14:textId="77777777" w:rsidR="00FD1E19" w:rsidRDefault="00FD1E19" w:rsidP="00BE7E4A">
            <w:pPr>
              <w:pStyle w:val="DMETW37225BIPCFPBMM"/>
              <w:keepNext/>
              <w:keepLines/>
              <w:widowControl w:val="0"/>
              <w:rPr>
                <w:rFonts w:ascii="Verdana" w:eastAsia="Verdana" w:hAnsi="Verdana" w:cs="Verdana"/>
                <w:b/>
                <w:noProof/>
                <w:color w:val="000000"/>
                <w:sz w:val="18"/>
              </w:rPr>
            </w:pPr>
            <w:r>
              <w:rPr>
                <w:rFonts w:ascii="Verdana" w:eastAsia="Verdana" w:hAnsi="Verdana" w:cs="Verdana"/>
                <w:b/>
                <w:noProof/>
                <w:color w:val="000000"/>
                <w:sz w:val="18"/>
              </w:rPr>
              <w:t>Total</w:t>
            </w:r>
          </w:p>
        </w:tc>
        <w:tc>
          <w:tcPr>
            <w:tcW w:w="410" w:type="dxa"/>
            <w:tcBorders>
              <w:top w:val="nil"/>
              <w:left w:val="nil"/>
              <w:bottom w:val="nil"/>
              <w:right w:val="nil"/>
              <w:tl2br w:val="nil"/>
              <w:tr2bl w:val="nil"/>
            </w:tcBorders>
            <w:shd w:val="solid" w:color="CCE1EA" w:fill="FFFFFF"/>
            <w:tcMar>
              <w:left w:w="60" w:type="dxa"/>
              <w:right w:w="60" w:type="dxa"/>
            </w:tcMar>
            <w:vAlign w:val="center"/>
          </w:tcPr>
          <w:p w14:paraId="1F54DACC" w14:textId="77777777" w:rsidR="00FD1E19" w:rsidRDefault="00FD1E19" w:rsidP="00BE7E4A">
            <w:pPr>
              <w:pStyle w:val="DMETW37225BIPCFPBMM"/>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532</w:t>
            </w:r>
          </w:p>
        </w:tc>
        <w:tc>
          <w:tcPr>
            <w:tcW w:w="410" w:type="dxa"/>
            <w:tcBorders>
              <w:top w:val="nil"/>
              <w:left w:val="nil"/>
              <w:bottom w:val="nil"/>
              <w:right w:val="nil"/>
              <w:tl2br w:val="nil"/>
              <w:tr2bl w:val="nil"/>
            </w:tcBorders>
            <w:shd w:val="solid" w:color="CCE1EA" w:fill="FFFFFF"/>
            <w:tcMar>
              <w:left w:w="60" w:type="dxa"/>
              <w:right w:w="60" w:type="dxa"/>
            </w:tcMar>
            <w:vAlign w:val="center"/>
          </w:tcPr>
          <w:p w14:paraId="155A988E" w14:textId="77777777" w:rsidR="00FD1E19" w:rsidRDefault="00FD1E19" w:rsidP="00BE7E4A">
            <w:pPr>
              <w:pStyle w:val="DMETW37225BIPCFPBMM"/>
              <w:keepNext/>
              <w:keepLines/>
              <w:widowControl w:val="0"/>
              <w:jc w:val="right"/>
              <w:rPr>
                <w:rFonts w:ascii="Verdana" w:eastAsia="Verdana" w:hAnsi="Verdana" w:cs="Verdana"/>
                <w:b/>
                <w:noProof/>
                <w:color w:val="000000"/>
                <w:sz w:val="18"/>
              </w:rPr>
            </w:pPr>
            <w:r>
              <w:rPr>
                <w:rFonts w:ascii="Verdana" w:eastAsia="Verdana" w:hAnsi="Verdana" w:cs="Verdana"/>
                <w:b/>
                <w:noProof/>
                <w:color w:val="000000"/>
                <w:sz w:val="18"/>
              </w:rPr>
              <w:t xml:space="preserve">  742</w:t>
            </w:r>
          </w:p>
        </w:tc>
      </w:tr>
    </w:tbl>
    <w:p w14:paraId="14162F8B" w14:textId="77777777" w:rsidR="00FD1E19" w:rsidRPr="00F64D38" w:rsidRDefault="00FD1E19" w:rsidP="00FD1E19">
      <w:pPr>
        <w:pStyle w:val="HEADER3Part2"/>
        <w:jc w:val="both"/>
        <w:rPr>
          <w:noProof/>
        </w:rPr>
      </w:pPr>
      <w:r w:rsidRPr="00F64D38">
        <w:rPr>
          <w:noProof/>
        </w:rPr>
        <w:t>Guarantees received in respect of pre-financing</w:t>
      </w:r>
    </w:p>
    <w:p w14:paraId="322A9AC0" w14:textId="77777777" w:rsidR="00FD1E19" w:rsidRDefault="00FD1E19" w:rsidP="00FD1E19">
      <w:pPr>
        <w:pStyle w:val="Textstand-alone"/>
        <w:keepNext/>
        <w:keepLines/>
      </w:pPr>
      <w:r w:rsidRPr="00ED7C65">
        <w:t>Guarantees are held to secure pre-financing and are released when the final claim under a project is paid.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2"/>
        <w:gridCol w:w="2652"/>
        <w:gridCol w:w="1334"/>
      </w:tblGrid>
      <w:tr w:rsidR="00FD1E19" w14:paraId="5FA5D1B4" w14:textId="77777777" w:rsidTr="00BE7E4A">
        <w:trPr>
          <w:trHeight w:hRule="exact" w:val="255"/>
        </w:trPr>
        <w:tc>
          <w:tcPr>
            <w:tcW w:w="5772" w:type="dxa"/>
            <w:gridSpan w:val="3"/>
            <w:tcBorders>
              <w:top w:val="nil"/>
              <w:left w:val="nil"/>
              <w:bottom w:val="nil"/>
              <w:right w:val="nil"/>
              <w:tl2br w:val="nil"/>
              <w:tr2bl w:val="nil"/>
            </w:tcBorders>
            <w:shd w:val="clear" w:color="auto" w:fill="auto"/>
            <w:tcMar>
              <w:left w:w="60" w:type="dxa"/>
              <w:right w:w="60" w:type="dxa"/>
            </w:tcMar>
            <w:vAlign w:val="center"/>
          </w:tcPr>
          <w:p w14:paraId="277F7485" w14:textId="77777777" w:rsidR="00FD1E19" w:rsidRDefault="00FD1E19" w:rsidP="00BE7E4A">
            <w:pPr>
              <w:pStyle w:val="DMETW37225BIPGUAR"/>
              <w:jc w:val="right"/>
              <w:rPr>
                <w:rFonts w:ascii="Verdana" w:eastAsia="Verdana" w:hAnsi="Verdana" w:cs="Verdana"/>
                <w:i/>
                <w:noProof/>
                <w:color w:val="000000"/>
                <w:sz w:val="16"/>
                <w:lang w:bidi="en-GB"/>
              </w:rPr>
            </w:pPr>
            <w:bookmarkStart w:id="75" w:name="DOC_TBL00011_1_1"/>
            <w:bookmarkEnd w:id="75"/>
            <w:r>
              <w:rPr>
                <w:rFonts w:ascii="Verdana" w:eastAsia="Verdana" w:hAnsi="Verdana" w:cs="Verdana"/>
                <w:i/>
                <w:noProof/>
                <w:color w:val="000000"/>
                <w:sz w:val="16"/>
                <w:lang w:bidi="en-GB"/>
              </w:rPr>
              <w:t>EUR million</w:t>
            </w:r>
          </w:p>
        </w:tc>
      </w:tr>
      <w:tr w:rsidR="00FD1E19" w14:paraId="2E053A1A" w14:textId="77777777" w:rsidTr="00BE7E4A">
        <w:trPr>
          <w:trHeight w:hRule="exact" w:val="255"/>
        </w:trPr>
        <w:tc>
          <w:tcPr>
            <w:tcW w:w="5772" w:type="dxa"/>
            <w:tcBorders>
              <w:top w:val="nil"/>
              <w:left w:val="nil"/>
              <w:bottom w:val="nil"/>
              <w:right w:val="nil"/>
              <w:tl2br w:val="nil"/>
              <w:tr2bl w:val="nil"/>
            </w:tcBorders>
            <w:shd w:val="solid" w:color="016794" w:fill="FFFFFF"/>
            <w:tcMar>
              <w:left w:w="60" w:type="dxa"/>
              <w:right w:w="60" w:type="dxa"/>
            </w:tcMar>
            <w:vAlign w:val="center"/>
          </w:tcPr>
          <w:p w14:paraId="776AD9DA" w14:textId="77777777" w:rsidR="00FD1E19" w:rsidRDefault="00FD1E19" w:rsidP="00BE7E4A">
            <w:pPr>
              <w:pStyle w:val="DMETW37225BIPGUAR"/>
              <w:rPr>
                <w:rFonts w:ascii="Verdana" w:eastAsia="Verdana" w:hAnsi="Verdana" w:cs="Verdana"/>
                <w:noProof/>
                <w:color w:val="FFFFFF"/>
              </w:rPr>
            </w:pPr>
          </w:p>
        </w:tc>
        <w:tc>
          <w:tcPr>
            <w:tcW w:w="2652" w:type="dxa"/>
            <w:tcBorders>
              <w:top w:val="nil"/>
              <w:left w:val="nil"/>
              <w:bottom w:val="nil"/>
              <w:right w:val="nil"/>
              <w:tl2br w:val="nil"/>
              <w:tr2bl w:val="nil"/>
            </w:tcBorders>
            <w:shd w:val="solid" w:color="016794" w:fill="FFFFFF"/>
            <w:tcMar>
              <w:left w:w="60" w:type="dxa"/>
              <w:right w:w="60" w:type="dxa"/>
            </w:tcMar>
            <w:vAlign w:val="center"/>
          </w:tcPr>
          <w:p w14:paraId="59347CE0" w14:textId="77777777" w:rsidR="00FD1E19" w:rsidRDefault="00FD1E19" w:rsidP="00BE7E4A">
            <w:pPr>
              <w:pStyle w:val="DMETW37225BIPGUAR"/>
              <w:jc w:val="right"/>
              <w:rPr>
                <w:rFonts w:ascii="Verdana" w:eastAsia="Verdana" w:hAnsi="Verdana" w:cs="Verdana"/>
                <w:noProof/>
                <w:color w:val="FFFFFF"/>
              </w:rPr>
            </w:pPr>
            <w:r>
              <w:rPr>
                <w:rFonts w:ascii="Verdana" w:eastAsia="Verdana" w:hAnsi="Verdana" w:cs="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14:paraId="4DA780CE" w14:textId="77777777" w:rsidR="00FD1E19" w:rsidRDefault="00FD1E19" w:rsidP="00BE7E4A">
            <w:pPr>
              <w:pStyle w:val="DMETW37225BIPGUAR"/>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6E752AF2" w14:textId="77777777" w:rsidTr="00BE7E4A">
        <w:trPr>
          <w:trHeight w:hRule="exact" w:val="255"/>
        </w:trPr>
        <w:tc>
          <w:tcPr>
            <w:tcW w:w="5772" w:type="dxa"/>
            <w:tcBorders>
              <w:top w:val="nil"/>
              <w:left w:val="nil"/>
              <w:bottom w:val="nil"/>
              <w:right w:val="nil"/>
              <w:tl2br w:val="nil"/>
              <w:tr2bl w:val="nil"/>
            </w:tcBorders>
            <w:shd w:val="clear" w:color="auto" w:fill="auto"/>
            <w:tcMar>
              <w:left w:w="60" w:type="dxa"/>
              <w:right w:w="60" w:type="dxa"/>
            </w:tcMar>
            <w:vAlign w:val="center"/>
          </w:tcPr>
          <w:p w14:paraId="1992B411" w14:textId="77777777" w:rsidR="00FD1E19" w:rsidRDefault="00FD1E19" w:rsidP="00BE7E4A">
            <w:pPr>
              <w:pStyle w:val="DMETW37225BIPGUAR"/>
              <w:rPr>
                <w:rFonts w:ascii="Verdana" w:eastAsia="Verdana" w:hAnsi="Verdana" w:cs="Verdana"/>
                <w:i/>
                <w:noProof/>
                <w:color w:val="000000"/>
                <w:sz w:val="18"/>
              </w:rPr>
            </w:pPr>
            <w:r>
              <w:rPr>
                <w:rFonts w:ascii="Verdana" w:eastAsia="Verdana" w:hAnsi="Verdana" w:cs="Verdana"/>
                <w:i/>
                <w:noProof/>
                <w:color w:val="000000"/>
                <w:sz w:val="18"/>
              </w:rPr>
              <w:t>Guarantees for pre-financing</w:t>
            </w:r>
          </w:p>
        </w:tc>
        <w:tc>
          <w:tcPr>
            <w:tcW w:w="2652" w:type="dxa"/>
            <w:tcBorders>
              <w:top w:val="nil"/>
              <w:left w:val="nil"/>
              <w:bottom w:val="nil"/>
              <w:right w:val="nil"/>
              <w:tl2br w:val="nil"/>
              <w:tr2bl w:val="nil"/>
            </w:tcBorders>
            <w:shd w:val="solid" w:color="FFFFFF" w:fill="FFFFFF"/>
            <w:tcMar>
              <w:left w:w="60" w:type="dxa"/>
              <w:right w:w="60" w:type="dxa"/>
            </w:tcMar>
            <w:vAlign w:val="center"/>
          </w:tcPr>
          <w:p w14:paraId="2C12A1A1" w14:textId="77777777" w:rsidR="00FD1E19" w:rsidRDefault="00FD1E19" w:rsidP="00BE7E4A">
            <w:pPr>
              <w:pStyle w:val="DMETW37225BIPGUAR"/>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334" w:type="dxa"/>
            <w:tcBorders>
              <w:top w:val="nil"/>
              <w:left w:val="nil"/>
              <w:bottom w:val="nil"/>
              <w:right w:val="nil"/>
              <w:tl2br w:val="nil"/>
              <w:tr2bl w:val="nil"/>
            </w:tcBorders>
            <w:shd w:val="solid" w:color="FFFFFF" w:fill="FFFFFF"/>
            <w:tcMar>
              <w:left w:w="60" w:type="dxa"/>
              <w:right w:w="60" w:type="dxa"/>
            </w:tcMar>
            <w:vAlign w:val="center"/>
          </w:tcPr>
          <w:p w14:paraId="61CF72D4" w14:textId="77777777" w:rsidR="00FD1E19" w:rsidRDefault="00FD1E19" w:rsidP="00BE7E4A">
            <w:pPr>
              <w:pStyle w:val="DMETW37225BIPGUAR"/>
              <w:jc w:val="right"/>
              <w:rPr>
                <w:rFonts w:ascii="Verdana" w:eastAsia="Verdana" w:hAnsi="Verdana" w:cs="Verdana"/>
                <w:i/>
                <w:noProof/>
                <w:color w:val="000000"/>
                <w:sz w:val="18"/>
              </w:rPr>
            </w:pPr>
            <w:r>
              <w:rPr>
                <w:rFonts w:ascii="Verdana" w:eastAsia="Verdana" w:hAnsi="Verdana" w:cs="Verdana"/>
                <w:i/>
                <w:noProof/>
                <w:color w:val="000000"/>
                <w:sz w:val="18"/>
              </w:rPr>
              <w:t xml:space="preserve"> 19</w:t>
            </w:r>
          </w:p>
        </w:tc>
      </w:tr>
    </w:tbl>
    <w:p w14:paraId="1FFD7064" w14:textId="77777777" w:rsidR="00FD1E19" w:rsidRPr="00F64D38" w:rsidRDefault="00FD1E19" w:rsidP="00FD1E19">
      <w:pPr>
        <w:pStyle w:val="Textstand-alone"/>
        <w:widowControl w:val="0"/>
        <w:spacing w:after="360"/>
      </w:pPr>
      <w:bookmarkStart w:id="76" w:name="_Hlk161045583"/>
      <w:r w:rsidRPr="003041FD">
        <w:t>The EUR 1</w:t>
      </w:r>
      <w:r>
        <w:t>3</w:t>
      </w:r>
      <w:r w:rsidRPr="003041FD">
        <w:t xml:space="preserve"> million comprises guarantees intended to secure pre-financing paid under direct management, with the EDF being the beneficiary of the guarantee (see </w:t>
      </w:r>
      <w:r>
        <w:t>N</w:t>
      </w:r>
      <w:r w:rsidRPr="003041FD">
        <w:t xml:space="preserve">ote </w:t>
      </w:r>
      <w:r w:rsidRPr="005A6FAC">
        <w:rPr>
          <w:b/>
          <w:bCs/>
        </w:rPr>
        <w:t>4.1</w:t>
      </w:r>
      <w:r w:rsidRPr="003041FD">
        <w:t>). However, most of pre-financing is paid under the indirect management mode, where the beneficiary of the guarantee is not the EDF but the contracting authority. In 202</w:t>
      </w:r>
      <w:r>
        <w:t>5</w:t>
      </w:r>
      <w:r w:rsidRPr="003041FD">
        <w:t xml:space="preserve">, the total value of such guarantees amounted to EUR </w:t>
      </w:r>
      <w:r>
        <w:t>309</w:t>
      </w:r>
      <w:r w:rsidRPr="003041FD">
        <w:t xml:space="preserve"> million.</w:t>
      </w:r>
    </w:p>
    <w:bookmarkEnd w:id="76"/>
    <w:p w14:paraId="58CD6426" w14:textId="77777777" w:rsidR="00FD1E19" w:rsidRPr="00F64D38" w:rsidRDefault="00FD1E19" w:rsidP="00FD1E19">
      <w:pPr>
        <w:pStyle w:val="HEADER2Part2"/>
        <w:ind w:left="3402" w:hanging="3402"/>
        <w:jc w:val="both"/>
        <w:rPr>
          <w:noProof/>
        </w:rPr>
      </w:pPr>
      <w:r w:rsidRPr="00F64D38">
        <w:rPr>
          <w:noProof/>
        </w:rPr>
        <w:t>TRUST FUND CONTRIBUTIONS</w:t>
      </w:r>
    </w:p>
    <w:p w14:paraId="5A87EC01" w14:textId="77777777" w:rsidR="00FD1E19" w:rsidRPr="00ED7C65" w:rsidRDefault="00FD1E19" w:rsidP="00FD1E19">
      <w:pPr>
        <w:pStyle w:val="Textstand-alone"/>
      </w:pPr>
      <w:r w:rsidRPr="00ED7C65">
        <w:t>This heading represents the amount paid as contributions to the EU Trust Fund for Africa and the Bêkou EU Trust Fund. The contributions are net of the costs incurred by the trust funds and attributable to the EDF.</w:t>
      </w:r>
    </w:p>
    <w:p w14:paraId="2B75D947" w14:textId="77777777" w:rsidR="00FD1E19" w:rsidRPr="00F64D38" w:rsidRDefault="00FD1E19" w:rsidP="00FD1E19">
      <w:pPr>
        <w:pStyle w:val="Textstand-alone"/>
        <w:rPr>
          <w:lang w:bidi="en-GB"/>
        </w:rPr>
      </w:pPr>
      <w:r w:rsidRPr="00ED7C65">
        <w:t xml:space="preserve">The </w:t>
      </w:r>
      <w:r>
        <w:t>t</w:t>
      </w:r>
      <w:r w:rsidRPr="00ED7C65">
        <w:t xml:space="preserve">rust </w:t>
      </w:r>
      <w:r>
        <w:t>f</w:t>
      </w:r>
      <w:r w:rsidRPr="00ED7C65">
        <w:t>und contributions are implemented by the EDF under the direct management mode.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9"/>
        <w:gridCol w:w="2018"/>
        <w:gridCol w:w="1462"/>
        <w:gridCol w:w="2036"/>
        <w:gridCol w:w="1583"/>
      </w:tblGrid>
      <w:tr w:rsidR="00FD1E19" w14:paraId="72BC3347" w14:textId="77777777" w:rsidTr="00BE7E4A">
        <w:trPr>
          <w:cantSplit/>
          <w:trHeight w:hRule="exact" w:val="300"/>
        </w:trPr>
        <w:tc>
          <w:tcPr>
            <w:tcW w:w="9758" w:type="dxa"/>
            <w:gridSpan w:val="5"/>
            <w:tcBorders>
              <w:top w:val="nil"/>
              <w:left w:val="nil"/>
              <w:bottom w:val="nil"/>
              <w:right w:val="nil"/>
              <w:tl2br w:val="nil"/>
              <w:tr2bl w:val="nil"/>
            </w:tcBorders>
            <w:shd w:val="clear" w:color="auto" w:fill="auto"/>
            <w:tcMar>
              <w:left w:w="60" w:type="dxa"/>
              <w:right w:w="60" w:type="dxa"/>
            </w:tcMar>
            <w:vAlign w:val="center"/>
          </w:tcPr>
          <w:p w14:paraId="631D3662" w14:textId="77777777" w:rsidR="00FD1E19" w:rsidRDefault="00FD1E19" w:rsidP="00BE7E4A">
            <w:pPr>
              <w:pStyle w:val="DMETW37225BIPTFCONTR"/>
              <w:keepNext/>
              <w:keepLines/>
              <w:jc w:val="right"/>
              <w:rPr>
                <w:rFonts w:ascii="Verdana" w:eastAsia="Verdana" w:hAnsi="Verdana" w:cs="Verdana"/>
                <w:i/>
                <w:noProof/>
                <w:color w:val="000000"/>
                <w:sz w:val="16"/>
                <w:lang w:bidi="en-GB"/>
              </w:rPr>
            </w:pPr>
            <w:bookmarkStart w:id="77" w:name="DOC_TBL00032_1_1"/>
            <w:bookmarkEnd w:id="77"/>
            <w:r>
              <w:rPr>
                <w:rFonts w:ascii="Verdana" w:eastAsia="Verdana" w:hAnsi="Verdana" w:cs="Verdana"/>
                <w:i/>
                <w:noProof/>
                <w:color w:val="000000"/>
                <w:sz w:val="16"/>
                <w:lang w:bidi="en-GB"/>
              </w:rPr>
              <w:t>EUR million</w:t>
            </w:r>
          </w:p>
        </w:tc>
      </w:tr>
      <w:tr w:rsidR="00FD1E19" w14:paraId="40C24AAF" w14:textId="77777777" w:rsidTr="00BE7E4A">
        <w:trPr>
          <w:cantSplit/>
          <w:trHeight w:hRule="exact" w:val="684"/>
        </w:trPr>
        <w:tc>
          <w:tcPr>
            <w:tcW w:w="2659" w:type="dxa"/>
            <w:tcBorders>
              <w:top w:val="nil"/>
              <w:left w:val="nil"/>
              <w:bottom w:val="nil"/>
              <w:right w:val="nil"/>
              <w:tl2br w:val="nil"/>
              <w:tr2bl w:val="nil"/>
            </w:tcBorders>
            <w:shd w:val="solid" w:color="016794" w:fill="FFFFFF"/>
            <w:tcMar>
              <w:left w:w="60" w:type="dxa"/>
              <w:right w:w="60" w:type="dxa"/>
            </w:tcMar>
            <w:vAlign w:val="center"/>
          </w:tcPr>
          <w:p w14:paraId="3908174A" w14:textId="77777777" w:rsidR="00FD1E19" w:rsidRDefault="00FD1E19" w:rsidP="00BE7E4A">
            <w:pPr>
              <w:pStyle w:val="DMETW37225BIPTFCONTR"/>
              <w:keepNext/>
              <w:keepLines/>
              <w:jc w:val="center"/>
              <w:rPr>
                <w:rFonts w:ascii="Verdana" w:eastAsia="Verdana" w:hAnsi="Verdana" w:cs="Verdana"/>
                <w:noProof/>
                <w:color w:val="FFFFFF"/>
                <w:sz w:val="18"/>
              </w:rPr>
            </w:pPr>
          </w:p>
        </w:tc>
        <w:tc>
          <w:tcPr>
            <w:tcW w:w="2018" w:type="dxa"/>
            <w:tcBorders>
              <w:top w:val="nil"/>
              <w:left w:val="nil"/>
              <w:bottom w:val="nil"/>
              <w:right w:val="nil"/>
              <w:tl2br w:val="nil"/>
              <w:tr2bl w:val="nil"/>
            </w:tcBorders>
            <w:shd w:val="solid" w:color="016794" w:fill="FFFFFF"/>
            <w:tcMar>
              <w:left w:w="60" w:type="dxa"/>
              <w:right w:w="60" w:type="dxa"/>
            </w:tcMar>
            <w:vAlign w:val="center"/>
          </w:tcPr>
          <w:p w14:paraId="06724C53" w14:textId="77777777" w:rsidR="00FD1E19" w:rsidRDefault="00FD1E19" w:rsidP="00BE7E4A">
            <w:pPr>
              <w:pStyle w:val="DMETW37225BIPTFCONTR"/>
              <w:keepNext/>
              <w:keepLines/>
              <w:jc w:val="center"/>
              <w:rPr>
                <w:rFonts w:ascii="Verdana" w:eastAsia="Verdana" w:hAnsi="Verdana" w:cs="Verdana"/>
                <w:noProof/>
                <w:color w:val="FFFFFF"/>
                <w:sz w:val="18"/>
              </w:rPr>
            </w:pPr>
            <w:r>
              <w:rPr>
                <w:rFonts w:ascii="Verdana" w:eastAsia="Verdana" w:hAnsi="Verdana" w:cs="Verdana"/>
                <w:noProof/>
                <w:color w:val="FFFFFF"/>
                <w:sz w:val="18"/>
              </w:rPr>
              <w:t>Net contribution at 31.12.2024</w:t>
            </w:r>
          </w:p>
        </w:tc>
        <w:tc>
          <w:tcPr>
            <w:tcW w:w="1462" w:type="dxa"/>
            <w:tcBorders>
              <w:top w:val="nil"/>
              <w:left w:val="nil"/>
              <w:bottom w:val="nil"/>
              <w:right w:val="nil"/>
              <w:tl2br w:val="nil"/>
              <w:tr2bl w:val="nil"/>
            </w:tcBorders>
            <w:shd w:val="solid" w:color="016794" w:fill="FFFFFF"/>
            <w:tcMar>
              <w:left w:w="60" w:type="dxa"/>
              <w:right w:w="60" w:type="dxa"/>
            </w:tcMar>
            <w:vAlign w:val="center"/>
          </w:tcPr>
          <w:p w14:paraId="69E6C8D8" w14:textId="77777777" w:rsidR="00FD1E19" w:rsidRDefault="00FD1E19" w:rsidP="00BE7E4A">
            <w:pPr>
              <w:pStyle w:val="DMETW37225BIPTFCONTR"/>
              <w:keepNext/>
              <w:keepLines/>
              <w:jc w:val="center"/>
              <w:rPr>
                <w:rFonts w:ascii="Verdana" w:eastAsia="Verdana" w:hAnsi="Verdana" w:cs="Verdana"/>
                <w:noProof/>
                <w:color w:val="FFFFFF"/>
                <w:sz w:val="18"/>
              </w:rPr>
            </w:pPr>
            <w:r>
              <w:rPr>
                <w:rFonts w:ascii="Verdana" w:eastAsia="Verdana" w:hAnsi="Verdana" w:cs="Verdana"/>
                <w:noProof/>
                <w:color w:val="FFFFFF"/>
                <w:sz w:val="18"/>
              </w:rPr>
              <w:t>Contributions paid in 2025</w:t>
            </w:r>
          </w:p>
        </w:tc>
        <w:tc>
          <w:tcPr>
            <w:tcW w:w="2036" w:type="dxa"/>
            <w:tcBorders>
              <w:top w:val="nil"/>
              <w:left w:val="nil"/>
              <w:bottom w:val="nil"/>
              <w:right w:val="nil"/>
              <w:tl2br w:val="nil"/>
              <w:tr2bl w:val="nil"/>
            </w:tcBorders>
            <w:shd w:val="solid" w:color="016794" w:fill="FFFFFF"/>
            <w:tcMar>
              <w:left w:w="60" w:type="dxa"/>
              <w:right w:w="60" w:type="dxa"/>
            </w:tcMar>
            <w:vAlign w:val="center"/>
          </w:tcPr>
          <w:p w14:paraId="55B3E541" w14:textId="77777777" w:rsidR="00FD1E19" w:rsidRDefault="00FD1E19" w:rsidP="00BE7E4A">
            <w:pPr>
              <w:pStyle w:val="DMETW37225BIPTFCONTR"/>
              <w:keepNext/>
              <w:keepLines/>
              <w:jc w:val="center"/>
              <w:rPr>
                <w:rFonts w:ascii="Verdana" w:eastAsia="Verdana" w:hAnsi="Verdana" w:cs="Verdana"/>
                <w:noProof/>
                <w:color w:val="FFFFFF"/>
                <w:sz w:val="18"/>
              </w:rPr>
            </w:pPr>
            <w:r>
              <w:rPr>
                <w:rFonts w:ascii="Verdana" w:eastAsia="Verdana" w:hAnsi="Verdana" w:cs="Verdana"/>
                <w:noProof/>
                <w:color w:val="FFFFFF"/>
                <w:sz w:val="18"/>
              </w:rPr>
              <w:t>Allocation of TF's net expenses  2025</w:t>
            </w:r>
          </w:p>
        </w:tc>
        <w:tc>
          <w:tcPr>
            <w:tcW w:w="1583" w:type="dxa"/>
            <w:tcBorders>
              <w:top w:val="nil"/>
              <w:left w:val="nil"/>
              <w:bottom w:val="nil"/>
              <w:right w:val="nil"/>
              <w:tl2br w:val="nil"/>
              <w:tr2bl w:val="nil"/>
            </w:tcBorders>
            <w:shd w:val="solid" w:color="016794" w:fill="FFFFFF"/>
            <w:tcMar>
              <w:left w:w="60" w:type="dxa"/>
              <w:right w:w="60" w:type="dxa"/>
            </w:tcMar>
            <w:vAlign w:val="center"/>
          </w:tcPr>
          <w:p w14:paraId="716EBFD5" w14:textId="77777777" w:rsidR="00FD1E19" w:rsidRDefault="00FD1E19" w:rsidP="00BE7E4A">
            <w:pPr>
              <w:pStyle w:val="DMETW37225BIPTFCONTR"/>
              <w:keepNext/>
              <w:keepLines/>
              <w:jc w:val="center"/>
              <w:rPr>
                <w:rFonts w:ascii="Verdana" w:eastAsia="Verdana" w:hAnsi="Verdana" w:cs="Verdana"/>
                <w:noProof/>
                <w:color w:val="FFFFFF"/>
                <w:sz w:val="18"/>
                <w:lang w:bidi="en-GB"/>
              </w:rPr>
            </w:pPr>
            <w:r>
              <w:rPr>
                <w:rFonts w:ascii="Verdana" w:eastAsia="Verdana" w:hAnsi="Verdana" w:cs="Verdana"/>
                <w:noProof/>
                <w:color w:val="FFFFFF"/>
                <w:sz w:val="18"/>
              </w:rPr>
              <w:t>Net contribution at 31.12.2025</w:t>
            </w:r>
          </w:p>
        </w:tc>
      </w:tr>
      <w:tr w:rsidR="00FD1E19" w14:paraId="3CDC5FE5" w14:textId="77777777" w:rsidTr="00BE7E4A">
        <w:trPr>
          <w:cantSplit/>
          <w:trHeight w:hRule="exact" w:val="228"/>
        </w:trPr>
        <w:tc>
          <w:tcPr>
            <w:tcW w:w="2659" w:type="dxa"/>
            <w:tcBorders>
              <w:top w:val="nil"/>
              <w:left w:val="nil"/>
              <w:bottom w:val="nil"/>
              <w:right w:val="nil"/>
              <w:tl2br w:val="nil"/>
              <w:tr2bl w:val="nil"/>
            </w:tcBorders>
            <w:shd w:val="clear" w:color="auto" w:fill="auto"/>
            <w:tcMar>
              <w:left w:w="60" w:type="dxa"/>
              <w:right w:w="60" w:type="dxa"/>
            </w:tcMar>
            <w:vAlign w:val="center"/>
          </w:tcPr>
          <w:p w14:paraId="78B80299" w14:textId="77777777" w:rsidR="00FD1E19" w:rsidRDefault="00FD1E19" w:rsidP="00BE7E4A">
            <w:pPr>
              <w:pStyle w:val="DMETW37225BIPTFCONTR"/>
              <w:keepNext/>
              <w:keepLines/>
              <w:rPr>
                <w:rFonts w:ascii="Verdana" w:eastAsia="Verdana" w:hAnsi="Verdana" w:cs="Verdana"/>
                <w:i/>
                <w:noProof/>
                <w:color w:val="000000"/>
                <w:sz w:val="18"/>
              </w:rPr>
            </w:pPr>
            <w:r>
              <w:rPr>
                <w:rFonts w:ascii="Verdana" w:eastAsia="Verdana" w:hAnsi="Verdana" w:cs="Verdana"/>
                <w:i/>
                <w:noProof/>
                <w:color w:val="000000"/>
                <w:sz w:val="18"/>
              </w:rPr>
              <w:t>Africa</w:t>
            </w:r>
          </w:p>
        </w:tc>
        <w:tc>
          <w:tcPr>
            <w:tcW w:w="2018" w:type="dxa"/>
            <w:tcBorders>
              <w:top w:val="nil"/>
              <w:left w:val="nil"/>
              <w:bottom w:val="nil"/>
              <w:right w:val="nil"/>
              <w:tl2br w:val="nil"/>
              <w:tr2bl w:val="nil"/>
            </w:tcBorders>
            <w:shd w:val="clear" w:color="auto" w:fill="auto"/>
            <w:tcMar>
              <w:left w:w="60" w:type="dxa"/>
              <w:right w:w="60" w:type="dxa"/>
            </w:tcMar>
            <w:vAlign w:val="center"/>
          </w:tcPr>
          <w:p w14:paraId="46489E6B" w14:textId="77777777" w:rsidR="00FD1E19" w:rsidRDefault="00FD1E19" w:rsidP="00BE7E4A">
            <w:pPr>
              <w:pStyle w:val="DMETW37225BIPTFCONTR"/>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165</w:t>
            </w:r>
          </w:p>
        </w:tc>
        <w:tc>
          <w:tcPr>
            <w:tcW w:w="1462" w:type="dxa"/>
            <w:tcBorders>
              <w:top w:val="nil"/>
              <w:left w:val="nil"/>
              <w:bottom w:val="nil"/>
              <w:right w:val="nil"/>
              <w:tl2br w:val="nil"/>
              <w:tr2bl w:val="nil"/>
            </w:tcBorders>
            <w:shd w:val="clear" w:color="auto" w:fill="auto"/>
            <w:tcMar>
              <w:left w:w="60" w:type="dxa"/>
              <w:right w:w="60" w:type="dxa"/>
            </w:tcMar>
            <w:vAlign w:val="center"/>
          </w:tcPr>
          <w:p w14:paraId="6AF24C01" w14:textId="77777777" w:rsidR="00FD1E19" w:rsidRDefault="00FD1E19" w:rsidP="00BE7E4A">
            <w:pPr>
              <w:pStyle w:val="DMETW37225BIPTFCONTR"/>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36" w:type="dxa"/>
            <w:tcBorders>
              <w:top w:val="nil"/>
              <w:left w:val="nil"/>
              <w:bottom w:val="nil"/>
              <w:right w:val="nil"/>
              <w:tl2br w:val="nil"/>
              <w:tr2bl w:val="nil"/>
            </w:tcBorders>
            <w:shd w:val="clear" w:color="auto" w:fill="auto"/>
            <w:tcMar>
              <w:left w:w="60" w:type="dxa"/>
              <w:right w:w="60" w:type="dxa"/>
            </w:tcMar>
            <w:vAlign w:val="center"/>
          </w:tcPr>
          <w:p w14:paraId="6C5ABA19" w14:textId="77777777" w:rsidR="00FD1E19" w:rsidRDefault="00FD1E19" w:rsidP="00BE7E4A">
            <w:pPr>
              <w:pStyle w:val="DMETW37225BIPTFCONTR"/>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(91)</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6FA2351C" w14:textId="77777777" w:rsidR="00FD1E19" w:rsidRDefault="00FD1E19" w:rsidP="00BE7E4A">
            <w:pPr>
              <w:pStyle w:val="DMETW37225BIPTFCONTR"/>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74</w:t>
            </w:r>
          </w:p>
        </w:tc>
      </w:tr>
      <w:tr w:rsidR="00FD1E19" w14:paraId="79E9C783" w14:textId="77777777" w:rsidTr="00BE7E4A">
        <w:trPr>
          <w:cantSplit/>
          <w:trHeight w:hRule="exact" w:val="228"/>
        </w:trPr>
        <w:tc>
          <w:tcPr>
            <w:tcW w:w="2659" w:type="dxa"/>
            <w:tcBorders>
              <w:top w:val="nil"/>
              <w:left w:val="nil"/>
              <w:bottom w:val="nil"/>
              <w:right w:val="nil"/>
              <w:tl2br w:val="nil"/>
              <w:tr2bl w:val="nil"/>
            </w:tcBorders>
            <w:shd w:val="clear" w:color="auto" w:fill="auto"/>
            <w:tcMar>
              <w:left w:w="60" w:type="dxa"/>
              <w:right w:w="60" w:type="dxa"/>
            </w:tcMar>
            <w:vAlign w:val="center"/>
          </w:tcPr>
          <w:p w14:paraId="6D579D3E" w14:textId="77777777" w:rsidR="00FD1E19" w:rsidRDefault="00FD1E19" w:rsidP="00BE7E4A">
            <w:pPr>
              <w:pStyle w:val="DMETW37225BIPTFCONTR"/>
              <w:keepNext/>
              <w:keepLines/>
              <w:rPr>
                <w:rFonts w:ascii="Verdana" w:eastAsia="Verdana" w:hAnsi="Verdana" w:cs="Verdana"/>
                <w:i/>
                <w:noProof/>
                <w:color w:val="000000"/>
                <w:sz w:val="18"/>
              </w:rPr>
            </w:pPr>
            <w:r>
              <w:rPr>
                <w:rFonts w:ascii="Verdana" w:eastAsia="Verdana" w:hAnsi="Verdana" w:cs="Verdana"/>
                <w:i/>
                <w:noProof/>
                <w:color w:val="000000"/>
                <w:sz w:val="18"/>
              </w:rPr>
              <w:t>Bêkou</w:t>
            </w:r>
          </w:p>
        </w:tc>
        <w:tc>
          <w:tcPr>
            <w:tcW w:w="2018" w:type="dxa"/>
            <w:tcBorders>
              <w:top w:val="nil"/>
              <w:left w:val="nil"/>
              <w:bottom w:val="nil"/>
              <w:right w:val="nil"/>
              <w:tl2br w:val="nil"/>
              <w:tr2bl w:val="nil"/>
            </w:tcBorders>
            <w:shd w:val="clear" w:color="auto" w:fill="auto"/>
            <w:tcMar>
              <w:left w:w="60" w:type="dxa"/>
              <w:right w:w="60" w:type="dxa"/>
            </w:tcMar>
            <w:vAlign w:val="center"/>
          </w:tcPr>
          <w:p w14:paraId="5538578C" w14:textId="77777777" w:rsidR="00FD1E19" w:rsidRDefault="00FD1E19" w:rsidP="00BE7E4A">
            <w:pPr>
              <w:pStyle w:val="DMETW37225BIPTFCONTR"/>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23</w:t>
            </w:r>
          </w:p>
        </w:tc>
        <w:tc>
          <w:tcPr>
            <w:tcW w:w="1462" w:type="dxa"/>
            <w:tcBorders>
              <w:top w:val="nil"/>
              <w:left w:val="nil"/>
              <w:bottom w:val="nil"/>
              <w:right w:val="nil"/>
              <w:tl2br w:val="nil"/>
              <w:tr2bl w:val="nil"/>
            </w:tcBorders>
            <w:shd w:val="clear" w:color="auto" w:fill="auto"/>
            <w:tcMar>
              <w:left w:w="60" w:type="dxa"/>
              <w:right w:w="60" w:type="dxa"/>
            </w:tcMar>
            <w:vAlign w:val="center"/>
          </w:tcPr>
          <w:p w14:paraId="6D8371CB" w14:textId="77777777" w:rsidR="00FD1E19" w:rsidRDefault="00FD1E19" w:rsidP="00BE7E4A">
            <w:pPr>
              <w:pStyle w:val="DMETW37225BIPTFCONTR"/>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36" w:type="dxa"/>
            <w:tcBorders>
              <w:top w:val="nil"/>
              <w:left w:val="nil"/>
              <w:bottom w:val="nil"/>
              <w:right w:val="nil"/>
              <w:tl2br w:val="nil"/>
              <w:tr2bl w:val="nil"/>
            </w:tcBorders>
            <w:shd w:val="clear" w:color="auto" w:fill="auto"/>
            <w:tcMar>
              <w:left w:w="60" w:type="dxa"/>
              <w:right w:w="60" w:type="dxa"/>
            </w:tcMar>
            <w:vAlign w:val="center"/>
          </w:tcPr>
          <w:p w14:paraId="66B17413" w14:textId="77777777" w:rsidR="00FD1E19" w:rsidRDefault="00FD1E19" w:rsidP="00BE7E4A">
            <w:pPr>
              <w:pStyle w:val="DMETW37225BIPTFCONTR"/>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40BEFC81" w14:textId="77777777" w:rsidR="00FD1E19" w:rsidRDefault="00FD1E19" w:rsidP="00BE7E4A">
            <w:pPr>
              <w:pStyle w:val="DMETW37225BIPTFCONTR"/>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w:t>
            </w:r>
          </w:p>
        </w:tc>
      </w:tr>
      <w:tr w:rsidR="00FD1E19" w14:paraId="2859B59B" w14:textId="77777777" w:rsidTr="00BE7E4A">
        <w:trPr>
          <w:trHeight w:hRule="exact" w:val="228"/>
        </w:trPr>
        <w:tc>
          <w:tcPr>
            <w:tcW w:w="2659" w:type="dxa"/>
            <w:tcBorders>
              <w:top w:val="nil"/>
              <w:left w:val="nil"/>
              <w:bottom w:val="nil"/>
              <w:right w:val="nil"/>
              <w:tl2br w:val="nil"/>
              <w:tr2bl w:val="nil"/>
            </w:tcBorders>
            <w:shd w:val="solid" w:color="CCE1EA" w:fill="FFFFFF"/>
            <w:tcMar>
              <w:left w:w="60" w:type="dxa"/>
              <w:right w:w="60" w:type="dxa"/>
            </w:tcMar>
            <w:vAlign w:val="center"/>
          </w:tcPr>
          <w:p w14:paraId="1897E6F3" w14:textId="77777777" w:rsidR="00FD1E19" w:rsidRDefault="00FD1E19" w:rsidP="00BE7E4A">
            <w:pPr>
              <w:pStyle w:val="DMETW37225BIPTFCONTR"/>
              <w:keepNext/>
              <w:keepLines/>
              <w:rPr>
                <w:rFonts w:ascii="Verdana" w:eastAsia="Verdana" w:hAnsi="Verdana" w:cs="Verdana"/>
                <w:b/>
                <w:noProof/>
                <w:color w:val="000000"/>
                <w:sz w:val="18"/>
              </w:rPr>
            </w:pPr>
            <w:r>
              <w:rPr>
                <w:rFonts w:ascii="Verdana" w:eastAsia="Verdana" w:hAnsi="Verdana" w:cs="Verdana"/>
                <w:b/>
                <w:noProof/>
                <w:color w:val="000000"/>
                <w:sz w:val="18"/>
              </w:rPr>
              <w:t>Total</w:t>
            </w:r>
          </w:p>
        </w:tc>
        <w:tc>
          <w:tcPr>
            <w:tcW w:w="2018" w:type="dxa"/>
            <w:tcBorders>
              <w:top w:val="nil"/>
              <w:left w:val="nil"/>
              <w:bottom w:val="nil"/>
              <w:right w:val="nil"/>
              <w:tl2br w:val="nil"/>
              <w:tr2bl w:val="nil"/>
            </w:tcBorders>
            <w:shd w:val="solid" w:color="CCE1EA" w:fill="FFFFFF"/>
            <w:tcMar>
              <w:left w:w="60" w:type="dxa"/>
              <w:right w:w="60" w:type="dxa"/>
            </w:tcMar>
            <w:vAlign w:val="center"/>
          </w:tcPr>
          <w:p w14:paraId="1683C395" w14:textId="77777777" w:rsidR="00FD1E19" w:rsidRDefault="00FD1E19" w:rsidP="00BE7E4A">
            <w:pPr>
              <w:pStyle w:val="DMETW37225BIPTFCONTR"/>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188</w:t>
            </w:r>
          </w:p>
        </w:tc>
        <w:tc>
          <w:tcPr>
            <w:tcW w:w="1462" w:type="dxa"/>
            <w:tcBorders>
              <w:top w:val="nil"/>
              <w:left w:val="nil"/>
              <w:bottom w:val="nil"/>
              <w:right w:val="nil"/>
              <w:tl2br w:val="nil"/>
              <w:tr2bl w:val="nil"/>
            </w:tcBorders>
            <w:shd w:val="solid" w:color="CCE1EA" w:fill="FFFFFF"/>
            <w:tcMar>
              <w:left w:w="60" w:type="dxa"/>
              <w:right w:w="60" w:type="dxa"/>
            </w:tcMar>
            <w:vAlign w:val="center"/>
          </w:tcPr>
          <w:p w14:paraId="57F2F3A9" w14:textId="77777777" w:rsidR="00FD1E19" w:rsidRDefault="00FD1E19" w:rsidP="00BE7E4A">
            <w:pPr>
              <w:pStyle w:val="DMETW37225BIPTFCONTR"/>
              <w:keepNext/>
              <w:keepLines/>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2036" w:type="dxa"/>
            <w:tcBorders>
              <w:top w:val="nil"/>
              <w:left w:val="nil"/>
              <w:bottom w:val="nil"/>
              <w:right w:val="nil"/>
              <w:tl2br w:val="nil"/>
              <w:tr2bl w:val="nil"/>
            </w:tcBorders>
            <w:shd w:val="solid" w:color="CCE1EA" w:fill="FFFFFF"/>
            <w:tcMar>
              <w:left w:w="60" w:type="dxa"/>
              <w:right w:w="60" w:type="dxa"/>
            </w:tcMar>
            <w:vAlign w:val="center"/>
          </w:tcPr>
          <w:p w14:paraId="1E7A6DA4" w14:textId="77777777" w:rsidR="00FD1E19" w:rsidRDefault="00FD1E19" w:rsidP="00BE7E4A">
            <w:pPr>
              <w:pStyle w:val="DMETW37225BIPTFCONTR"/>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(101)</w:t>
            </w:r>
          </w:p>
        </w:tc>
        <w:tc>
          <w:tcPr>
            <w:tcW w:w="1583" w:type="dxa"/>
            <w:tcBorders>
              <w:top w:val="nil"/>
              <w:left w:val="nil"/>
              <w:bottom w:val="nil"/>
              <w:right w:val="nil"/>
              <w:tl2br w:val="nil"/>
              <w:tr2bl w:val="nil"/>
            </w:tcBorders>
            <w:shd w:val="solid" w:color="CCE1EA" w:fill="FFFFFF"/>
            <w:tcMar>
              <w:left w:w="60" w:type="dxa"/>
              <w:right w:w="60" w:type="dxa"/>
            </w:tcMar>
            <w:vAlign w:val="center"/>
          </w:tcPr>
          <w:p w14:paraId="59CCFED9" w14:textId="77777777" w:rsidR="00FD1E19" w:rsidRDefault="00FD1E19" w:rsidP="00BE7E4A">
            <w:pPr>
              <w:pStyle w:val="DMETW37225BIPTFCONTR"/>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87</w:t>
            </w:r>
          </w:p>
        </w:tc>
      </w:tr>
    </w:tbl>
    <w:p w14:paraId="1498CEEE" w14:textId="77777777" w:rsidR="00FD1E19" w:rsidRDefault="00FD1E19" w:rsidP="00FD1E19">
      <w:pPr>
        <w:pStyle w:val="Textstand-alone"/>
        <w:keepNext/>
        <w:keepLines/>
        <w:rPr>
          <w:lang w:bidi="en-GB"/>
        </w:rPr>
      </w:pPr>
      <w:r w:rsidRPr="005B3C06">
        <w:rPr>
          <w:lang w:val="en-IE" w:bidi="en-GB"/>
        </w:rPr>
        <w:t xml:space="preserve">The decrease compared to the previous year reflects the absence of additional contributions in 2025. </w:t>
      </w:r>
      <w:r w:rsidRPr="00883091">
        <w:rPr>
          <w:lang w:bidi="en-GB"/>
        </w:rPr>
        <w:t xml:space="preserve">Consequently, the balance was driven solely by the utilisation of existing contributions </w:t>
      </w:r>
      <w:r>
        <w:rPr>
          <w:lang w:bidi="en-GB"/>
        </w:rPr>
        <w:t>to cover</w:t>
      </w:r>
      <w:r w:rsidRPr="00883091">
        <w:rPr>
          <w:lang w:bidi="en-GB"/>
        </w:rPr>
        <w:t xml:space="preserve"> expenses incurred during the year.</w:t>
      </w:r>
      <w:r>
        <w:rPr>
          <w:lang w:bidi="en-GB"/>
        </w:rPr>
        <w:t xml:space="preserve"> </w:t>
      </w:r>
    </w:p>
    <w:p w14:paraId="45474F36" w14:textId="77777777" w:rsidR="00FD1E19" w:rsidRPr="005B3C06" w:rsidRDefault="00FD1E19" w:rsidP="00FD1E19">
      <w:pPr>
        <w:pStyle w:val="Textstand-alone"/>
        <w:keepNext/>
        <w:keepLines/>
        <w:rPr>
          <w:lang w:val="en-IE" w:bidi="en-GB"/>
        </w:rPr>
      </w:pPr>
      <w:r w:rsidRPr="005B3C06">
        <w:rPr>
          <w:lang w:val="en-IE" w:bidi="en-GB"/>
        </w:rPr>
        <w:t>This development is consistent with the winding-down of both Trust Funds, which reached the end of their implementation period on 31 December 2025.</w:t>
      </w:r>
      <w:r>
        <w:rPr>
          <w:lang w:val="en-IE" w:bidi="en-GB"/>
        </w:rPr>
        <w:t xml:space="preserve"> </w:t>
      </w:r>
      <w:r w:rsidRPr="005B3C06">
        <w:rPr>
          <w:lang w:val="en-IE" w:bidi="en-GB"/>
        </w:rPr>
        <w:t>As from 1 January 2026, the Trust Funds entered their liquidation phase, during which no new operational activities are undertaken and expenditure is limited to the validation of final reports, the settlement of outstanding balances and the recovery of amounts from beneficiaries.</w:t>
      </w:r>
    </w:p>
    <w:p w14:paraId="5BB6A0C9" w14:textId="77777777" w:rsidR="00FD1E19" w:rsidRPr="00F64D38" w:rsidRDefault="00FD1E19" w:rsidP="00FD1E19">
      <w:pPr>
        <w:pStyle w:val="HEADER2Part2"/>
        <w:tabs>
          <w:tab w:val="clear" w:pos="907"/>
          <w:tab w:val="left" w:pos="851"/>
        </w:tabs>
        <w:rPr>
          <w:noProof/>
        </w:rPr>
      </w:pPr>
      <w:r>
        <w:rPr>
          <w:noProof/>
        </w:rPr>
        <w:t>EXCHANGE RECEIVABLES AND NON-EXCHANGE  RECOVERABLES</w:t>
      </w:r>
    </w:p>
    <w:p w14:paraId="08431484" w14:textId="77777777" w:rsidR="00FD1E19" w:rsidRDefault="00FD1E19" w:rsidP="00FD1E19">
      <w:pPr>
        <w:pStyle w:val="Textstand-alone"/>
      </w:pPr>
      <w:bookmarkStart w:id="78" w:name="BIP_SEL002"/>
      <w:r w:rsidRPr="00F64D38">
        <w:t xml:space="preserve">Exchange transactions are transactions in which the entity receives assets or services, or has liabilities extinguished, and directly gives approximately equal value (primarily in the form of goods, services or use of assets) to the other party in exchange. Non-exchange transactions are transactions in which an entity either receives value from another entity without directly giving approximately equal value in exchange, or gives value to another entity without directly receiving approximately equal value in exchange. </w:t>
      </w:r>
      <w:bookmarkEnd w:id="78"/>
    </w:p>
    <w:p w14:paraId="1076C919" w14:textId="77777777" w:rsidR="00FD1E19" w:rsidRPr="00F64D38" w:rsidRDefault="00FD1E19" w:rsidP="00FD1E19">
      <w:pPr>
        <w:pStyle w:val="HEADER3Part2"/>
        <w:keepNext/>
        <w:keepLines/>
        <w:tabs>
          <w:tab w:val="left" w:pos="3544"/>
        </w:tabs>
        <w:jc w:val="both"/>
        <w:rPr>
          <w:noProof/>
        </w:rPr>
      </w:pPr>
      <w:r>
        <w:rPr>
          <w:noProof/>
        </w:rPr>
        <w:t>Non-current exchange receivables</w:t>
      </w:r>
    </w:p>
    <w:p w14:paraId="380D7FF3" w14:textId="77777777" w:rsidR="00FD1E19" w:rsidRDefault="00FD1E19" w:rsidP="00FD1E19">
      <w:pPr>
        <w:pStyle w:val="Textstand-alone"/>
      </w:pPr>
      <w:r w:rsidRPr="003041FD">
        <w:t>As at 31.12.202</w:t>
      </w:r>
      <w:r>
        <w:t>5</w:t>
      </w:r>
      <w:r w:rsidRPr="003041FD">
        <w:t>, the EDF had EUR 5 million of long-term exchange receivables comprising mainly  deferred charges arising from several financial instruments</w:t>
      </w:r>
      <w:r w:rsidRPr="00B27556">
        <w:t>.</w:t>
      </w:r>
    </w:p>
    <w:p w14:paraId="78F26C22" w14:textId="77777777" w:rsidR="00FD1E19" w:rsidRPr="00F64D38" w:rsidRDefault="00FD1E19" w:rsidP="00FD1E19">
      <w:pPr>
        <w:pStyle w:val="HEADER3Part2"/>
        <w:keepNext/>
        <w:keepLines/>
        <w:tabs>
          <w:tab w:val="left" w:pos="3544"/>
        </w:tabs>
        <w:jc w:val="both"/>
        <w:rPr>
          <w:noProof/>
        </w:rPr>
      </w:pPr>
      <w:r>
        <w:rPr>
          <w:noProof/>
        </w:rPr>
        <w:t>Current non-exchange recoverables and exchange receivables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8"/>
        <w:gridCol w:w="842"/>
        <w:gridCol w:w="2552"/>
        <w:gridCol w:w="1476"/>
      </w:tblGrid>
      <w:tr w:rsidR="00FD1E19" w14:paraId="2418602E" w14:textId="77777777" w:rsidTr="00BE7E4A">
        <w:trPr>
          <w:trHeight w:hRule="exact" w:val="300"/>
        </w:trPr>
        <w:tc>
          <w:tcPr>
            <w:tcW w:w="4888" w:type="dxa"/>
            <w:gridSpan w:val="4"/>
            <w:tcBorders>
              <w:top w:val="nil"/>
              <w:left w:val="nil"/>
              <w:bottom w:val="nil"/>
              <w:right w:val="nil"/>
              <w:tl2br w:val="nil"/>
              <w:tr2bl w:val="nil"/>
            </w:tcBorders>
            <w:shd w:val="clear" w:color="auto" w:fill="auto"/>
            <w:tcMar>
              <w:left w:w="60" w:type="dxa"/>
              <w:right w:w="60" w:type="dxa"/>
            </w:tcMar>
            <w:vAlign w:val="center"/>
          </w:tcPr>
          <w:p w14:paraId="072B52E9" w14:textId="77777777" w:rsidR="00FD1E19" w:rsidRDefault="00FD1E19" w:rsidP="00BE7E4A">
            <w:pPr>
              <w:pStyle w:val="DMETW37225BIPERNER"/>
              <w:jc w:val="right"/>
              <w:rPr>
                <w:rFonts w:ascii="Verdana" w:eastAsia="Verdana" w:hAnsi="Verdana" w:cs="Verdana"/>
                <w:i/>
                <w:noProof/>
                <w:color w:val="000000"/>
                <w:sz w:val="16"/>
                <w:lang w:bidi="en-GB"/>
              </w:rPr>
            </w:pPr>
            <w:bookmarkStart w:id="79" w:name="DOC_TBL00018_1_1"/>
            <w:bookmarkEnd w:id="79"/>
            <w:r>
              <w:rPr>
                <w:rFonts w:ascii="Verdana" w:eastAsia="Verdana" w:hAnsi="Verdana" w:cs="Verdana"/>
                <w:i/>
                <w:noProof/>
                <w:color w:val="000000"/>
                <w:sz w:val="16"/>
                <w:lang w:bidi="en-GB"/>
              </w:rPr>
              <w:t>EUR million</w:t>
            </w:r>
          </w:p>
        </w:tc>
      </w:tr>
      <w:tr w:rsidR="00FD1E19" w14:paraId="5E25699F" w14:textId="77777777" w:rsidTr="00BE7E4A">
        <w:trPr>
          <w:trHeight w:hRule="exact" w:val="252"/>
        </w:trPr>
        <w:tc>
          <w:tcPr>
            <w:tcW w:w="4888" w:type="dxa"/>
            <w:tcBorders>
              <w:top w:val="nil"/>
              <w:left w:val="nil"/>
              <w:bottom w:val="nil"/>
              <w:right w:val="nil"/>
              <w:tl2br w:val="nil"/>
              <w:tr2bl w:val="nil"/>
            </w:tcBorders>
            <w:shd w:val="solid" w:color="016794" w:fill="FFFFFF"/>
            <w:tcMar>
              <w:left w:w="60" w:type="dxa"/>
              <w:right w:w="60" w:type="dxa"/>
            </w:tcMar>
            <w:vAlign w:val="center"/>
          </w:tcPr>
          <w:p w14:paraId="562E8CA4" w14:textId="77777777" w:rsidR="00FD1E19" w:rsidRDefault="00FD1E19" w:rsidP="00BE7E4A">
            <w:pPr>
              <w:pStyle w:val="DMETW37225BIPERNER"/>
              <w:rPr>
                <w:rFonts w:ascii="Verdana" w:eastAsia="Verdana" w:hAnsi="Verdana" w:cs="Verdana"/>
                <w:noProof/>
                <w:color w:val="FFFFFF"/>
              </w:rPr>
            </w:pPr>
          </w:p>
        </w:tc>
        <w:tc>
          <w:tcPr>
            <w:tcW w:w="842" w:type="dxa"/>
            <w:tcBorders>
              <w:top w:val="nil"/>
              <w:left w:val="nil"/>
              <w:bottom w:val="nil"/>
              <w:right w:val="nil"/>
              <w:tl2br w:val="nil"/>
              <w:tr2bl w:val="nil"/>
            </w:tcBorders>
            <w:shd w:val="solid" w:color="016794" w:fill="FFFFFF"/>
            <w:tcMar>
              <w:left w:w="60" w:type="dxa"/>
              <w:right w:w="60" w:type="dxa"/>
            </w:tcMar>
            <w:vAlign w:val="center"/>
          </w:tcPr>
          <w:p w14:paraId="52D657CD" w14:textId="77777777" w:rsidR="00FD1E19" w:rsidRDefault="00FD1E19" w:rsidP="00BE7E4A">
            <w:pPr>
              <w:pStyle w:val="DMETW37225BIPERNER"/>
              <w:jc w:val="right"/>
              <w:rPr>
                <w:rFonts w:ascii="Verdana" w:eastAsia="Verdana" w:hAnsi="Verdana" w:cs="Verdana"/>
                <w:noProof/>
                <w:color w:val="FFFFFF"/>
              </w:rPr>
            </w:pPr>
            <w:r>
              <w:rPr>
                <w:rFonts w:ascii="Verdana" w:eastAsia="Verdana" w:hAnsi="Verdana" w:cs="Verdana"/>
                <w:noProof/>
                <w:color w:val="FFFFFF"/>
              </w:rPr>
              <w:t>Note</w:t>
            </w:r>
          </w:p>
        </w:tc>
        <w:tc>
          <w:tcPr>
            <w:tcW w:w="2552" w:type="dxa"/>
            <w:tcBorders>
              <w:top w:val="nil"/>
              <w:left w:val="nil"/>
              <w:bottom w:val="nil"/>
              <w:right w:val="nil"/>
              <w:tl2br w:val="nil"/>
              <w:tr2bl w:val="nil"/>
            </w:tcBorders>
            <w:shd w:val="solid" w:color="016794" w:fill="FFFFFF"/>
            <w:tcMar>
              <w:left w:w="60" w:type="dxa"/>
              <w:right w:w="60" w:type="dxa"/>
            </w:tcMar>
            <w:vAlign w:val="center"/>
          </w:tcPr>
          <w:p w14:paraId="03F346B7" w14:textId="77777777" w:rsidR="00FD1E19" w:rsidRDefault="00FD1E19" w:rsidP="00BE7E4A">
            <w:pPr>
              <w:pStyle w:val="DMETW37225BIPERNER"/>
              <w:jc w:val="right"/>
              <w:rPr>
                <w:rFonts w:ascii="Verdana" w:eastAsia="Verdana" w:hAnsi="Verdana" w:cs="Verdana"/>
                <w:noProof/>
                <w:color w:val="FFFFFF"/>
              </w:rPr>
            </w:pPr>
            <w:r>
              <w:rPr>
                <w:rFonts w:ascii="Verdana" w:eastAsia="Verdana" w:hAnsi="Verdana" w:cs="Verdana"/>
                <w:noProof/>
                <w:color w:val="FFFFFF"/>
              </w:rPr>
              <w:t>31.12.2025</w:t>
            </w:r>
          </w:p>
        </w:tc>
        <w:tc>
          <w:tcPr>
            <w:tcW w:w="1476" w:type="dxa"/>
            <w:tcBorders>
              <w:top w:val="nil"/>
              <w:left w:val="nil"/>
              <w:bottom w:val="nil"/>
              <w:right w:val="nil"/>
              <w:tl2br w:val="nil"/>
              <w:tr2bl w:val="nil"/>
            </w:tcBorders>
            <w:shd w:val="solid" w:color="016794" w:fill="FFFFFF"/>
            <w:tcMar>
              <w:left w:w="60" w:type="dxa"/>
              <w:right w:w="60" w:type="dxa"/>
            </w:tcMar>
            <w:vAlign w:val="center"/>
          </w:tcPr>
          <w:p w14:paraId="26EC9BE5" w14:textId="77777777" w:rsidR="00FD1E19" w:rsidRDefault="00FD1E19" w:rsidP="00BE7E4A">
            <w:pPr>
              <w:pStyle w:val="DMETW37225BIPERNER"/>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15A091E7" w14:textId="77777777" w:rsidTr="00BE7E4A">
        <w:trPr>
          <w:trHeight w:hRule="exact" w:val="228"/>
        </w:trPr>
        <w:tc>
          <w:tcPr>
            <w:tcW w:w="4888" w:type="dxa"/>
            <w:tcBorders>
              <w:top w:val="nil"/>
              <w:left w:val="nil"/>
              <w:bottom w:val="nil"/>
              <w:right w:val="nil"/>
              <w:tl2br w:val="nil"/>
              <w:tr2bl w:val="nil"/>
            </w:tcBorders>
            <w:shd w:val="clear" w:color="auto" w:fill="auto"/>
            <w:tcMar>
              <w:left w:w="60" w:type="dxa"/>
              <w:right w:w="60" w:type="dxa"/>
            </w:tcMar>
            <w:vAlign w:val="center"/>
          </w:tcPr>
          <w:p w14:paraId="5C51D2E6" w14:textId="77777777" w:rsidR="00FD1E19" w:rsidRDefault="00FD1E19" w:rsidP="00BE7E4A">
            <w:pPr>
              <w:pStyle w:val="DMETW37225BIPERNER"/>
              <w:rPr>
                <w:rFonts w:ascii="Verdana" w:eastAsia="Verdana" w:hAnsi="Verdana" w:cs="Verdana"/>
                <w:i/>
                <w:noProof/>
                <w:color w:val="000000"/>
                <w:sz w:val="18"/>
              </w:rPr>
            </w:pPr>
            <w:r>
              <w:rPr>
                <w:rFonts w:ascii="Verdana" w:eastAsia="Verdana" w:hAnsi="Verdana" w:cs="Verdana"/>
                <w:i/>
                <w:noProof/>
                <w:color w:val="000000"/>
                <w:sz w:val="18"/>
              </w:rPr>
              <w:t>Recoverables from non-exchange transactions</w:t>
            </w:r>
          </w:p>
        </w:tc>
        <w:tc>
          <w:tcPr>
            <w:tcW w:w="842" w:type="dxa"/>
            <w:tcBorders>
              <w:top w:val="nil"/>
              <w:left w:val="nil"/>
              <w:bottom w:val="nil"/>
              <w:right w:val="nil"/>
              <w:tl2br w:val="nil"/>
              <w:tr2bl w:val="nil"/>
            </w:tcBorders>
            <w:shd w:val="solid" w:color="FFFFFF" w:fill="FFFFFF"/>
            <w:tcMar>
              <w:left w:w="60" w:type="dxa"/>
              <w:right w:w="60" w:type="dxa"/>
            </w:tcMar>
            <w:vAlign w:val="center"/>
          </w:tcPr>
          <w:p w14:paraId="4A14AF19" w14:textId="77777777" w:rsidR="00FD1E19" w:rsidRDefault="00FD1E19" w:rsidP="00BE7E4A">
            <w:pPr>
              <w:pStyle w:val="DMETW37225BIPERNER"/>
              <w:jc w:val="center"/>
              <w:rPr>
                <w:rFonts w:ascii="Verdana" w:eastAsia="Verdana" w:hAnsi="Verdana" w:cs="Verdana"/>
                <w:noProof/>
                <w:color w:val="000000"/>
                <w:sz w:val="18"/>
              </w:rPr>
            </w:pPr>
            <w:r>
              <w:rPr>
                <w:rFonts w:ascii="Verdana" w:eastAsia="Verdana" w:hAnsi="Verdana" w:cs="Verdana"/>
                <w:noProof/>
                <w:color w:val="000000"/>
                <w:sz w:val="18"/>
              </w:rPr>
              <w:t>2.4.2.1</w:t>
            </w:r>
          </w:p>
        </w:tc>
        <w:tc>
          <w:tcPr>
            <w:tcW w:w="2552" w:type="dxa"/>
            <w:tcBorders>
              <w:top w:val="nil"/>
              <w:left w:val="nil"/>
              <w:bottom w:val="nil"/>
              <w:right w:val="nil"/>
              <w:tl2br w:val="nil"/>
              <w:tr2bl w:val="nil"/>
            </w:tcBorders>
            <w:shd w:val="solid" w:color="FFFFFF" w:fill="FFFFFF"/>
            <w:tcMar>
              <w:left w:w="60" w:type="dxa"/>
              <w:right w:w="60" w:type="dxa"/>
            </w:tcMar>
            <w:vAlign w:val="center"/>
          </w:tcPr>
          <w:p w14:paraId="168E415A" w14:textId="77777777" w:rsidR="00FD1E19" w:rsidRDefault="00FD1E19" w:rsidP="00BE7E4A">
            <w:pPr>
              <w:pStyle w:val="DMETW37225BIPERNER"/>
              <w:jc w:val="right"/>
              <w:rPr>
                <w:rFonts w:ascii="Verdana" w:eastAsia="Verdana" w:hAnsi="Verdana" w:cs="Verdana"/>
                <w:i/>
                <w:noProof/>
                <w:color w:val="000000"/>
                <w:sz w:val="18"/>
              </w:rPr>
            </w:pPr>
            <w:r>
              <w:rPr>
                <w:rFonts w:ascii="Verdana" w:eastAsia="Verdana" w:hAnsi="Verdana" w:cs="Verdana"/>
                <w:i/>
                <w:noProof/>
                <w:color w:val="000000"/>
                <w:sz w:val="18"/>
              </w:rPr>
              <w:t xml:space="preserve"> 27</w:t>
            </w:r>
          </w:p>
        </w:tc>
        <w:tc>
          <w:tcPr>
            <w:tcW w:w="1476" w:type="dxa"/>
            <w:tcBorders>
              <w:top w:val="nil"/>
              <w:left w:val="nil"/>
              <w:bottom w:val="nil"/>
              <w:right w:val="nil"/>
              <w:tl2br w:val="nil"/>
              <w:tr2bl w:val="nil"/>
            </w:tcBorders>
            <w:shd w:val="solid" w:color="FFFFFF" w:fill="FFFFFF"/>
            <w:tcMar>
              <w:left w:w="60" w:type="dxa"/>
              <w:right w:w="60" w:type="dxa"/>
            </w:tcMar>
            <w:vAlign w:val="center"/>
          </w:tcPr>
          <w:p w14:paraId="6A6DE96B" w14:textId="77777777" w:rsidR="00FD1E19" w:rsidRDefault="00FD1E19" w:rsidP="00BE7E4A">
            <w:pPr>
              <w:pStyle w:val="DMETW37225BIPER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24</w:t>
            </w:r>
          </w:p>
        </w:tc>
      </w:tr>
      <w:tr w:rsidR="00FD1E19" w14:paraId="30AACBC6" w14:textId="77777777" w:rsidTr="00BE7E4A">
        <w:trPr>
          <w:trHeight w:hRule="exact" w:val="228"/>
        </w:trPr>
        <w:tc>
          <w:tcPr>
            <w:tcW w:w="4888" w:type="dxa"/>
            <w:tcBorders>
              <w:top w:val="nil"/>
              <w:left w:val="nil"/>
              <w:bottom w:val="nil"/>
              <w:right w:val="nil"/>
              <w:tl2br w:val="nil"/>
              <w:tr2bl w:val="nil"/>
            </w:tcBorders>
            <w:shd w:val="clear" w:color="auto" w:fill="auto"/>
            <w:tcMar>
              <w:left w:w="60" w:type="dxa"/>
              <w:right w:w="60" w:type="dxa"/>
            </w:tcMar>
            <w:vAlign w:val="center"/>
          </w:tcPr>
          <w:p w14:paraId="4C0A1133" w14:textId="77777777" w:rsidR="00FD1E19" w:rsidRDefault="00FD1E19" w:rsidP="00BE7E4A">
            <w:pPr>
              <w:pStyle w:val="DMETW37225BIPERNER"/>
              <w:rPr>
                <w:rFonts w:ascii="Verdana" w:eastAsia="Verdana" w:hAnsi="Verdana" w:cs="Verdana"/>
                <w:i/>
                <w:noProof/>
                <w:color w:val="000000"/>
                <w:sz w:val="18"/>
              </w:rPr>
            </w:pPr>
            <w:r>
              <w:rPr>
                <w:rFonts w:ascii="Verdana" w:eastAsia="Verdana" w:hAnsi="Verdana" w:cs="Verdana"/>
                <w:i/>
                <w:noProof/>
                <w:color w:val="000000"/>
                <w:sz w:val="18"/>
              </w:rPr>
              <w:t>Receivables from exchange transactions</w:t>
            </w:r>
          </w:p>
        </w:tc>
        <w:tc>
          <w:tcPr>
            <w:tcW w:w="842" w:type="dxa"/>
            <w:tcBorders>
              <w:top w:val="nil"/>
              <w:left w:val="nil"/>
              <w:bottom w:val="nil"/>
              <w:right w:val="nil"/>
              <w:tl2br w:val="nil"/>
              <w:tr2bl w:val="nil"/>
            </w:tcBorders>
            <w:shd w:val="solid" w:color="FFFFFF" w:fill="FFFFFF"/>
            <w:tcMar>
              <w:left w:w="60" w:type="dxa"/>
              <w:right w:w="60" w:type="dxa"/>
            </w:tcMar>
            <w:vAlign w:val="center"/>
          </w:tcPr>
          <w:p w14:paraId="3942B9E7" w14:textId="77777777" w:rsidR="00FD1E19" w:rsidRDefault="00FD1E19" w:rsidP="00BE7E4A">
            <w:pPr>
              <w:pStyle w:val="DMETW37225BIPERNER"/>
              <w:jc w:val="center"/>
              <w:rPr>
                <w:rFonts w:ascii="Verdana" w:eastAsia="Verdana" w:hAnsi="Verdana" w:cs="Verdana"/>
                <w:noProof/>
                <w:color w:val="000000"/>
                <w:sz w:val="18"/>
              </w:rPr>
            </w:pPr>
            <w:r>
              <w:rPr>
                <w:rFonts w:ascii="Verdana" w:eastAsia="Verdana" w:hAnsi="Verdana" w:cs="Verdana"/>
                <w:noProof/>
                <w:color w:val="000000"/>
                <w:sz w:val="18"/>
              </w:rPr>
              <w:t>2.4.2.2</w:t>
            </w:r>
          </w:p>
        </w:tc>
        <w:tc>
          <w:tcPr>
            <w:tcW w:w="2552" w:type="dxa"/>
            <w:tcBorders>
              <w:top w:val="nil"/>
              <w:left w:val="nil"/>
              <w:bottom w:val="nil"/>
              <w:right w:val="nil"/>
              <w:tl2br w:val="nil"/>
              <w:tr2bl w:val="nil"/>
            </w:tcBorders>
            <w:shd w:val="solid" w:color="FFFFFF" w:fill="FFFFFF"/>
            <w:tcMar>
              <w:left w:w="60" w:type="dxa"/>
              <w:right w:w="60" w:type="dxa"/>
            </w:tcMar>
            <w:vAlign w:val="center"/>
          </w:tcPr>
          <w:p w14:paraId="4FE2ADBB" w14:textId="77777777" w:rsidR="00FD1E19" w:rsidRDefault="00FD1E19" w:rsidP="00BE7E4A">
            <w:pPr>
              <w:pStyle w:val="DMETW37225BIPERNER"/>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476" w:type="dxa"/>
            <w:tcBorders>
              <w:top w:val="nil"/>
              <w:left w:val="nil"/>
              <w:bottom w:val="nil"/>
              <w:right w:val="nil"/>
              <w:tl2br w:val="nil"/>
              <w:tr2bl w:val="nil"/>
            </w:tcBorders>
            <w:shd w:val="solid" w:color="FFFFFF" w:fill="FFFFFF"/>
            <w:tcMar>
              <w:left w:w="60" w:type="dxa"/>
              <w:right w:w="60" w:type="dxa"/>
            </w:tcMar>
            <w:vAlign w:val="center"/>
          </w:tcPr>
          <w:p w14:paraId="462FBE78" w14:textId="77777777" w:rsidR="00FD1E19" w:rsidRDefault="00FD1E19" w:rsidP="00BE7E4A">
            <w:pPr>
              <w:pStyle w:val="DMETW37225BIPERNER"/>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w:t>
            </w:r>
          </w:p>
        </w:tc>
      </w:tr>
      <w:tr w:rsidR="00FD1E19" w14:paraId="1DA3FF53" w14:textId="77777777" w:rsidTr="00BE7E4A">
        <w:trPr>
          <w:trHeight w:hRule="exact" w:val="228"/>
        </w:trPr>
        <w:tc>
          <w:tcPr>
            <w:tcW w:w="4888" w:type="dxa"/>
            <w:tcBorders>
              <w:top w:val="nil"/>
              <w:left w:val="nil"/>
              <w:bottom w:val="nil"/>
              <w:right w:val="nil"/>
              <w:tl2br w:val="nil"/>
              <w:tr2bl w:val="nil"/>
            </w:tcBorders>
            <w:shd w:val="solid" w:color="CCE1EA" w:fill="FFFFFF"/>
            <w:tcMar>
              <w:left w:w="60" w:type="dxa"/>
              <w:right w:w="60" w:type="dxa"/>
            </w:tcMar>
            <w:vAlign w:val="center"/>
          </w:tcPr>
          <w:p w14:paraId="23583E07" w14:textId="77777777" w:rsidR="00FD1E19" w:rsidRDefault="00FD1E19" w:rsidP="00BE7E4A">
            <w:pPr>
              <w:pStyle w:val="DMETW37225BIPERNER"/>
              <w:rPr>
                <w:rFonts w:ascii="Verdana" w:eastAsia="Verdana" w:hAnsi="Verdana" w:cs="Verdana"/>
                <w:b/>
                <w:noProof/>
                <w:color w:val="000000"/>
                <w:sz w:val="18"/>
              </w:rPr>
            </w:pPr>
            <w:r>
              <w:rPr>
                <w:rFonts w:ascii="Verdana" w:eastAsia="Verdana" w:hAnsi="Verdana" w:cs="Verdana"/>
                <w:b/>
                <w:noProof/>
                <w:color w:val="000000"/>
                <w:sz w:val="18"/>
              </w:rPr>
              <w:t>Total</w:t>
            </w:r>
          </w:p>
        </w:tc>
        <w:tc>
          <w:tcPr>
            <w:tcW w:w="842" w:type="dxa"/>
            <w:tcBorders>
              <w:top w:val="nil"/>
              <w:left w:val="nil"/>
              <w:bottom w:val="nil"/>
              <w:right w:val="nil"/>
              <w:tl2br w:val="nil"/>
              <w:tr2bl w:val="nil"/>
            </w:tcBorders>
            <w:shd w:val="solid" w:color="CCE1EA" w:fill="FFFFFF"/>
            <w:tcMar>
              <w:left w:w="60" w:type="dxa"/>
              <w:right w:w="60" w:type="dxa"/>
            </w:tcMar>
            <w:vAlign w:val="center"/>
          </w:tcPr>
          <w:p w14:paraId="0B5056E2" w14:textId="77777777" w:rsidR="00FD1E19" w:rsidRDefault="00FD1E19" w:rsidP="00BE7E4A">
            <w:pPr>
              <w:pStyle w:val="DMETW37225BIPERNER"/>
              <w:rPr>
                <w:rFonts w:ascii="Verdana" w:eastAsia="Verdana" w:hAnsi="Verdana" w:cs="Verdana"/>
                <w:b/>
                <w:noProof/>
                <w:color w:val="000000"/>
                <w:sz w:val="18"/>
              </w:rPr>
            </w:pPr>
          </w:p>
        </w:tc>
        <w:tc>
          <w:tcPr>
            <w:tcW w:w="2552" w:type="dxa"/>
            <w:tcBorders>
              <w:top w:val="nil"/>
              <w:left w:val="nil"/>
              <w:bottom w:val="nil"/>
              <w:right w:val="nil"/>
              <w:tl2br w:val="nil"/>
              <w:tr2bl w:val="nil"/>
            </w:tcBorders>
            <w:shd w:val="solid" w:color="CCE1EA" w:fill="FFFFFF"/>
            <w:tcMar>
              <w:left w:w="60" w:type="dxa"/>
              <w:right w:w="60" w:type="dxa"/>
            </w:tcMar>
            <w:vAlign w:val="center"/>
          </w:tcPr>
          <w:p w14:paraId="2421C264" w14:textId="77777777" w:rsidR="00FD1E19" w:rsidRDefault="00FD1E19" w:rsidP="00BE7E4A">
            <w:pPr>
              <w:pStyle w:val="DMETW37225BIPERNER"/>
              <w:jc w:val="right"/>
              <w:rPr>
                <w:rFonts w:ascii="Verdana" w:eastAsia="Verdana" w:hAnsi="Verdana" w:cs="Verdana"/>
                <w:b/>
                <w:noProof/>
                <w:color w:val="000000"/>
                <w:sz w:val="18"/>
              </w:rPr>
            </w:pPr>
            <w:r>
              <w:rPr>
                <w:rFonts w:ascii="Verdana" w:eastAsia="Verdana" w:hAnsi="Verdana" w:cs="Verdana"/>
                <w:b/>
                <w:noProof/>
                <w:color w:val="000000"/>
                <w:sz w:val="18"/>
              </w:rPr>
              <w:t xml:space="preserve">  37</w:t>
            </w:r>
          </w:p>
        </w:tc>
        <w:tc>
          <w:tcPr>
            <w:tcW w:w="1476" w:type="dxa"/>
            <w:tcBorders>
              <w:top w:val="nil"/>
              <w:left w:val="nil"/>
              <w:bottom w:val="nil"/>
              <w:right w:val="nil"/>
              <w:tl2br w:val="nil"/>
              <w:tr2bl w:val="nil"/>
            </w:tcBorders>
            <w:shd w:val="solid" w:color="CCE1EA" w:fill="FFFFFF"/>
            <w:tcMar>
              <w:left w:w="60" w:type="dxa"/>
              <w:right w:w="60" w:type="dxa"/>
            </w:tcMar>
            <w:vAlign w:val="center"/>
          </w:tcPr>
          <w:p w14:paraId="3E2B4933" w14:textId="77777777" w:rsidR="00FD1E19" w:rsidRDefault="00FD1E19" w:rsidP="00BE7E4A">
            <w:pPr>
              <w:pStyle w:val="DMETW37225BIPERNER"/>
              <w:jc w:val="right"/>
              <w:rPr>
                <w:rFonts w:ascii="Verdana" w:eastAsia="Verdana" w:hAnsi="Verdana" w:cs="Verdana"/>
                <w:b/>
                <w:noProof/>
                <w:color w:val="000000"/>
                <w:sz w:val="18"/>
              </w:rPr>
            </w:pPr>
            <w:r>
              <w:rPr>
                <w:rFonts w:ascii="Verdana" w:eastAsia="Verdana" w:hAnsi="Verdana" w:cs="Verdana"/>
                <w:b/>
                <w:noProof/>
                <w:color w:val="000000"/>
                <w:sz w:val="18"/>
              </w:rPr>
              <w:t xml:space="preserve">  37</w:t>
            </w:r>
          </w:p>
        </w:tc>
      </w:tr>
    </w:tbl>
    <w:p w14:paraId="3786C5CE" w14:textId="77777777" w:rsidR="00FD1E19" w:rsidRPr="00F64D38" w:rsidRDefault="00FD1E19" w:rsidP="00FD1E19">
      <w:pPr>
        <w:pStyle w:val="HEADER4Part2"/>
        <w:rPr>
          <w:noProof/>
        </w:rPr>
      </w:pPr>
      <w:r w:rsidRPr="00F64D38">
        <w:rPr>
          <w:noProof/>
        </w:rPr>
        <w:t>Recoverables from non-exchange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8"/>
        <w:gridCol w:w="921"/>
        <w:gridCol w:w="854"/>
        <w:gridCol w:w="855"/>
        <w:gridCol w:w="1425"/>
        <w:gridCol w:w="1425"/>
      </w:tblGrid>
      <w:tr w:rsidR="00FD1E19" w14:paraId="0963D17E" w14:textId="77777777" w:rsidTr="00BE7E4A">
        <w:trPr>
          <w:trHeight w:val="255"/>
        </w:trPr>
        <w:tc>
          <w:tcPr>
            <w:tcW w:w="9758" w:type="dxa"/>
            <w:gridSpan w:val="6"/>
            <w:tcBorders>
              <w:top w:val="nil"/>
              <w:left w:val="nil"/>
              <w:bottom w:val="nil"/>
              <w:right w:val="nil"/>
              <w:tl2br w:val="nil"/>
              <w:tr2bl w:val="nil"/>
            </w:tcBorders>
            <w:shd w:val="clear" w:color="auto" w:fill="auto"/>
            <w:tcMar>
              <w:left w:w="60" w:type="dxa"/>
              <w:right w:w="60" w:type="dxa"/>
            </w:tcMar>
            <w:vAlign w:val="center"/>
          </w:tcPr>
          <w:p w14:paraId="485F4195" w14:textId="77777777" w:rsidR="00FD1E19" w:rsidRDefault="00FD1E19" w:rsidP="00BE7E4A">
            <w:pPr>
              <w:pStyle w:val="DMETW37225BIPRNET"/>
              <w:jc w:val="right"/>
              <w:rPr>
                <w:rFonts w:ascii="Verdana" w:eastAsia="Verdana" w:hAnsi="Verdana" w:cs="Verdana"/>
                <w:i/>
                <w:noProof/>
                <w:color w:val="000000"/>
                <w:sz w:val="16"/>
                <w:lang w:bidi="en-GB"/>
              </w:rPr>
            </w:pPr>
            <w:bookmarkStart w:id="80" w:name="DOC_TBL00034_1_1"/>
            <w:bookmarkEnd w:id="80"/>
            <w:r>
              <w:rPr>
                <w:rFonts w:ascii="Verdana" w:eastAsia="Verdana" w:hAnsi="Verdana" w:cs="Verdana"/>
                <w:i/>
                <w:noProof/>
                <w:color w:val="000000"/>
                <w:sz w:val="16"/>
                <w:lang w:bidi="en-GB"/>
              </w:rPr>
              <w:t>EUR million</w:t>
            </w:r>
          </w:p>
        </w:tc>
      </w:tr>
      <w:tr w:rsidR="00FD1E19" w14:paraId="21162010" w14:textId="77777777" w:rsidTr="00BE7E4A">
        <w:trPr>
          <w:trHeight w:val="255"/>
        </w:trPr>
        <w:tc>
          <w:tcPr>
            <w:tcW w:w="4278" w:type="dxa"/>
            <w:tcBorders>
              <w:top w:val="nil"/>
              <w:left w:val="nil"/>
              <w:bottom w:val="nil"/>
              <w:right w:val="nil"/>
              <w:tl2br w:val="nil"/>
              <w:tr2bl w:val="nil"/>
            </w:tcBorders>
            <w:shd w:val="solid" w:color="016794" w:fill="FFFFFF"/>
            <w:tcMar>
              <w:left w:w="60" w:type="dxa"/>
              <w:right w:w="60" w:type="dxa"/>
            </w:tcMar>
            <w:vAlign w:val="center"/>
          </w:tcPr>
          <w:p w14:paraId="55687283" w14:textId="77777777" w:rsidR="00FD1E19" w:rsidRDefault="00FD1E19" w:rsidP="00BE7E4A">
            <w:pPr>
              <w:pStyle w:val="DMETW37225BIPRNET"/>
              <w:jc w:val="center"/>
              <w:rPr>
                <w:rFonts w:ascii="Verdana" w:eastAsia="Verdana" w:hAnsi="Verdana" w:cs="Verdana"/>
                <w:noProof/>
                <w:color w:val="FFFFFF"/>
              </w:rPr>
            </w:pPr>
          </w:p>
        </w:tc>
        <w:tc>
          <w:tcPr>
            <w:tcW w:w="921" w:type="dxa"/>
            <w:tcBorders>
              <w:top w:val="nil"/>
              <w:left w:val="nil"/>
              <w:bottom w:val="nil"/>
              <w:right w:val="nil"/>
              <w:tl2br w:val="nil"/>
              <w:tr2bl w:val="nil"/>
            </w:tcBorders>
            <w:shd w:val="solid" w:color="016794" w:fill="FFFFFF"/>
            <w:tcMar>
              <w:left w:w="60" w:type="dxa"/>
              <w:right w:w="60" w:type="dxa"/>
            </w:tcMar>
            <w:vAlign w:val="center"/>
          </w:tcPr>
          <w:p w14:paraId="22FDFE15" w14:textId="77777777" w:rsidR="00FD1E19" w:rsidRDefault="00FD1E19" w:rsidP="00BE7E4A">
            <w:pPr>
              <w:pStyle w:val="DMETW37225BIPRNET"/>
              <w:jc w:val="right"/>
              <w:rPr>
                <w:rFonts w:ascii="Verdana" w:eastAsia="Verdana" w:hAnsi="Verdana" w:cs="Verdana"/>
                <w:noProof/>
                <w:color w:val="FFFFFF"/>
              </w:rPr>
            </w:pPr>
            <w:r>
              <w:rPr>
                <w:rFonts w:ascii="Verdana" w:eastAsia="Verdana" w:hAnsi="Verdana" w:cs="Verdana"/>
                <w:noProof/>
                <w:color w:val="FFFFFF"/>
              </w:rPr>
              <w:t>Ninth EDF</w:t>
            </w:r>
          </w:p>
        </w:tc>
        <w:tc>
          <w:tcPr>
            <w:tcW w:w="854" w:type="dxa"/>
            <w:tcBorders>
              <w:top w:val="nil"/>
              <w:left w:val="nil"/>
              <w:bottom w:val="nil"/>
              <w:right w:val="nil"/>
              <w:tl2br w:val="nil"/>
              <w:tr2bl w:val="nil"/>
            </w:tcBorders>
            <w:shd w:val="solid" w:color="016794" w:fill="FFFFFF"/>
            <w:tcMar>
              <w:left w:w="60" w:type="dxa"/>
              <w:right w:w="60" w:type="dxa"/>
            </w:tcMar>
            <w:vAlign w:val="center"/>
          </w:tcPr>
          <w:p w14:paraId="05093417" w14:textId="77777777" w:rsidR="00FD1E19" w:rsidRDefault="00FD1E19" w:rsidP="00BE7E4A">
            <w:pPr>
              <w:pStyle w:val="DMETW37225BIPRNET"/>
              <w:jc w:val="right"/>
              <w:rPr>
                <w:rFonts w:ascii="Verdana" w:eastAsia="Verdana" w:hAnsi="Verdana" w:cs="Verdana"/>
                <w:noProof/>
                <w:color w:val="FFFFFF"/>
              </w:rPr>
            </w:pPr>
            <w:r>
              <w:rPr>
                <w:rFonts w:ascii="Verdana" w:eastAsia="Verdana" w:hAnsi="Verdana" w:cs="Verdana"/>
                <w:noProof/>
                <w:color w:val="FFFFFF"/>
              </w:rPr>
              <w:t>10th EDF</w:t>
            </w:r>
          </w:p>
        </w:tc>
        <w:tc>
          <w:tcPr>
            <w:tcW w:w="855" w:type="dxa"/>
            <w:tcBorders>
              <w:top w:val="nil"/>
              <w:left w:val="nil"/>
              <w:bottom w:val="nil"/>
              <w:right w:val="nil"/>
              <w:tl2br w:val="nil"/>
              <w:tr2bl w:val="nil"/>
            </w:tcBorders>
            <w:shd w:val="solid" w:color="016794" w:fill="FFFFFF"/>
            <w:tcMar>
              <w:left w:w="60" w:type="dxa"/>
              <w:right w:w="60" w:type="dxa"/>
            </w:tcMar>
            <w:vAlign w:val="center"/>
          </w:tcPr>
          <w:p w14:paraId="4D1FFC45" w14:textId="77777777" w:rsidR="00FD1E19" w:rsidRDefault="00FD1E19" w:rsidP="00BE7E4A">
            <w:pPr>
              <w:pStyle w:val="DMETW37225BIPRNET"/>
              <w:jc w:val="right"/>
              <w:rPr>
                <w:rFonts w:ascii="Verdana" w:eastAsia="Verdana" w:hAnsi="Verdana" w:cs="Verdana"/>
                <w:noProof/>
                <w:color w:val="FFFFFF"/>
              </w:rPr>
            </w:pPr>
            <w:r>
              <w:rPr>
                <w:rFonts w:ascii="Verdana" w:eastAsia="Verdana" w:hAnsi="Verdana" w:cs="Verdana"/>
                <w:noProof/>
                <w:color w:val="FFFFFF"/>
              </w:rPr>
              <w:t>11th EDF</w:t>
            </w:r>
          </w:p>
        </w:tc>
        <w:tc>
          <w:tcPr>
            <w:tcW w:w="1425" w:type="dxa"/>
            <w:tcBorders>
              <w:top w:val="nil"/>
              <w:left w:val="nil"/>
              <w:bottom w:val="nil"/>
              <w:right w:val="nil"/>
              <w:tl2br w:val="nil"/>
              <w:tr2bl w:val="nil"/>
            </w:tcBorders>
            <w:shd w:val="solid" w:color="016794" w:fill="FFFFFF"/>
            <w:tcMar>
              <w:left w:w="60" w:type="dxa"/>
              <w:right w:w="60" w:type="dxa"/>
            </w:tcMar>
            <w:vAlign w:val="center"/>
          </w:tcPr>
          <w:p w14:paraId="5F1DB975" w14:textId="77777777" w:rsidR="00FD1E19" w:rsidRDefault="00FD1E19" w:rsidP="00BE7E4A">
            <w:pPr>
              <w:pStyle w:val="DMETW37225BIPRNET"/>
              <w:jc w:val="right"/>
              <w:rPr>
                <w:rFonts w:ascii="Verdana" w:eastAsia="Verdana" w:hAnsi="Verdana" w:cs="Verdana"/>
                <w:noProof/>
                <w:color w:val="FFFFFF"/>
              </w:rPr>
            </w:pPr>
            <w:r>
              <w:rPr>
                <w:rFonts w:ascii="Verdana" w:eastAsia="Verdana" w:hAnsi="Verdana" w:cs="Verdana"/>
                <w:noProof/>
                <w:color w:val="FFFFFF"/>
              </w:rPr>
              <w:t>31.12.2025</w:t>
            </w:r>
          </w:p>
        </w:tc>
        <w:tc>
          <w:tcPr>
            <w:tcW w:w="1425" w:type="dxa"/>
            <w:tcBorders>
              <w:top w:val="nil"/>
              <w:left w:val="nil"/>
              <w:bottom w:val="nil"/>
              <w:right w:val="nil"/>
              <w:tl2br w:val="nil"/>
              <w:tr2bl w:val="nil"/>
            </w:tcBorders>
            <w:shd w:val="solid" w:color="016794" w:fill="FFFFFF"/>
            <w:tcMar>
              <w:left w:w="60" w:type="dxa"/>
              <w:right w:w="60" w:type="dxa"/>
            </w:tcMar>
            <w:vAlign w:val="center"/>
          </w:tcPr>
          <w:p w14:paraId="1260A7E8" w14:textId="77777777" w:rsidR="00FD1E19" w:rsidRDefault="00FD1E19" w:rsidP="00BE7E4A">
            <w:pPr>
              <w:pStyle w:val="DMETW37225BIPRNET"/>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4A46942A" w14:textId="77777777" w:rsidTr="00BE7E4A">
        <w:trPr>
          <w:trHeight w:val="255"/>
        </w:trPr>
        <w:tc>
          <w:tcPr>
            <w:tcW w:w="4278" w:type="dxa"/>
            <w:tcBorders>
              <w:top w:val="nil"/>
              <w:left w:val="nil"/>
              <w:bottom w:val="nil"/>
              <w:right w:val="nil"/>
              <w:tl2br w:val="nil"/>
              <w:tr2bl w:val="nil"/>
            </w:tcBorders>
            <w:shd w:val="clear" w:color="auto" w:fill="auto"/>
            <w:tcMar>
              <w:left w:w="60" w:type="dxa"/>
              <w:right w:w="60" w:type="dxa"/>
            </w:tcMar>
            <w:vAlign w:val="center"/>
          </w:tcPr>
          <w:p w14:paraId="68D8C2CD" w14:textId="77777777" w:rsidR="00FD1E19" w:rsidRDefault="00FD1E19" w:rsidP="00BE7E4A">
            <w:pPr>
              <w:pStyle w:val="DMETW37225BIPRNET"/>
              <w:rPr>
                <w:rFonts w:ascii="Verdana" w:eastAsia="Verdana" w:hAnsi="Verdana" w:cs="Verdana"/>
                <w:i/>
                <w:noProof/>
                <w:color w:val="000000"/>
                <w:sz w:val="18"/>
              </w:rPr>
            </w:pPr>
            <w:r>
              <w:rPr>
                <w:rFonts w:ascii="Verdana" w:eastAsia="Verdana" w:hAnsi="Verdana" w:cs="Verdana"/>
                <w:i/>
                <w:noProof/>
                <w:color w:val="000000"/>
                <w:sz w:val="18"/>
              </w:rPr>
              <w:t>Customers</w:t>
            </w:r>
          </w:p>
        </w:tc>
        <w:tc>
          <w:tcPr>
            <w:tcW w:w="921" w:type="dxa"/>
            <w:tcBorders>
              <w:top w:val="nil"/>
              <w:left w:val="nil"/>
              <w:bottom w:val="nil"/>
              <w:right w:val="nil"/>
              <w:tl2br w:val="nil"/>
              <w:tr2bl w:val="nil"/>
            </w:tcBorders>
            <w:shd w:val="clear" w:color="auto" w:fill="auto"/>
            <w:tcMar>
              <w:left w:w="60" w:type="dxa"/>
              <w:right w:w="60" w:type="dxa"/>
            </w:tcMar>
            <w:vAlign w:val="center"/>
          </w:tcPr>
          <w:p w14:paraId="5EB62D21"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854" w:type="dxa"/>
            <w:tcBorders>
              <w:top w:val="nil"/>
              <w:left w:val="nil"/>
              <w:bottom w:val="nil"/>
              <w:right w:val="nil"/>
              <w:tl2br w:val="nil"/>
              <w:tr2bl w:val="nil"/>
            </w:tcBorders>
            <w:shd w:val="clear" w:color="auto" w:fill="auto"/>
            <w:tcMar>
              <w:left w:w="60" w:type="dxa"/>
              <w:right w:w="60" w:type="dxa"/>
            </w:tcMar>
            <w:vAlign w:val="center"/>
          </w:tcPr>
          <w:p w14:paraId="0DEE3218"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45</w:t>
            </w:r>
          </w:p>
        </w:tc>
        <w:tc>
          <w:tcPr>
            <w:tcW w:w="855" w:type="dxa"/>
            <w:tcBorders>
              <w:top w:val="nil"/>
              <w:left w:val="nil"/>
              <w:bottom w:val="nil"/>
              <w:right w:val="nil"/>
              <w:tl2br w:val="nil"/>
              <w:tr2bl w:val="nil"/>
            </w:tcBorders>
            <w:shd w:val="clear" w:color="auto" w:fill="auto"/>
            <w:tcMar>
              <w:left w:w="60" w:type="dxa"/>
              <w:right w:w="60" w:type="dxa"/>
            </w:tcMar>
            <w:vAlign w:val="center"/>
          </w:tcPr>
          <w:p w14:paraId="060473CD"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425" w:type="dxa"/>
            <w:tcBorders>
              <w:top w:val="nil"/>
              <w:left w:val="nil"/>
              <w:bottom w:val="nil"/>
              <w:right w:val="nil"/>
              <w:tl2br w:val="nil"/>
              <w:tr2bl w:val="nil"/>
            </w:tcBorders>
            <w:shd w:val="clear" w:color="auto" w:fill="auto"/>
            <w:tcMar>
              <w:left w:w="60" w:type="dxa"/>
              <w:right w:w="60" w:type="dxa"/>
            </w:tcMar>
            <w:vAlign w:val="center"/>
          </w:tcPr>
          <w:p w14:paraId="73DB31F9"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62</w:t>
            </w:r>
          </w:p>
        </w:tc>
        <w:tc>
          <w:tcPr>
            <w:tcW w:w="1425" w:type="dxa"/>
            <w:tcBorders>
              <w:top w:val="nil"/>
              <w:left w:val="nil"/>
              <w:bottom w:val="nil"/>
              <w:right w:val="nil"/>
              <w:tl2br w:val="nil"/>
              <w:tr2bl w:val="nil"/>
            </w:tcBorders>
            <w:shd w:val="clear" w:color="auto" w:fill="auto"/>
            <w:tcMar>
              <w:left w:w="60" w:type="dxa"/>
              <w:right w:w="60" w:type="dxa"/>
            </w:tcMar>
            <w:vAlign w:val="center"/>
          </w:tcPr>
          <w:p w14:paraId="3B1907A2" w14:textId="77777777" w:rsidR="00FD1E19" w:rsidRDefault="00FD1E19" w:rsidP="00BE7E4A">
            <w:pPr>
              <w:pStyle w:val="DMETW3722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52</w:t>
            </w:r>
          </w:p>
        </w:tc>
      </w:tr>
      <w:tr w:rsidR="00FD1E19" w14:paraId="60FDC812" w14:textId="77777777" w:rsidTr="00BE7E4A">
        <w:trPr>
          <w:trHeight w:val="255"/>
        </w:trPr>
        <w:tc>
          <w:tcPr>
            <w:tcW w:w="4278" w:type="dxa"/>
            <w:tcBorders>
              <w:top w:val="nil"/>
              <w:left w:val="nil"/>
              <w:bottom w:val="nil"/>
              <w:right w:val="nil"/>
              <w:tl2br w:val="nil"/>
              <w:tr2bl w:val="nil"/>
            </w:tcBorders>
            <w:shd w:val="clear" w:color="auto" w:fill="auto"/>
            <w:tcMar>
              <w:left w:w="60" w:type="dxa"/>
              <w:right w:w="60" w:type="dxa"/>
            </w:tcMar>
            <w:vAlign w:val="center"/>
          </w:tcPr>
          <w:p w14:paraId="10AEDF96" w14:textId="77777777" w:rsidR="00FD1E19" w:rsidRDefault="00FD1E19" w:rsidP="00BE7E4A">
            <w:pPr>
              <w:pStyle w:val="DMETW37225BIPRNET"/>
              <w:rPr>
                <w:rFonts w:ascii="Verdana" w:eastAsia="Verdana" w:hAnsi="Verdana" w:cs="Verdana"/>
                <w:i/>
                <w:noProof/>
                <w:color w:val="000000"/>
                <w:sz w:val="18"/>
              </w:rPr>
            </w:pPr>
            <w:r>
              <w:rPr>
                <w:rFonts w:ascii="Verdana" w:eastAsia="Verdana" w:hAnsi="Verdana" w:cs="Verdana"/>
                <w:i/>
                <w:noProof/>
                <w:color w:val="000000"/>
                <w:sz w:val="18"/>
              </w:rPr>
              <w:t>Public bodies</w:t>
            </w:r>
          </w:p>
        </w:tc>
        <w:tc>
          <w:tcPr>
            <w:tcW w:w="921" w:type="dxa"/>
            <w:tcBorders>
              <w:top w:val="nil"/>
              <w:left w:val="nil"/>
              <w:bottom w:val="nil"/>
              <w:right w:val="nil"/>
              <w:tl2br w:val="nil"/>
              <w:tr2bl w:val="nil"/>
            </w:tcBorders>
            <w:shd w:val="clear" w:color="auto" w:fill="auto"/>
            <w:tcMar>
              <w:left w:w="60" w:type="dxa"/>
              <w:right w:w="60" w:type="dxa"/>
            </w:tcMar>
            <w:vAlign w:val="center"/>
          </w:tcPr>
          <w:p w14:paraId="1FC4262E"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854" w:type="dxa"/>
            <w:tcBorders>
              <w:top w:val="nil"/>
              <w:left w:val="nil"/>
              <w:bottom w:val="nil"/>
              <w:right w:val="nil"/>
              <w:tl2br w:val="nil"/>
              <w:tr2bl w:val="nil"/>
            </w:tcBorders>
            <w:shd w:val="clear" w:color="auto" w:fill="auto"/>
            <w:tcMar>
              <w:left w:w="60" w:type="dxa"/>
              <w:right w:w="60" w:type="dxa"/>
            </w:tcMar>
            <w:vAlign w:val="center"/>
          </w:tcPr>
          <w:p w14:paraId="42F97E63"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855" w:type="dxa"/>
            <w:tcBorders>
              <w:top w:val="nil"/>
              <w:left w:val="nil"/>
              <w:bottom w:val="nil"/>
              <w:right w:val="nil"/>
              <w:tl2br w:val="nil"/>
              <w:tr2bl w:val="nil"/>
            </w:tcBorders>
            <w:shd w:val="clear" w:color="auto" w:fill="auto"/>
            <w:tcMar>
              <w:left w:w="60" w:type="dxa"/>
              <w:right w:w="60" w:type="dxa"/>
            </w:tcMar>
            <w:vAlign w:val="center"/>
          </w:tcPr>
          <w:p w14:paraId="78728755"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425" w:type="dxa"/>
            <w:tcBorders>
              <w:top w:val="nil"/>
              <w:left w:val="nil"/>
              <w:bottom w:val="nil"/>
              <w:right w:val="nil"/>
              <w:tl2br w:val="nil"/>
              <w:tr2bl w:val="nil"/>
            </w:tcBorders>
            <w:shd w:val="clear" w:color="auto" w:fill="auto"/>
            <w:tcMar>
              <w:left w:w="60" w:type="dxa"/>
              <w:right w:w="60" w:type="dxa"/>
            </w:tcMar>
            <w:vAlign w:val="center"/>
          </w:tcPr>
          <w:p w14:paraId="5CBED33E"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23</w:t>
            </w:r>
          </w:p>
        </w:tc>
        <w:tc>
          <w:tcPr>
            <w:tcW w:w="1425" w:type="dxa"/>
            <w:tcBorders>
              <w:top w:val="nil"/>
              <w:left w:val="nil"/>
              <w:bottom w:val="nil"/>
              <w:right w:val="nil"/>
              <w:tl2br w:val="nil"/>
              <w:tr2bl w:val="nil"/>
            </w:tcBorders>
            <w:shd w:val="clear" w:color="auto" w:fill="auto"/>
            <w:tcMar>
              <w:left w:w="60" w:type="dxa"/>
              <w:right w:w="60" w:type="dxa"/>
            </w:tcMar>
            <w:vAlign w:val="center"/>
          </w:tcPr>
          <w:p w14:paraId="1FBAEC09" w14:textId="77777777" w:rsidR="00FD1E19" w:rsidRDefault="00FD1E19" w:rsidP="00BE7E4A">
            <w:pPr>
              <w:pStyle w:val="DMETW3722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r w:rsidR="00FD1E19" w14:paraId="672BB017" w14:textId="77777777" w:rsidTr="00BE7E4A">
        <w:trPr>
          <w:trHeight w:val="255"/>
        </w:trPr>
        <w:tc>
          <w:tcPr>
            <w:tcW w:w="4278" w:type="dxa"/>
            <w:tcBorders>
              <w:top w:val="nil"/>
              <w:left w:val="nil"/>
              <w:bottom w:val="nil"/>
              <w:right w:val="nil"/>
              <w:tl2br w:val="nil"/>
              <w:tr2bl w:val="nil"/>
            </w:tcBorders>
            <w:shd w:val="clear" w:color="auto" w:fill="auto"/>
            <w:tcMar>
              <w:left w:w="60" w:type="dxa"/>
              <w:right w:w="60" w:type="dxa"/>
            </w:tcMar>
            <w:vAlign w:val="center"/>
          </w:tcPr>
          <w:p w14:paraId="02F13A3A" w14:textId="77777777" w:rsidR="00FD1E19" w:rsidRDefault="00FD1E19" w:rsidP="00BE7E4A">
            <w:pPr>
              <w:pStyle w:val="DMETW37225BIPRNET"/>
              <w:rPr>
                <w:rFonts w:ascii="Verdana" w:eastAsia="Verdana" w:hAnsi="Verdana" w:cs="Verdana"/>
                <w:i/>
                <w:noProof/>
                <w:color w:val="000000"/>
                <w:sz w:val="18"/>
              </w:rPr>
            </w:pPr>
            <w:r>
              <w:rPr>
                <w:rFonts w:ascii="Verdana" w:eastAsia="Verdana" w:hAnsi="Verdana" w:cs="Verdana"/>
                <w:i/>
                <w:noProof/>
                <w:color w:val="000000"/>
                <w:sz w:val="18"/>
              </w:rPr>
              <w:t>Third states</w:t>
            </w:r>
          </w:p>
        </w:tc>
        <w:tc>
          <w:tcPr>
            <w:tcW w:w="921" w:type="dxa"/>
            <w:tcBorders>
              <w:top w:val="nil"/>
              <w:left w:val="nil"/>
              <w:bottom w:val="nil"/>
              <w:right w:val="nil"/>
              <w:tl2br w:val="nil"/>
              <w:tr2bl w:val="nil"/>
            </w:tcBorders>
            <w:shd w:val="clear" w:color="auto" w:fill="auto"/>
            <w:tcMar>
              <w:left w:w="60" w:type="dxa"/>
              <w:right w:w="60" w:type="dxa"/>
            </w:tcMar>
            <w:vAlign w:val="center"/>
          </w:tcPr>
          <w:p w14:paraId="7B5374D2"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854" w:type="dxa"/>
            <w:tcBorders>
              <w:top w:val="nil"/>
              <w:left w:val="nil"/>
              <w:bottom w:val="nil"/>
              <w:right w:val="nil"/>
              <w:tl2br w:val="nil"/>
              <w:tr2bl w:val="nil"/>
            </w:tcBorders>
            <w:shd w:val="clear" w:color="auto" w:fill="auto"/>
            <w:tcMar>
              <w:left w:w="60" w:type="dxa"/>
              <w:right w:w="60" w:type="dxa"/>
            </w:tcMar>
            <w:vAlign w:val="center"/>
          </w:tcPr>
          <w:p w14:paraId="4BB58D82"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855" w:type="dxa"/>
            <w:tcBorders>
              <w:top w:val="nil"/>
              <w:left w:val="nil"/>
              <w:bottom w:val="nil"/>
              <w:right w:val="nil"/>
              <w:tl2br w:val="nil"/>
              <w:tr2bl w:val="nil"/>
            </w:tcBorders>
            <w:shd w:val="clear" w:color="auto" w:fill="auto"/>
            <w:tcMar>
              <w:left w:w="60" w:type="dxa"/>
              <w:right w:w="60" w:type="dxa"/>
            </w:tcMar>
            <w:vAlign w:val="center"/>
          </w:tcPr>
          <w:p w14:paraId="0F029051"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425" w:type="dxa"/>
            <w:tcBorders>
              <w:top w:val="nil"/>
              <w:left w:val="nil"/>
              <w:bottom w:val="nil"/>
              <w:right w:val="nil"/>
              <w:tl2br w:val="nil"/>
              <w:tr2bl w:val="nil"/>
            </w:tcBorders>
            <w:shd w:val="clear" w:color="auto" w:fill="auto"/>
            <w:tcMar>
              <w:left w:w="60" w:type="dxa"/>
              <w:right w:w="60" w:type="dxa"/>
            </w:tcMar>
            <w:vAlign w:val="center"/>
          </w:tcPr>
          <w:p w14:paraId="70672FF7"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425" w:type="dxa"/>
            <w:tcBorders>
              <w:top w:val="nil"/>
              <w:left w:val="nil"/>
              <w:bottom w:val="nil"/>
              <w:right w:val="nil"/>
              <w:tl2br w:val="nil"/>
              <w:tr2bl w:val="nil"/>
            </w:tcBorders>
            <w:shd w:val="clear" w:color="auto" w:fill="auto"/>
            <w:tcMar>
              <w:left w:w="60" w:type="dxa"/>
              <w:right w:w="60" w:type="dxa"/>
            </w:tcMar>
            <w:vAlign w:val="center"/>
          </w:tcPr>
          <w:p w14:paraId="41A80DF1" w14:textId="77777777" w:rsidR="00FD1E19" w:rsidRDefault="00FD1E19" w:rsidP="00BE7E4A">
            <w:pPr>
              <w:pStyle w:val="DMETW3722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w:t>
            </w:r>
          </w:p>
        </w:tc>
      </w:tr>
      <w:tr w:rsidR="00FD1E19" w14:paraId="57707A00" w14:textId="77777777" w:rsidTr="00BE7E4A">
        <w:trPr>
          <w:trHeight w:val="255"/>
        </w:trPr>
        <w:tc>
          <w:tcPr>
            <w:tcW w:w="4278" w:type="dxa"/>
            <w:tcBorders>
              <w:top w:val="nil"/>
              <w:left w:val="nil"/>
              <w:bottom w:val="single" w:sz="4" w:space="0" w:color="016794"/>
              <w:right w:val="nil"/>
              <w:tl2br w:val="nil"/>
              <w:tr2bl w:val="nil"/>
            </w:tcBorders>
            <w:shd w:val="clear" w:color="auto" w:fill="auto"/>
            <w:tcMar>
              <w:left w:w="60" w:type="dxa"/>
              <w:right w:w="60" w:type="dxa"/>
            </w:tcMar>
            <w:vAlign w:val="center"/>
          </w:tcPr>
          <w:p w14:paraId="120F3E85" w14:textId="77777777" w:rsidR="00FD1E19" w:rsidRDefault="00FD1E19" w:rsidP="00BE7E4A">
            <w:pPr>
              <w:pStyle w:val="DMETW37225BIPRNET"/>
              <w:rPr>
                <w:rFonts w:ascii="Verdana" w:eastAsia="Verdana" w:hAnsi="Verdana" w:cs="Verdana"/>
                <w:i/>
                <w:noProof/>
                <w:color w:val="000000"/>
                <w:sz w:val="18"/>
              </w:rPr>
            </w:pPr>
            <w:r>
              <w:rPr>
                <w:rFonts w:ascii="Verdana" w:eastAsia="Verdana" w:hAnsi="Verdana" w:cs="Verdana"/>
                <w:i/>
                <w:noProof/>
                <w:color w:val="000000"/>
                <w:sz w:val="18"/>
              </w:rPr>
              <w:t>Write down</w:t>
            </w:r>
          </w:p>
        </w:tc>
        <w:tc>
          <w:tcPr>
            <w:tcW w:w="921" w:type="dxa"/>
            <w:tcBorders>
              <w:top w:val="nil"/>
              <w:left w:val="nil"/>
              <w:bottom w:val="single" w:sz="4" w:space="0" w:color="016794"/>
              <w:right w:val="nil"/>
              <w:tl2br w:val="nil"/>
              <w:tr2bl w:val="nil"/>
            </w:tcBorders>
            <w:shd w:val="clear" w:color="auto" w:fill="auto"/>
            <w:tcMar>
              <w:left w:w="60" w:type="dxa"/>
              <w:right w:w="60" w:type="dxa"/>
            </w:tcMar>
            <w:vAlign w:val="center"/>
          </w:tcPr>
          <w:p w14:paraId="6DDE37D3"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854" w:type="dxa"/>
            <w:tcBorders>
              <w:top w:val="nil"/>
              <w:left w:val="nil"/>
              <w:bottom w:val="single" w:sz="4" w:space="0" w:color="016794"/>
              <w:right w:val="nil"/>
              <w:tl2br w:val="nil"/>
              <w:tr2bl w:val="nil"/>
            </w:tcBorders>
            <w:shd w:val="clear" w:color="auto" w:fill="auto"/>
            <w:tcMar>
              <w:left w:w="60" w:type="dxa"/>
              <w:right w:w="60" w:type="dxa"/>
            </w:tcMar>
            <w:vAlign w:val="center"/>
          </w:tcPr>
          <w:p w14:paraId="01108CBF"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(51)</w:t>
            </w:r>
          </w:p>
        </w:tc>
        <w:tc>
          <w:tcPr>
            <w:tcW w:w="855" w:type="dxa"/>
            <w:tcBorders>
              <w:top w:val="nil"/>
              <w:left w:val="nil"/>
              <w:bottom w:val="single" w:sz="4" w:space="0" w:color="016794"/>
              <w:right w:val="nil"/>
              <w:tl2br w:val="nil"/>
              <w:tr2bl w:val="nil"/>
            </w:tcBorders>
            <w:shd w:val="clear" w:color="auto" w:fill="auto"/>
            <w:tcMar>
              <w:left w:w="60" w:type="dxa"/>
              <w:right w:w="60" w:type="dxa"/>
            </w:tcMar>
            <w:vAlign w:val="center"/>
          </w:tcPr>
          <w:p w14:paraId="72F42EDC"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425" w:type="dxa"/>
            <w:tcBorders>
              <w:top w:val="nil"/>
              <w:left w:val="nil"/>
              <w:bottom w:val="single" w:sz="4" w:space="0" w:color="016794"/>
              <w:right w:val="nil"/>
              <w:tl2br w:val="nil"/>
              <w:tr2bl w:val="nil"/>
            </w:tcBorders>
            <w:shd w:val="clear" w:color="auto" w:fill="auto"/>
            <w:tcMar>
              <w:left w:w="60" w:type="dxa"/>
              <w:right w:w="60" w:type="dxa"/>
            </w:tcMar>
            <w:vAlign w:val="center"/>
          </w:tcPr>
          <w:p w14:paraId="1CB6A5F6" w14:textId="77777777" w:rsidR="00FD1E19" w:rsidRDefault="00FD1E19" w:rsidP="00BE7E4A">
            <w:pPr>
              <w:pStyle w:val="DMETW37225BIPRNET"/>
              <w:jc w:val="right"/>
              <w:rPr>
                <w:rFonts w:ascii="Verdana" w:eastAsia="Verdana" w:hAnsi="Verdana" w:cs="Verdana"/>
                <w:i/>
                <w:noProof/>
                <w:color w:val="000000"/>
                <w:sz w:val="18"/>
              </w:rPr>
            </w:pPr>
            <w:r>
              <w:rPr>
                <w:rFonts w:ascii="Verdana" w:eastAsia="Verdana" w:hAnsi="Verdana" w:cs="Verdana"/>
                <w:i/>
                <w:noProof/>
                <w:color w:val="000000"/>
                <w:sz w:val="18"/>
              </w:rPr>
              <w:t xml:space="preserve"> (64)</w:t>
            </w:r>
          </w:p>
        </w:tc>
        <w:tc>
          <w:tcPr>
            <w:tcW w:w="1425" w:type="dxa"/>
            <w:tcBorders>
              <w:top w:val="nil"/>
              <w:left w:val="nil"/>
              <w:bottom w:val="single" w:sz="4" w:space="0" w:color="016794"/>
              <w:right w:val="nil"/>
              <w:tl2br w:val="nil"/>
              <w:tr2bl w:val="nil"/>
            </w:tcBorders>
            <w:shd w:val="clear" w:color="auto" w:fill="auto"/>
            <w:tcMar>
              <w:left w:w="60" w:type="dxa"/>
              <w:right w:w="60" w:type="dxa"/>
            </w:tcMar>
            <w:vAlign w:val="center"/>
          </w:tcPr>
          <w:p w14:paraId="26098CEF" w14:textId="77777777" w:rsidR="00FD1E19" w:rsidRDefault="00FD1E19" w:rsidP="00BE7E4A">
            <w:pPr>
              <w:pStyle w:val="DMETW37225BIPRNET"/>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(63)</w:t>
            </w:r>
          </w:p>
        </w:tc>
      </w:tr>
      <w:tr w:rsidR="00FD1E19" w14:paraId="41608759" w14:textId="77777777" w:rsidTr="00BE7E4A">
        <w:trPr>
          <w:trHeight w:val="255"/>
        </w:trPr>
        <w:tc>
          <w:tcPr>
            <w:tcW w:w="427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1052F4A" w14:textId="77777777" w:rsidR="00FD1E19" w:rsidRDefault="00FD1E19" w:rsidP="00BE7E4A">
            <w:pPr>
              <w:pStyle w:val="DMETW37225BIPRNET"/>
              <w:rPr>
                <w:rFonts w:ascii="Verdana" w:eastAsia="Verdana" w:hAnsi="Verdana" w:cs="Verdana"/>
                <w:b/>
                <w:noProof/>
                <w:color w:val="000000"/>
                <w:sz w:val="18"/>
              </w:rPr>
            </w:pPr>
            <w:r>
              <w:rPr>
                <w:rFonts w:ascii="Verdana" w:eastAsia="Verdana" w:hAnsi="Verdana" w:cs="Verdana"/>
                <w:b/>
                <w:noProof/>
                <w:color w:val="000000"/>
                <w:sz w:val="18"/>
              </w:rPr>
              <w:t>Total</w:t>
            </w:r>
          </w:p>
        </w:tc>
        <w:tc>
          <w:tcPr>
            <w:tcW w:w="92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EF3E2D5" w14:textId="77777777" w:rsidR="00FD1E19" w:rsidRPr="00E11BFF" w:rsidRDefault="00FD1E19" w:rsidP="00BE7E4A">
            <w:pPr>
              <w:pStyle w:val="DMETW37225BIPRNET"/>
              <w:jc w:val="right"/>
              <w:rPr>
                <w:rFonts w:ascii="Verdana" w:eastAsia="Verdana" w:hAnsi="Verdana" w:cs="Verdana"/>
                <w:b/>
                <w:bCs/>
                <w:noProof/>
                <w:color w:val="000000"/>
                <w:sz w:val="18"/>
              </w:rPr>
            </w:pPr>
            <w:r w:rsidRPr="00E11BFF">
              <w:rPr>
                <w:rFonts w:ascii="Verdana" w:eastAsia="Verdana" w:hAnsi="Verdana" w:cs="Verdana"/>
                <w:b/>
                <w:bCs/>
                <w:i/>
                <w:noProof/>
                <w:color w:val="000000"/>
                <w:sz w:val="18"/>
              </w:rPr>
              <w:t>–</w:t>
            </w:r>
          </w:p>
        </w:tc>
        <w:tc>
          <w:tcPr>
            <w:tcW w:w="85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D51BAA7" w14:textId="77777777" w:rsidR="00FD1E19" w:rsidRDefault="00FD1E19" w:rsidP="00BE7E4A">
            <w:pPr>
              <w:pStyle w:val="DMETW37225BIPRNET"/>
              <w:jc w:val="right"/>
              <w:rPr>
                <w:rFonts w:ascii="Verdana" w:eastAsia="Verdana" w:hAnsi="Verdana" w:cs="Verdana"/>
                <w:b/>
                <w:noProof/>
                <w:color w:val="000000"/>
                <w:sz w:val="18"/>
              </w:rPr>
            </w:pPr>
            <w:r>
              <w:rPr>
                <w:rFonts w:ascii="Verdana" w:eastAsia="Verdana" w:hAnsi="Verdana" w:cs="Verdana"/>
                <w:b/>
                <w:noProof/>
                <w:color w:val="000000"/>
                <w:sz w:val="18"/>
              </w:rPr>
              <w:t xml:space="preserve">  11</w:t>
            </w:r>
          </w:p>
        </w:tc>
        <w:tc>
          <w:tcPr>
            <w:tcW w:w="85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3727821" w14:textId="77777777" w:rsidR="00FD1E19" w:rsidRDefault="00FD1E19" w:rsidP="00BE7E4A">
            <w:pPr>
              <w:pStyle w:val="DMETW37225BIPRNET"/>
              <w:jc w:val="right"/>
              <w:rPr>
                <w:rFonts w:ascii="Verdana" w:eastAsia="Verdana" w:hAnsi="Verdana" w:cs="Verdana"/>
                <w:b/>
                <w:noProof/>
                <w:color w:val="000000"/>
                <w:sz w:val="18"/>
              </w:rPr>
            </w:pPr>
            <w:r>
              <w:rPr>
                <w:rFonts w:ascii="Verdana" w:eastAsia="Verdana" w:hAnsi="Verdana" w:cs="Verdana"/>
                <w:b/>
                <w:noProof/>
                <w:color w:val="000000"/>
                <w:sz w:val="18"/>
              </w:rPr>
              <w:t xml:space="preserve">  16</w:t>
            </w:r>
          </w:p>
        </w:tc>
        <w:tc>
          <w:tcPr>
            <w:tcW w:w="142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9774D33" w14:textId="77777777" w:rsidR="00FD1E19" w:rsidRDefault="00FD1E19" w:rsidP="00BE7E4A">
            <w:pPr>
              <w:pStyle w:val="DMETW37225BIPRNET"/>
              <w:jc w:val="right"/>
              <w:rPr>
                <w:rFonts w:ascii="Verdana" w:eastAsia="Verdana" w:hAnsi="Verdana" w:cs="Verdana"/>
                <w:b/>
                <w:noProof/>
                <w:color w:val="000000"/>
                <w:sz w:val="18"/>
              </w:rPr>
            </w:pPr>
            <w:r>
              <w:rPr>
                <w:rFonts w:ascii="Verdana" w:eastAsia="Verdana" w:hAnsi="Verdana" w:cs="Verdana"/>
                <w:b/>
                <w:noProof/>
                <w:color w:val="000000"/>
                <w:sz w:val="18"/>
              </w:rPr>
              <w:t xml:space="preserve">  27</w:t>
            </w:r>
          </w:p>
        </w:tc>
        <w:tc>
          <w:tcPr>
            <w:tcW w:w="142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0D974BE" w14:textId="77777777" w:rsidR="00FD1E19" w:rsidRDefault="00FD1E19" w:rsidP="00BE7E4A">
            <w:pPr>
              <w:pStyle w:val="DMETW37225BIPRNET"/>
              <w:jc w:val="right"/>
              <w:rPr>
                <w:rFonts w:ascii="Verdana" w:eastAsia="Verdana" w:hAnsi="Verdana" w:cs="Verdana"/>
                <w:b/>
                <w:noProof/>
                <w:color w:val="000000"/>
                <w:sz w:val="18"/>
              </w:rPr>
            </w:pPr>
            <w:r>
              <w:rPr>
                <w:rFonts w:ascii="Verdana" w:eastAsia="Verdana" w:hAnsi="Verdana" w:cs="Verdana"/>
                <w:b/>
                <w:noProof/>
                <w:color w:val="000000"/>
                <w:sz w:val="18"/>
              </w:rPr>
              <w:t xml:space="preserve">  24</w:t>
            </w:r>
          </w:p>
        </w:tc>
      </w:tr>
    </w:tbl>
    <w:p w14:paraId="2F353182" w14:textId="77777777" w:rsidR="00FD1E19" w:rsidRPr="00F64D38" w:rsidRDefault="00FD1E19" w:rsidP="00FD1E19">
      <w:pPr>
        <w:pStyle w:val="HEADER4Part2"/>
        <w:keepNext/>
        <w:keepLines/>
        <w:rPr>
          <w:noProof/>
        </w:rPr>
      </w:pPr>
      <w:r w:rsidRPr="00F64D38">
        <w:rPr>
          <w:noProof/>
        </w:rPr>
        <w:t>Receivables from exchange transactions</w:t>
      </w:r>
    </w:p>
    <w:tbl>
      <w:tblPr>
        <w:tblW w:w="50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72"/>
        <w:gridCol w:w="1491"/>
        <w:gridCol w:w="851"/>
        <w:gridCol w:w="864"/>
        <w:gridCol w:w="1404"/>
        <w:gridCol w:w="1562"/>
      </w:tblGrid>
      <w:tr w:rsidR="00FD1E19" w14:paraId="75AA78EF" w14:textId="77777777" w:rsidTr="00BE7E4A">
        <w:trPr>
          <w:trHeight w:val="255"/>
        </w:trPr>
        <w:tc>
          <w:tcPr>
            <w:tcW w:w="3672" w:type="dxa"/>
            <w:tcBorders>
              <w:top w:val="nil"/>
              <w:left w:val="nil"/>
              <w:bottom w:val="nil"/>
              <w:right w:val="nil"/>
              <w:tl2br w:val="nil"/>
              <w:tr2bl w:val="nil"/>
            </w:tcBorders>
            <w:shd w:val="clear" w:color="auto" w:fill="auto"/>
            <w:tcMar>
              <w:left w:w="60" w:type="dxa"/>
              <w:right w:w="60" w:type="dxa"/>
            </w:tcMar>
            <w:vAlign w:val="center"/>
          </w:tcPr>
          <w:p w14:paraId="26B90957" w14:textId="77777777" w:rsidR="00FD1E19" w:rsidRDefault="00FD1E19" w:rsidP="00BE7E4A">
            <w:pPr>
              <w:pStyle w:val="DMETW37225BIPRET"/>
              <w:keepNext/>
              <w:keepLines/>
              <w:jc w:val="right"/>
              <w:rPr>
                <w:rFonts w:ascii="Verdana" w:eastAsia="Verdana" w:hAnsi="Verdana" w:cs="Verdana"/>
                <w:i/>
                <w:noProof/>
                <w:color w:val="000000"/>
                <w:sz w:val="16"/>
                <w:lang w:bidi="en-GB"/>
              </w:rPr>
            </w:pPr>
            <w:bookmarkStart w:id="81" w:name="DOC_TBL00020_1_1"/>
            <w:bookmarkEnd w:id="81"/>
          </w:p>
        </w:tc>
        <w:tc>
          <w:tcPr>
            <w:tcW w:w="1491" w:type="dxa"/>
            <w:tcBorders>
              <w:top w:val="nil"/>
              <w:left w:val="nil"/>
              <w:bottom w:val="nil"/>
              <w:right w:val="nil"/>
              <w:tl2br w:val="nil"/>
              <w:tr2bl w:val="nil"/>
            </w:tcBorders>
            <w:shd w:val="clear" w:color="auto" w:fill="auto"/>
            <w:tcMar>
              <w:left w:w="60" w:type="dxa"/>
              <w:right w:w="60" w:type="dxa"/>
            </w:tcMar>
            <w:vAlign w:val="center"/>
          </w:tcPr>
          <w:p w14:paraId="23A82287" w14:textId="77777777" w:rsidR="00FD1E19" w:rsidRDefault="00FD1E19" w:rsidP="00BE7E4A">
            <w:pPr>
              <w:pStyle w:val="DMETW37225BIPRET"/>
              <w:keepNext/>
              <w:keepLines/>
              <w:jc w:val="right"/>
              <w:rPr>
                <w:rFonts w:ascii="Verdana" w:eastAsia="Verdana" w:hAnsi="Verdana" w:cs="Verdana"/>
                <w:i/>
                <w:noProof/>
                <w:color w:val="000000"/>
                <w:sz w:val="16"/>
              </w:rPr>
            </w:pPr>
          </w:p>
        </w:tc>
        <w:tc>
          <w:tcPr>
            <w:tcW w:w="851" w:type="dxa"/>
            <w:tcBorders>
              <w:top w:val="nil"/>
              <w:left w:val="nil"/>
              <w:bottom w:val="nil"/>
              <w:right w:val="nil"/>
              <w:tl2br w:val="nil"/>
              <w:tr2bl w:val="nil"/>
            </w:tcBorders>
            <w:shd w:val="clear" w:color="auto" w:fill="auto"/>
            <w:tcMar>
              <w:left w:w="60" w:type="dxa"/>
              <w:right w:w="60" w:type="dxa"/>
            </w:tcMar>
            <w:vAlign w:val="center"/>
          </w:tcPr>
          <w:p w14:paraId="0441594E" w14:textId="77777777" w:rsidR="00FD1E19" w:rsidRDefault="00FD1E19" w:rsidP="00BE7E4A">
            <w:pPr>
              <w:pStyle w:val="DMETW37225BIPRET"/>
              <w:keepNext/>
              <w:keepLines/>
              <w:jc w:val="right"/>
              <w:rPr>
                <w:rFonts w:ascii="Verdana" w:eastAsia="Verdana" w:hAnsi="Verdana" w:cs="Verdana"/>
                <w:i/>
                <w:noProof/>
                <w:color w:val="000000"/>
                <w:sz w:val="16"/>
              </w:rPr>
            </w:pPr>
          </w:p>
        </w:tc>
        <w:tc>
          <w:tcPr>
            <w:tcW w:w="864" w:type="dxa"/>
            <w:tcBorders>
              <w:top w:val="nil"/>
              <w:left w:val="nil"/>
              <w:bottom w:val="nil"/>
              <w:right w:val="nil"/>
              <w:tl2br w:val="nil"/>
              <w:tr2bl w:val="nil"/>
            </w:tcBorders>
            <w:shd w:val="clear" w:color="auto" w:fill="auto"/>
            <w:tcMar>
              <w:left w:w="60" w:type="dxa"/>
              <w:right w:w="60" w:type="dxa"/>
            </w:tcMar>
            <w:vAlign w:val="center"/>
          </w:tcPr>
          <w:p w14:paraId="5A0BCB05" w14:textId="77777777" w:rsidR="00FD1E19" w:rsidRDefault="00FD1E19" w:rsidP="00BE7E4A">
            <w:pPr>
              <w:pStyle w:val="DMETW37225BIPRET"/>
              <w:keepNext/>
              <w:keepLines/>
              <w:jc w:val="right"/>
              <w:rPr>
                <w:rFonts w:ascii="Verdana" w:eastAsia="Verdana" w:hAnsi="Verdana" w:cs="Verdana"/>
                <w:i/>
                <w:noProof/>
                <w:color w:val="000000"/>
                <w:sz w:val="16"/>
              </w:rPr>
            </w:pPr>
          </w:p>
        </w:tc>
        <w:tc>
          <w:tcPr>
            <w:tcW w:w="1404" w:type="dxa"/>
            <w:tcBorders>
              <w:top w:val="nil"/>
              <w:left w:val="nil"/>
              <w:bottom w:val="nil"/>
              <w:right w:val="nil"/>
              <w:tl2br w:val="nil"/>
              <w:tr2bl w:val="nil"/>
            </w:tcBorders>
            <w:shd w:val="clear" w:color="auto" w:fill="auto"/>
            <w:tcMar>
              <w:left w:w="60" w:type="dxa"/>
              <w:right w:w="60" w:type="dxa"/>
            </w:tcMar>
            <w:vAlign w:val="center"/>
          </w:tcPr>
          <w:p w14:paraId="117855D0" w14:textId="77777777" w:rsidR="00FD1E19" w:rsidRDefault="00FD1E19" w:rsidP="00BE7E4A">
            <w:pPr>
              <w:pStyle w:val="DMETW37225BIPRET"/>
              <w:keepNext/>
              <w:keepLines/>
              <w:jc w:val="right"/>
              <w:rPr>
                <w:rFonts w:ascii="Verdana" w:eastAsia="Verdana" w:hAnsi="Verdana" w:cs="Verdana"/>
                <w:i/>
                <w:noProof/>
                <w:color w:val="000000"/>
                <w:sz w:val="16"/>
              </w:rPr>
            </w:pPr>
          </w:p>
        </w:tc>
        <w:tc>
          <w:tcPr>
            <w:tcW w:w="1562" w:type="dxa"/>
            <w:tcBorders>
              <w:top w:val="nil"/>
              <w:left w:val="nil"/>
              <w:bottom w:val="nil"/>
              <w:right w:val="nil"/>
              <w:tl2br w:val="nil"/>
              <w:tr2bl w:val="nil"/>
            </w:tcBorders>
            <w:shd w:val="clear" w:color="auto" w:fill="auto"/>
            <w:tcMar>
              <w:left w:w="60" w:type="dxa"/>
              <w:right w:w="60" w:type="dxa"/>
            </w:tcMar>
            <w:vAlign w:val="center"/>
          </w:tcPr>
          <w:p w14:paraId="5080BB9E" w14:textId="77777777" w:rsidR="00FD1E19" w:rsidRDefault="00FD1E19" w:rsidP="00BE7E4A">
            <w:pPr>
              <w:pStyle w:val="DMETW37225BIPRET"/>
              <w:keepNext/>
              <w:keepLine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24822ADD" w14:textId="77777777" w:rsidTr="00BE7E4A">
        <w:trPr>
          <w:trHeight w:val="255"/>
        </w:trPr>
        <w:tc>
          <w:tcPr>
            <w:tcW w:w="3672" w:type="dxa"/>
            <w:tcBorders>
              <w:top w:val="nil"/>
              <w:left w:val="nil"/>
              <w:bottom w:val="nil"/>
              <w:right w:val="nil"/>
              <w:tl2br w:val="nil"/>
              <w:tr2bl w:val="nil"/>
            </w:tcBorders>
            <w:shd w:val="solid" w:color="016794" w:fill="FFFFFF"/>
            <w:tcMar>
              <w:left w:w="60" w:type="dxa"/>
              <w:right w:w="60" w:type="dxa"/>
            </w:tcMar>
            <w:vAlign w:val="center"/>
          </w:tcPr>
          <w:p w14:paraId="27EE4F2E" w14:textId="77777777" w:rsidR="00FD1E19" w:rsidRDefault="00FD1E19" w:rsidP="00BE7E4A">
            <w:pPr>
              <w:pStyle w:val="DMETW37225BIPRET"/>
              <w:keepNext/>
              <w:keepLines/>
              <w:jc w:val="center"/>
              <w:rPr>
                <w:rFonts w:ascii="Verdana" w:eastAsia="Verdana" w:hAnsi="Verdana" w:cs="Verdana"/>
                <w:noProof/>
                <w:color w:val="FFFFFF"/>
              </w:rPr>
            </w:pPr>
          </w:p>
        </w:tc>
        <w:tc>
          <w:tcPr>
            <w:tcW w:w="1491" w:type="dxa"/>
            <w:tcBorders>
              <w:top w:val="nil"/>
              <w:left w:val="nil"/>
              <w:bottom w:val="nil"/>
              <w:right w:val="nil"/>
              <w:tl2br w:val="nil"/>
              <w:tr2bl w:val="nil"/>
            </w:tcBorders>
            <w:shd w:val="solid" w:color="016794" w:fill="FFFFFF"/>
            <w:tcMar>
              <w:left w:w="60" w:type="dxa"/>
              <w:right w:w="60" w:type="dxa"/>
            </w:tcMar>
            <w:vAlign w:val="center"/>
          </w:tcPr>
          <w:p w14:paraId="7C604FFB" w14:textId="77777777" w:rsidR="00FD1E19" w:rsidRDefault="00FD1E19" w:rsidP="00BE7E4A">
            <w:pPr>
              <w:pStyle w:val="DMETW37225BIPRET"/>
              <w:keepNext/>
              <w:keepLines/>
              <w:jc w:val="right"/>
              <w:rPr>
                <w:rFonts w:ascii="Verdana" w:eastAsia="Verdana" w:hAnsi="Verdana" w:cs="Verdana"/>
                <w:noProof/>
                <w:color w:val="FFFFFF"/>
              </w:rPr>
            </w:pPr>
            <w:r>
              <w:rPr>
                <w:rFonts w:ascii="Verdana" w:eastAsia="Verdana" w:hAnsi="Verdana" w:cs="Verdana"/>
                <w:noProof/>
                <w:color w:val="FFFFFF"/>
              </w:rPr>
              <w:t>Ninth EDF</w:t>
            </w:r>
          </w:p>
        </w:tc>
        <w:tc>
          <w:tcPr>
            <w:tcW w:w="851" w:type="dxa"/>
            <w:tcBorders>
              <w:top w:val="nil"/>
              <w:left w:val="nil"/>
              <w:bottom w:val="nil"/>
              <w:right w:val="nil"/>
              <w:tl2br w:val="nil"/>
              <w:tr2bl w:val="nil"/>
            </w:tcBorders>
            <w:shd w:val="solid" w:color="016794" w:fill="FFFFFF"/>
            <w:tcMar>
              <w:left w:w="60" w:type="dxa"/>
              <w:right w:w="60" w:type="dxa"/>
            </w:tcMar>
            <w:vAlign w:val="center"/>
          </w:tcPr>
          <w:p w14:paraId="15E939D6" w14:textId="77777777" w:rsidR="00FD1E19" w:rsidRDefault="00FD1E19" w:rsidP="00BE7E4A">
            <w:pPr>
              <w:pStyle w:val="DMETW37225BIPRET"/>
              <w:keepNext/>
              <w:keepLines/>
              <w:jc w:val="right"/>
              <w:rPr>
                <w:rFonts w:ascii="Verdana" w:eastAsia="Verdana" w:hAnsi="Verdana" w:cs="Verdana"/>
                <w:noProof/>
                <w:color w:val="FFFFFF"/>
              </w:rPr>
            </w:pPr>
            <w:r>
              <w:rPr>
                <w:rFonts w:ascii="Verdana" w:eastAsia="Verdana" w:hAnsi="Verdana" w:cs="Verdana"/>
                <w:noProof/>
                <w:color w:val="FFFFFF"/>
              </w:rPr>
              <w:t>10th EDF</w:t>
            </w:r>
          </w:p>
        </w:tc>
        <w:tc>
          <w:tcPr>
            <w:tcW w:w="864" w:type="dxa"/>
            <w:tcBorders>
              <w:top w:val="nil"/>
              <w:left w:val="nil"/>
              <w:bottom w:val="nil"/>
              <w:right w:val="nil"/>
              <w:tl2br w:val="nil"/>
              <w:tr2bl w:val="nil"/>
            </w:tcBorders>
            <w:shd w:val="solid" w:color="016794" w:fill="FFFFFF"/>
            <w:tcMar>
              <w:left w:w="60" w:type="dxa"/>
              <w:right w:w="60" w:type="dxa"/>
            </w:tcMar>
            <w:vAlign w:val="center"/>
          </w:tcPr>
          <w:p w14:paraId="2F5C7EB7" w14:textId="77777777" w:rsidR="00FD1E19" w:rsidRDefault="00FD1E19" w:rsidP="00BE7E4A">
            <w:pPr>
              <w:pStyle w:val="DMETW37225BIPRET"/>
              <w:keepNext/>
              <w:keepLines/>
              <w:jc w:val="right"/>
              <w:rPr>
                <w:rFonts w:ascii="Verdana" w:eastAsia="Verdana" w:hAnsi="Verdana" w:cs="Verdana"/>
                <w:noProof/>
                <w:color w:val="FFFFFF"/>
              </w:rPr>
            </w:pPr>
            <w:r>
              <w:rPr>
                <w:rFonts w:ascii="Verdana" w:eastAsia="Verdana" w:hAnsi="Verdana" w:cs="Verdana"/>
                <w:noProof/>
                <w:color w:val="FFFFFF"/>
              </w:rPr>
              <w:t>11th EDF</w:t>
            </w:r>
          </w:p>
        </w:tc>
        <w:tc>
          <w:tcPr>
            <w:tcW w:w="1404" w:type="dxa"/>
            <w:tcBorders>
              <w:top w:val="nil"/>
              <w:left w:val="nil"/>
              <w:bottom w:val="nil"/>
              <w:right w:val="nil"/>
              <w:tl2br w:val="nil"/>
              <w:tr2bl w:val="nil"/>
            </w:tcBorders>
            <w:shd w:val="solid" w:color="016794" w:fill="FFFFFF"/>
            <w:tcMar>
              <w:left w:w="60" w:type="dxa"/>
              <w:right w:w="60" w:type="dxa"/>
            </w:tcMar>
            <w:vAlign w:val="center"/>
          </w:tcPr>
          <w:p w14:paraId="0A760042" w14:textId="77777777" w:rsidR="00FD1E19" w:rsidRDefault="00FD1E19" w:rsidP="00BE7E4A">
            <w:pPr>
              <w:pStyle w:val="DMETW37225BIPRET"/>
              <w:keepNext/>
              <w:keepLines/>
              <w:jc w:val="right"/>
              <w:rPr>
                <w:rFonts w:ascii="Verdana" w:eastAsia="Verdana" w:hAnsi="Verdana" w:cs="Verdana"/>
                <w:noProof/>
                <w:color w:val="FFFFFF"/>
              </w:rPr>
            </w:pPr>
            <w:r>
              <w:rPr>
                <w:rFonts w:ascii="Verdana" w:eastAsia="Verdana" w:hAnsi="Verdana" w:cs="Verdana"/>
                <w:noProof/>
                <w:color w:val="FFFFFF"/>
              </w:rPr>
              <w:t>31.12.2025</w:t>
            </w:r>
          </w:p>
        </w:tc>
        <w:tc>
          <w:tcPr>
            <w:tcW w:w="1562" w:type="dxa"/>
            <w:tcBorders>
              <w:top w:val="nil"/>
              <w:left w:val="nil"/>
              <w:bottom w:val="nil"/>
              <w:right w:val="nil"/>
              <w:tl2br w:val="nil"/>
              <w:tr2bl w:val="nil"/>
            </w:tcBorders>
            <w:shd w:val="solid" w:color="016794" w:fill="FFFFFF"/>
            <w:tcMar>
              <w:left w:w="60" w:type="dxa"/>
              <w:right w:w="60" w:type="dxa"/>
            </w:tcMar>
            <w:vAlign w:val="center"/>
          </w:tcPr>
          <w:p w14:paraId="6BF4AC48" w14:textId="77777777" w:rsidR="00FD1E19" w:rsidRDefault="00FD1E19" w:rsidP="00BE7E4A">
            <w:pPr>
              <w:pStyle w:val="DMETW37225BIPRET"/>
              <w:keepNext/>
              <w:keepLine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5AE0500B" w14:textId="77777777" w:rsidTr="00BE7E4A">
        <w:trPr>
          <w:trHeight w:val="255"/>
        </w:trPr>
        <w:tc>
          <w:tcPr>
            <w:tcW w:w="3672" w:type="dxa"/>
            <w:tcBorders>
              <w:top w:val="nil"/>
              <w:left w:val="nil"/>
              <w:bottom w:val="nil"/>
              <w:right w:val="nil"/>
              <w:tl2br w:val="nil"/>
              <w:tr2bl w:val="nil"/>
            </w:tcBorders>
            <w:shd w:val="clear" w:color="auto" w:fill="auto"/>
            <w:tcMar>
              <w:left w:w="60" w:type="dxa"/>
              <w:right w:w="60" w:type="dxa"/>
            </w:tcMar>
            <w:vAlign w:val="center"/>
          </w:tcPr>
          <w:p w14:paraId="30B3188F" w14:textId="77777777" w:rsidR="00FD1E19" w:rsidRDefault="00FD1E19" w:rsidP="00BE7E4A">
            <w:pPr>
              <w:pStyle w:val="DMETW37225BIPRET"/>
              <w:keepNext/>
              <w:keepLines/>
              <w:rPr>
                <w:rFonts w:ascii="Verdana" w:eastAsia="Verdana" w:hAnsi="Verdana" w:cs="Verdana"/>
                <w:i/>
                <w:noProof/>
                <w:color w:val="000000"/>
                <w:sz w:val="18"/>
              </w:rPr>
            </w:pPr>
            <w:r>
              <w:rPr>
                <w:rFonts w:ascii="Verdana" w:eastAsia="Verdana" w:hAnsi="Verdana" w:cs="Verdana"/>
                <w:i/>
                <w:noProof/>
                <w:color w:val="000000"/>
                <w:sz w:val="18"/>
              </w:rPr>
              <w:t>Accrued income</w:t>
            </w:r>
          </w:p>
        </w:tc>
        <w:tc>
          <w:tcPr>
            <w:tcW w:w="1491" w:type="dxa"/>
            <w:tcBorders>
              <w:top w:val="nil"/>
              <w:left w:val="nil"/>
              <w:bottom w:val="nil"/>
              <w:right w:val="nil"/>
              <w:tl2br w:val="nil"/>
              <w:tr2bl w:val="nil"/>
            </w:tcBorders>
            <w:shd w:val="clear" w:color="auto" w:fill="auto"/>
            <w:tcMar>
              <w:left w:w="60" w:type="dxa"/>
              <w:right w:w="60" w:type="dxa"/>
            </w:tcMar>
            <w:vAlign w:val="center"/>
          </w:tcPr>
          <w:p w14:paraId="61C1E93C"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671D80FB"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64" w:type="dxa"/>
            <w:tcBorders>
              <w:top w:val="nil"/>
              <w:left w:val="nil"/>
              <w:bottom w:val="nil"/>
              <w:right w:val="nil"/>
              <w:tl2br w:val="nil"/>
              <w:tr2bl w:val="nil"/>
            </w:tcBorders>
            <w:shd w:val="clear" w:color="auto" w:fill="auto"/>
            <w:tcMar>
              <w:left w:w="60" w:type="dxa"/>
              <w:right w:w="60" w:type="dxa"/>
            </w:tcMar>
            <w:vAlign w:val="center"/>
          </w:tcPr>
          <w:p w14:paraId="71EA0362"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404" w:type="dxa"/>
            <w:tcBorders>
              <w:top w:val="nil"/>
              <w:left w:val="nil"/>
              <w:bottom w:val="nil"/>
              <w:right w:val="nil"/>
              <w:tl2br w:val="nil"/>
              <w:tr2bl w:val="nil"/>
            </w:tcBorders>
            <w:shd w:val="clear" w:color="auto" w:fill="auto"/>
            <w:tcMar>
              <w:left w:w="60" w:type="dxa"/>
              <w:right w:w="60" w:type="dxa"/>
            </w:tcMar>
            <w:vAlign w:val="center"/>
          </w:tcPr>
          <w:p w14:paraId="3990BD83"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562" w:type="dxa"/>
            <w:tcBorders>
              <w:top w:val="nil"/>
              <w:left w:val="nil"/>
              <w:bottom w:val="nil"/>
              <w:right w:val="nil"/>
              <w:tl2br w:val="nil"/>
              <w:tr2bl w:val="nil"/>
            </w:tcBorders>
            <w:shd w:val="clear" w:color="auto" w:fill="auto"/>
            <w:tcMar>
              <w:left w:w="60" w:type="dxa"/>
              <w:right w:w="60" w:type="dxa"/>
            </w:tcMar>
            <w:vAlign w:val="center"/>
          </w:tcPr>
          <w:p w14:paraId="00C32EA0" w14:textId="77777777" w:rsidR="00FD1E19" w:rsidRDefault="00FD1E19" w:rsidP="00BE7E4A">
            <w:pPr>
              <w:pStyle w:val="DMETW37225BIPRE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423D4E89" w14:textId="77777777" w:rsidTr="00BE7E4A">
        <w:trPr>
          <w:trHeight w:val="255"/>
        </w:trPr>
        <w:tc>
          <w:tcPr>
            <w:tcW w:w="3672" w:type="dxa"/>
            <w:tcBorders>
              <w:top w:val="nil"/>
              <w:left w:val="nil"/>
              <w:bottom w:val="nil"/>
              <w:right w:val="nil"/>
              <w:tl2br w:val="nil"/>
              <w:tr2bl w:val="nil"/>
            </w:tcBorders>
            <w:shd w:val="clear" w:color="auto" w:fill="auto"/>
            <w:tcMar>
              <w:left w:w="60" w:type="dxa"/>
              <w:right w:w="60" w:type="dxa"/>
            </w:tcMar>
            <w:vAlign w:val="center"/>
          </w:tcPr>
          <w:p w14:paraId="6A6B9E5F" w14:textId="77777777" w:rsidR="00FD1E19" w:rsidRDefault="00FD1E19" w:rsidP="00BE7E4A">
            <w:pPr>
              <w:pStyle w:val="DMETW37225BIPRET"/>
              <w:keepNext/>
              <w:keepLines/>
              <w:rPr>
                <w:rFonts w:ascii="Verdana" w:eastAsia="Verdana" w:hAnsi="Verdana" w:cs="Verdana"/>
                <w:i/>
                <w:noProof/>
                <w:color w:val="000000"/>
                <w:sz w:val="18"/>
              </w:rPr>
            </w:pPr>
            <w:r>
              <w:rPr>
                <w:rFonts w:ascii="Verdana" w:eastAsia="Verdana" w:hAnsi="Verdana" w:cs="Verdana"/>
                <w:i/>
                <w:noProof/>
                <w:color w:val="000000"/>
                <w:sz w:val="18"/>
              </w:rPr>
              <w:t>Inter-EDF accounts</w:t>
            </w:r>
          </w:p>
        </w:tc>
        <w:tc>
          <w:tcPr>
            <w:tcW w:w="1491" w:type="dxa"/>
            <w:tcBorders>
              <w:top w:val="nil"/>
              <w:left w:val="nil"/>
              <w:bottom w:val="nil"/>
              <w:right w:val="nil"/>
              <w:tl2br w:val="nil"/>
              <w:tr2bl w:val="nil"/>
            </w:tcBorders>
            <w:shd w:val="clear" w:color="auto" w:fill="auto"/>
            <w:tcMar>
              <w:left w:w="60" w:type="dxa"/>
              <w:right w:w="60" w:type="dxa"/>
            </w:tcMar>
            <w:vAlign w:val="center"/>
          </w:tcPr>
          <w:p w14:paraId="3DA788CA"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(207)</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5F3784E6"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168</w:t>
            </w:r>
          </w:p>
        </w:tc>
        <w:tc>
          <w:tcPr>
            <w:tcW w:w="864" w:type="dxa"/>
            <w:tcBorders>
              <w:top w:val="nil"/>
              <w:left w:val="nil"/>
              <w:bottom w:val="nil"/>
              <w:right w:val="nil"/>
              <w:tl2br w:val="nil"/>
              <w:tr2bl w:val="nil"/>
            </w:tcBorders>
            <w:shd w:val="clear" w:color="auto" w:fill="auto"/>
            <w:tcMar>
              <w:left w:w="60" w:type="dxa"/>
              <w:right w:w="60" w:type="dxa"/>
            </w:tcMar>
            <w:vAlign w:val="center"/>
          </w:tcPr>
          <w:p w14:paraId="6FF24B63"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39</w:t>
            </w:r>
          </w:p>
        </w:tc>
        <w:tc>
          <w:tcPr>
            <w:tcW w:w="1404" w:type="dxa"/>
            <w:tcBorders>
              <w:top w:val="nil"/>
              <w:left w:val="nil"/>
              <w:bottom w:val="nil"/>
              <w:right w:val="nil"/>
              <w:tl2br w:val="nil"/>
              <w:tr2bl w:val="nil"/>
            </w:tcBorders>
            <w:shd w:val="clear" w:color="auto" w:fill="auto"/>
            <w:tcMar>
              <w:left w:w="60" w:type="dxa"/>
              <w:right w:w="60" w:type="dxa"/>
            </w:tcMar>
            <w:vAlign w:val="center"/>
          </w:tcPr>
          <w:p w14:paraId="3D42FB05"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562" w:type="dxa"/>
            <w:tcBorders>
              <w:top w:val="nil"/>
              <w:left w:val="nil"/>
              <w:bottom w:val="nil"/>
              <w:right w:val="nil"/>
              <w:tl2br w:val="nil"/>
              <w:tr2bl w:val="nil"/>
            </w:tcBorders>
            <w:shd w:val="clear" w:color="auto" w:fill="auto"/>
            <w:tcMar>
              <w:left w:w="60" w:type="dxa"/>
              <w:right w:w="60" w:type="dxa"/>
            </w:tcMar>
            <w:vAlign w:val="center"/>
          </w:tcPr>
          <w:p w14:paraId="4DA4B194" w14:textId="77777777" w:rsidR="00FD1E19" w:rsidRDefault="00FD1E19" w:rsidP="00BE7E4A">
            <w:pPr>
              <w:pStyle w:val="DMETW37225BIPRE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18A964D1" w14:textId="77777777" w:rsidTr="00BE7E4A">
        <w:trPr>
          <w:trHeight w:val="255"/>
        </w:trPr>
        <w:tc>
          <w:tcPr>
            <w:tcW w:w="3672" w:type="dxa"/>
            <w:tcBorders>
              <w:top w:val="nil"/>
              <w:left w:val="nil"/>
              <w:bottom w:val="single" w:sz="4" w:space="0" w:color="016794"/>
              <w:right w:val="nil"/>
              <w:tl2br w:val="nil"/>
              <w:tr2bl w:val="nil"/>
            </w:tcBorders>
            <w:shd w:val="clear" w:color="auto" w:fill="auto"/>
            <w:tcMar>
              <w:left w:w="60" w:type="dxa"/>
              <w:right w:w="60" w:type="dxa"/>
            </w:tcMar>
            <w:vAlign w:val="center"/>
          </w:tcPr>
          <w:p w14:paraId="44FABA75" w14:textId="77777777" w:rsidR="00FD1E19" w:rsidRDefault="00FD1E19" w:rsidP="00BE7E4A">
            <w:pPr>
              <w:pStyle w:val="DMETW37225BIPRET"/>
              <w:keepNext/>
              <w:keepLines/>
              <w:rPr>
                <w:rFonts w:ascii="Verdana" w:eastAsia="Verdana" w:hAnsi="Verdana" w:cs="Verdana"/>
                <w:i/>
                <w:noProof/>
                <w:color w:val="000000"/>
                <w:sz w:val="18"/>
              </w:rPr>
            </w:pPr>
            <w:r>
              <w:rPr>
                <w:rFonts w:ascii="Verdana" w:eastAsia="Verdana" w:hAnsi="Verdana" w:cs="Verdana"/>
                <w:i/>
                <w:noProof/>
                <w:color w:val="000000"/>
                <w:sz w:val="18"/>
              </w:rPr>
              <w:t>Other</w:t>
            </w:r>
          </w:p>
        </w:tc>
        <w:tc>
          <w:tcPr>
            <w:tcW w:w="1491" w:type="dxa"/>
            <w:tcBorders>
              <w:top w:val="nil"/>
              <w:left w:val="nil"/>
              <w:bottom w:val="single" w:sz="4" w:space="0" w:color="016794"/>
              <w:right w:val="nil"/>
              <w:tl2br w:val="nil"/>
              <w:tr2bl w:val="nil"/>
            </w:tcBorders>
            <w:shd w:val="clear" w:color="auto" w:fill="auto"/>
            <w:tcMar>
              <w:left w:w="60" w:type="dxa"/>
              <w:right w:w="60" w:type="dxa"/>
            </w:tcMar>
            <w:vAlign w:val="center"/>
          </w:tcPr>
          <w:p w14:paraId="61CFE86D"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single" w:sz="4" w:space="0" w:color="016794"/>
              <w:right w:val="nil"/>
              <w:tl2br w:val="nil"/>
              <w:tr2bl w:val="nil"/>
            </w:tcBorders>
            <w:shd w:val="clear" w:color="auto" w:fill="auto"/>
            <w:tcMar>
              <w:left w:w="60" w:type="dxa"/>
              <w:right w:w="60" w:type="dxa"/>
            </w:tcMar>
            <w:vAlign w:val="center"/>
          </w:tcPr>
          <w:p w14:paraId="00149A35"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864" w:type="dxa"/>
            <w:tcBorders>
              <w:top w:val="nil"/>
              <w:left w:val="nil"/>
              <w:bottom w:val="single" w:sz="4" w:space="0" w:color="016794"/>
              <w:right w:val="nil"/>
              <w:tl2br w:val="nil"/>
              <w:tr2bl w:val="nil"/>
            </w:tcBorders>
            <w:shd w:val="clear" w:color="auto" w:fill="auto"/>
            <w:tcMar>
              <w:left w:w="60" w:type="dxa"/>
              <w:right w:w="60" w:type="dxa"/>
            </w:tcMar>
            <w:vAlign w:val="center"/>
          </w:tcPr>
          <w:p w14:paraId="316C995A"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404" w:type="dxa"/>
            <w:tcBorders>
              <w:top w:val="nil"/>
              <w:left w:val="nil"/>
              <w:bottom w:val="single" w:sz="4" w:space="0" w:color="016794"/>
              <w:right w:val="nil"/>
              <w:tl2br w:val="nil"/>
              <w:tr2bl w:val="nil"/>
            </w:tcBorders>
            <w:shd w:val="clear" w:color="auto" w:fill="auto"/>
            <w:tcMar>
              <w:left w:w="60" w:type="dxa"/>
              <w:right w:w="60" w:type="dxa"/>
            </w:tcMar>
            <w:vAlign w:val="center"/>
          </w:tcPr>
          <w:p w14:paraId="2E43F115" w14:textId="77777777" w:rsidR="00FD1E19" w:rsidRDefault="00FD1E19" w:rsidP="00BE7E4A">
            <w:pPr>
              <w:pStyle w:val="DMETW37225BIPRE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562" w:type="dxa"/>
            <w:tcBorders>
              <w:top w:val="nil"/>
              <w:left w:val="nil"/>
              <w:bottom w:val="single" w:sz="4" w:space="0" w:color="016794"/>
              <w:right w:val="nil"/>
              <w:tl2br w:val="nil"/>
              <w:tr2bl w:val="nil"/>
            </w:tcBorders>
            <w:shd w:val="clear" w:color="auto" w:fill="auto"/>
            <w:tcMar>
              <w:left w:w="60" w:type="dxa"/>
              <w:right w:w="60" w:type="dxa"/>
            </w:tcMar>
            <w:vAlign w:val="center"/>
          </w:tcPr>
          <w:p w14:paraId="7F847C81" w14:textId="77777777" w:rsidR="00FD1E19" w:rsidRDefault="00FD1E19" w:rsidP="00BE7E4A">
            <w:pPr>
              <w:pStyle w:val="DMETW37225BIPRE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w:t>
            </w:r>
          </w:p>
        </w:tc>
      </w:tr>
      <w:tr w:rsidR="00FD1E19" w14:paraId="0A70C8FC" w14:textId="77777777" w:rsidTr="00BE7E4A">
        <w:trPr>
          <w:trHeight w:val="255"/>
        </w:trPr>
        <w:tc>
          <w:tcPr>
            <w:tcW w:w="367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58D5475" w14:textId="77777777" w:rsidR="00FD1E19" w:rsidRDefault="00FD1E19" w:rsidP="00BE7E4A">
            <w:pPr>
              <w:pStyle w:val="DMETW37225BIPRET"/>
              <w:keepNext/>
              <w:keepLines/>
              <w:rPr>
                <w:rFonts w:ascii="Verdana" w:eastAsia="Verdana" w:hAnsi="Verdana" w:cs="Verdana"/>
                <w:b/>
                <w:noProof/>
                <w:color w:val="000000"/>
                <w:sz w:val="18"/>
              </w:rPr>
            </w:pPr>
            <w:r>
              <w:rPr>
                <w:rFonts w:ascii="Verdana" w:eastAsia="Verdana" w:hAnsi="Verdana" w:cs="Verdana"/>
                <w:b/>
                <w:noProof/>
                <w:color w:val="000000"/>
                <w:sz w:val="18"/>
              </w:rPr>
              <w:t>Total</w:t>
            </w:r>
          </w:p>
        </w:tc>
        <w:tc>
          <w:tcPr>
            <w:tcW w:w="149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9EDDEA1" w14:textId="77777777" w:rsidR="00FD1E19" w:rsidRDefault="00FD1E19" w:rsidP="00BE7E4A">
            <w:pPr>
              <w:pStyle w:val="DMETW37225BIPRE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(207)</w:t>
            </w:r>
          </w:p>
        </w:tc>
        <w:tc>
          <w:tcPr>
            <w:tcW w:w="85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5827CF7" w14:textId="77777777" w:rsidR="00FD1E19" w:rsidRDefault="00FD1E19" w:rsidP="00BE7E4A">
            <w:pPr>
              <w:pStyle w:val="DMETW37225BIPRE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172</w:t>
            </w:r>
          </w:p>
        </w:tc>
        <w:tc>
          <w:tcPr>
            <w:tcW w:w="86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A00C53A" w14:textId="77777777" w:rsidR="00FD1E19" w:rsidRDefault="00FD1E19" w:rsidP="00BE7E4A">
            <w:pPr>
              <w:pStyle w:val="DMETW37225BIPRE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45</w:t>
            </w:r>
          </w:p>
        </w:tc>
        <w:tc>
          <w:tcPr>
            <w:tcW w:w="140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A9B3670" w14:textId="77777777" w:rsidR="00FD1E19" w:rsidRDefault="00FD1E19" w:rsidP="00BE7E4A">
            <w:pPr>
              <w:pStyle w:val="DMETW37225BIPRE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10</w:t>
            </w:r>
          </w:p>
        </w:tc>
        <w:tc>
          <w:tcPr>
            <w:tcW w:w="156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F841D9B" w14:textId="77777777" w:rsidR="00FD1E19" w:rsidRDefault="00FD1E19" w:rsidP="00BE7E4A">
            <w:pPr>
              <w:pStyle w:val="DMETW37225BIPRE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12</w:t>
            </w:r>
          </w:p>
        </w:tc>
      </w:tr>
    </w:tbl>
    <w:p w14:paraId="23DB20D3" w14:textId="77777777" w:rsidR="00FD1E19" w:rsidRDefault="00FD1E19" w:rsidP="00FD1E19">
      <w:pPr>
        <w:pStyle w:val="Textstand-alone"/>
      </w:pPr>
      <w:r>
        <w:t xml:space="preserve">For efficiency reasons, the single treasury covering all the EDFs is allocated to the 11th EDF; this leads to operations between the various EDFs, which are balanced out in the inter-EDF accounts between the various EDF balance sheets. </w:t>
      </w:r>
    </w:p>
    <w:p w14:paraId="2886F7C0" w14:textId="77777777" w:rsidR="00FD1E19" w:rsidRDefault="00FD1E19" w:rsidP="00FD1E19">
      <w:pPr>
        <w:pStyle w:val="Textstand-alone"/>
      </w:pPr>
      <w:r>
        <w:t xml:space="preserve">The heading ‘other’ comprises mainly receivables deriving from financial instruments. Out of the EUR 9 million other receivables, an amount of EUR 4 million relates to a receivable from the GEEREF and an amount of EUR 5 million relates to a receivable from Climate Investor One.  </w:t>
      </w:r>
    </w:p>
    <w:p w14:paraId="5CDB43F6" w14:textId="77777777" w:rsidR="00FD1E19" w:rsidRDefault="00FD1E19" w:rsidP="00FD1E19">
      <w:pPr>
        <w:pStyle w:val="HEADER2Part2"/>
        <w:ind w:left="3402" w:hanging="3402"/>
        <w:jc w:val="both"/>
        <w:rPr>
          <w:noProof/>
        </w:rPr>
      </w:pPr>
      <w:r w:rsidRPr="00F64D38">
        <w:rPr>
          <w:noProof/>
        </w:rPr>
        <w:t>CASH AND CASH EQUIVALENTS</w:t>
      </w:r>
      <w:r>
        <w:rPr>
          <w:rStyle w:val="FootnoteReference"/>
          <w:noProof/>
        </w:rPr>
        <w:footnoteReference w:id="2"/>
      </w:r>
    </w:p>
    <w:p w14:paraId="62CB0B95" w14:textId="77777777" w:rsidR="00FD1E19" w:rsidRPr="00F64D38" w:rsidRDefault="00FD1E19" w:rsidP="00FD1E19">
      <w:pPr>
        <w:pStyle w:val="Textstand-alone"/>
      </w:pPr>
      <w:bookmarkStart w:id="82" w:name="BIP_SEL010"/>
      <w:r>
        <w:t>Cash and cash equivalents are financial instruments at amortised cost and include cash at hand, deposits held at call or at short notice with banks (such as current accounts and savings accounts), and other short-term highly liquid investments with original maturities of three months or less.</w:t>
      </w:r>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5"/>
        <w:gridCol w:w="1001"/>
        <w:gridCol w:w="835"/>
        <w:gridCol w:w="835"/>
        <w:gridCol w:w="1338"/>
        <w:gridCol w:w="1334"/>
      </w:tblGrid>
      <w:tr w:rsidR="00FD1E19" w14:paraId="5FAA5B50" w14:textId="77777777" w:rsidTr="00BE7E4A">
        <w:trPr>
          <w:trHeight w:hRule="exact" w:val="300"/>
        </w:trPr>
        <w:tc>
          <w:tcPr>
            <w:tcW w:w="4415" w:type="dxa"/>
            <w:gridSpan w:val="6"/>
            <w:tcBorders>
              <w:top w:val="nil"/>
              <w:left w:val="nil"/>
              <w:bottom w:val="nil"/>
              <w:right w:val="nil"/>
              <w:tl2br w:val="nil"/>
              <w:tr2bl w:val="nil"/>
            </w:tcBorders>
            <w:shd w:val="clear" w:color="auto" w:fill="auto"/>
            <w:tcMar>
              <w:left w:w="60" w:type="dxa"/>
              <w:right w:w="60" w:type="dxa"/>
            </w:tcMar>
            <w:vAlign w:val="center"/>
          </w:tcPr>
          <w:p w14:paraId="22883D74" w14:textId="77777777" w:rsidR="00FD1E19" w:rsidRDefault="00FD1E19" w:rsidP="00BE7E4A">
            <w:pPr>
              <w:pStyle w:val="DMETW37225BIPCASH"/>
              <w:jc w:val="right"/>
              <w:rPr>
                <w:rFonts w:ascii="Verdana" w:eastAsia="Verdana" w:hAnsi="Verdana" w:cs="Verdana"/>
                <w:i/>
                <w:noProof/>
                <w:color w:val="000000"/>
                <w:sz w:val="16"/>
                <w:lang w:bidi="en-GB"/>
              </w:rPr>
            </w:pPr>
            <w:bookmarkStart w:id="83" w:name="DOC_TBL00021_1_1"/>
            <w:bookmarkEnd w:id="83"/>
            <w:r>
              <w:rPr>
                <w:rFonts w:ascii="Verdana" w:eastAsia="Verdana" w:hAnsi="Verdana" w:cs="Verdana"/>
                <w:i/>
                <w:noProof/>
                <w:color w:val="000000"/>
                <w:sz w:val="16"/>
                <w:lang w:bidi="en-GB"/>
              </w:rPr>
              <w:t>EUR million</w:t>
            </w:r>
          </w:p>
        </w:tc>
      </w:tr>
      <w:tr w:rsidR="00FD1E19" w14:paraId="28FA1832" w14:textId="77777777" w:rsidTr="00BE7E4A">
        <w:trPr>
          <w:trHeight w:hRule="exact" w:val="600"/>
        </w:trPr>
        <w:tc>
          <w:tcPr>
            <w:tcW w:w="4415" w:type="dxa"/>
            <w:tcBorders>
              <w:top w:val="nil"/>
              <w:left w:val="nil"/>
              <w:bottom w:val="nil"/>
              <w:right w:val="nil"/>
              <w:tl2br w:val="nil"/>
              <w:tr2bl w:val="nil"/>
            </w:tcBorders>
            <w:shd w:val="solid" w:color="016794" w:fill="FFFFFF"/>
            <w:tcMar>
              <w:left w:w="60" w:type="dxa"/>
              <w:right w:w="60" w:type="dxa"/>
            </w:tcMar>
            <w:vAlign w:val="center"/>
          </w:tcPr>
          <w:p w14:paraId="257DF38A" w14:textId="77777777" w:rsidR="00FD1E19" w:rsidRDefault="00FD1E19" w:rsidP="00BE7E4A">
            <w:pPr>
              <w:pStyle w:val="DMETW37225BIPCASH"/>
              <w:jc w:val="center"/>
              <w:rPr>
                <w:rFonts w:ascii="Verdana" w:eastAsia="Verdana" w:hAnsi="Verdana" w:cs="Verdana"/>
                <w:noProof/>
                <w:color w:val="FFFFFF"/>
              </w:rPr>
            </w:pPr>
          </w:p>
        </w:tc>
        <w:tc>
          <w:tcPr>
            <w:tcW w:w="1001" w:type="dxa"/>
            <w:tcBorders>
              <w:top w:val="nil"/>
              <w:left w:val="nil"/>
              <w:bottom w:val="nil"/>
              <w:right w:val="nil"/>
              <w:tl2br w:val="nil"/>
              <w:tr2bl w:val="nil"/>
            </w:tcBorders>
            <w:shd w:val="solid" w:color="016794" w:fill="FFFFFF"/>
            <w:tcMar>
              <w:left w:w="60" w:type="dxa"/>
              <w:right w:w="60" w:type="dxa"/>
            </w:tcMar>
            <w:vAlign w:val="center"/>
          </w:tcPr>
          <w:p w14:paraId="6BF4C90D" w14:textId="77777777" w:rsidR="00FD1E19" w:rsidRDefault="00FD1E19" w:rsidP="00BE7E4A">
            <w:pPr>
              <w:pStyle w:val="DMETW37225BIPCASH"/>
              <w:jc w:val="right"/>
              <w:rPr>
                <w:rFonts w:ascii="Verdana" w:eastAsia="Verdana" w:hAnsi="Verdana" w:cs="Verdana"/>
                <w:noProof/>
                <w:color w:val="FFFFFF"/>
              </w:rPr>
            </w:pPr>
            <w:r>
              <w:rPr>
                <w:rFonts w:ascii="Verdana" w:eastAsia="Verdana" w:hAnsi="Verdana" w:cs="Verdana"/>
                <w:noProof/>
                <w:color w:val="FFFFFF"/>
              </w:rPr>
              <w:t>Ninth EDF</w:t>
            </w:r>
          </w:p>
        </w:tc>
        <w:tc>
          <w:tcPr>
            <w:tcW w:w="835" w:type="dxa"/>
            <w:tcBorders>
              <w:top w:val="nil"/>
              <w:left w:val="nil"/>
              <w:bottom w:val="nil"/>
              <w:right w:val="nil"/>
              <w:tl2br w:val="nil"/>
              <w:tr2bl w:val="nil"/>
            </w:tcBorders>
            <w:shd w:val="solid" w:color="016794" w:fill="FFFFFF"/>
            <w:tcMar>
              <w:left w:w="60" w:type="dxa"/>
              <w:right w:w="60" w:type="dxa"/>
            </w:tcMar>
            <w:vAlign w:val="center"/>
          </w:tcPr>
          <w:p w14:paraId="28D1E259" w14:textId="77777777" w:rsidR="00FD1E19" w:rsidRDefault="00FD1E19" w:rsidP="00BE7E4A">
            <w:pPr>
              <w:pStyle w:val="DMETW37225BIPCASH"/>
              <w:jc w:val="right"/>
              <w:rPr>
                <w:rFonts w:ascii="Verdana" w:eastAsia="Verdana" w:hAnsi="Verdana" w:cs="Verdana"/>
                <w:noProof/>
                <w:color w:val="FFFFFF"/>
              </w:rPr>
            </w:pPr>
            <w:r>
              <w:rPr>
                <w:rFonts w:ascii="Verdana" w:eastAsia="Verdana" w:hAnsi="Verdana" w:cs="Verdana"/>
                <w:noProof/>
                <w:color w:val="FFFFFF"/>
              </w:rPr>
              <w:t>10th EDF</w:t>
            </w:r>
          </w:p>
        </w:tc>
        <w:tc>
          <w:tcPr>
            <w:tcW w:w="835" w:type="dxa"/>
            <w:tcBorders>
              <w:top w:val="nil"/>
              <w:left w:val="nil"/>
              <w:bottom w:val="nil"/>
              <w:right w:val="nil"/>
              <w:tl2br w:val="nil"/>
              <w:tr2bl w:val="nil"/>
            </w:tcBorders>
            <w:shd w:val="solid" w:color="016794" w:fill="FFFFFF"/>
            <w:tcMar>
              <w:left w:w="60" w:type="dxa"/>
              <w:right w:w="60" w:type="dxa"/>
            </w:tcMar>
            <w:vAlign w:val="center"/>
          </w:tcPr>
          <w:p w14:paraId="16E53618" w14:textId="77777777" w:rsidR="00FD1E19" w:rsidRDefault="00FD1E19" w:rsidP="00BE7E4A">
            <w:pPr>
              <w:pStyle w:val="DMETW37225BIPCASH"/>
              <w:jc w:val="right"/>
              <w:rPr>
                <w:rFonts w:ascii="Verdana" w:eastAsia="Verdana" w:hAnsi="Verdana" w:cs="Verdana"/>
                <w:noProof/>
                <w:color w:val="FFFFFF"/>
              </w:rPr>
            </w:pPr>
            <w:r>
              <w:rPr>
                <w:rFonts w:ascii="Verdana" w:eastAsia="Verdana" w:hAnsi="Verdana" w:cs="Verdana"/>
                <w:noProof/>
                <w:color w:val="FFFFFF"/>
              </w:rPr>
              <w:t>11th EDF</w:t>
            </w:r>
          </w:p>
        </w:tc>
        <w:tc>
          <w:tcPr>
            <w:tcW w:w="1338" w:type="dxa"/>
            <w:tcBorders>
              <w:top w:val="nil"/>
              <w:left w:val="nil"/>
              <w:bottom w:val="nil"/>
              <w:right w:val="nil"/>
              <w:tl2br w:val="nil"/>
              <w:tr2bl w:val="nil"/>
            </w:tcBorders>
            <w:shd w:val="solid" w:color="016794" w:fill="FFFFFF"/>
            <w:tcMar>
              <w:left w:w="60" w:type="dxa"/>
              <w:right w:w="60" w:type="dxa"/>
            </w:tcMar>
            <w:vAlign w:val="center"/>
          </w:tcPr>
          <w:p w14:paraId="7258EE50" w14:textId="77777777" w:rsidR="00FD1E19" w:rsidRDefault="00FD1E19" w:rsidP="00BE7E4A">
            <w:pPr>
              <w:pStyle w:val="DMETW37225BIPCASH"/>
              <w:jc w:val="right"/>
              <w:rPr>
                <w:rFonts w:ascii="Verdana" w:eastAsia="Verdana" w:hAnsi="Verdana" w:cs="Verdana"/>
                <w:noProof/>
                <w:color w:val="FFFFFF"/>
              </w:rPr>
            </w:pPr>
            <w:r>
              <w:rPr>
                <w:rFonts w:ascii="Verdana" w:eastAsia="Verdana" w:hAnsi="Verdana" w:cs="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14:paraId="58BB6AB9" w14:textId="77777777" w:rsidR="00FD1E19" w:rsidRDefault="00FD1E19" w:rsidP="00BE7E4A">
            <w:pPr>
              <w:pStyle w:val="DMETW37225BIPCASH"/>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13CB640E" w14:textId="77777777" w:rsidTr="00BE7E4A">
        <w:trPr>
          <w:trHeight w:hRule="exact" w:val="228"/>
        </w:trPr>
        <w:tc>
          <w:tcPr>
            <w:tcW w:w="4415" w:type="dxa"/>
            <w:tcBorders>
              <w:top w:val="nil"/>
              <w:left w:val="nil"/>
              <w:bottom w:val="nil"/>
              <w:right w:val="nil"/>
              <w:tl2br w:val="nil"/>
              <w:tr2bl w:val="nil"/>
            </w:tcBorders>
            <w:shd w:val="clear" w:color="auto" w:fill="auto"/>
            <w:tcMar>
              <w:left w:w="60" w:type="dxa"/>
              <w:right w:w="60" w:type="dxa"/>
            </w:tcMar>
            <w:vAlign w:val="center"/>
          </w:tcPr>
          <w:p w14:paraId="1D7EF99A" w14:textId="77777777" w:rsidR="00FD1E19" w:rsidRDefault="00FD1E19" w:rsidP="00BE7E4A">
            <w:pPr>
              <w:pStyle w:val="DMETW37225BIPCASH"/>
              <w:rPr>
                <w:rFonts w:ascii="Verdana" w:eastAsia="Verdana" w:hAnsi="Verdana" w:cs="Verdana"/>
                <w:b/>
                <w:noProof/>
                <w:color w:val="000000"/>
                <w:sz w:val="18"/>
              </w:rPr>
            </w:pPr>
            <w:r>
              <w:rPr>
                <w:rFonts w:ascii="Verdana" w:eastAsia="Verdana" w:hAnsi="Verdana" w:cs="Verdana"/>
                <w:b/>
                <w:noProof/>
                <w:color w:val="000000"/>
                <w:sz w:val="18"/>
              </w:rPr>
              <w:t>Special accounts</w:t>
            </w:r>
          </w:p>
        </w:tc>
        <w:tc>
          <w:tcPr>
            <w:tcW w:w="1001" w:type="dxa"/>
            <w:tcBorders>
              <w:top w:val="nil"/>
              <w:left w:val="nil"/>
              <w:bottom w:val="nil"/>
              <w:right w:val="nil"/>
              <w:tl2br w:val="nil"/>
              <w:tr2bl w:val="nil"/>
            </w:tcBorders>
            <w:shd w:val="clear" w:color="auto" w:fill="auto"/>
            <w:tcMar>
              <w:left w:w="60" w:type="dxa"/>
              <w:right w:w="60" w:type="dxa"/>
            </w:tcMar>
            <w:vAlign w:val="center"/>
          </w:tcPr>
          <w:p w14:paraId="2B3A4EB5" w14:textId="77777777" w:rsidR="00FD1E19" w:rsidRDefault="00FD1E19" w:rsidP="00BE7E4A">
            <w:pPr>
              <w:pStyle w:val="DMETW37225BIPCASH"/>
              <w:jc w:val="right"/>
              <w:rPr>
                <w:rFonts w:ascii="Verdana" w:eastAsia="Verdana" w:hAnsi="Verdana" w:cs="Verdana"/>
                <w:b/>
                <w:noProof/>
                <w:color w:val="000000"/>
                <w:sz w:val="18"/>
              </w:rPr>
            </w:pPr>
          </w:p>
        </w:tc>
        <w:tc>
          <w:tcPr>
            <w:tcW w:w="835" w:type="dxa"/>
            <w:tcBorders>
              <w:top w:val="nil"/>
              <w:left w:val="nil"/>
              <w:bottom w:val="nil"/>
              <w:right w:val="nil"/>
              <w:tl2br w:val="nil"/>
              <w:tr2bl w:val="nil"/>
            </w:tcBorders>
            <w:shd w:val="clear" w:color="auto" w:fill="auto"/>
            <w:tcMar>
              <w:left w:w="60" w:type="dxa"/>
              <w:right w:w="60" w:type="dxa"/>
            </w:tcMar>
            <w:vAlign w:val="center"/>
          </w:tcPr>
          <w:p w14:paraId="76EA2D59" w14:textId="77777777" w:rsidR="00FD1E19" w:rsidRDefault="00FD1E19" w:rsidP="00BE7E4A">
            <w:pPr>
              <w:pStyle w:val="DMETW37225BIPCASH"/>
              <w:jc w:val="right"/>
              <w:rPr>
                <w:rFonts w:ascii="Verdana" w:eastAsia="Verdana" w:hAnsi="Verdana" w:cs="Verdana"/>
                <w:b/>
                <w:noProof/>
                <w:color w:val="000000"/>
                <w:sz w:val="18"/>
              </w:rPr>
            </w:pPr>
          </w:p>
        </w:tc>
        <w:tc>
          <w:tcPr>
            <w:tcW w:w="835" w:type="dxa"/>
            <w:tcBorders>
              <w:top w:val="nil"/>
              <w:left w:val="nil"/>
              <w:bottom w:val="nil"/>
              <w:right w:val="nil"/>
              <w:tl2br w:val="nil"/>
              <w:tr2bl w:val="nil"/>
            </w:tcBorders>
            <w:shd w:val="clear" w:color="auto" w:fill="auto"/>
            <w:tcMar>
              <w:left w:w="60" w:type="dxa"/>
              <w:right w:w="60" w:type="dxa"/>
            </w:tcMar>
            <w:vAlign w:val="center"/>
          </w:tcPr>
          <w:p w14:paraId="10DAA6FF" w14:textId="77777777" w:rsidR="00FD1E19" w:rsidRDefault="00FD1E19" w:rsidP="00BE7E4A">
            <w:pPr>
              <w:pStyle w:val="DMETW37225BIPCASH"/>
              <w:jc w:val="right"/>
              <w:rPr>
                <w:rFonts w:ascii="Verdana" w:eastAsia="Verdana" w:hAnsi="Verdana" w:cs="Verdana"/>
                <w:b/>
                <w:noProof/>
                <w:color w:val="000000"/>
                <w:sz w:val="18"/>
              </w:rPr>
            </w:pPr>
          </w:p>
        </w:tc>
        <w:tc>
          <w:tcPr>
            <w:tcW w:w="1338" w:type="dxa"/>
            <w:tcBorders>
              <w:top w:val="nil"/>
              <w:left w:val="nil"/>
              <w:bottom w:val="nil"/>
              <w:right w:val="nil"/>
              <w:tl2br w:val="nil"/>
              <w:tr2bl w:val="nil"/>
            </w:tcBorders>
            <w:shd w:val="clear" w:color="auto" w:fill="auto"/>
            <w:tcMar>
              <w:left w:w="60" w:type="dxa"/>
              <w:right w:w="60" w:type="dxa"/>
            </w:tcMar>
            <w:vAlign w:val="center"/>
          </w:tcPr>
          <w:p w14:paraId="2F453B43" w14:textId="77777777" w:rsidR="00FD1E19" w:rsidRDefault="00FD1E19" w:rsidP="00BE7E4A">
            <w:pPr>
              <w:pStyle w:val="DMETW37225BIPCASH"/>
              <w:jc w:val="right"/>
              <w:rPr>
                <w:rFonts w:ascii="Verdana" w:eastAsia="Verdana" w:hAnsi="Verdana" w:cs="Verdana"/>
                <w:b/>
                <w:noProof/>
                <w:color w:val="000000"/>
                <w:sz w:val="18"/>
              </w:rPr>
            </w:pPr>
          </w:p>
        </w:tc>
        <w:tc>
          <w:tcPr>
            <w:tcW w:w="1334" w:type="dxa"/>
            <w:tcBorders>
              <w:top w:val="nil"/>
              <w:left w:val="nil"/>
              <w:bottom w:val="nil"/>
              <w:right w:val="nil"/>
              <w:tl2br w:val="nil"/>
              <w:tr2bl w:val="nil"/>
            </w:tcBorders>
            <w:shd w:val="clear" w:color="auto" w:fill="auto"/>
            <w:tcMar>
              <w:left w:w="60" w:type="dxa"/>
              <w:right w:w="60" w:type="dxa"/>
            </w:tcMar>
            <w:vAlign w:val="center"/>
          </w:tcPr>
          <w:p w14:paraId="0DFF3CC7" w14:textId="77777777" w:rsidR="00FD1E19" w:rsidRDefault="00FD1E19" w:rsidP="00BE7E4A">
            <w:pPr>
              <w:pStyle w:val="DMETW37225BIPCASH"/>
              <w:jc w:val="right"/>
              <w:rPr>
                <w:rFonts w:ascii="Verdana" w:eastAsia="Verdana" w:hAnsi="Verdana" w:cs="Verdana"/>
                <w:b/>
                <w:noProof/>
                <w:color w:val="000000"/>
                <w:sz w:val="18"/>
                <w:lang w:bidi="en-GB"/>
              </w:rPr>
            </w:pPr>
          </w:p>
        </w:tc>
      </w:tr>
      <w:tr w:rsidR="00FD1E19" w14:paraId="3C37A660" w14:textId="77777777" w:rsidTr="00BE7E4A">
        <w:trPr>
          <w:trHeight w:hRule="exact" w:val="228"/>
        </w:trPr>
        <w:tc>
          <w:tcPr>
            <w:tcW w:w="4415" w:type="dxa"/>
            <w:tcBorders>
              <w:top w:val="nil"/>
              <w:left w:val="nil"/>
              <w:bottom w:val="single" w:sz="4" w:space="0" w:color="016794"/>
              <w:right w:val="nil"/>
              <w:tl2br w:val="nil"/>
              <w:tr2bl w:val="nil"/>
            </w:tcBorders>
            <w:shd w:val="clear" w:color="auto" w:fill="auto"/>
            <w:tcMar>
              <w:left w:w="60" w:type="dxa"/>
              <w:right w:w="60" w:type="dxa"/>
            </w:tcMar>
            <w:vAlign w:val="center"/>
          </w:tcPr>
          <w:p w14:paraId="7CCA24AE" w14:textId="77777777" w:rsidR="00FD1E19" w:rsidRDefault="00FD1E19" w:rsidP="00BE7E4A">
            <w:pPr>
              <w:pStyle w:val="DMETW37225BIPCASH"/>
              <w:rPr>
                <w:rFonts w:ascii="Verdana" w:eastAsia="Verdana" w:hAnsi="Verdana" w:cs="Verdana"/>
                <w:i/>
                <w:noProof/>
                <w:color w:val="000000"/>
                <w:sz w:val="18"/>
              </w:rPr>
            </w:pPr>
            <w:r>
              <w:rPr>
                <w:rFonts w:ascii="Verdana" w:eastAsia="Verdana" w:hAnsi="Verdana" w:cs="Verdana"/>
                <w:i/>
                <w:noProof/>
                <w:color w:val="000000"/>
                <w:sz w:val="18"/>
              </w:rPr>
              <w:t>Central banks</w:t>
            </w:r>
          </w:p>
        </w:tc>
        <w:tc>
          <w:tcPr>
            <w:tcW w:w="1001" w:type="dxa"/>
            <w:tcBorders>
              <w:top w:val="nil"/>
              <w:left w:val="nil"/>
              <w:bottom w:val="single" w:sz="4" w:space="0" w:color="016794"/>
              <w:right w:val="nil"/>
              <w:tl2br w:val="nil"/>
              <w:tr2bl w:val="nil"/>
            </w:tcBorders>
            <w:shd w:val="clear" w:color="auto" w:fill="auto"/>
            <w:tcMar>
              <w:left w:w="60" w:type="dxa"/>
              <w:right w:w="60" w:type="dxa"/>
            </w:tcMar>
            <w:vAlign w:val="center"/>
          </w:tcPr>
          <w:p w14:paraId="71EE1EDE"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35" w:type="dxa"/>
            <w:tcBorders>
              <w:top w:val="nil"/>
              <w:left w:val="nil"/>
              <w:bottom w:val="single" w:sz="4" w:space="0" w:color="016794"/>
              <w:right w:val="nil"/>
              <w:tl2br w:val="nil"/>
              <w:tr2bl w:val="nil"/>
            </w:tcBorders>
            <w:shd w:val="clear" w:color="auto" w:fill="auto"/>
            <w:tcMar>
              <w:left w:w="60" w:type="dxa"/>
              <w:right w:w="60" w:type="dxa"/>
            </w:tcMar>
            <w:vAlign w:val="center"/>
          </w:tcPr>
          <w:p w14:paraId="57232DFF"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35" w:type="dxa"/>
            <w:tcBorders>
              <w:top w:val="nil"/>
              <w:left w:val="nil"/>
              <w:bottom w:val="single" w:sz="4" w:space="0" w:color="016794"/>
              <w:right w:val="nil"/>
              <w:tl2br w:val="nil"/>
              <w:tr2bl w:val="nil"/>
            </w:tcBorders>
            <w:shd w:val="clear" w:color="auto" w:fill="auto"/>
            <w:tcMar>
              <w:left w:w="60" w:type="dxa"/>
              <w:right w:w="60" w:type="dxa"/>
            </w:tcMar>
            <w:vAlign w:val="center"/>
          </w:tcPr>
          <w:p w14:paraId="7BA87982"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 xml:space="preserve"> 98</w:t>
            </w:r>
          </w:p>
        </w:tc>
        <w:tc>
          <w:tcPr>
            <w:tcW w:w="1338" w:type="dxa"/>
            <w:tcBorders>
              <w:top w:val="nil"/>
              <w:left w:val="nil"/>
              <w:bottom w:val="single" w:sz="4" w:space="0" w:color="016794"/>
              <w:right w:val="nil"/>
              <w:tl2br w:val="nil"/>
              <w:tr2bl w:val="nil"/>
            </w:tcBorders>
            <w:shd w:val="clear" w:color="auto" w:fill="auto"/>
            <w:tcMar>
              <w:left w:w="60" w:type="dxa"/>
              <w:right w:w="60" w:type="dxa"/>
            </w:tcMar>
            <w:vAlign w:val="center"/>
          </w:tcPr>
          <w:p w14:paraId="094A6352"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 xml:space="preserve"> 98</w:t>
            </w:r>
          </w:p>
        </w:tc>
        <w:tc>
          <w:tcPr>
            <w:tcW w:w="1334" w:type="dxa"/>
            <w:tcBorders>
              <w:top w:val="nil"/>
              <w:left w:val="nil"/>
              <w:bottom w:val="single" w:sz="4" w:space="0" w:color="016794"/>
              <w:right w:val="nil"/>
              <w:tl2br w:val="nil"/>
              <w:tr2bl w:val="nil"/>
            </w:tcBorders>
            <w:shd w:val="clear" w:color="auto" w:fill="auto"/>
            <w:tcMar>
              <w:left w:w="60" w:type="dxa"/>
              <w:right w:w="60" w:type="dxa"/>
            </w:tcMar>
            <w:vAlign w:val="center"/>
          </w:tcPr>
          <w:p w14:paraId="05D0F445" w14:textId="77777777" w:rsidR="00FD1E19" w:rsidRDefault="00FD1E19" w:rsidP="00BE7E4A">
            <w:pPr>
              <w:pStyle w:val="DMETW37225BIPCASH"/>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285</w:t>
            </w:r>
          </w:p>
        </w:tc>
      </w:tr>
      <w:tr w:rsidR="00FD1E19" w14:paraId="68C176D7" w14:textId="77777777" w:rsidTr="00BE7E4A">
        <w:trPr>
          <w:trHeight w:hRule="exact" w:val="228"/>
        </w:trPr>
        <w:tc>
          <w:tcPr>
            <w:tcW w:w="441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DF68A44" w14:textId="77777777" w:rsidR="00FD1E19" w:rsidRDefault="00FD1E19" w:rsidP="00BE7E4A">
            <w:pPr>
              <w:pStyle w:val="DMETW37225BIPCASH"/>
              <w:jc w:val="right"/>
              <w:rPr>
                <w:rFonts w:ascii="Verdana" w:eastAsia="Verdana" w:hAnsi="Verdana" w:cs="Verdana"/>
                <w:b/>
                <w:noProof/>
                <w:color w:val="000000"/>
                <w:sz w:val="18"/>
              </w:rPr>
            </w:pPr>
          </w:p>
        </w:tc>
        <w:tc>
          <w:tcPr>
            <w:tcW w:w="100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62320EE"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83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CB31636"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83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D6807F4"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 xml:space="preserve">  98</w:t>
            </w:r>
          </w:p>
        </w:tc>
        <w:tc>
          <w:tcPr>
            <w:tcW w:w="133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B06230A"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 xml:space="preserve">  98</w:t>
            </w:r>
          </w:p>
        </w:tc>
        <w:tc>
          <w:tcPr>
            <w:tcW w:w="133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57AF2CD" w14:textId="77777777" w:rsidR="00FD1E19" w:rsidRDefault="00FD1E19" w:rsidP="00BE7E4A">
            <w:pPr>
              <w:pStyle w:val="DMETW37225BIPCASH"/>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285</w:t>
            </w:r>
          </w:p>
        </w:tc>
      </w:tr>
      <w:tr w:rsidR="00FD1E19" w14:paraId="37B3C095" w14:textId="77777777" w:rsidTr="00BE7E4A">
        <w:trPr>
          <w:trHeight w:hRule="exact" w:val="228"/>
        </w:trPr>
        <w:tc>
          <w:tcPr>
            <w:tcW w:w="4415" w:type="dxa"/>
            <w:tcBorders>
              <w:top w:val="single" w:sz="4" w:space="0" w:color="016794"/>
              <w:left w:val="nil"/>
              <w:bottom w:val="nil"/>
              <w:right w:val="nil"/>
              <w:tl2br w:val="nil"/>
              <w:tr2bl w:val="nil"/>
            </w:tcBorders>
            <w:shd w:val="clear" w:color="auto" w:fill="auto"/>
            <w:tcMar>
              <w:left w:w="60" w:type="dxa"/>
              <w:right w:w="60" w:type="dxa"/>
            </w:tcMar>
            <w:vAlign w:val="center"/>
          </w:tcPr>
          <w:p w14:paraId="60F9042C" w14:textId="77777777" w:rsidR="00FD1E19" w:rsidRDefault="00FD1E19" w:rsidP="00BE7E4A">
            <w:pPr>
              <w:pStyle w:val="DMETW37225BIPCASH"/>
              <w:rPr>
                <w:rFonts w:ascii="Verdana" w:eastAsia="Verdana" w:hAnsi="Verdana" w:cs="Verdana"/>
                <w:b/>
                <w:noProof/>
                <w:color w:val="000000"/>
                <w:sz w:val="18"/>
              </w:rPr>
            </w:pPr>
            <w:r>
              <w:rPr>
                <w:rFonts w:ascii="Verdana" w:eastAsia="Verdana" w:hAnsi="Verdana" w:cs="Verdana"/>
                <w:b/>
                <w:noProof/>
                <w:color w:val="000000"/>
                <w:sz w:val="18"/>
              </w:rPr>
              <w:t>Current accounts</w:t>
            </w:r>
          </w:p>
        </w:tc>
        <w:tc>
          <w:tcPr>
            <w:tcW w:w="1001" w:type="dxa"/>
            <w:tcBorders>
              <w:top w:val="single" w:sz="4" w:space="0" w:color="016794"/>
              <w:left w:val="nil"/>
              <w:bottom w:val="nil"/>
              <w:right w:val="nil"/>
              <w:tl2br w:val="nil"/>
              <w:tr2bl w:val="nil"/>
            </w:tcBorders>
            <w:shd w:val="clear" w:color="auto" w:fill="auto"/>
            <w:tcMar>
              <w:left w:w="60" w:type="dxa"/>
              <w:right w:w="60" w:type="dxa"/>
            </w:tcMar>
            <w:vAlign w:val="center"/>
          </w:tcPr>
          <w:p w14:paraId="4C2205AB" w14:textId="77777777" w:rsidR="00FD1E19" w:rsidRDefault="00FD1E19" w:rsidP="00BE7E4A">
            <w:pPr>
              <w:pStyle w:val="DMETW37225BIPCASH"/>
              <w:jc w:val="right"/>
              <w:rPr>
                <w:rFonts w:ascii="Verdana" w:eastAsia="Verdana" w:hAnsi="Verdana" w:cs="Verdana"/>
                <w:b/>
                <w:noProof/>
                <w:color w:val="000000"/>
                <w:sz w:val="18"/>
              </w:rPr>
            </w:pPr>
          </w:p>
        </w:tc>
        <w:tc>
          <w:tcPr>
            <w:tcW w:w="835" w:type="dxa"/>
            <w:tcBorders>
              <w:top w:val="single" w:sz="4" w:space="0" w:color="016794"/>
              <w:left w:val="nil"/>
              <w:bottom w:val="nil"/>
              <w:right w:val="nil"/>
              <w:tl2br w:val="nil"/>
              <w:tr2bl w:val="nil"/>
            </w:tcBorders>
            <w:shd w:val="clear" w:color="auto" w:fill="auto"/>
            <w:tcMar>
              <w:left w:w="60" w:type="dxa"/>
              <w:right w:w="60" w:type="dxa"/>
            </w:tcMar>
            <w:vAlign w:val="center"/>
          </w:tcPr>
          <w:p w14:paraId="50404A5C" w14:textId="77777777" w:rsidR="00FD1E19" w:rsidRDefault="00FD1E19" w:rsidP="00BE7E4A">
            <w:pPr>
              <w:pStyle w:val="DMETW37225BIPCASH"/>
              <w:jc w:val="right"/>
              <w:rPr>
                <w:rFonts w:ascii="Verdana" w:eastAsia="Verdana" w:hAnsi="Verdana" w:cs="Verdana"/>
                <w:b/>
                <w:noProof/>
                <w:color w:val="000000"/>
                <w:sz w:val="18"/>
              </w:rPr>
            </w:pPr>
          </w:p>
        </w:tc>
        <w:tc>
          <w:tcPr>
            <w:tcW w:w="835" w:type="dxa"/>
            <w:tcBorders>
              <w:top w:val="single" w:sz="4" w:space="0" w:color="016794"/>
              <w:left w:val="nil"/>
              <w:bottom w:val="nil"/>
              <w:right w:val="nil"/>
              <w:tl2br w:val="nil"/>
              <w:tr2bl w:val="nil"/>
            </w:tcBorders>
            <w:shd w:val="clear" w:color="auto" w:fill="auto"/>
            <w:tcMar>
              <w:left w:w="60" w:type="dxa"/>
              <w:right w:w="60" w:type="dxa"/>
            </w:tcMar>
            <w:vAlign w:val="center"/>
          </w:tcPr>
          <w:p w14:paraId="4D719213" w14:textId="77777777" w:rsidR="00FD1E19" w:rsidRDefault="00FD1E19" w:rsidP="00BE7E4A">
            <w:pPr>
              <w:pStyle w:val="DMETW37225BIPCASH"/>
              <w:jc w:val="right"/>
              <w:rPr>
                <w:rFonts w:ascii="Verdana" w:eastAsia="Verdana" w:hAnsi="Verdana" w:cs="Verdana"/>
                <w:b/>
                <w:noProof/>
                <w:color w:val="000000"/>
                <w:sz w:val="18"/>
              </w:rPr>
            </w:pPr>
          </w:p>
        </w:tc>
        <w:tc>
          <w:tcPr>
            <w:tcW w:w="1338" w:type="dxa"/>
            <w:tcBorders>
              <w:top w:val="single" w:sz="4" w:space="0" w:color="016794"/>
              <w:left w:val="nil"/>
              <w:bottom w:val="nil"/>
              <w:right w:val="nil"/>
              <w:tl2br w:val="nil"/>
              <w:tr2bl w:val="nil"/>
            </w:tcBorders>
            <w:shd w:val="clear" w:color="auto" w:fill="auto"/>
            <w:tcMar>
              <w:left w:w="60" w:type="dxa"/>
              <w:right w:w="60" w:type="dxa"/>
            </w:tcMar>
            <w:vAlign w:val="center"/>
          </w:tcPr>
          <w:p w14:paraId="18FDB6E6" w14:textId="77777777" w:rsidR="00FD1E19" w:rsidRDefault="00FD1E19" w:rsidP="00BE7E4A">
            <w:pPr>
              <w:pStyle w:val="DMETW37225BIPCASH"/>
              <w:jc w:val="right"/>
              <w:rPr>
                <w:rFonts w:ascii="Verdana" w:eastAsia="Verdana" w:hAnsi="Verdana" w:cs="Verdana"/>
                <w:b/>
                <w:noProof/>
                <w:color w:val="000000"/>
                <w:sz w:val="18"/>
              </w:rPr>
            </w:pPr>
          </w:p>
        </w:tc>
        <w:tc>
          <w:tcPr>
            <w:tcW w:w="1334" w:type="dxa"/>
            <w:tcBorders>
              <w:top w:val="single" w:sz="4" w:space="0" w:color="016794"/>
              <w:left w:val="nil"/>
              <w:bottom w:val="nil"/>
              <w:right w:val="nil"/>
              <w:tl2br w:val="nil"/>
              <w:tr2bl w:val="nil"/>
            </w:tcBorders>
            <w:shd w:val="clear" w:color="auto" w:fill="auto"/>
            <w:tcMar>
              <w:left w:w="60" w:type="dxa"/>
              <w:right w:w="60" w:type="dxa"/>
            </w:tcMar>
            <w:vAlign w:val="center"/>
          </w:tcPr>
          <w:p w14:paraId="585E60C8" w14:textId="77777777" w:rsidR="00FD1E19" w:rsidRDefault="00FD1E19" w:rsidP="00BE7E4A">
            <w:pPr>
              <w:pStyle w:val="DMETW37225BIPCASH"/>
              <w:jc w:val="right"/>
              <w:rPr>
                <w:rFonts w:ascii="Verdana" w:eastAsia="Verdana" w:hAnsi="Verdana" w:cs="Verdana"/>
                <w:b/>
                <w:noProof/>
                <w:color w:val="000000"/>
                <w:sz w:val="18"/>
                <w:lang w:bidi="en-GB"/>
              </w:rPr>
            </w:pPr>
          </w:p>
        </w:tc>
      </w:tr>
      <w:tr w:rsidR="00FD1E19" w14:paraId="15C6005F" w14:textId="77777777" w:rsidTr="00BE7E4A">
        <w:trPr>
          <w:trHeight w:hRule="exact" w:val="228"/>
        </w:trPr>
        <w:tc>
          <w:tcPr>
            <w:tcW w:w="4415" w:type="dxa"/>
            <w:tcBorders>
              <w:top w:val="nil"/>
              <w:left w:val="nil"/>
              <w:bottom w:val="nil"/>
              <w:right w:val="nil"/>
              <w:tl2br w:val="nil"/>
              <w:tr2bl w:val="nil"/>
            </w:tcBorders>
            <w:shd w:val="clear" w:color="auto" w:fill="auto"/>
            <w:tcMar>
              <w:left w:w="60" w:type="dxa"/>
              <w:right w:w="60" w:type="dxa"/>
            </w:tcMar>
            <w:vAlign w:val="center"/>
          </w:tcPr>
          <w:p w14:paraId="05EFEB80" w14:textId="77777777" w:rsidR="00FD1E19" w:rsidRDefault="00FD1E19" w:rsidP="00BE7E4A">
            <w:pPr>
              <w:pStyle w:val="DMETW37225BIPCASH"/>
              <w:rPr>
                <w:rFonts w:ascii="Verdana" w:eastAsia="Verdana" w:hAnsi="Verdana" w:cs="Verdana"/>
                <w:i/>
                <w:noProof/>
                <w:color w:val="000000"/>
                <w:sz w:val="18"/>
              </w:rPr>
            </w:pPr>
            <w:r>
              <w:rPr>
                <w:rFonts w:ascii="Verdana" w:eastAsia="Verdana" w:hAnsi="Verdana" w:cs="Verdana"/>
                <w:i/>
                <w:noProof/>
                <w:color w:val="000000"/>
                <w:sz w:val="18"/>
              </w:rPr>
              <w:t>Commercial banks</w:t>
            </w:r>
          </w:p>
        </w:tc>
        <w:tc>
          <w:tcPr>
            <w:tcW w:w="1001" w:type="dxa"/>
            <w:tcBorders>
              <w:top w:val="nil"/>
              <w:left w:val="nil"/>
              <w:bottom w:val="nil"/>
              <w:right w:val="nil"/>
              <w:tl2br w:val="nil"/>
              <w:tr2bl w:val="nil"/>
            </w:tcBorders>
            <w:shd w:val="clear" w:color="auto" w:fill="auto"/>
            <w:tcMar>
              <w:left w:w="60" w:type="dxa"/>
              <w:right w:w="60" w:type="dxa"/>
            </w:tcMar>
            <w:vAlign w:val="center"/>
          </w:tcPr>
          <w:p w14:paraId="602A3908"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35" w:type="dxa"/>
            <w:tcBorders>
              <w:top w:val="nil"/>
              <w:left w:val="nil"/>
              <w:bottom w:val="nil"/>
              <w:right w:val="nil"/>
              <w:tl2br w:val="nil"/>
              <w:tr2bl w:val="nil"/>
            </w:tcBorders>
            <w:shd w:val="clear" w:color="auto" w:fill="auto"/>
            <w:tcMar>
              <w:left w:w="60" w:type="dxa"/>
              <w:right w:w="60" w:type="dxa"/>
            </w:tcMar>
            <w:vAlign w:val="center"/>
          </w:tcPr>
          <w:p w14:paraId="4EDAD633"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35" w:type="dxa"/>
            <w:tcBorders>
              <w:top w:val="nil"/>
              <w:left w:val="nil"/>
              <w:bottom w:val="nil"/>
              <w:right w:val="nil"/>
              <w:tl2br w:val="nil"/>
              <w:tr2bl w:val="nil"/>
            </w:tcBorders>
            <w:shd w:val="clear" w:color="auto" w:fill="auto"/>
            <w:tcMar>
              <w:left w:w="60" w:type="dxa"/>
              <w:right w:w="60" w:type="dxa"/>
            </w:tcMar>
            <w:vAlign w:val="center"/>
          </w:tcPr>
          <w:p w14:paraId="3C584AC1"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 xml:space="preserve"> 105</w:t>
            </w:r>
          </w:p>
        </w:tc>
        <w:tc>
          <w:tcPr>
            <w:tcW w:w="1338" w:type="dxa"/>
            <w:tcBorders>
              <w:top w:val="nil"/>
              <w:left w:val="nil"/>
              <w:bottom w:val="nil"/>
              <w:right w:val="nil"/>
              <w:tl2br w:val="nil"/>
              <w:tr2bl w:val="nil"/>
            </w:tcBorders>
            <w:shd w:val="clear" w:color="auto" w:fill="auto"/>
            <w:tcMar>
              <w:left w:w="60" w:type="dxa"/>
              <w:right w:w="60" w:type="dxa"/>
            </w:tcMar>
            <w:vAlign w:val="center"/>
          </w:tcPr>
          <w:p w14:paraId="22389AFE"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 xml:space="preserve"> 105</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709EC3AF" w14:textId="77777777" w:rsidR="00FD1E19" w:rsidRDefault="00FD1E19" w:rsidP="00BE7E4A">
            <w:pPr>
              <w:pStyle w:val="DMETW37225BIPCASH"/>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49</w:t>
            </w:r>
          </w:p>
        </w:tc>
      </w:tr>
      <w:tr w:rsidR="00FD1E19" w14:paraId="4E7408B8" w14:textId="77777777" w:rsidTr="00BE7E4A">
        <w:trPr>
          <w:trHeight w:hRule="exact" w:val="228"/>
        </w:trPr>
        <w:tc>
          <w:tcPr>
            <w:tcW w:w="4415" w:type="dxa"/>
            <w:tcBorders>
              <w:top w:val="nil"/>
              <w:left w:val="nil"/>
              <w:bottom w:val="single" w:sz="4" w:space="0" w:color="016794"/>
              <w:right w:val="nil"/>
              <w:tl2br w:val="nil"/>
              <w:tr2bl w:val="nil"/>
            </w:tcBorders>
            <w:shd w:val="clear" w:color="auto" w:fill="auto"/>
            <w:tcMar>
              <w:left w:w="60" w:type="dxa"/>
              <w:right w:w="60" w:type="dxa"/>
            </w:tcMar>
            <w:vAlign w:val="center"/>
          </w:tcPr>
          <w:p w14:paraId="6808F049" w14:textId="77777777" w:rsidR="00FD1E19" w:rsidRDefault="00FD1E19" w:rsidP="00BE7E4A">
            <w:pPr>
              <w:pStyle w:val="DMETW37225BIPCASH"/>
              <w:rPr>
                <w:rFonts w:ascii="Verdana" w:eastAsia="Verdana" w:hAnsi="Verdana" w:cs="Verdana"/>
                <w:i/>
                <w:noProof/>
                <w:color w:val="000000"/>
                <w:sz w:val="18"/>
              </w:rPr>
            </w:pPr>
            <w:r>
              <w:rPr>
                <w:rFonts w:ascii="Verdana" w:eastAsia="Verdana" w:hAnsi="Verdana" w:cs="Verdana"/>
                <w:i/>
                <w:noProof/>
                <w:color w:val="000000"/>
                <w:sz w:val="18"/>
              </w:rPr>
              <w:t>Cash belonging to financial instruments</w:t>
            </w:r>
          </w:p>
        </w:tc>
        <w:tc>
          <w:tcPr>
            <w:tcW w:w="1001" w:type="dxa"/>
            <w:tcBorders>
              <w:top w:val="nil"/>
              <w:left w:val="nil"/>
              <w:bottom w:val="single" w:sz="4" w:space="0" w:color="016794"/>
              <w:right w:val="nil"/>
              <w:tl2br w:val="nil"/>
              <w:tr2bl w:val="nil"/>
            </w:tcBorders>
            <w:shd w:val="clear" w:color="auto" w:fill="auto"/>
            <w:tcMar>
              <w:left w:w="60" w:type="dxa"/>
              <w:right w:w="60" w:type="dxa"/>
            </w:tcMar>
            <w:vAlign w:val="center"/>
          </w:tcPr>
          <w:p w14:paraId="39F70E11"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35" w:type="dxa"/>
            <w:tcBorders>
              <w:top w:val="nil"/>
              <w:left w:val="nil"/>
              <w:bottom w:val="single" w:sz="4" w:space="0" w:color="016794"/>
              <w:right w:val="nil"/>
              <w:tl2br w:val="nil"/>
              <w:tr2bl w:val="nil"/>
            </w:tcBorders>
            <w:shd w:val="clear" w:color="auto" w:fill="auto"/>
            <w:tcMar>
              <w:left w:w="60" w:type="dxa"/>
              <w:right w:w="60" w:type="dxa"/>
            </w:tcMar>
            <w:vAlign w:val="center"/>
          </w:tcPr>
          <w:p w14:paraId="55E36B14"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35" w:type="dxa"/>
            <w:tcBorders>
              <w:top w:val="nil"/>
              <w:left w:val="nil"/>
              <w:bottom w:val="single" w:sz="4" w:space="0" w:color="016794"/>
              <w:right w:val="nil"/>
              <w:tl2br w:val="nil"/>
              <w:tr2bl w:val="nil"/>
            </w:tcBorders>
            <w:shd w:val="clear" w:color="auto" w:fill="auto"/>
            <w:tcMar>
              <w:left w:w="60" w:type="dxa"/>
              <w:right w:w="60" w:type="dxa"/>
            </w:tcMar>
            <w:vAlign w:val="center"/>
          </w:tcPr>
          <w:p w14:paraId="108FD45B"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 xml:space="preserve"> 82</w:t>
            </w:r>
          </w:p>
        </w:tc>
        <w:tc>
          <w:tcPr>
            <w:tcW w:w="1338" w:type="dxa"/>
            <w:tcBorders>
              <w:top w:val="nil"/>
              <w:left w:val="nil"/>
              <w:bottom w:val="single" w:sz="4" w:space="0" w:color="016794"/>
              <w:right w:val="nil"/>
              <w:tl2br w:val="nil"/>
              <w:tr2bl w:val="nil"/>
            </w:tcBorders>
            <w:shd w:val="clear" w:color="auto" w:fill="auto"/>
            <w:tcMar>
              <w:left w:w="60" w:type="dxa"/>
              <w:right w:w="60" w:type="dxa"/>
            </w:tcMar>
            <w:vAlign w:val="center"/>
          </w:tcPr>
          <w:p w14:paraId="78D264B9" w14:textId="77777777" w:rsidR="00FD1E19" w:rsidRDefault="00FD1E19" w:rsidP="00BE7E4A">
            <w:pPr>
              <w:pStyle w:val="DMETW37225BIPCASH"/>
              <w:jc w:val="right"/>
              <w:rPr>
                <w:rFonts w:ascii="Verdana" w:eastAsia="Verdana" w:hAnsi="Verdana" w:cs="Verdana"/>
                <w:i/>
                <w:noProof/>
                <w:color w:val="000000"/>
                <w:sz w:val="18"/>
              </w:rPr>
            </w:pPr>
            <w:r>
              <w:rPr>
                <w:rFonts w:ascii="Verdana" w:eastAsia="Verdana" w:hAnsi="Verdana" w:cs="Verdana"/>
                <w:i/>
                <w:noProof/>
                <w:color w:val="000000"/>
                <w:sz w:val="18"/>
              </w:rPr>
              <w:t xml:space="preserve"> 82</w:t>
            </w:r>
          </w:p>
        </w:tc>
        <w:tc>
          <w:tcPr>
            <w:tcW w:w="1334" w:type="dxa"/>
            <w:tcBorders>
              <w:top w:val="nil"/>
              <w:left w:val="nil"/>
              <w:bottom w:val="single" w:sz="4" w:space="0" w:color="016794"/>
              <w:right w:val="nil"/>
              <w:tl2br w:val="nil"/>
              <w:tr2bl w:val="nil"/>
            </w:tcBorders>
            <w:shd w:val="clear" w:color="auto" w:fill="auto"/>
            <w:tcMar>
              <w:left w:w="60" w:type="dxa"/>
              <w:right w:w="60" w:type="dxa"/>
            </w:tcMar>
            <w:vAlign w:val="center"/>
          </w:tcPr>
          <w:p w14:paraId="3A6EF9DB" w14:textId="77777777" w:rsidR="00FD1E19" w:rsidRDefault="00FD1E19" w:rsidP="00BE7E4A">
            <w:pPr>
              <w:pStyle w:val="DMETW37225BIPCASH"/>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77</w:t>
            </w:r>
          </w:p>
        </w:tc>
      </w:tr>
      <w:tr w:rsidR="00FD1E19" w14:paraId="02D61843" w14:textId="77777777" w:rsidTr="00BE7E4A">
        <w:trPr>
          <w:trHeight w:hRule="exact" w:val="228"/>
        </w:trPr>
        <w:tc>
          <w:tcPr>
            <w:tcW w:w="4415" w:type="dxa"/>
            <w:tcBorders>
              <w:top w:val="single" w:sz="4" w:space="0" w:color="016794"/>
              <w:left w:val="nil"/>
              <w:bottom w:val="nil"/>
              <w:right w:val="nil"/>
              <w:tl2br w:val="nil"/>
              <w:tr2bl w:val="nil"/>
            </w:tcBorders>
            <w:shd w:val="clear" w:color="auto" w:fill="auto"/>
            <w:tcMar>
              <w:left w:w="60" w:type="dxa"/>
              <w:right w:w="60" w:type="dxa"/>
            </w:tcMar>
            <w:vAlign w:val="center"/>
          </w:tcPr>
          <w:p w14:paraId="547F6398" w14:textId="77777777" w:rsidR="00FD1E19" w:rsidRDefault="00FD1E19" w:rsidP="00BE7E4A">
            <w:pPr>
              <w:pStyle w:val="DMETW37225BIPCASH"/>
              <w:jc w:val="right"/>
              <w:rPr>
                <w:rFonts w:ascii="Verdana" w:eastAsia="Verdana" w:hAnsi="Verdana" w:cs="Verdana"/>
                <w:b/>
                <w:noProof/>
                <w:color w:val="000000"/>
                <w:sz w:val="18"/>
              </w:rPr>
            </w:pPr>
          </w:p>
        </w:tc>
        <w:tc>
          <w:tcPr>
            <w:tcW w:w="1001" w:type="dxa"/>
            <w:tcBorders>
              <w:top w:val="single" w:sz="4" w:space="0" w:color="016794"/>
              <w:left w:val="nil"/>
              <w:bottom w:val="nil"/>
              <w:right w:val="nil"/>
              <w:tl2br w:val="nil"/>
              <w:tr2bl w:val="nil"/>
            </w:tcBorders>
            <w:shd w:val="clear" w:color="auto" w:fill="auto"/>
            <w:tcMar>
              <w:left w:w="60" w:type="dxa"/>
              <w:right w:w="60" w:type="dxa"/>
            </w:tcMar>
            <w:vAlign w:val="center"/>
          </w:tcPr>
          <w:p w14:paraId="361C9583"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835" w:type="dxa"/>
            <w:tcBorders>
              <w:top w:val="single" w:sz="4" w:space="0" w:color="016794"/>
              <w:left w:val="nil"/>
              <w:bottom w:val="nil"/>
              <w:right w:val="nil"/>
              <w:tl2br w:val="nil"/>
              <w:tr2bl w:val="nil"/>
            </w:tcBorders>
            <w:shd w:val="clear" w:color="auto" w:fill="auto"/>
            <w:tcMar>
              <w:left w:w="60" w:type="dxa"/>
              <w:right w:w="60" w:type="dxa"/>
            </w:tcMar>
            <w:vAlign w:val="center"/>
          </w:tcPr>
          <w:p w14:paraId="01A08D86"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835" w:type="dxa"/>
            <w:tcBorders>
              <w:top w:val="single" w:sz="4" w:space="0" w:color="016794"/>
              <w:left w:val="nil"/>
              <w:bottom w:val="nil"/>
              <w:right w:val="nil"/>
              <w:tl2br w:val="nil"/>
              <w:tr2bl w:val="nil"/>
            </w:tcBorders>
            <w:shd w:val="clear" w:color="auto" w:fill="auto"/>
            <w:tcMar>
              <w:left w:w="60" w:type="dxa"/>
              <w:right w:w="60" w:type="dxa"/>
            </w:tcMar>
            <w:vAlign w:val="center"/>
          </w:tcPr>
          <w:p w14:paraId="0761F35F"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1338" w:type="dxa"/>
            <w:tcBorders>
              <w:top w:val="single" w:sz="4" w:space="0" w:color="016794"/>
              <w:left w:val="nil"/>
              <w:bottom w:val="nil"/>
              <w:right w:val="nil"/>
              <w:tl2br w:val="nil"/>
              <w:tr2bl w:val="nil"/>
            </w:tcBorders>
            <w:shd w:val="clear" w:color="auto" w:fill="auto"/>
            <w:tcMar>
              <w:left w:w="60" w:type="dxa"/>
              <w:right w:w="60" w:type="dxa"/>
            </w:tcMar>
            <w:vAlign w:val="center"/>
          </w:tcPr>
          <w:p w14:paraId="53C24500"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1334" w:type="dxa"/>
            <w:tcBorders>
              <w:top w:val="single" w:sz="4" w:space="0" w:color="016794"/>
              <w:left w:val="nil"/>
              <w:bottom w:val="nil"/>
              <w:right w:val="nil"/>
              <w:tl2br w:val="nil"/>
              <w:tr2bl w:val="nil"/>
            </w:tcBorders>
            <w:shd w:val="clear" w:color="auto" w:fill="auto"/>
            <w:tcMar>
              <w:left w:w="60" w:type="dxa"/>
              <w:right w:w="60" w:type="dxa"/>
            </w:tcMar>
            <w:vAlign w:val="center"/>
          </w:tcPr>
          <w:p w14:paraId="5EDDECE6" w14:textId="77777777" w:rsidR="00FD1E19" w:rsidRDefault="00FD1E19" w:rsidP="00BE7E4A">
            <w:pPr>
              <w:pStyle w:val="DMETW37225BIPCASH"/>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126</w:t>
            </w:r>
          </w:p>
        </w:tc>
      </w:tr>
      <w:tr w:rsidR="00FD1E19" w14:paraId="79E4A9D2" w14:textId="77777777" w:rsidTr="00BE7E4A">
        <w:trPr>
          <w:trHeight w:hRule="exact" w:val="228"/>
        </w:trPr>
        <w:tc>
          <w:tcPr>
            <w:tcW w:w="4415" w:type="dxa"/>
            <w:tcBorders>
              <w:top w:val="nil"/>
              <w:left w:val="nil"/>
              <w:bottom w:val="nil"/>
              <w:right w:val="nil"/>
              <w:tl2br w:val="nil"/>
              <w:tr2bl w:val="nil"/>
            </w:tcBorders>
            <w:shd w:val="solid" w:color="CCE1EA" w:fill="FFFFFF"/>
            <w:tcMar>
              <w:left w:w="60" w:type="dxa"/>
              <w:right w:w="60" w:type="dxa"/>
            </w:tcMar>
            <w:vAlign w:val="center"/>
          </w:tcPr>
          <w:p w14:paraId="6A6D7A9C" w14:textId="77777777" w:rsidR="00FD1E19" w:rsidRDefault="00FD1E19" w:rsidP="00BE7E4A">
            <w:pPr>
              <w:pStyle w:val="DMETW37225BIPCASH"/>
              <w:rPr>
                <w:rFonts w:ascii="Verdana" w:eastAsia="Verdana" w:hAnsi="Verdana" w:cs="Verdana"/>
                <w:b/>
                <w:noProof/>
                <w:color w:val="000000"/>
                <w:sz w:val="18"/>
              </w:rPr>
            </w:pPr>
            <w:r>
              <w:rPr>
                <w:rFonts w:ascii="Verdana" w:eastAsia="Verdana" w:hAnsi="Verdana" w:cs="Verdana"/>
                <w:b/>
                <w:noProof/>
                <w:color w:val="000000"/>
                <w:sz w:val="18"/>
              </w:rPr>
              <w:t>Total</w:t>
            </w:r>
          </w:p>
        </w:tc>
        <w:tc>
          <w:tcPr>
            <w:tcW w:w="1001" w:type="dxa"/>
            <w:tcBorders>
              <w:top w:val="nil"/>
              <w:left w:val="nil"/>
              <w:bottom w:val="nil"/>
              <w:right w:val="nil"/>
              <w:tl2br w:val="nil"/>
              <w:tr2bl w:val="nil"/>
            </w:tcBorders>
            <w:shd w:val="solid" w:color="CCE1EA" w:fill="FFFFFF"/>
            <w:tcMar>
              <w:left w:w="60" w:type="dxa"/>
              <w:right w:w="60" w:type="dxa"/>
            </w:tcMar>
            <w:vAlign w:val="center"/>
          </w:tcPr>
          <w:p w14:paraId="05059C54"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835" w:type="dxa"/>
            <w:tcBorders>
              <w:top w:val="nil"/>
              <w:left w:val="nil"/>
              <w:bottom w:val="nil"/>
              <w:right w:val="nil"/>
              <w:tl2br w:val="nil"/>
              <w:tr2bl w:val="nil"/>
            </w:tcBorders>
            <w:shd w:val="solid" w:color="CCE1EA" w:fill="FFFFFF"/>
            <w:tcMar>
              <w:left w:w="60" w:type="dxa"/>
              <w:right w:w="60" w:type="dxa"/>
            </w:tcMar>
            <w:vAlign w:val="center"/>
          </w:tcPr>
          <w:p w14:paraId="434AEAFA"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835" w:type="dxa"/>
            <w:tcBorders>
              <w:top w:val="nil"/>
              <w:left w:val="nil"/>
              <w:bottom w:val="nil"/>
              <w:right w:val="nil"/>
              <w:tl2br w:val="nil"/>
              <w:tr2bl w:val="nil"/>
            </w:tcBorders>
            <w:shd w:val="solid" w:color="CCE1EA" w:fill="FFFFFF"/>
            <w:tcMar>
              <w:left w:w="60" w:type="dxa"/>
              <w:right w:w="60" w:type="dxa"/>
            </w:tcMar>
            <w:vAlign w:val="center"/>
          </w:tcPr>
          <w:p w14:paraId="2C2555F5"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 xml:space="preserve">  286</w:t>
            </w:r>
          </w:p>
        </w:tc>
        <w:tc>
          <w:tcPr>
            <w:tcW w:w="1338" w:type="dxa"/>
            <w:tcBorders>
              <w:top w:val="nil"/>
              <w:left w:val="nil"/>
              <w:bottom w:val="nil"/>
              <w:right w:val="nil"/>
              <w:tl2br w:val="nil"/>
              <w:tr2bl w:val="nil"/>
            </w:tcBorders>
            <w:shd w:val="solid" w:color="CCE1EA" w:fill="FFFFFF"/>
            <w:tcMar>
              <w:left w:w="60" w:type="dxa"/>
              <w:right w:w="60" w:type="dxa"/>
            </w:tcMar>
            <w:vAlign w:val="center"/>
          </w:tcPr>
          <w:p w14:paraId="2F5F6961"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 xml:space="preserve">  286</w:t>
            </w:r>
          </w:p>
        </w:tc>
        <w:tc>
          <w:tcPr>
            <w:tcW w:w="1334" w:type="dxa"/>
            <w:tcBorders>
              <w:top w:val="nil"/>
              <w:left w:val="nil"/>
              <w:bottom w:val="nil"/>
              <w:right w:val="nil"/>
              <w:tl2br w:val="nil"/>
              <w:tr2bl w:val="nil"/>
            </w:tcBorders>
            <w:shd w:val="solid" w:color="CCE1EA" w:fill="FFFFFF"/>
            <w:tcMar>
              <w:left w:w="60" w:type="dxa"/>
              <w:right w:w="60" w:type="dxa"/>
            </w:tcMar>
            <w:vAlign w:val="center"/>
          </w:tcPr>
          <w:p w14:paraId="7A5A6BC0" w14:textId="77777777" w:rsidR="00FD1E19" w:rsidRDefault="00FD1E19" w:rsidP="00BE7E4A">
            <w:pPr>
              <w:pStyle w:val="DMETW37225BIPCASH"/>
              <w:jc w:val="right"/>
              <w:rPr>
                <w:rFonts w:ascii="Verdana" w:eastAsia="Verdana" w:hAnsi="Verdana" w:cs="Verdana"/>
                <w:b/>
                <w:noProof/>
                <w:color w:val="000000"/>
                <w:sz w:val="18"/>
              </w:rPr>
            </w:pPr>
            <w:r>
              <w:rPr>
                <w:rFonts w:ascii="Verdana" w:eastAsia="Verdana" w:hAnsi="Verdana" w:cs="Verdana"/>
                <w:b/>
                <w:noProof/>
                <w:color w:val="000000"/>
                <w:sz w:val="18"/>
              </w:rPr>
              <w:t xml:space="preserve">  411</w:t>
            </w:r>
          </w:p>
        </w:tc>
      </w:tr>
    </w:tbl>
    <w:p w14:paraId="5453CDE8" w14:textId="77777777" w:rsidR="00FD1E19" w:rsidRPr="00190CA8" w:rsidRDefault="00FD1E19" w:rsidP="00FD1E19">
      <w:pPr>
        <w:pStyle w:val="Textstand-alone"/>
        <w:spacing w:after="360"/>
      </w:pPr>
      <w:bookmarkStart w:id="84" w:name="_Hlk159927270"/>
      <w:r w:rsidRPr="00190CA8">
        <w:t xml:space="preserve">The decrease of EUR </w:t>
      </w:r>
      <w:r>
        <w:t>125</w:t>
      </w:r>
      <w:r w:rsidRPr="00190CA8">
        <w:t xml:space="preserve"> million in cash and cash equivalents is mainly driven by the reduction in cash reserves held in central</w:t>
      </w:r>
      <w:r>
        <w:t xml:space="preserve"> banks</w:t>
      </w:r>
      <w:r w:rsidRPr="00190CA8">
        <w:t xml:space="preserve">. </w:t>
      </w:r>
      <w:r>
        <w:t xml:space="preserve">This decline in the cash position mostly results from payments made to cover expenses and advances exceeding the contributions received during the year. Notably, </w:t>
      </w:r>
      <w:r w:rsidRPr="00190CA8">
        <w:t xml:space="preserve">called contributions fell from EUR </w:t>
      </w:r>
      <w:r>
        <w:t>1 200</w:t>
      </w:r>
      <w:r w:rsidRPr="00190CA8">
        <w:t xml:space="preserve"> million in 202</w:t>
      </w:r>
      <w:r>
        <w:t>4</w:t>
      </w:r>
      <w:r w:rsidRPr="00190CA8">
        <w:t xml:space="preserve"> to EUR </w:t>
      </w:r>
      <w:r>
        <w:t>800</w:t>
      </w:r>
      <w:r w:rsidRPr="00190CA8">
        <w:t xml:space="preserve"> million in 202</w:t>
      </w:r>
      <w:r>
        <w:t>5</w:t>
      </w:r>
      <w:r w:rsidRPr="00190CA8">
        <w:t xml:space="preserve">. </w:t>
      </w:r>
      <w:r w:rsidRPr="006D63A5">
        <w:t xml:space="preserve">Additionally, Member States received a refund of EUR </w:t>
      </w:r>
      <w:r>
        <w:t>6.3</w:t>
      </w:r>
      <w:r w:rsidRPr="006D63A5">
        <w:t xml:space="preserve"> million from the 9th EDF for the first instalment of 202</w:t>
      </w:r>
      <w:r>
        <w:t>5</w:t>
      </w:r>
      <w:r w:rsidRPr="006D63A5">
        <w:t>, while the UK requested that its contributions for the second instalment of 202</w:t>
      </w:r>
      <w:r>
        <w:t>5</w:t>
      </w:r>
      <w:r w:rsidRPr="006D63A5">
        <w:t xml:space="preserve"> amounting to EUR</w:t>
      </w:r>
      <w:r>
        <w:t> 15 </w:t>
      </w:r>
      <w:r w:rsidRPr="006D63A5">
        <w:t xml:space="preserve">million be offset </w:t>
      </w:r>
      <w:r>
        <w:t>against</w:t>
      </w:r>
      <w:r w:rsidRPr="006D63A5">
        <w:t xml:space="preserve"> their outstanding share in the 10th and 11th EDF</w:t>
      </w:r>
      <w:r>
        <w:t>s</w:t>
      </w:r>
      <w:r w:rsidRPr="006D63A5">
        <w:t xml:space="preserve"> (see </w:t>
      </w:r>
      <w:r>
        <w:t>N</w:t>
      </w:r>
      <w:r w:rsidRPr="006D63A5">
        <w:t xml:space="preserve">ote </w:t>
      </w:r>
      <w:r w:rsidRPr="006D63A5">
        <w:rPr>
          <w:b/>
          <w:bCs/>
        </w:rPr>
        <w:t>2.9.1</w:t>
      </w:r>
      <w:r w:rsidRPr="006D63A5">
        <w:t>).</w:t>
      </w:r>
    </w:p>
    <w:bookmarkEnd w:id="84"/>
    <w:p w14:paraId="2E0F176C" w14:textId="77777777" w:rsidR="00FD1E19" w:rsidRPr="00F64D38" w:rsidRDefault="00FD1E19" w:rsidP="00FD1E19">
      <w:pPr>
        <w:pStyle w:val="HEADERTABLE"/>
        <w:rPr>
          <w:noProof/>
        </w:rPr>
      </w:pPr>
      <w:r w:rsidRPr="00F64D38">
        <w:rPr>
          <w:noProof/>
        </w:rPr>
        <w:t>LIABILITIES</w:t>
      </w:r>
    </w:p>
    <w:p w14:paraId="1402516B" w14:textId="77777777" w:rsidR="00FD1E19" w:rsidRDefault="00FD1E19" w:rsidP="00FD1E19">
      <w:pPr>
        <w:pStyle w:val="HEADER2Part2"/>
        <w:ind w:left="3402" w:hanging="3402"/>
        <w:jc w:val="both"/>
        <w:rPr>
          <w:noProof/>
        </w:rPr>
      </w:pPr>
      <w:r w:rsidRPr="00F64D38">
        <w:rPr>
          <w:noProof/>
        </w:rPr>
        <w:t>FINANCIAL LIABILITIES</w:t>
      </w:r>
    </w:p>
    <w:p w14:paraId="37FA3EC7" w14:textId="77777777" w:rsidR="00FD1E19" w:rsidRDefault="00FD1E19" w:rsidP="00FD1E19">
      <w:pPr>
        <w:pStyle w:val="HEADER2Part2"/>
        <w:numPr>
          <w:ilvl w:val="0"/>
          <w:numId w:val="0"/>
        </w:numPr>
        <w:rPr>
          <w:b w:val="0"/>
          <w:noProof/>
          <w:color w:val="auto"/>
          <w:sz w:val="18"/>
          <w:szCs w:val="18"/>
          <w:lang w:eastAsia="en-US"/>
        </w:rPr>
      </w:pPr>
      <w:bookmarkStart w:id="85" w:name="BIP_SEL006"/>
      <w:r>
        <w:rPr>
          <w:b w:val="0"/>
          <w:noProof/>
          <w:color w:val="auto"/>
          <w:sz w:val="18"/>
          <w:szCs w:val="18"/>
          <w:lang w:eastAsia="en-US"/>
        </w:rPr>
        <w:t>A financial liability is any liability that is:</w:t>
      </w:r>
    </w:p>
    <w:p w14:paraId="16472805" w14:textId="77777777" w:rsidR="00FD1E19" w:rsidRDefault="00FD1E19" w:rsidP="00FD1E19">
      <w:pPr>
        <w:pStyle w:val="HEADER2Part2"/>
        <w:numPr>
          <w:ilvl w:val="0"/>
          <w:numId w:val="0"/>
        </w:numPr>
        <w:jc w:val="both"/>
        <w:rPr>
          <w:b w:val="0"/>
          <w:noProof/>
          <w:color w:val="auto"/>
          <w:sz w:val="18"/>
          <w:szCs w:val="18"/>
          <w:lang w:eastAsia="en-US"/>
        </w:rPr>
      </w:pPr>
      <w:r>
        <w:rPr>
          <w:b w:val="0"/>
          <w:noProof/>
          <w:color w:val="auto"/>
          <w:sz w:val="18"/>
          <w:szCs w:val="18"/>
          <w:lang w:eastAsia="en-US"/>
        </w:rPr>
        <w:t>(a) A contractual obligation: to deliver cash or another financial asset to another entity; or to exchange financial assets or financial liabilities with another entity under conditions that are potentially unfavourable to the entity; or</w:t>
      </w:r>
    </w:p>
    <w:p w14:paraId="42D7057C" w14:textId="77777777" w:rsidR="00FD1E19" w:rsidRDefault="00FD1E19" w:rsidP="00FD1E19">
      <w:pPr>
        <w:pStyle w:val="HEADER2Part2"/>
        <w:numPr>
          <w:ilvl w:val="0"/>
          <w:numId w:val="0"/>
        </w:numPr>
        <w:jc w:val="both"/>
        <w:rPr>
          <w:b w:val="0"/>
          <w:noProof/>
          <w:color w:val="auto"/>
          <w:sz w:val="18"/>
          <w:szCs w:val="18"/>
          <w:lang w:eastAsia="en-US"/>
        </w:rPr>
      </w:pPr>
      <w:r>
        <w:rPr>
          <w:b w:val="0"/>
          <w:noProof/>
          <w:color w:val="auto"/>
          <w:sz w:val="18"/>
          <w:szCs w:val="18"/>
          <w:lang w:eastAsia="en-US"/>
        </w:rPr>
        <w:t xml:space="preserve">(b) A contract that will or may be settled in the entity’s own equity instruments. </w:t>
      </w:r>
    </w:p>
    <w:p w14:paraId="4DFA2C54" w14:textId="77777777" w:rsidR="00FD1E19" w:rsidRDefault="00FD1E19" w:rsidP="00FD1E19">
      <w:pPr>
        <w:pStyle w:val="HEADER2Part2"/>
        <w:numPr>
          <w:ilvl w:val="0"/>
          <w:numId w:val="0"/>
        </w:numPr>
        <w:jc w:val="both"/>
        <w:rPr>
          <w:b w:val="0"/>
          <w:noProof/>
          <w:color w:val="auto"/>
          <w:sz w:val="18"/>
          <w:szCs w:val="18"/>
          <w:lang w:eastAsia="en-US"/>
        </w:rPr>
      </w:pPr>
      <w:r>
        <w:rPr>
          <w:b w:val="0"/>
          <w:noProof/>
          <w:color w:val="auto"/>
          <w:sz w:val="18"/>
          <w:szCs w:val="18"/>
          <w:lang w:eastAsia="en-US"/>
        </w:rPr>
        <w:t>Financial liabilities are classified in the following categories: 'financial liabilities at fair value through surplus or deficit', 'other financial liabilities measured at amortised cost' or financial guarantee contract liabilities.</w:t>
      </w:r>
      <w:bookmarkEnd w:id="85"/>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4"/>
        <w:gridCol w:w="850"/>
        <w:gridCol w:w="1418"/>
        <w:gridCol w:w="1396"/>
      </w:tblGrid>
      <w:tr w:rsidR="00FD1E19" w14:paraId="7C0E57A3" w14:textId="77777777" w:rsidTr="00BE7E4A">
        <w:trPr>
          <w:trHeight w:val="255"/>
        </w:trPr>
        <w:tc>
          <w:tcPr>
            <w:tcW w:w="9758" w:type="dxa"/>
            <w:gridSpan w:val="4"/>
            <w:tcBorders>
              <w:top w:val="nil"/>
              <w:left w:val="nil"/>
              <w:bottom w:val="nil"/>
              <w:right w:val="nil"/>
              <w:tl2br w:val="nil"/>
              <w:tr2bl w:val="nil"/>
            </w:tcBorders>
            <w:shd w:val="clear" w:color="auto" w:fill="auto"/>
            <w:tcMar>
              <w:left w:w="60" w:type="dxa"/>
              <w:right w:w="60" w:type="dxa"/>
            </w:tcMar>
            <w:vAlign w:val="center"/>
          </w:tcPr>
          <w:p w14:paraId="11837AE5" w14:textId="77777777" w:rsidR="00FD1E19" w:rsidRDefault="00FD1E19" w:rsidP="00BE7E4A">
            <w:pPr>
              <w:pStyle w:val="DMETW37225BIPFL"/>
              <w:jc w:val="right"/>
              <w:rPr>
                <w:rFonts w:ascii="Verdana" w:eastAsia="Verdana" w:hAnsi="Verdana" w:cs="Verdana"/>
                <w:i/>
                <w:noProof/>
                <w:color w:val="000000"/>
                <w:sz w:val="16"/>
                <w:lang w:bidi="en-GB"/>
              </w:rPr>
            </w:pPr>
            <w:bookmarkStart w:id="86" w:name="DOC_TBL00022_1_1"/>
            <w:bookmarkEnd w:id="86"/>
            <w:r>
              <w:rPr>
                <w:rFonts w:ascii="Verdana" w:eastAsia="Verdana" w:hAnsi="Verdana" w:cs="Verdana"/>
                <w:i/>
                <w:noProof/>
                <w:color w:val="000000"/>
                <w:sz w:val="16"/>
                <w:lang w:bidi="en-GB"/>
              </w:rPr>
              <w:t>EUR million</w:t>
            </w:r>
          </w:p>
        </w:tc>
      </w:tr>
      <w:tr w:rsidR="00FD1E19" w14:paraId="42053B0B" w14:textId="77777777" w:rsidTr="00BE7E4A">
        <w:trPr>
          <w:trHeight w:val="255"/>
        </w:trPr>
        <w:tc>
          <w:tcPr>
            <w:tcW w:w="6094" w:type="dxa"/>
            <w:tcBorders>
              <w:top w:val="nil"/>
              <w:left w:val="nil"/>
              <w:bottom w:val="nil"/>
              <w:right w:val="nil"/>
              <w:tl2br w:val="nil"/>
              <w:tr2bl w:val="nil"/>
            </w:tcBorders>
            <w:shd w:val="solid" w:color="016794" w:fill="FFFFFF"/>
            <w:tcMar>
              <w:left w:w="60" w:type="dxa"/>
              <w:right w:w="60" w:type="dxa"/>
            </w:tcMar>
            <w:vAlign w:val="center"/>
          </w:tcPr>
          <w:p w14:paraId="4D450E1C" w14:textId="77777777" w:rsidR="00FD1E19" w:rsidRDefault="00FD1E19" w:rsidP="00BE7E4A">
            <w:pPr>
              <w:pStyle w:val="DMETW37225BIPFL"/>
              <w:rPr>
                <w:rFonts w:ascii="Verdana" w:eastAsia="Verdana" w:hAnsi="Verdana" w:cs="Verdana"/>
                <w:noProof/>
                <w:color w:val="FFFFFF"/>
              </w:rPr>
            </w:pPr>
          </w:p>
        </w:tc>
        <w:tc>
          <w:tcPr>
            <w:tcW w:w="850" w:type="dxa"/>
            <w:tcBorders>
              <w:top w:val="nil"/>
              <w:left w:val="nil"/>
              <w:bottom w:val="nil"/>
              <w:right w:val="nil"/>
              <w:tl2br w:val="nil"/>
              <w:tr2bl w:val="nil"/>
            </w:tcBorders>
            <w:shd w:val="solid" w:color="016794" w:fill="FFFFFF"/>
            <w:tcMar>
              <w:left w:w="60" w:type="dxa"/>
              <w:right w:w="60" w:type="dxa"/>
            </w:tcMar>
            <w:vAlign w:val="center"/>
          </w:tcPr>
          <w:p w14:paraId="6D3B38C9" w14:textId="77777777" w:rsidR="00FD1E19" w:rsidRDefault="00FD1E19" w:rsidP="00BE7E4A">
            <w:pPr>
              <w:pStyle w:val="DMETW37225BIPFL"/>
              <w:rPr>
                <w:rFonts w:ascii="Verdana" w:eastAsia="Verdana" w:hAnsi="Verdana" w:cs="Verdana"/>
                <w:noProof/>
                <w:color w:val="FFFFFF"/>
              </w:rPr>
            </w:pPr>
            <w:r>
              <w:rPr>
                <w:rFonts w:ascii="Verdana" w:eastAsia="Verdana" w:hAnsi="Verdana" w:cs="Verdana"/>
                <w:noProof/>
                <w:color w:val="FFFFFF"/>
              </w:rPr>
              <w:t>Note</w:t>
            </w:r>
          </w:p>
        </w:tc>
        <w:tc>
          <w:tcPr>
            <w:tcW w:w="1418" w:type="dxa"/>
            <w:tcBorders>
              <w:top w:val="nil"/>
              <w:left w:val="nil"/>
              <w:bottom w:val="nil"/>
              <w:right w:val="nil"/>
              <w:tl2br w:val="nil"/>
              <w:tr2bl w:val="nil"/>
            </w:tcBorders>
            <w:shd w:val="solid" w:color="016794" w:fill="FFFFFF"/>
            <w:tcMar>
              <w:left w:w="60" w:type="dxa"/>
              <w:right w:w="60" w:type="dxa"/>
            </w:tcMar>
            <w:vAlign w:val="center"/>
          </w:tcPr>
          <w:p w14:paraId="13FE7773" w14:textId="77777777" w:rsidR="00FD1E19" w:rsidRDefault="00FD1E19" w:rsidP="00BE7E4A">
            <w:pPr>
              <w:pStyle w:val="DMETW37225BIPFL"/>
              <w:jc w:val="right"/>
              <w:rPr>
                <w:rFonts w:ascii="Verdana" w:eastAsia="Verdana" w:hAnsi="Verdana" w:cs="Verdana"/>
                <w:noProof/>
                <w:color w:val="FFFFFF"/>
              </w:rPr>
            </w:pPr>
            <w:r>
              <w:rPr>
                <w:rFonts w:ascii="Verdana" w:eastAsia="Verdana" w:hAnsi="Verdana" w:cs="Verdana"/>
                <w:noProof/>
                <w:color w:val="FFFFFF"/>
              </w:rPr>
              <w:t>31.12.2025</w:t>
            </w:r>
          </w:p>
        </w:tc>
        <w:tc>
          <w:tcPr>
            <w:tcW w:w="1396" w:type="dxa"/>
            <w:tcBorders>
              <w:top w:val="nil"/>
              <w:left w:val="nil"/>
              <w:bottom w:val="nil"/>
              <w:right w:val="nil"/>
              <w:tl2br w:val="nil"/>
              <w:tr2bl w:val="nil"/>
            </w:tcBorders>
            <w:shd w:val="solid" w:color="016794" w:fill="FFFFFF"/>
            <w:tcMar>
              <w:left w:w="60" w:type="dxa"/>
              <w:right w:w="60" w:type="dxa"/>
            </w:tcMar>
            <w:vAlign w:val="center"/>
          </w:tcPr>
          <w:p w14:paraId="24393725" w14:textId="77777777" w:rsidR="00FD1E19" w:rsidRDefault="00FD1E19" w:rsidP="00BE7E4A">
            <w:pPr>
              <w:pStyle w:val="DMETW37225BIPFL"/>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1973132A" w14:textId="77777777" w:rsidTr="00BE7E4A">
        <w:trPr>
          <w:trHeight w:val="255"/>
        </w:trPr>
        <w:tc>
          <w:tcPr>
            <w:tcW w:w="6094" w:type="dxa"/>
            <w:tcBorders>
              <w:top w:val="nil"/>
              <w:left w:val="nil"/>
              <w:bottom w:val="nil"/>
              <w:right w:val="nil"/>
              <w:tl2br w:val="nil"/>
              <w:tr2bl w:val="nil"/>
            </w:tcBorders>
            <w:shd w:val="clear" w:color="auto" w:fill="auto"/>
            <w:tcMar>
              <w:left w:w="60" w:type="dxa"/>
              <w:right w:w="60" w:type="dxa"/>
            </w:tcMar>
            <w:vAlign w:val="center"/>
          </w:tcPr>
          <w:p w14:paraId="5DB6DC1A" w14:textId="77777777" w:rsidR="00FD1E19" w:rsidRDefault="00FD1E19" w:rsidP="00BE7E4A">
            <w:pPr>
              <w:pStyle w:val="DMETW37225BIPFL"/>
              <w:rPr>
                <w:rFonts w:ascii="Verdana" w:eastAsia="Verdana" w:hAnsi="Verdana" w:cs="Verdana"/>
                <w:b/>
                <w:noProof/>
                <w:color w:val="000000"/>
                <w:sz w:val="18"/>
              </w:rPr>
            </w:pPr>
            <w:r>
              <w:rPr>
                <w:rFonts w:ascii="Verdana" w:eastAsia="Verdana" w:hAnsi="Verdana" w:cs="Verdana"/>
                <w:b/>
                <w:noProof/>
                <w:color w:val="000000"/>
                <w:sz w:val="18"/>
              </w:rPr>
              <w:t>Non-Current</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4B26B9BF" w14:textId="77777777" w:rsidR="00FD1E19" w:rsidRDefault="00FD1E19" w:rsidP="00BE7E4A">
            <w:pPr>
              <w:pStyle w:val="DMETW37225BIPFL"/>
              <w:rPr>
                <w:rFonts w:ascii="Verdana" w:eastAsia="Verdana" w:hAnsi="Verdana" w:cs="Verdana"/>
                <w:b/>
                <w:noProof/>
                <w:color w:val="000000"/>
                <w:sz w:val="18"/>
              </w:rPr>
            </w:pPr>
          </w:p>
        </w:tc>
        <w:tc>
          <w:tcPr>
            <w:tcW w:w="1418" w:type="dxa"/>
            <w:tcBorders>
              <w:top w:val="nil"/>
              <w:left w:val="nil"/>
              <w:bottom w:val="nil"/>
              <w:right w:val="nil"/>
              <w:tl2br w:val="nil"/>
              <w:tr2bl w:val="nil"/>
            </w:tcBorders>
            <w:shd w:val="solid" w:color="FFFFFF" w:fill="FFFFFF"/>
            <w:tcMar>
              <w:left w:w="60" w:type="dxa"/>
              <w:right w:w="60" w:type="dxa"/>
            </w:tcMar>
            <w:vAlign w:val="center"/>
          </w:tcPr>
          <w:p w14:paraId="27B0A83C" w14:textId="77777777" w:rsidR="00FD1E19" w:rsidRDefault="00FD1E19" w:rsidP="00BE7E4A">
            <w:pPr>
              <w:pStyle w:val="DMETW37225BIPFL"/>
              <w:jc w:val="right"/>
              <w:rPr>
                <w:rFonts w:ascii="Verdana" w:eastAsia="Verdana" w:hAnsi="Verdana" w:cs="Verdana"/>
                <w:i/>
                <w:noProof/>
                <w:color w:val="000000"/>
                <w:sz w:val="18"/>
              </w:rPr>
            </w:pPr>
          </w:p>
        </w:tc>
        <w:tc>
          <w:tcPr>
            <w:tcW w:w="1396" w:type="dxa"/>
            <w:tcBorders>
              <w:top w:val="nil"/>
              <w:left w:val="nil"/>
              <w:bottom w:val="nil"/>
              <w:right w:val="nil"/>
              <w:tl2br w:val="nil"/>
              <w:tr2bl w:val="nil"/>
            </w:tcBorders>
            <w:shd w:val="solid" w:color="FFFFFF" w:fill="FFFFFF"/>
            <w:tcMar>
              <w:left w:w="60" w:type="dxa"/>
              <w:right w:w="60" w:type="dxa"/>
            </w:tcMar>
            <w:vAlign w:val="center"/>
          </w:tcPr>
          <w:p w14:paraId="3F32C317" w14:textId="77777777" w:rsidR="00FD1E19" w:rsidRDefault="00FD1E19" w:rsidP="00BE7E4A">
            <w:pPr>
              <w:pStyle w:val="DMETW37225BIPFL"/>
              <w:jc w:val="right"/>
              <w:rPr>
                <w:rFonts w:ascii="Verdana" w:eastAsia="Verdana" w:hAnsi="Verdana" w:cs="Verdana"/>
                <w:i/>
                <w:noProof/>
                <w:color w:val="000000"/>
                <w:sz w:val="18"/>
                <w:lang w:bidi="en-GB"/>
              </w:rPr>
            </w:pPr>
          </w:p>
        </w:tc>
      </w:tr>
      <w:tr w:rsidR="00FD1E19" w14:paraId="0192BE36" w14:textId="77777777" w:rsidTr="00BE7E4A">
        <w:trPr>
          <w:trHeight w:val="255"/>
        </w:trPr>
        <w:tc>
          <w:tcPr>
            <w:tcW w:w="6094" w:type="dxa"/>
            <w:tcBorders>
              <w:top w:val="nil"/>
              <w:left w:val="nil"/>
              <w:bottom w:val="nil"/>
              <w:right w:val="nil"/>
              <w:tl2br w:val="nil"/>
              <w:tr2bl w:val="nil"/>
            </w:tcBorders>
            <w:shd w:val="clear" w:color="auto" w:fill="auto"/>
            <w:tcMar>
              <w:left w:w="60" w:type="dxa"/>
              <w:right w:w="60" w:type="dxa"/>
            </w:tcMar>
            <w:vAlign w:val="center"/>
          </w:tcPr>
          <w:p w14:paraId="6EB2E282" w14:textId="77777777" w:rsidR="00FD1E19" w:rsidRDefault="00FD1E19" w:rsidP="00BE7E4A">
            <w:pPr>
              <w:pStyle w:val="DMETW37225BIPFL"/>
              <w:rPr>
                <w:rFonts w:ascii="Verdana" w:eastAsia="Verdana" w:hAnsi="Verdana" w:cs="Verdana"/>
                <w:i/>
                <w:noProof/>
                <w:color w:val="000000"/>
                <w:sz w:val="18"/>
              </w:rPr>
            </w:pPr>
            <w:r>
              <w:rPr>
                <w:rFonts w:ascii="Verdana" w:eastAsia="Verdana" w:hAnsi="Verdana" w:cs="Verdana"/>
                <w:i/>
                <w:noProof/>
                <w:color w:val="000000"/>
                <w:sz w:val="18"/>
              </w:rPr>
              <w:t>Financial guarantee liability</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5FA89487" w14:textId="77777777" w:rsidR="00FD1E19" w:rsidRDefault="00FD1E19" w:rsidP="00BE7E4A">
            <w:pPr>
              <w:pStyle w:val="DMETW37225BIPFL"/>
              <w:rPr>
                <w:rFonts w:ascii="Verdana" w:eastAsia="Verdana" w:hAnsi="Verdana" w:cs="Verdana"/>
                <w:i/>
                <w:noProof/>
                <w:color w:val="000000"/>
                <w:sz w:val="18"/>
              </w:rPr>
            </w:pPr>
            <w:r>
              <w:rPr>
                <w:rFonts w:ascii="Verdana" w:eastAsia="Verdana" w:hAnsi="Verdana" w:cs="Verdana"/>
                <w:i/>
                <w:noProof/>
                <w:color w:val="000000"/>
                <w:sz w:val="18"/>
              </w:rPr>
              <w:t>2.6.1</w:t>
            </w:r>
          </w:p>
        </w:tc>
        <w:tc>
          <w:tcPr>
            <w:tcW w:w="1418" w:type="dxa"/>
            <w:tcBorders>
              <w:top w:val="nil"/>
              <w:left w:val="nil"/>
              <w:bottom w:val="nil"/>
              <w:right w:val="nil"/>
              <w:tl2br w:val="nil"/>
              <w:tr2bl w:val="nil"/>
            </w:tcBorders>
            <w:shd w:val="solid" w:color="FFFFFF" w:fill="FFFFFF"/>
            <w:tcMar>
              <w:left w:w="60" w:type="dxa"/>
              <w:right w:w="60" w:type="dxa"/>
            </w:tcMar>
            <w:vAlign w:val="center"/>
          </w:tcPr>
          <w:p w14:paraId="6156F042" w14:textId="77777777" w:rsidR="00FD1E19" w:rsidRDefault="00FD1E19" w:rsidP="00BE7E4A">
            <w:pPr>
              <w:pStyle w:val="DMETW37225BIPFL"/>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396" w:type="dxa"/>
            <w:tcBorders>
              <w:top w:val="nil"/>
              <w:left w:val="nil"/>
              <w:bottom w:val="nil"/>
              <w:right w:val="nil"/>
              <w:tl2br w:val="nil"/>
              <w:tr2bl w:val="nil"/>
            </w:tcBorders>
            <w:shd w:val="solid" w:color="FFFFFF" w:fill="FFFFFF"/>
            <w:tcMar>
              <w:left w:w="60" w:type="dxa"/>
              <w:right w:w="60" w:type="dxa"/>
            </w:tcMar>
            <w:vAlign w:val="center"/>
          </w:tcPr>
          <w:p w14:paraId="5F4BFF6C" w14:textId="77777777" w:rsidR="00FD1E19" w:rsidRDefault="00FD1E19" w:rsidP="00BE7E4A">
            <w:pPr>
              <w:pStyle w:val="DMETW37225BIPF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05BA9303" w14:textId="77777777" w:rsidTr="00BE7E4A">
        <w:trPr>
          <w:trHeight w:val="255"/>
        </w:trPr>
        <w:tc>
          <w:tcPr>
            <w:tcW w:w="6094" w:type="dxa"/>
            <w:tcBorders>
              <w:top w:val="nil"/>
              <w:left w:val="nil"/>
              <w:bottom w:val="nil"/>
              <w:right w:val="nil"/>
              <w:tl2br w:val="nil"/>
              <w:tr2bl w:val="nil"/>
            </w:tcBorders>
            <w:shd w:val="clear" w:color="auto" w:fill="auto"/>
            <w:tcMar>
              <w:left w:w="60" w:type="dxa"/>
              <w:right w:w="60" w:type="dxa"/>
            </w:tcMar>
            <w:vAlign w:val="bottom"/>
          </w:tcPr>
          <w:p w14:paraId="7597C746" w14:textId="77777777" w:rsidR="00FD1E19" w:rsidRDefault="00FD1E19" w:rsidP="00BE7E4A">
            <w:pPr>
              <w:pStyle w:val="DMETW37225BIPFL"/>
              <w:rPr>
                <w:rFonts w:ascii="Verdana" w:eastAsia="Verdana" w:hAnsi="Verdana" w:cs="Verdana"/>
                <w:i/>
                <w:noProof/>
                <w:color w:val="000000"/>
                <w:sz w:val="18"/>
              </w:rPr>
            </w:pPr>
            <w:r>
              <w:rPr>
                <w:rFonts w:ascii="Verdana" w:eastAsia="Verdana" w:hAnsi="Verdana" w:cs="Verdana"/>
                <w:b/>
                <w:noProof/>
                <w:color w:val="000000"/>
                <w:sz w:val="18"/>
              </w:rPr>
              <w:t>Current</w:t>
            </w:r>
          </w:p>
        </w:tc>
        <w:tc>
          <w:tcPr>
            <w:tcW w:w="850" w:type="dxa"/>
            <w:tcBorders>
              <w:top w:val="nil"/>
              <w:left w:val="nil"/>
              <w:bottom w:val="nil"/>
              <w:right w:val="nil"/>
              <w:tl2br w:val="nil"/>
              <w:tr2bl w:val="nil"/>
            </w:tcBorders>
            <w:shd w:val="clear" w:color="auto" w:fill="auto"/>
            <w:tcMar>
              <w:left w:w="60" w:type="dxa"/>
              <w:right w:w="60" w:type="dxa"/>
            </w:tcMar>
            <w:vAlign w:val="bottom"/>
          </w:tcPr>
          <w:p w14:paraId="5AC4C855" w14:textId="77777777" w:rsidR="00FD1E19" w:rsidRDefault="00FD1E19" w:rsidP="00BE7E4A">
            <w:pPr>
              <w:pStyle w:val="DMETW37225BIPFL"/>
              <w:rPr>
                <w:rFonts w:ascii="Verdana" w:eastAsia="Verdana" w:hAnsi="Verdana" w:cs="Verdana"/>
                <w:i/>
                <w:noProof/>
                <w:color w:val="000000"/>
                <w:sz w:val="18"/>
              </w:rPr>
            </w:pPr>
          </w:p>
        </w:tc>
        <w:tc>
          <w:tcPr>
            <w:tcW w:w="1418" w:type="dxa"/>
            <w:tcBorders>
              <w:top w:val="nil"/>
              <w:left w:val="nil"/>
              <w:bottom w:val="nil"/>
              <w:right w:val="nil"/>
              <w:tl2br w:val="nil"/>
              <w:tr2bl w:val="nil"/>
            </w:tcBorders>
            <w:shd w:val="solid" w:color="FFFFFF" w:fill="FFFFFF"/>
            <w:tcMar>
              <w:left w:w="60" w:type="dxa"/>
              <w:right w:w="60" w:type="dxa"/>
            </w:tcMar>
            <w:vAlign w:val="center"/>
          </w:tcPr>
          <w:p w14:paraId="4A464CA7" w14:textId="77777777" w:rsidR="00FD1E19" w:rsidRDefault="00FD1E19" w:rsidP="00BE7E4A">
            <w:pPr>
              <w:pStyle w:val="DMETW37225BIPFL"/>
              <w:jc w:val="right"/>
              <w:rPr>
                <w:rFonts w:ascii="Verdana" w:eastAsia="Verdana" w:hAnsi="Verdana" w:cs="Verdana"/>
                <w:i/>
                <w:noProof/>
                <w:color w:val="000000"/>
                <w:sz w:val="18"/>
              </w:rPr>
            </w:pPr>
          </w:p>
        </w:tc>
        <w:tc>
          <w:tcPr>
            <w:tcW w:w="1396" w:type="dxa"/>
            <w:tcBorders>
              <w:top w:val="nil"/>
              <w:left w:val="nil"/>
              <w:bottom w:val="nil"/>
              <w:right w:val="nil"/>
              <w:tl2br w:val="nil"/>
              <w:tr2bl w:val="nil"/>
            </w:tcBorders>
            <w:shd w:val="solid" w:color="FFFFFF" w:fill="FFFFFF"/>
            <w:tcMar>
              <w:left w:w="60" w:type="dxa"/>
              <w:right w:w="60" w:type="dxa"/>
            </w:tcMar>
            <w:vAlign w:val="center"/>
          </w:tcPr>
          <w:p w14:paraId="05F79277" w14:textId="77777777" w:rsidR="00FD1E19" w:rsidRDefault="00FD1E19" w:rsidP="00BE7E4A">
            <w:pPr>
              <w:pStyle w:val="DMETW37225BIPFL"/>
              <w:jc w:val="right"/>
              <w:rPr>
                <w:rFonts w:ascii="Verdana" w:eastAsia="Verdana" w:hAnsi="Verdana" w:cs="Verdana"/>
                <w:i/>
                <w:noProof/>
                <w:color w:val="000000"/>
                <w:sz w:val="18"/>
              </w:rPr>
            </w:pPr>
          </w:p>
        </w:tc>
      </w:tr>
      <w:tr w:rsidR="00FD1E19" w14:paraId="7C71BE32" w14:textId="77777777" w:rsidTr="00BE7E4A">
        <w:trPr>
          <w:trHeight w:val="255"/>
        </w:trPr>
        <w:tc>
          <w:tcPr>
            <w:tcW w:w="6094" w:type="dxa"/>
            <w:tcBorders>
              <w:top w:val="nil"/>
              <w:left w:val="nil"/>
              <w:bottom w:val="single" w:sz="4" w:space="0" w:color="016794"/>
              <w:right w:val="nil"/>
              <w:tl2br w:val="nil"/>
              <w:tr2bl w:val="nil"/>
            </w:tcBorders>
            <w:shd w:val="clear" w:color="auto" w:fill="auto"/>
            <w:tcMar>
              <w:left w:w="60" w:type="dxa"/>
              <w:right w:w="60" w:type="dxa"/>
            </w:tcMar>
            <w:vAlign w:val="bottom"/>
          </w:tcPr>
          <w:p w14:paraId="61A67AE8" w14:textId="77777777" w:rsidR="00FD1E19" w:rsidRDefault="00FD1E19" w:rsidP="00BE7E4A">
            <w:pPr>
              <w:pStyle w:val="DMETW37225BIPFL"/>
              <w:rPr>
                <w:rFonts w:ascii="Verdana" w:eastAsia="Verdana" w:hAnsi="Verdana" w:cs="Verdana"/>
                <w:i/>
                <w:noProof/>
                <w:color w:val="000000"/>
                <w:sz w:val="18"/>
              </w:rPr>
            </w:pPr>
            <w:r>
              <w:rPr>
                <w:rFonts w:ascii="Verdana" w:eastAsia="Verdana" w:hAnsi="Verdana" w:cs="Verdana"/>
                <w:i/>
                <w:noProof/>
                <w:color w:val="000000"/>
                <w:sz w:val="18"/>
              </w:rPr>
              <w:t>Financial provisions</w:t>
            </w:r>
          </w:p>
        </w:tc>
        <w:tc>
          <w:tcPr>
            <w:tcW w:w="850" w:type="dxa"/>
            <w:tcBorders>
              <w:top w:val="nil"/>
              <w:left w:val="nil"/>
              <w:bottom w:val="single" w:sz="4" w:space="0" w:color="016794"/>
              <w:right w:val="nil"/>
              <w:tl2br w:val="nil"/>
              <w:tr2bl w:val="nil"/>
            </w:tcBorders>
            <w:shd w:val="clear" w:color="auto" w:fill="auto"/>
            <w:tcMar>
              <w:left w:w="60" w:type="dxa"/>
              <w:right w:w="60" w:type="dxa"/>
            </w:tcMar>
            <w:vAlign w:val="bottom"/>
          </w:tcPr>
          <w:p w14:paraId="4AC6058D" w14:textId="77777777" w:rsidR="00FD1E19" w:rsidRDefault="00FD1E19" w:rsidP="00BE7E4A">
            <w:pPr>
              <w:pStyle w:val="DMETW37225BIPFL"/>
              <w:rPr>
                <w:rFonts w:ascii="Verdana" w:eastAsia="Verdana" w:hAnsi="Verdana" w:cs="Verdana"/>
                <w:i/>
                <w:noProof/>
                <w:color w:val="000000"/>
                <w:sz w:val="18"/>
              </w:rPr>
            </w:pPr>
            <w:r>
              <w:rPr>
                <w:rFonts w:ascii="Verdana" w:eastAsia="Verdana" w:hAnsi="Verdana" w:cs="Verdana"/>
                <w:i/>
                <w:noProof/>
                <w:color w:val="000000"/>
                <w:sz w:val="18"/>
              </w:rPr>
              <w:t>2.6.2</w:t>
            </w:r>
          </w:p>
        </w:tc>
        <w:tc>
          <w:tcPr>
            <w:tcW w:w="1418"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29CFC1F3" w14:textId="77777777" w:rsidR="00FD1E19" w:rsidRDefault="00FD1E19" w:rsidP="00BE7E4A">
            <w:pPr>
              <w:pStyle w:val="DMETW37225BIPF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96" w:type="dxa"/>
            <w:tcBorders>
              <w:top w:val="nil"/>
              <w:left w:val="nil"/>
              <w:bottom w:val="single" w:sz="4" w:space="0" w:color="016794"/>
              <w:right w:val="nil"/>
              <w:tl2br w:val="nil"/>
              <w:tr2bl w:val="nil"/>
            </w:tcBorders>
            <w:shd w:val="solid" w:color="FFFFFF" w:fill="FFFFFF"/>
            <w:tcMar>
              <w:left w:w="60" w:type="dxa"/>
              <w:right w:w="60" w:type="dxa"/>
            </w:tcMar>
            <w:vAlign w:val="center"/>
          </w:tcPr>
          <w:p w14:paraId="225044F2" w14:textId="77777777" w:rsidR="00FD1E19" w:rsidRDefault="00FD1E19" w:rsidP="00BE7E4A">
            <w:pPr>
              <w:pStyle w:val="DMETW37225BIPFL"/>
              <w:jc w:val="right"/>
              <w:rPr>
                <w:rFonts w:ascii="Verdana" w:eastAsia="Verdana" w:hAnsi="Verdana" w:cs="Verdana"/>
                <w:i/>
                <w:noProof/>
                <w:color w:val="000000"/>
                <w:sz w:val="18"/>
                <w:lang w:bidi="en-GB"/>
              </w:rPr>
            </w:pPr>
            <w:r>
              <w:rPr>
                <w:rFonts w:ascii="Verdana" w:eastAsia="Verdana" w:hAnsi="Verdana" w:cs="Verdana"/>
                <w:i/>
                <w:noProof/>
                <w:color w:val="000000"/>
                <w:sz w:val="18"/>
              </w:rPr>
              <w:t>2</w:t>
            </w:r>
          </w:p>
        </w:tc>
      </w:tr>
      <w:tr w:rsidR="00FD1E19" w14:paraId="6DFCFA4D" w14:textId="77777777" w:rsidTr="00BE7E4A">
        <w:trPr>
          <w:trHeight w:val="255"/>
        </w:trPr>
        <w:tc>
          <w:tcPr>
            <w:tcW w:w="609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29A6C8A" w14:textId="77777777" w:rsidR="00FD1E19" w:rsidRDefault="00FD1E19" w:rsidP="00BE7E4A">
            <w:pPr>
              <w:pStyle w:val="DMETW37225BIPFL"/>
              <w:rPr>
                <w:rFonts w:ascii="Verdana" w:eastAsia="Verdana" w:hAnsi="Verdana" w:cs="Verdana"/>
                <w:b/>
                <w:noProof/>
                <w:color w:val="000000"/>
                <w:sz w:val="18"/>
              </w:rPr>
            </w:pPr>
            <w:r>
              <w:rPr>
                <w:rFonts w:ascii="Verdana" w:eastAsia="Verdana" w:hAnsi="Verdana" w:cs="Verdana"/>
                <w:b/>
                <w:noProof/>
                <w:color w:val="000000"/>
                <w:sz w:val="18"/>
              </w:rPr>
              <w:t>Total</w:t>
            </w:r>
          </w:p>
        </w:tc>
        <w:tc>
          <w:tcPr>
            <w:tcW w:w="85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942C505" w14:textId="77777777" w:rsidR="00FD1E19" w:rsidRDefault="00FD1E19" w:rsidP="00BE7E4A">
            <w:pPr>
              <w:pStyle w:val="DMETW37225BIPFL"/>
              <w:rPr>
                <w:rFonts w:ascii="Verdana" w:eastAsia="Verdana" w:hAnsi="Verdana" w:cs="Verdana"/>
                <w:b/>
                <w:noProof/>
                <w:color w:val="000000"/>
                <w:sz w:val="18"/>
              </w:rPr>
            </w:pPr>
          </w:p>
        </w:tc>
        <w:tc>
          <w:tcPr>
            <w:tcW w:w="141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18D3752" w14:textId="77777777" w:rsidR="00FD1E19" w:rsidRDefault="00FD1E19" w:rsidP="00BE7E4A">
            <w:pPr>
              <w:pStyle w:val="DMETW37225BIPFL"/>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139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1900AD8" w14:textId="77777777" w:rsidR="00FD1E19" w:rsidRDefault="00FD1E19" w:rsidP="00BE7E4A">
            <w:pPr>
              <w:pStyle w:val="DMETW37225BIPFL"/>
              <w:jc w:val="right"/>
              <w:rPr>
                <w:rFonts w:ascii="Verdana" w:eastAsia="Verdana" w:hAnsi="Verdana" w:cs="Verdana"/>
                <w:b/>
                <w:noProof/>
                <w:color w:val="000000"/>
                <w:sz w:val="18"/>
              </w:rPr>
            </w:pPr>
            <w:r>
              <w:rPr>
                <w:rFonts w:ascii="Verdana" w:eastAsia="Verdana" w:hAnsi="Verdana" w:cs="Verdana"/>
                <w:b/>
                <w:noProof/>
                <w:color w:val="000000"/>
                <w:sz w:val="18"/>
              </w:rPr>
              <w:t xml:space="preserve">  3</w:t>
            </w:r>
          </w:p>
        </w:tc>
      </w:tr>
    </w:tbl>
    <w:p w14:paraId="1D1B4327" w14:textId="77777777" w:rsidR="00FD1E19" w:rsidRDefault="00FD1E19" w:rsidP="00FD1E19">
      <w:pPr>
        <w:pStyle w:val="HEADER3Part2"/>
        <w:tabs>
          <w:tab w:val="left" w:pos="3544"/>
        </w:tabs>
        <w:jc w:val="both"/>
        <w:rPr>
          <w:noProof/>
        </w:rPr>
      </w:pPr>
      <w:r>
        <w:rPr>
          <w:noProof/>
        </w:rPr>
        <w:t>Financial guarantee liability</w:t>
      </w:r>
    </w:p>
    <w:p w14:paraId="39EBE74A" w14:textId="77777777" w:rsidR="00FD1E19" w:rsidRDefault="00FD1E19" w:rsidP="00FD1E19">
      <w:pPr>
        <w:pStyle w:val="HEADER1Part2"/>
        <w:numPr>
          <w:ilvl w:val="0"/>
          <w:numId w:val="0"/>
        </w:numPr>
        <w:rPr>
          <w:b w:val="0"/>
          <w:noProof/>
          <w:color w:val="auto"/>
          <w:sz w:val="18"/>
          <w:szCs w:val="18"/>
          <w:lang w:eastAsia="en-US"/>
        </w:rPr>
      </w:pPr>
      <w:r w:rsidRPr="00FC5715">
        <w:rPr>
          <w:b w:val="0"/>
          <w:noProof/>
          <w:color w:val="auto"/>
          <w:sz w:val="18"/>
          <w:szCs w:val="18"/>
          <w:lang w:eastAsia="en-US"/>
        </w:rPr>
        <w:t>These provisions represent the estimated losses that will be incurred in relation to the guarantees given under different financial instruments, where entrusted entities are empowered to issue guarantees in their own name but on behalf of, and at the risk of, the EDF. The financial risk of the EDF linked to the guarantees is capped and financial assets are gradually provisioned to cover for the future guarantee calls.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25"/>
        <w:gridCol w:w="1346"/>
        <w:gridCol w:w="1347"/>
        <w:gridCol w:w="1347"/>
        <w:gridCol w:w="1347"/>
        <w:gridCol w:w="1446"/>
      </w:tblGrid>
      <w:tr w:rsidR="00FD1E19" w14:paraId="7D85F6A4" w14:textId="77777777" w:rsidTr="00BE7E4A">
        <w:trPr>
          <w:trHeight w:hRule="exact" w:val="255"/>
        </w:trPr>
        <w:tc>
          <w:tcPr>
            <w:tcW w:w="2925" w:type="dxa"/>
            <w:gridSpan w:val="6"/>
            <w:tcBorders>
              <w:top w:val="nil"/>
              <w:left w:val="nil"/>
              <w:bottom w:val="nil"/>
              <w:right w:val="nil"/>
              <w:tl2br w:val="nil"/>
              <w:tr2bl w:val="nil"/>
            </w:tcBorders>
            <w:shd w:val="clear" w:color="auto" w:fill="auto"/>
            <w:tcMar>
              <w:left w:w="60" w:type="dxa"/>
              <w:right w:w="60" w:type="dxa"/>
            </w:tcMar>
            <w:vAlign w:val="center"/>
          </w:tcPr>
          <w:p w14:paraId="2A14DD99" w14:textId="77777777" w:rsidR="00FD1E19" w:rsidRDefault="00FD1E19" w:rsidP="00BE7E4A">
            <w:pPr>
              <w:pStyle w:val="DMETW37225BIPPROV"/>
              <w:jc w:val="right"/>
              <w:rPr>
                <w:rFonts w:ascii="Verdana" w:eastAsia="Verdana" w:hAnsi="Verdana" w:cs="Verdana"/>
                <w:i/>
                <w:noProof/>
                <w:color w:val="000000"/>
                <w:sz w:val="16"/>
                <w:lang w:bidi="en-GB"/>
              </w:rPr>
            </w:pPr>
            <w:r>
              <w:rPr>
                <w:rFonts w:ascii="Verdana" w:eastAsia="Verdana" w:hAnsi="Verdana" w:cs="Verdana"/>
                <w:i/>
                <w:noProof/>
                <w:color w:val="000000"/>
                <w:sz w:val="16"/>
                <w:lang w:bidi="en-GB"/>
              </w:rPr>
              <w:t>EUR million</w:t>
            </w:r>
          </w:p>
        </w:tc>
      </w:tr>
      <w:tr w:rsidR="00FD1E19" w14:paraId="3ABD0288" w14:textId="77777777" w:rsidTr="00BE7E4A">
        <w:trPr>
          <w:trHeight w:hRule="exact" w:val="255"/>
        </w:trPr>
        <w:tc>
          <w:tcPr>
            <w:tcW w:w="2925" w:type="dxa"/>
            <w:tcBorders>
              <w:top w:val="nil"/>
              <w:left w:val="nil"/>
              <w:bottom w:val="nil"/>
              <w:right w:val="nil"/>
              <w:tl2br w:val="nil"/>
              <w:tr2bl w:val="nil"/>
            </w:tcBorders>
            <w:shd w:val="solid" w:color="016794" w:fill="FFFFFF"/>
            <w:tcMar>
              <w:left w:w="60" w:type="dxa"/>
              <w:right w:w="60" w:type="dxa"/>
            </w:tcMar>
            <w:vAlign w:val="center"/>
          </w:tcPr>
          <w:p w14:paraId="1753FD66" w14:textId="77777777" w:rsidR="00FD1E19" w:rsidRDefault="00FD1E19" w:rsidP="00BE7E4A">
            <w:pPr>
              <w:pStyle w:val="DMETW37225BIPPROV"/>
              <w:jc w:val="center"/>
              <w:rPr>
                <w:rFonts w:ascii="Verdana" w:eastAsia="Verdana" w:hAnsi="Verdana" w:cs="Verdana"/>
                <w:noProof/>
                <w:color w:val="FFFFFF"/>
              </w:rPr>
            </w:pPr>
          </w:p>
        </w:tc>
        <w:tc>
          <w:tcPr>
            <w:tcW w:w="1346" w:type="dxa"/>
            <w:tcBorders>
              <w:top w:val="nil"/>
              <w:left w:val="nil"/>
              <w:bottom w:val="nil"/>
              <w:right w:val="nil"/>
              <w:tl2br w:val="nil"/>
              <w:tr2bl w:val="nil"/>
            </w:tcBorders>
            <w:shd w:val="solid" w:color="016794" w:fill="FFFFFF"/>
            <w:tcMar>
              <w:left w:w="60" w:type="dxa"/>
              <w:right w:w="60" w:type="dxa"/>
            </w:tcMar>
            <w:vAlign w:val="center"/>
          </w:tcPr>
          <w:p w14:paraId="0C2CE370" w14:textId="77777777" w:rsidR="00FD1E19" w:rsidRDefault="00FD1E19" w:rsidP="00BE7E4A">
            <w:pPr>
              <w:pStyle w:val="DMETW37225BIPPROV"/>
              <w:jc w:val="right"/>
              <w:rPr>
                <w:rFonts w:ascii="Verdana" w:eastAsia="Verdana" w:hAnsi="Verdana" w:cs="Verdana"/>
                <w:noProof/>
                <w:color w:val="FFFFFF"/>
              </w:rPr>
            </w:pPr>
            <w:r>
              <w:rPr>
                <w:rFonts w:ascii="Verdana" w:eastAsia="Verdana" w:hAnsi="Verdana" w:cs="Verdana"/>
                <w:noProof/>
                <w:color w:val="FFFFFF"/>
              </w:rPr>
              <w:t>Ninth EDF</w:t>
            </w:r>
          </w:p>
        </w:tc>
        <w:tc>
          <w:tcPr>
            <w:tcW w:w="1347" w:type="dxa"/>
            <w:tcBorders>
              <w:top w:val="nil"/>
              <w:left w:val="nil"/>
              <w:bottom w:val="nil"/>
              <w:right w:val="nil"/>
              <w:tl2br w:val="nil"/>
              <w:tr2bl w:val="nil"/>
            </w:tcBorders>
            <w:shd w:val="solid" w:color="016794" w:fill="FFFFFF"/>
            <w:tcMar>
              <w:left w:w="60" w:type="dxa"/>
              <w:right w:w="60" w:type="dxa"/>
            </w:tcMar>
            <w:vAlign w:val="center"/>
          </w:tcPr>
          <w:p w14:paraId="311DE7B3" w14:textId="77777777" w:rsidR="00FD1E19" w:rsidRDefault="00FD1E19" w:rsidP="00BE7E4A">
            <w:pPr>
              <w:pStyle w:val="DMETW37225BIPPROV"/>
              <w:jc w:val="right"/>
              <w:rPr>
                <w:rFonts w:ascii="Verdana" w:eastAsia="Verdana" w:hAnsi="Verdana" w:cs="Verdana"/>
                <w:noProof/>
                <w:color w:val="FFFFFF"/>
              </w:rPr>
            </w:pPr>
            <w:r>
              <w:rPr>
                <w:rFonts w:ascii="Verdana" w:eastAsia="Verdana" w:hAnsi="Verdana" w:cs="Verdana"/>
                <w:noProof/>
                <w:color w:val="FFFFFF"/>
              </w:rPr>
              <w:t>10th EDF</w:t>
            </w:r>
          </w:p>
        </w:tc>
        <w:tc>
          <w:tcPr>
            <w:tcW w:w="1347" w:type="dxa"/>
            <w:tcBorders>
              <w:top w:val="nil"/>
              <w:left w:val="nil"/>
              <w:bottom w:val="nil"/>
              <w:right w:val="nil"/>
              <w:tl2br w:val="nil"/>
              <w:tr2bl w:val="nil"/>
            </w:tcBorders>
            <w:shd w:val="solid" w:color="016794" w:fill="FFFFFF"/>
            <w:tcMar>
              <w:left w:w="60" w:type="dxa"/>
              <w:right w:w="60" w:type="dxa"/>
            </w:tcMar>
            <w:vAlign w:val="center"/>
          </w:tcPr>
          <w:p w14:paraId="634E97B7" w14:textId="77777777" w:rsidR="00FD1E19" w:rsidRDefault="00FD1E19" w:rsidP="00BE7E4A">
            <w:pPr>
              <w:pStyle w:val="DMETW37225BIPPROV"/>
              <w:jc w:val="right"/>
              <w:rPr>
                <w:rFonts w:ascii="Verdana" w:eastAsia="Verdana" w:hAnsi="Verdana" w:cs="Verdana"/>
                <w:noProof/>
                <w:color w:val="FFFFFF"/>
              </w:rPr>
            </w:pPr>
            <w:r>
              <w:rPr>
                <w:rFonts w:ascii="Verdana" w:eastAsia="Verdana" w:hAnsi="Verdana" w:cs="Verdana"/>
                <w:noProof/>
                <w:color w:val="FFFFFF"/>
              </w:rPr>
              <w:t>11th EDF</w:t>
            </w:r>
          </w:p>
        </w:tc>
        <w:tc>
          <w:tcPr>
            <w:tcW w:w="1347" w:type="dxa"/>
            <w:tcBorders>
              <w:top w:val="nil"/>
              <w:left w:val="nil"/>
              <w:bottom w:val="nil"/>
              <w:right w:val="nil"/>
              <w:tl2br w:val="nil"/>
              <w:tr2bl w:val="nil"/>
            </w:tcBorders>
            <w:shd w:val="solid" w:color="016794" w:fill="FFFFFF"/>
            <w:tcMar>
              <w:left w:w="60" w:type="dxa"/>
              <w:right w:w="60" w:type="dxa"/>
            </w:tcMar>
            <w:vAlign w:val="center"/>
          </w:tcPr>
          <w:p w14:paraId="591F3194" w14:textId="77777777" w:rsidR="00FD1E19" w:rsidRDefault="00FD1E19" w:rsidP="00BE7E4A">
            <w:pPr>
              <w:pStyle w:val="DMETW37225BIPPROV"/>
              <w:jc w:val="right"/>
              <w:rPr>
                <w:rFonts w:ascii="Verdana" w:eastAsia="Verdana" w:hAnsi="Verdana" w:cs="Verdana"/>
                <w:noProof/>
                <w:color w:val="FFFFFF"/>
              </w:rPr>
            </w:pPr>
            <w:r>
              <w:rPr>
                <w:rFonts w:ascii="Verdana" w:eastAsia="Verdana" w:hAnsi="Verdana" w:cs="Verdana"/>
                <w:noProof/>
                <w:color w:val="FFFFFF"/>
              </w:rPr>
              <w:t>31.12.2025</w:t>
            </w:r>
          </w:p>
        </w:tc>
        <w:tc>
          <w:tcPr>
            <w:tcW w:w="1446" w:type="dxa"/>
            <w:tcBorders>
              <w:top w:val="nil"/>
              <w:left w:val="nil"/>
              <w:bottom w:val="nil"/>
              <w:right w:val="nil"/>
              <w:tl2br w:val="nil"/>
              <w:tr2bl w:val="nil"/>
            </w:tcBorders>
            <w:shd w:val="solid" w:color="016794" w:fill="FFFFFF"/>
            <w:tcMar>
              <w:left w:w="60" w:type="dxa"/>
              <w:right w:w="60" w:type="dxa"/>
            </w:tcMar>
            <w:vAlign w:val="center"/>
          </w:tcPr>
          <w:p w14:paraId="1CBDDC66" w14:textId="77777777" w:rsidR="00FD1E19" w:rsidRDefault="00FD1E19" w:rsidP="00BE7E4A">
            <w:pPr>
              <w:pStyle w:val="DMETW37225BIPPROV"/>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3A83FDDE" w14:textId="77777777" w:rsidTr="00BE7E4A">
        <w:trPr>
          <w:trHeight w:hRule="exact" w:val="255"/>
        </w:trPr>
        <w:tc>
          <w:tcPr>
            <w:tcW w:w="2925" w:type="dxa"/>
            <w:tcBorders>
              <w:top w:val="nil"/>
              <w:left w:val="nil"/>
              <w:bottom w:val="nil"/>
              <w:right w:val="nil"/>
              <w:tl2br w:val="nil"/>
              <w:tr2bl w:val="nil"/>
            </w:tcBorders>
            <w:shd w:val="clear" w:color="auto" w:fill="auto"/>
            <w:tcMar>
              <w:left w:w="60" w:type="dxa"/>
              <w:right w:w="60" w:type="dxa"/>
            </w:tcMar>
            <w:vAlign w:val="center"/>
          </w:tcPr>
          <w:p w14:paraId="0016EE35" w14:textId="77777777" w:rsidR="00FD1E19" w:rsidRDefault="00FD1E19" w:rsidP="00BE7E4A">
            <w:pPr>
              <w:pStyle w:val="DMETW37225BIPPROV"/>
              <w:rPr>
                <w:rFonts w:ascii="Verdana" w:eastAsia="Verdana" w:hAnsi="Verdana" w:cs="Verdana"/>
                <w:i/>
                <w:noProof/>
                <w:color w:val="000000"/>
                <w:sz w:val="18"/>
              </w:rPr>
            </w:pPr>
            <w:r>
              <w:rPr>
                <w:rFonts w:ascii="Verdana" w:eastAsia="Verdana" w:hAnsi="Verdana" w:cs="Verdana"/>
                <w:i/>
                <w:noProof/>
                <w:color w:val="000000"/>
                <w:sz w:val="18"/>
              </w:rPr>
              <w:t>Financial guarantee liability</w:t>
            </w:r>
          </w:p>
        </w:tc>
        <w:tc>
          <w:tcPr>
            <w:tcW w:w="1346" w:type="dxa"/>
            <w:tcBorders>
              <w:top w:val="nil"/>
              <w:left w:val="nil"/>
              <w:bottom w:val="nil"/>
              <w:right w:val="nil"/>
              <w:tl2br w:val="nil"/>
              <w:tr2bl w:val="nil"/>
            </w:tcBorders>
            <w:shd w:val="clear" w:color="auto" w:fill="auto"/>
            <w:tcMar>
              <w:left w:w="60" w:type="dxa"/>
              <w:right w:w="60" w:type="dxa"/>
            </w:tcMar>
            <w:vAlign w:val="center"/>
          </w:tcPr>
          <w:p w14:paraId="0ABD0FB8" w14:textId="77777777" w:rsidR="00FD1E19" w:rsidRDefault="00FD1E19" w:rsidP="00BE7E4A">
            <w:pPr>
              <w:pStyle w:val="DMETW37225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7" w:type="dxa"/>
            <w:tcBorders>
              <w:top w:val="nil"/>
              <w:left w:val="nil"/>
              <w:bottom w:val="nil"/>
              <w:right w:val="nil"/>
              <w:tl2br w:val="nil"/>
              <w:tr2bl w:val="nil"/>
            </w:tcBorders>
            <w:shd w:val="clear" w:color="auto" w:fill="auto"/>
            <w:tcMar>
              <w:left w:w="60" w:type="dxa"/>
              <w:right w:w="60" w:type="dxa"/>
            </w:tcMar>
            <w:vAlign w:val="center"/>
          </w:tcPr>
          <w:p w14:paraId="1210BC9F" w14:textId="77777777" w:rsidR="00FD1E19" w:rsidRDefault="00FD1E19" w:rsidP="00BE7E4A">
            <w:pPr>
              <w:pStyle w:val="DMETW37225BIPPRO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47" w:type="dxa"/>
            <w:tcBorders>
              <w:top w:val="nil"/>
              <w:left w:val="nil"/>
              <w:bottom w:val="nil"/>
              <w:right w:val="nil"/>
              <w:tl2br w:val="nil"/>
              <w:tr2bl w:val="nil"/>
            </w:tcBorders>
            <w:shd w:val="clear" w:color="auto" w:fill="auto"/>
            <w:tcMar>
              <w:left w:w="60" w:type="dxa"/>
              <w:right w:w="60" w:type="dxa"/>
            </w:tcMar>
            <w:vAlign w:val="center"/>
          </w:tcPr>
          <w:p w14:paraId="2720D86E" w14:textId="77777777" w:rsidR="00FD1E19" w:rsidRDefault="00FD1E19" w:rsidP="00BE7E4A">
            <w:pPr>
              <w:pStyle w:val="DMETW37225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347" w:type="dxa"/>
            <w:tcBorders>
              <w:top w:val="nil"/>
              <w:left w:val="nil"/>
              <w:bottom w:val="nil"/>
              <w:right w:val="nil"/>
              <w:tl2br w:val="nil"/>
              <w:tr2bl w:val="nil"/>
            </w:tcBorders>
            <w:shd w:val="clear" w:color="auto" w:fill="auto"/>
            <w:tcMar>
              <w:left w:w="60" w:type="dxa"/>
              <w:right w:w="60" w:type="dxa"/>
            </w:tcMar>
            <w:vAlign w:val="center"/>
          </w:tcPr>
          <w:p w14:paraId="321BABE1" w14:textId="77777777" w:rsidR="00FD1E19" w:rsidRDefault="00FD1E19" w:rsidP="00BE7E4A">
            <w:pPr>
              <w:pStyle w:val="DMETW37225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446" w:type="dxa"/>
            <w:tcBorders>
              <w:top w:val="nil"/>
              <w:left w:val="nil"/>
              <w:bottom w:val="nil"/>
              <w:right w:val="nil"/>
              <w:tl2br w:val="nil"/>
              <w:tr2bl w:val="nil"/>
            </w:tcBorders>
            <w:shd w:val="clear" w:color="auto" w:fill="auto"/>
            <w:tcMar>
              <w:left w:w="60" w:type="dxa"/>
              <w:right w:w="60" w:type="dxa"/>
            </w:tcMar>
            <w:vAlign w:val="center"/>
          </w:tcPr>
          <w:p w14:paraId="6A9D95AD" w14:textId="77777777" w:rsidR="00FD1E19" w:rsidRDefault="00FD1E19" w:rsidP="00BE7E4A">
            <w:pPr>
              <w:pStyle w:val="DMETW37225BIPPRO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r>
    </w:tbl>
    <w:p w14:paraId="74AEF653" w14:textId="77777777" w:rsidR="00FD1E19" w:rsidRDefault="00FD1E19" w:rsidP="00FD1E19">
      <w:pPr>
        <w:pStyle w:val="HEADER1Part2"/>
        <w:numPr>
          <w:ilvl w:val="0"/>
          <w:numId w:val="0"/>
        </w:numPr>
        <w:rPr>
          <w:b w:val="0"/>
          <w:noProof/>
          <w:color w:val="auto"/>
          <w:sz w:val="18"/>
          <w:szCs w:val="18"/>
          <w:lang w:eastAsia="en-US"/>
        </w:rPr>
      </w:pPr>
    </w:p>
    <w:p w14:paraId="772CD5B2" w14:textId="77777777" w:rsidR="00FD1E19" w:rsidRDefault="00FD1E19" w:rsidP="00FD1E19">
      <w:pPr>
        <w:pStyle w:val="HEADER1Part2"/>
        <w:numPr>
          <w:ilvl w:val="0"/>
          <w:numId w:val="0"/>
        </w:numPr>
        <w:rPr>
          <w:b w:val="0"/>
          <w:noProof/>
          <w:color w:val="auto"/>
          <w:sz w:val="18"/>
          <w:szCs w:val="18"/>
          <w:lang w:eastAsia="en-US"/>
        </w:rPr>
      </w:pPr>
      <w:r w:rsidRPr="00FC5715">
        <w:rPr>
          <w:b w:val="0"/>
          <w:noProof/>
          <w:color w:val="auto"/>
          <w:sz w:val="18"/>
          <w:szCs w:val="18"/>
          <w:lang w:eastAsia="en-US"/>
        </w:rPr>
        <w:t>The amount of EUR 1 million represents the estimated loss in relation to the guarantee given under the Euritz financial instrument (see Note 4.2.1).</w:t>
      </w:r>
    </w:p>
    <w:p w14:paraId="0E0EFE23" w14:textId="77777777" w:rsidR="00FD1E19" w:rsidRDefault="00FD1E19" w:rsidP="00FD1E19">
      <w:pPr>
        <w:pStyle w:val="HEADER3Part2"/>
        <w:tabs>
          <w:tab w:val="left" w:pos="3544"/>
        </w:tabs>
        <w:jc w:val="both"/>
        <w:rPr>
          <w:noProof/>
        </w:rPr>
      </w:pPr>
      <w:bookmarkStart w:id="87" w:name="DOC_TBL00036_1_1"/>
      <w:bookmarkEnd w:id="87"/>
      <w:r>
        <w:rPr>
          <w:noProof/>
        </w:rPr>
        <w:t>Provisions</w:t>
      </w:r>
    </w:p>
    <w:p w14:paraId="70382A8D" w14:textId="77777777" w:rsidR="00FD1E19" w:rsidRDefault="00FD1E19" w:rsidP="00FD1E19">
      <w:pPr>
        <w:pStyle w:val="Textstand-alone"/>
      </w:pPr>
      <w:r w:rsidRPr="00FC5715">
        <w:t>These provisions represent the estimated credit losses that will be incurred in relation to the loans given under different financial instruments.</w:t>
      </w:r>
      <w:r>
        <w:t xml:space="preserve"> </w:t>
      </w:r>
      <w:r w:rsidRPr="004A3788">
        <w:t>These provisions</w:t>
      </w:r>
      <w:r>
        <w:t xml:space="preserve"> </w:t>
      </w:r>
      <w:r w:rsidRPr="004A3788">
        <w:t>represent the estimated losses that will be incurred in relation to the guarantees given under different financial instruments, where entrusted entities are empowered to issue guarantees in their own name but on behalf of, and at the risk of, the EDF. The financial risk of the EDF linked to the guarantees is capped and financial assets are gradually provisioned to cover for the future guarantee calls</w:t>
      </w:r>
      <w:r>
        <w:t>.</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96"/>
        <w:gridCol w:w="1313"/>
        <w:gridCol w:w="1313"/>
        <w:gridCol w:w="1313"/>
        <w:gridCol w:w="1313"/>
        <w:gridCol w:w="1410"/>
      </w:tblGrid>
      <w:tr w:rsidR="00FD1E19" w14:paraId="6EF4903E" w14:textId="77777777" w:rsidTr="00BE7E4A">
        <w:trPr>
          <w:trHeight w:hRule="exact" w:val="255"/>
        </w:trPr>
        <w:tc>
          <w:tcPr>
            <w:tcW w:w="9758" w:type="dxa"/>
            <w:gridSpan w:val="6"/>
            <w:tcBorders>
              <w:top w:val="nil"/>
              <w:left w:val="nil"/>
              <w:bottom w:val="nil"/>
              <w:right w:val="nil"/>
              <w:tl2br w:val="nil"/>
              <w:tr2bl w:val="nil"/>
            </w:tcBorders>
            <w:shd w:val="clear" w:color="auto" w:fill="auto"/>
            <w:tcMar>
              <w:left w:w="60" w:type="dxa"/>
              <w:right w:w="60" w:type="dxa"/>
            </w:tcMar>
            <w:vAlign w:val="center"/>
          </w:tcPr>
          <w:p w14:paraId="35C55903" w14:textId="77777777" w:rsidR="00FD1E19" w:rsidRDefault="00FD1E19" w:rsidP="00BE7E4A">
            <w:pPr>
              <w:pStyle w:val="DMETW37225BIPfinliability"/>
              <w:keepNext/>
              <w:keepLines/>
              <w:jc w:val="right"/>
              <w:rPr>
                <w:rFonts w:ascii="Verdana" w:eastAsia="Verdana" w:hAnsi="Verdana" w:cs="Verdana"/>
                <w:i/>
                <w:noProof/>
                <w:color w:val="000000"/>
                <w:sz w:val="16"/>
                <w:lang w:bidi="en-GB"/>
              </w:rPr>
            </w:pPr>
            <w:r>
              <w:rPr>
                <w:rFonts w:ascii="Verdana" w:eastAsia="Verdana" w:hAnsi="Verdana" w:cs="Verdana"/>
                <w:i/>
                <w:noProof/>
                <w:color w:val="000000"/>
                <w:sz w:val="16"/>
                <w:lang w:bidi="en-GB"/>
              </w:rPr>
              <w:t>EUR million</w:t>
            </w:r>
          </w:p>
        </w:tc>
      </w:tr>
      <w:tr w:rsidR="00FD1E19" w14:paraId="655303E4" w14:textId="77777777" w:rsidTr="00BE7E4A">
        <w:trPr>
          <w:trHeight w:hRule="exact" w:val="303"/>
        </w:trPr>
        <w:tc>
          <w:tcPr>
            <w:tcW w:w="3096" w:type="dxa"/>
            <w:tcBorders>
              <w:top w:val="nil"/>
              <w:left w:val="nil"/>
              <w:bottom w:val="nil"/>
              <w:right w:val="nil"/>
              <w:tl2br w:val="nil"/>
              <w:tr2bl w:val="nil"/>
            </w:tcBorders>
            <w:shd w:val="solid" w:color="016794" w:fill="FFFFFF"/>
            <w:tcMar>
              <w:left w:w="60" w:type="dxa"/>
              <w:right w:w="60" w:type="dxa"/>
            </w:tcMar>
            <w:vAlign w:val="center"/>
          </w:tcPr>
          <w:p w14:paraId="374E97A8" w14:textId="77777777" w:rsidR="00FD1E19" w:rsidRDefault="00FD1E19" w:rsidP="00BE7E4A">
            <w:pPr>
              <w:pStyle w:val="DMETW37225BIPfinliability"/>
              <w:keepNext/>
              <w:keepLines/>
              <w:jc w:val="center"/>
              <w:rPr>
                <w:rFonts w:ascii="Verdana" w:eastAsia="Verdana" w:hAnsi="Verdana" w:cs="Verdana"/>
                <w:noProof/>
                <w:color w:val="FFFFFF"/>
              </w:rPr>
            </w:pPr>
          </w:p>
        </w:tc>
        <w:tc>
          <w:tcPr>
            <w:tcW w:w="1313" w:type="dxa"/>
            <w:tcBorders>
              <w:top w:val="nil"/>
              <w:left w:val="nil"/>
              <w:bottom w:val="nil"/>
              <w:right w:val="nil"/>
              <w:tl2br w:val="nil"/>
              <w:tr2bl w:val="nil"/>
            </w:tcBorders>
            <w:shd w:val="solid" w:color="016794" w:fill="FFFFFF"/>
            <w:tcMar>
              <w:left w:w="60" w:type="dxa"/>
              <w:right w:w="60" w:type="dxa"/>
            </w:tcMar>
            <w:vAlign w:val="center"/>
          </w:tcPr>
          <w:p w14:paraId="5D1CC8B1" w14:textId="77777777" w:rsidR="00FD1E19" w:rsidRDefault="00FD1E19" w:rsidP="00BE7E4A">
            <w:pPr>
              <w:pStyle w:val="DMETW37225BIPfinliability"/>
              <w:keepNext/>
              <w:keepLines/>
              <w:jc w:val="right"/>
              <w:rPr>
                <w:rFonts w:ascii="Verdana" w:eastAsia="Verdana" w:hAnsi="Verdana" w:cs="Verdana"/>
                <w:noProof/>
                <w:color w:val="FFFFFF"/>
              </w:rPr>
            </w:pPr>
            <w:r>
              <w:rPr>
                <w:rFonts w:ascii="Verdana" w:eastAsia="Verdana" w:hAnsi="Verdana" w:cs="Verdana"/>
                <w:noProof/>
                <w:color w:val="FFFFFF"/>
              </w:rPr>
              <w:t>Ninth EDF</w:t>
            </w:r>
          </w:p>
        </w:tc>
        <w:tc>
          <w:tcPr>
            <w:tcW w:w="1313" w:type="dxa"/>
            <w:tcBorders>
              <w:top w:val="nil"/>
              <w:left w:val="nil"/>
              <w:bottom w:val="nil"/>
              <w:right w:val="nil"/>
              <w:tl2br w:val="nil"/>
              <w:tr2bl w:val="nil"/>
            </w:tcBorders>
            <w:shd w:val="solid" w:color="016794" w:fill="FFFFFF"/>
            <w:tcMar>
              <w:left w:w="60" w:type="dxa"/>
              <w:right w:w="60" w:type="dxa"/>
            </w:tcMar>
            <w:vAlign w:val="center"/>
          </w:tcPr>
          <w:p w14:paraId="344C2523" w14:textId="77777777" w:rsidR="00FD1E19" w:rsidRDefault="00FD1E19" w:rsidP="00BE7E4A">
            <w:pPr>
              <w:pStyle w:val="DMETW37225BIPfinliability"/>
              <w:keepNext/>
              <w:keepLines/>
              <w:jc w:val="right"/>
              <w:rPr>
                <w:rFonts w:ascii="Verdana" w:eastAsia="Verdana" w:hAnsi="Verdana" w:cs="Verdana"/>
                <w:noProof/>
                <w:color w:val="FFFFFF"/>
              </w:rPr>
            </w:pPr>
            <w:r>
              <w:rPr>
                <w:rFonts w:ascii="Verdana" w:eastAsia="Verdana" w:hAnsi="Verdana" w:cs="Verdana"/>
                <w:noProof/>
                <w:color w:val="FFFFFF"/>
              </w:rPr>
              <w:t>10th EDF</w:t>
            </w:r>
          </w:p>
        </w:tc>
        <w:tc>
          <w:tcPr>
            <w:tcW w:w="1313" w:type="dxa"/>
            <w:tcBorders>
              <w:top w:val="nil"/>
              <w:left w:val="nil"/>
              <w:bottom w:val="nil"/>
              <w:right w:val="nil"/>
              <w:tl2br w:val="nil"/>
              <w:tr2bl w:val="nil"/>
            </w:tcBorders>
            <w:shd w:val="solid" w:color="016794" w:fill="FFFFFF"/>
            <w:tcMar>
              <w:left w:w="60" w:type="dxa"/>
              <w:right w:w="60" w:type="dxa"/>
            </w:tcMar>
            <w:vAlign w:val="center"/>
          </w:tcPr>
          <w:p w14:paraId="68398CB3" w14:textId="77777777" w:rsidR="00FD1E19" w:rsidRDefault="00FD1E19" w:rsidP="00BE7E4A">
            <w:pPr>
              <w:pStyle w:val="DMETW37225BIPfinliability"/>
              <w:keepNext/>
              <w:keepLines/>
              <w:jc w:val="right"/>
              <w:rPr>
                <w:rFonts w:ascii="Verdana" w:eastAsia="Verdana" w:hAnsi="Verdana" w:cs="Verdana"/>
                <w:noProof/>
                <w:color w:val="FFFFFF"/>
              </w:rPr>
            </w:pPr>
            <w:r>
              <w:rPr>
                <w:rFonts w:ascii="Verdana" w:eastAsia="Verdana" w:hAnsi="Verdana" w:cs="Verdana"/>
                <w:noProof/>
                <w:color w:val="FFFFFF"/>
              </w:rPr>
              <w:t>11th EDF</w:t>
            </w:r>
          </w:p>
        </w:tc>
        <w:tc>
          <w:tcPr>
            <w:tcW w:w="1313" w:type="dxa"/>
            <w:tcBorders>
              <w:top w:val="nil"/>
              <w:left w:val="nil"/>
              <w:bottom w:val="nil"/>
              <w:right w:val="nil"/>
              <w:tl2br w:val="nil"/>
              <w:tr2bl w:val="nil"/>
            </w:tcBorders>
            <w:shd w:val="solid" w:color="016794" w:fill="FFFFFF"/>
            <w:tcMar>
              <w:left w:w="60" w:type="dxa"/>
              <w:right w:w="60" w:type="dxa"/>
            </w:tcMar>
            <w:vAlign w:val="center"/>
          </w:tcPr>
          <w:p w14:paraId="02D798D5" w14:textId="77777777" w:rsidR="00FD1E19" w:rsidRDefault="00FD1E19" w:rsidP="00BE7E4A">
            <w:pPr>
              <w:pStyle w:val="DMETW37225BIPfinliability"/>
              <w:keepNext/>
              <w:keepLines/>
              <w:jc w:val="right"/>
              <w:rPr>
                <w:rFonts w:ascii="Verdana" w:eastAsia="Verdana" w:hAnsi="Verdana" w:cs="Verdana"/>
                <w:noProof/>
                <w:color w:val="FFFFFF"/>
              </w:rPr>
            </w:pPr>
            <w:r>
              <w:rPr>
                <w:rFonts w:ascii="Verdana" w:eastAsia="Verdana" w:hAnsi="Verdana" w:cs="Verdana"/>
                <w:noProof/>
                <w:color w:val="FFFFFF"/>
              </w:rPr>
              <w:t>31.12.2025</w:t>
            </w:r>
          </w:p>
        </w:tc>
        <w:tc>
          <w:tcPr>
            <w:tcW w:w="1410" w:type="dxa"/>
            <w:tcBorders>
              <w:top w:val="nil"/>
              <w:left w:val="nil"/>
              <w:bottom w:val="nil"/>
              <w:right w:val="nil"/>
              <w:tl2br w:val="nil"/>
              <w:tr2bl w:val="nil"/>
            </w:tcBorders>
            <w:shd w:val="solid" w:color="016794" w:fill="FFFFFF"/>
            <w:tcMar>
              <w:left w:w="60" w:type="dxa"/>
              <w:right w:w="60" w:type="dxa"/>
            </w:tcMar>
            <w:vAlign w:val="center"/>
          </w:tcPr>
          <w:p w14:paraId="240EC2C7" w14:textId="77777777" w:rsidR="00FD1E19" w:rsidRDefault="00FD1E19" w:rsidP="00BE7E4A">
            <w:pPr>
              <w:pStyle w:val="DMETW37225BIPfinliability"/>
              <w:keepNext/>
              <w:keepLine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706D89D4" w14:textId="77777777" w:rsidTr="00BE7E4A">
        <w:trPr>
          <w:trHeight w:hRule="exact" w:val="225"/>
        </w:trPr>
        <w:tc>
          <w:tcPr>
            <w:tcW w:w="3096" w:type="dxa"/>
            <w:tcBorders>
              <w:top w:val="nil"/>
              <w:left w:val="nil"/>
              <w:bottom w:val="nil"/>
              <w:right w:val="nil"/>
              <w:tl2br w:val="nil"/>
              <w:tr2bl w:val="nil"/>
            </w:tcBorders>
            <w:shd w:val="clear" w:color="auto" w:fill="auto"/>
            <w:tcMar>
              <w:left w:w="60" w:type="dxa"/>
              <w:right w:w="60" w:type="dxa"/>
            </w:tcMar>
            <w:vAlign w:val="center"/>
          </w:tcPr>
          <w:p w14:paraId="3CC92A21" w14:textId="77777777" w:rsidR="00FD1E19" w:rsidRDefault="00FD1E19" w:rsidP="00BE7E4A">
            <w:pPr>
              <w:pStyle w:val="DMETW37225BIPfinliability"/>
              <w:keepNext/>
              <w:keepLines/>
              <w:rPr>
                <w:rFonts w:ascii="Verdana" w:eastAsia="Verdana" w:hAnsi="Verdana" w:cs="Verdana"/>
                <w:i/>
                <w:noProof/>
                <w:color w:val="000000"/>
                <w:sz w:val="18"/>
              </w:rPr>
            </w:pPr>
            <w:r>
              <w:rPr>
                <w:rFonts w:ascii="Verdana" w:eastAsia="Verdana" w:hAnsi="Verdana" w:cs="Verdana"/>
                <w:i/>
                <w:noProof/>
                <w:color w:val="000000"/>
                <w:sz w:val="18"/>
              </w:rPr>
              <w:t xml:space="preserve">Current financial provisions </w:t>
            </w:r>
          </w:p>
        </w:tc>
        <w:tc>
          <w:tcPr>
            <w:tcW w:w="1313" w:type="dxa"/>
            <w:tcBorders>
              <w:top w:val="nil"/>
              <w:left w:val="nil"/>
              <w:bottom w:val="nil"/>
              <w:right w:val="nil"/>
              <w:tl2br w:val="nil"/>
              <w:tr2bl w:val="nil"/>
            </w:tcBorders>
            <w:shd w:val="clear" w:color="auto" w:fill="auto"/>
            <w:tcMar>
              <w:left w:w="60" w:type="dxa"/>
              <w:right w:w="60" w:type="dxa"/>
            </w:tcMar>
            <w:vAlign w:val="center"/>
          </w:tcPr>
          <w:p w14:paraId="0C6207D6" w14:textId="77777777" w:rsidR="00FD1E19" w:rsidRDefault="00FD1E19" w:rsidP="00BE7E4A">
            <w:pPr>
              <w:pStyle w:val="DMETW37225BIPfinliabilit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13" w:type="dxa"/>
            <w:tcBorders>
              <w:top w:val="nil"/>
              <w:left w:val="nil"/>
              <w:bottom w:val="nil"/>
              <w:right w:val="nil"/>
              <w:tl2br w:val="nil"/>
              <w:tr2bl w:val="nil"/>
            </w:tcBorders>
            <w:shd w:val="clear" w:color="auto" w:fill="auto"/>
            <w:tcMar>
              <w:left w:w="60" w:type="dxa"/>
              <w:right w:w="60" w:type="dxa"/>
            </w:tcMar>
            <w:vAlign w:val="center"/>
          </w:tcPr>
          <w:p w14:paraId="27D35A09" w14:textId="77777777" w:rsidR="00FD1E19" w:rsidRDefault="00FD1E19" w:rsidP="00BE7E4A">
            <w:pPr>
              <w:pStyle w:val="DMETW37225BIPfinliabilit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13" w:type="dxa"/>
            <w:tcBorders>
              <w:top w:val="nil"/>
              <w:left w:val="nil"/>
              <w:bottom w:val="nil"/>
              <w:right w:val="nil"/>
              <w:tl2br w:val="nil"/>
              <w:tr2bl w:val="nil"/>
            </w:tcBorders>
            <w:shd w:val="clear" w:color="auto" w:fill="auto"/>
            <w:tcMar>
              <w:left w:w="60" w:type="dxa"/>
              <w:right w:w="60" w:type="dxa"/>
            </w:tcMar>
            <w:vAlign w:val="center"/>
          </w:tcPr>
          <w:p w14:paraId="7231D512" w14:textId="77777777" w:rsidR="00FD1E19" w:rsidRDefault="00FD1E19" w:rsidP="00BE7E4A">
            <w:pPr>
              <w:pStyle w:val="DMETW37225BIPfinliabilit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13" w:type="dxa"/>
            <w:tcBorders>
              <w:top w:val="nil"/>
              <w:left w:val="nil"/>
              <w:bottom w:val="nil"/>
              <w:right w:val="nil"/>
              <w:tl2br w:val="nil"/>
              <w:tr2bl w:val="nil"/>
            </w:tcBorders>
            <w:shd w:val="clear" w:color="auto" w:fill="auto"/>
            <w:tcMar>
              <w:left w:w="60" w:type="dxa"/>
              <w:right w:w="60" w:type="dxa"/>
            </w:tcMar>
            <w:vAlign w:val="center"/>
          </w:tcPr>
          <w:p w14:paraId="7CC81084" w14:textId="77777777" w:rsidR="00FD1E19" w:rsidRDefault="00FD1E19" w:rsidP="00BE7E4A">
            <w:pPr>
              <w:pStyle w:val="DMETW37225BIPfinliabilit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10" w:type="dxa"/>
            <w:tcBorders>
              <w:top w:val="nil"/>
              <w:left w:val="nil"/>
              <w:bottom w:val="nil"/>
              <w:right w:val="nil"/>
              <w:tl2br w:val="nil"/>
              <w:tr2bl w:val="nil"/>
            </w:tcBorders>
            <w:shd w:val="clear" w:color="auto" w:fill="auto"/>
            <w:tcMar>
              <w:left w:w="60" w:type="dxa"/>
              <w:right w:w="60" w:type="dxa"/>
            </w:tcMar>
            <w:vAlign w:val="center"/>
          </w:tcPr>
          <w:p w14:paraId="222E9742" w14:textId="77777777" w:rsidR="00FD1E19" w:rsidRDefault="00FD1E19" w:rsidP="00BE7E4A">
            <w:pPr>
              <w:pStyle w:val="DMETW37225BIPfinliability"/>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bl>
    <w:p w14:paraId="354D7577" w14:textId="77777777" w:rsidR="00FD1E19" w:rsidRDefault="00FD1E19" w:rsidP="00FD1E19">
      <w:pPr>
        <w:pStyle w:val="HEADER2Part2"/>
        <w:ind w:left="3402" w:hanging="3402"/>
        <w:jc w:val="both"/>
        <w:rPr>
          <w:noProof/>
        </w:rPr>
      </w:pPr>
      <w:bookmarkStart w:id="88" w:name="DOC_TBL00027_1_1"/>
      <w:bookmarkEnd w:id="88"/>
      <w:r w:rsidRPr="00F64D38">
        <w:rPr>
          <w:noProof/>
        </w:rPr>
        <w:t>PAYABLES</w:t>
      </w:r>
    </w:p>
    <w:p w14:paraId="77A01BFC" w14:textId="77777777" w:rsidR="00FD1E19" w:rsidRPr="00F64D38" w:rsidRDefault="00FD1E19" w:rsidP="00FD1E19">
      <w:pPr>
        <w:pStyle w:val="Textstand-alone"/>
      </w:pPr>
      <w:bookmarkStart w:id="89" w:name="BIP_SEL009"/>
      <w:r>
        <w:t>Payables are liabilities to pay for goods or services that have been received or supplied and - unlike accrued charges - have already been invoiced or formally agreed with the supplier. Payables can relate to both exchange transactions (such as the purchase of goods and services) and non-exchange transactions (e.g. cost claims from beneficiaries of grants, pre-financing or other EU funding).</w:t>
      </w:r>
      <w:bookmarkEnd w:id="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9"/>
        <w:gridCol w:w="1996"/>
        <w:gridCol w:w="1001"/>
        <w:gridCol w:w="740"/>
        <w:gridCol w:w="850"/>
        <w:gridCol w:w="1418"/>
        <w:gridCol w:w="1334"/>
      </w:tblGrid>
      <w:tr w:rsidR="00FD1E19" w14:paraId="4BCEBA75" w14:textId="77777777" w:rsidTr="00BE7E4A">
        <w:trPr>
          <w:trHeight w:val="255"/>
        </w:trPr>
        <w:tc>
          <w:tcPr>
            <w:tcW w:w="2419" w:type="dxa"/>
            <w:gridSpan w:val="7"/>
            <w:tcBorders>
              <w:top w:val="nil"/>
              <w:left w:val="nil"/>
              <w:bottom w:val="nil"/>
              <w:right w:val="nil"/>
              <w:tl2br w:val="nil"/>
              <w:tr2bl w:val="nil"/>
            </w:tcBorders>
            <w:shd w:val="clear" w:color="auto" w:fill="auto"/>
            <w:tcMar>
              <w:left w:w="60" w:type="dxa"/>
              <w:right w:w="60" w:type="dxa"/>
            </w:tcMar>
            <w:vAlign w:val="center"/>
          </w:tcPr>
          <w:p w14:paraId="545E96DF" w14:textId="77777777" w:rsidR="00FD1E19" w:rsidRDefault="00FD1E19" w:rsidP="00BE7E4A">
            <w:pPr>
              <w:pStyle w:val="DMETW37225BIPPAY"/>
              <w:jc w:val="right"/>
              <w:rPr>
                <w:rFonts w:ascii="Verdana" w:eastAsia="Verdana" w:hAnsi="Verdana" w:cs="Verdana"/>
                <w:i/>
                <w:noProof/>
                <w:color w:val="000000"/>
                <w:sz w:val="16"/>
                <w:lang w:bidi="en-GB"/>
              </w:rPr>
            </w:pPr>
            <w:bookmarkStart w:id="90" w:name="DOC_TBL00024_1_1"/>
            <w:bookmarkEnd w:id="90"/>
            <w:r>
              <w:rPr>
                <w:rFonts w:ascii="Verdana" w:eastAsia="Verdana" w:hAnsi="Verdana" w:cs="Verdana"/>
                <w:i/>
                <w:noProof/>
                <w:color w:val="000000"/>
                <w:sz w:val="16"/>
                <w:lang w:bidi="en-GB"/>
              </w:rPr>
              <w:t>EUR million</w:t>
            </w:r>
          </w:p>
        </w:tc>
      </w:tr>
      <w:tr w:rsidR="00FD1E19" w14:paraId="0AA0C48F" w14:textId="77777777" w:rsidTr="00BE7E4A">
        <w:trPr>
          <w:trHeight w:val="255"/>
        </w:trPr>
        <w:tc>
          <w:tcPr>
            <w:tcW w:w="2419" w:type="dxa"/>
            <w:tcBorders>
              <w:top w:val="nil"/>
              <w:left w:val="nil"/>
              <w:bottom w:val="nil"/>
              <w:right w:val="nil"/>
              <w:tl2br w:val="nil"/>
              <w:tr2bl w:val="nil"/>
            </w:tcBorders>
            <w:shd w:val="solid" w:color="016794" w:fill="FFFFFF"/>
            <w:tcMar>
              <w:left w:w="60" w:type="dxa"/>
              <w:right w:w="60" w:type="dxa"/>
            </w:tcMar>
            <w:vAlign w:val="center"/>
          </w:tcPr>
          <w:p w14:paraId="54D4055A" w14:textId="77777777" w:rsidR="00FD1E19" w:rsidRDefault="00FD1E19" w:rsidP="00BE7E4A">
            <w:pPr>
              <w:pStyle w:val="DMETW37225BIPPAY"/>
              <w:jc w:val="center"/>
              <w:rPr>
                <w:rFonts w:ascii="Verdana" w:eastAsia="Verdana" w:hAnsi="Verdana" w:cs="Verdana"/>
                <w:noProof/>
                <w:color w:val="FFFFFF"/>
              </w:rPr>
            </w:pPr>
          </w:p>
        </w:tc>
        <w:tc>
          <w:tcPr>
            <w:tcW w:w="1996" w:type="dxa"/>
            <w:tcBorders>
              <w:top w:val="nil"/>
              <w:left w:val="nil"/>
              <w:bottom w:val="nil"/>
              <w:right w:val="nil"/>
              <w:tl2br w:val="nil"/>
              <w:tr2bl w:val="nil"/>
            </w:tcBorders>
            <w:shd w:val="solid" w:color="016794" w:fill="FFFFFF"/>
            <w:tcMar>
              <w:left w:w="60" w:type="dxa"/>
              <w:right w:w="60" w:type="dxa"/>
            </w:tcMar>
            <w:vAlign w:val="center"/>
          </w:tcPr>
          <w:p w14:paraId="64DE2848" w14:textId="77777777" w:rsidR="00FD1E19" w:rsidRDefault="00FD1E19" w:rsidP="00BE7E4A">
            <w:pPr>
              <w:pStyle w:val="DMETW37225BIPPAY"/>
              <w:jc w:val="center"/>
              <w:rPr>
                <w:rFonts w:ascii="Verdana" w:eastAsia="Verdana" w:hAnsi="Verdana" w:cs="Verdana"/>
                <w:noProof/>
                <w:color w:val="FFFFFF"/>
              </w:rPr>
            </w:pPr>
            <w:r>
              <w:rPr>
                <w:rFonts w:ascii="Verdana" w:eastAsia="Verdana" w:hAnsi="Verdana" w:cs="Verdana"/>
                <w:noProof/>
                <w:color w:val="FFFFFF"/>
              </w:rPr>
              <w:t>Note</w:t>
            </w:r>
          </w:p>
        </w:tc>
        <w:tc>
          <w:tcPr>
            <w:tcW w:w="1001" w:type="dxa"/>
            <w:tcBorders>
              <w:top w:val="nil"/>
              <w:left w:val="nil"/>
              <w:bottom w:val="nil"/>
              <w:right w:val="nil"/>
              <w:tl2br w:val="nil"/>
              <w:tr2bl w:val="nil"/>
            </w:tcBorders>
            <w:shd w:val="solid" w:color="016794" w:fill="FFFFFF"/>
            <w:tcMar>
              <w:left w:w="60" w:type="dxa"/>
              <w:right w:w="60" w:type="dxa"/>
            </w:tcMar>
            <w:vAlign w:val="center"/>
          </w:tcPr>
          <w:p w14:paraId="39BC4326" w14:textId="77777777" w:rsidR="00FD1E19" w:rsidRDefault="00FD1E19" w:rsidP="00BE7E4A">
            <w:pPr>
              <w:pStyle w:val="DMETW37225BIPPAY"/>
              <w:jc w:val="right"/>
              <w:rPr>
                <w:rFonts w:ascii="Verdana" w:eastAsia="Verdana" w:hAnsi="Verdana" w:cs="Verdana"/>
                <w:noProof/>
                <w:color w:val="FFFFFF"/>
              </w:rPr>
            </w:pPr>
            <w:r>
              <w:rPr>
                <w:rFonts w:ascii="Verdana" w:eastAsia="Verdana" w:hAnsi="Verdana" w:cs="Verdana"/>
                <w:noProof/>
                <w:color w:val="FFFFFF"/>
              </w:rPr>
              <w:t>Ninth EDF</w:t>
            </w:r>
          </w:p>
        </w:tc>
        <w:tc>
          <w:tcPr>
            <w:tcW w:w="740" w:type="dxa"/>
            <w:tcBorders>
              <w:top w:val="nil"/>
              <w:left w:val="nil"/>
              <w:bottom w:val="nil"/>
              <w:right w:val="nil"/>
              <w:tl2br w:val="nil"/>
              <w:tr2bl w:val="nil"/>
            </w:tcBorders>
            <w:shd w:val="solid" w:color="016794" w:fill="FFFFFF"/>
            <w:tcMar>
              <w:left w:w="60" w:type="dxa"/>
              <w:right w:w="60" w:type="dxa"/>
            </w:tcMar>
            <w:vAlign w:val="center"/>
          </w:tcPr>
          <w:p w14:paraId="0668DF5A" w14:textId="77777777" w:rsidR="00FD1E19" w:rsidRDefault="00FD1E19" w:rsidP="00BE7E4A">
            <w:pPr>
              <w:pStyle w:val="DMETW37225BIPPAY"/>
              <w:jc w:val="right"/>
              <w:rPr>
                <w:rFonts w:ascii="Verdana" w:eastAsia="Verdana" w:hAnsi="Verdana" w:cs="Verdana"/>
                <w:noProof/>
                <w:color w:val="FFFFFF"/>
              </w:rPr>
            </w:pPr>
            <w:r>
              <w:rPr>
                <w:rFonts w:ascii="Verdana" w:eastAsia="Verdana" w:hAnsi="Verdana" w:cs="Verdana"/>
                <w:noProof/>
                <w:color w:val="FFFFFF"/>
              </w:rPr>
              <w:t>10th EDF</w:t>
            </w:r>
          </w:p>
        </w:tc>
        <w:tc>
          <w:tcPr>
            <w:tcW w:w="850" w:type="dxa"/>
            <w:tcBorders>
              <w:top w:val="nil"/>
              <w:left w:val="nil"/>
              <w:bottom w:val="nil"/>
              <w:right w:val="nil"/>
              <w:tl2br w:val="nil"/>
              <w:tr2bl w:val="nil"/>
            </w:tcBorders>
            <w:shd w:val="solid" w:color="016794" w:fill="FFFFFF"/>
            <w:tcMar>
              <w:left w:w="60" w:type="dxa"/>
              <w:right w:w="60" w:type="dxa"/>
            </w:tcMar>
            <w:vAlign w:val="center"/>
          </w:tcPr>
          <w:p w14:paraId="004D2B4F" w14:textId="77777777" w:rsidR="00FD1E19" w:rsidRDefault="00FD1E19" w:rsidP="00BE7E4A">
            <w:pPr>
              <w:pStyle w:val="DMETW37225BIPPAY"/>
              <w:jc w:val="right"/>
              <w:rPr>
                <w:rFonts w:ascii="Verdana" w:eastAsia="Verdana" w:hAnsi="Verdana" w:cs="Verdana"/>
                <w:noProof/>
                <w:color w:val="FFFFFF"/>
              </w:rPr>
            </w:pPr>
            <w:r>
              <w:rPr>
                <w:rFonts w:ascii="Verdana" w:eastAsia="Verdana" w:hAnsi="Verdana" w:cs="Verdana"/>
                <w:noProof/>
                <w:color w:val="FFFFFF"/>
              </w:rPr>
              <w:t>11th EDF</w:t>
            </w:r>
          </w:p>
        </w:tc>
        <w:tc>
          <w:tcPr>
            <w:tcW w:w="1418" w:type="dxa"/>
            <w:tcBorders>
              <w:top w:val="nil"/>
              <w:left w:val="nil"/>
              <w:bottom w:val="nil"/>
              <w:right w:val="nil"/>
              <w:tl2br w:val="nil"/>
              <w:tr2bl w:val="nil"/>
            </w:tcBorders>
            <w:shd w:val="solid" w:color="016794" w:fill="FFFFFF"/>
            <w:tcMar>
              <w:left w:w="60" w:type="dxa"/>
              <w:right w:w="60" w:type="dxa"/>
            </w:tcMar>
            <w:vAlign w:val="center"/>
          </w:tcPr>
          <w:p w14:paraId="2B831E3D" w14:textId="77777777" w:rsidR="00FD1E19" w:rsidRDefault="00FD1E19" w:rsidP="00BE7E4A">
            <w:pPr>
              <w:pStyle w:val="DMETW37225BIPPAY"/>
              <w:jc w:val="right"/>
              <w:rPr>
                <w:rFonts w:ascii="Verdana" w:eastAsia="Verdana" w:hAnsi="Verdana" w:cs="Verdana"/>
                <w:noProof/>
                <w:color w:val="FFFFFF"/>
              </w:rPr>
            </w:pPr>
            <w:r>
              <w:rPr>
                <w:rFonts w:ascii="Verdana" w:eastAsia="Verdana" w:hAnsi="Verdana" w:cs="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14:paraId="602BC7E7" w14:textId="77777777" w:rsidR="00FD1E19" w:rsidRDefault="00FD1E19" w:rsidP="00BE7E4A">
            <w:pPr>
              <w:pStyle w:val="DMETW37225BIPPAY"/>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3DA07B95" w14:textId="77777777" w:rsidTr="00BE7E4A">
        <w:trPr>
          <w:trHeight w:val="255"/>
        </w:trPr>
        <w:tc>
          <w:tcPr>
            <w:tcW w:w="2419" w:type="dxa"/>
            <w:tcBorders>
              <w:top w:val="nil"/>
              <w:left w:val="nil"/>
              <w:bottom w:val="nil"/>
              <w:right w:val="nil"/>
              <w:tl2br w:val="nil"/>
              <w:tr2bl w:val="nil"/>
            </w:tcBorders>
            <w:shd w:val="clear" w:color="auto" w:fill="auto"/>
            <w:tcMar>
              <w:left w:w="60" w:type="dxa"/>
              <w:right w:w="60" w:type="dxa"/>
            </w:tcMar>
            <w:vAlign w:val="center"/>
          </w:tcPr>
          <w:p w14:paraId="54A15B0B" w14:textId="77777777" w:rsidR="00FD1E19" w:rsidRDefault="00FD1E19" w:rsidP="00BE7E4A">
            <w:pPr>
              <w:pStyle w:val="DMETW37225BIPPAY"/>
              <w:rPr>
                <w:rFonts w:ascii="Verdana" w:eastAsia="Verdana" w:hAnsi="Verdana" w:cs="Verdana"/>
                <w:i/>
                <w:noProof/>
                <w:color w:val="000000"/>
                <w:sz w:val="18"/>
              </w:rPr>
            </w:pPr>
            <w:r>
              <w:rPr>
                <w:rFonts w:ascii="Verdana" w:eastAsia="Verdana" w:hAnsi="Verdana" w:cs="Verdana"/>
                <w:i/>
                <w:noProof/>
                <w:color w:val="000000"/>
                <w:sz w:val="18"/>
              </w:rPr>
              <w:t>Current payables</w:t>
            </w:r>
          </w:p>
        </w:tc>
        <w:tc>
          <w:tcPr>
            <w:tcW w:w="1996" w:type="dxa"/>
            <w:tcBorders>
              <w:top w:val="nil"/>
              <w:left w:val="nil"/>
              <w:bottom w:val="nil"/>
              <w:right w:val="nil"/>
              <w:tl2br w:val="nil"/>
              <w:tr2bl w:val="nil"/>
            </w:tcBorders>
            <w:shd w:val="clear" w:color="auto" w:fill="auto"/>
            <w:tcMar>
              <w:left w:w="60" w:type="dxa"/>
              <w:right w:w="60" w:type="dxa"/>
            </w:tcMar>
            <w:vAlign w:val="center"/>
          </w:tcPr>
          <w:p w14:paraId="4D2E9E92" w14:textId="77777777" w:rsidR="00FD1E19" w:rsidRDefault="00FD1E19" w:rsidP="00BE7E4A">
            <w:pPr>
              <w:pStyle w:val="DMETW37225BIPPAY"/>
              <w:jc w:val="center"/>
              <w:rPr>
                <w:rFonts w:ascii="Verdana" w:eastAsia="Verdana" w:hAnsi="Verdana" w:cs="Verdana"/>
                <w:noProof/>
                <w:color w:val="000000"/>
                <w:sz w:val="18"/>
              </w:rPr>
            </w:pPr>
            <w:r>
              <w:rPr>
                <w:rFonts w:ascii="Verdana" w:eastAsia="Verdana" w:hAnsi="Verdana" w:cs="Verdana"/>
                <w:noProof/>
                <w:color w:val="000000"/>
                <w:sz w:val="18"/>
              </w:rPr>
              <w:t>2.7.1</w:t>
            </w:r>
          </w:p>
        </w:tc>
        <w:tc>
          <w:tcPr>
            <w:tcW w:w="1001" w:type="dxa"/>
            <w:tcBorders>
              <w:top w:val="nil"/>
              <w:left w:val="nil"/>
              <w:bottom w:val="nil"/>
              <w:right w:val="nil"/>
              <w:tl2br w:val="nil"/>
              <w:tr2bl w:val="nil"/>
            </w:tcBorders>
            <w:shd w:val="clear" w:color="auto" w:fill="auto"/>
            <w:tcMar>
              <w:left w:w="60" w:type="dxa"/>
              <w:right w:w="60" w:type="dxa"/>
            </w:tcMar>
            <w:vAlign w:val="center"/>
          </w:tcPr>
          <w:p w14:paraId="10861E42"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40" w:type="dxa"/>
            <w:tcBorders>
              <w:top w:val="nil"/>
              <w:left w:val="nil"/>
              <w:bottom w:val="nil"/>
              <w:right w:val="nil"/>
              <w:tl2br w:val="nil"/>
              <w:tr2bl w:val="nil"/>
            </w:tcBorders>
            <w:shd w:val="clear" w:color="auto" w:fill="auto"/>
            <w:tcMar>
              <w:left w:w="60" w:type="dxa"/>
              <w:right w:w="60" w:type="dxa"/>
            </w:tcMar>
            <w:vAlign w:val="center"/>
          </w:tcPr>
          <w:p w14:paraId="04438DF1"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2EA9005D"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 xml:space="preserve"> 93</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247FB0E6"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 xml:space="preserve"> 104</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51B23B79" w14:textId="77777777" w:rsidR="00FD1E19" w:rsidRDefault="00FD1E19" w:rsidP="00BE7E4A">
            <w:pPr>
              <w:pStyle w:val="DMETW37225BIPPA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150</w:t>
            </w:r>
          </w:p>
        </w:tc>
      </w:tr>
      <w:tr w:rsidR="00FD1E19" w14:paraId="3042014F" w14:textId="77777777" w:rsidTr="00BE7E4A">
        <w:trPr>
          <w:trHeight w:val="255"/>
        </w:trPr>
        <w:tc>
          <w:tcPr>
            <w:tcW w:w="2419" w:type="dxa"/>
            <w:tcBorders>
              <w:top w:val="nil"/>
              <w:left w:val="nil"/>
              <w:bottom w:val="nil"/>
              <w:right w:val="nil"/>
              <w:tl2br w:val="nil"/>
              <w:tr2bl w:val="nil"/>
            </w:tcBorders>
            <w:shd w:val="clear" w:color="auto" w:fill="auto"/>
            <w:tcMar>
              <w:left w:w="60" w:type="dxa"/>
              <w:right w:w="60" w:type="dxa"/>
            </w:tcMar>
            <w:vAlign w:val="center"/>
          </w:tcPr>
          <w:p w14:paraId="50B1C8D0" w14:textId="77777777" w:rsidR="00FD1E19" w:rsidRDefault="00FD1E19" w:rsidP="00BE7E4A">
            <w:pPr>
              <w:pStyle w:val="DMETW37225BIPPAY"/>
              <w:rPr>
                <w:rFonts w:ascii="Verdana" w:eastAsia="Verdana" w:hAnsi="Verdana" w:cs="Verdana"/>
                <w:i/>
                <w:noProof/>
                <w:color w:val="000000"/>
                <w:sz w:val="18"/>
              </w:rPr>
            </w:pPr>
            <w:r>
              <w:rPr>
                <w:rFonts w:ascii="Verdana" w:eastAsia="Verdana" w:hAnsi="Verdana" w:cs="Verdana"/>
                <w:i/>
                <w:noProof/>
                <w:color w:val="000000"/>
                <w:sz w:val="18"/>
              </w:rPr>
              <w:t>Sundry payables</w:t>
            </w:r>
          </w:p>
        </w:tc>
        <w:tc>
          <w:tcPr>
            <w:tcW w:w="1996" w:type="dxa"/>
            <w:tcBorders>
              <w:top w:val="nil"/>
              <w:left w:val="nil"/>
              <w:bottom w:val="nil"/>
              <w:right w:val="nil"/>
              <w:tl2br w:val="nil"/>
              <w:tr2bl w:val="nil"/>
            </w:tcBorders>
            <w:shd w:val="clear" w:color="auto" w:fill="auto"/>
            <w:tcMar>
              <w:left w:w="60" w:type="dxa"/>
              <w:right w:w="60" w:type="dxa"/>
            </w:tcMar>
            <w:vAlign w:val="center"/>
          </w:tcPr>
          <w:p w14:paraId="4F71AA8E" w14:textId="77777777" w:rsidR="00FD1E19" w:rsidRDefault="00FD1E19" w:rsidP="00BE7E4A">
            <w:pPr>
              <w:pStyle w:val="DMETW37225BIPPAY"/>
              <w:jc w:val="center"/>
              <w:rPr>
                <w:rFonts w:ascii="Verdana" w:eastAsia="Verdana" w:hAnsi="Verdana" w:cs="Verdana"/>
                <w:noProof/>
                <w:color w:val="000000"/>
                <w:sz w:val="18"/>
              </w:rPr>
            </w:pPr>
            <w:r>
              <w:rPr>
                <w:rFonts w:ascii="Verdana" w:eastAsia="Verdana" w:hAnsi="Verdana" w:cs="Verdana"/>
                <w:noProof/>
                <w:color w:val="000000"/>
                <w:sz w:val="18"/>
              </w:rPr>
              <w:t>2.7.2</w:t>
            </w:r>
          </w:p>
        </w:tc>
        <w:tc>
          <w:tcPr>
            <w:tcW w:w="1001" w:type="dxa"/>
            <w:tcBorders>
              <w:top w:val="nil"/>
              <w:left w:val="nil"/>
              <w:bottom w:val="nil"/>
              <w:right w:val="nil"/>
              <w:tl2br w:val="nil"/>
              <w:tr2bl w:val="nil"/>
            </w:tcBorders>
            <w:shd w:val="clear" w:color="auto" w:fill="auto"/>
            <w:tcMar>
              <w:left w:w="60" w:type="dxa"/>
              <w:right w:w="60" w:type="dxa"/>
            </w:tcMar>
            <w:vAlign w:val="center"/>
          </w:tcPr>
          <w:p w14:paraId="56A8DF01"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40" w:type="dxa"/>
            <w:tcBorders>
              <w:top w:val="nil"/>
              <w:left w:val="nil"/>
              <w:bottom w:val="nil"/>
              <w:right w:val="nil"/>
              <w:tl2br w:val="nil"/>
              <w:tr2bl w:val="nil"/>
            </w:tcBorders>
            <w:shd w:val="clear" w:color="auto" w:fill="auto"/>
            <w:tcMar>
              <w:left w:w="60" w:type="dxa"/>
              <w:right w:w="60" w:type="dxa"/>
            </w:tcMar>
            <w:vAlign w:val="center"/>
          </w:tcPr>
          <w:p w14:paraId="278005E7"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756F2EE7"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 xml:space="preserve"> 78</w:t>
            </w:r>
          </w:p>
        </w:tc>
        <w:tc>
          <w:tcPr>
            <w:tcW w:w="1418" w:type="dxa"/>
            <w:tcBorders>
              <w:top w:val="nil"/>
              <w:left w:val="nil"/>
              <w:bottom w:val="nil"/>
              <w:right w:val="nil"/>
              <w:tl2br w:val="nil"/>
              <w:tr2bl w:val="nil"/>
            </w:tcBorders>
            <w:shd w:val="clear" w:color="auto" w:fill="auto"/>
            <w:tcMar>
              <w:left w:w="60" w:type="dxa"/>
              <w:right w:w="60" w:type="dxa"/>
            </w:tcMar>
            <w:vAlign w:val="center"/>
          </w:tcPr>
          <w:p w14:paraId="456758C4" w14:textId="77777777" w:rsidR="00FD1E19" w:rsidRDefault="00FD1E19" w:rsidP="00BE7E4A">
            <w:pPr>
              <w:pStyle w:val="DMETW37225BIPPAY"/>
              <w:jc w:val="right"/>
              <w:rPr>
                <w:rFonts w:ascii="Verdana" w:eastAsia="Verdana" w:hAnsi="Verdana" w:cs="Verdana"/>
                <w:i/>
                <w:noProof/>
                <w:color w:val="000000"/>
                <w:sz w:val="18"/>
              </w:rPr>
            </w:pPr>
            <w:r>
              <w:rPr>
                <w:rFonts w:ascii="Verdana" w:eastAsia="Verdana" w:hAnsi="Verdana" w:cs="Verdana"/>
                <w:i/>
                <w:noProof/>
                <w:color w:val="000000"/>
                <w:sz w:val="18"/>
              </w:rPr>
              <w:t xml:space="preserve"> 83</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28C532FE" w14:textId="77777777" w:rsidR="00FD1E19" w:rsidRDefault="00FD1E19" w:rsidP="00BE7E4A">
            <w:pPr>
              <w:pStyle w:val="DMETW37225BIPPA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105</w:t>
            </w:r>
          </w:p>
        </w:tc>
      </w:tr>
      <w:tr w:rsidR="00FD1E19" w14:paraId="3E01D076" w14:textId="77777777" w:rsidTr="00BE7E4A">
        <w:trPr>
          <w:trHeight w:val="255"/>
        </w:trPr>
        <w:tc>
          <w:tcPr>
            <w:tcW w:w="2419" w:type="dxa"/>
            <w:tcBorders>
              <w:top w:val="nil"/>
              <w:left w:val="nil"/>
              <w:bottom w:val="nil"/>
              <w:right w:val="nil"/>
              <w:tl2br w:val="nil"/>
              <w:tr2bl w:val="nil"/>
            </w:tcBorders>
            <w:shd w:val="solid" w:color="CCE1EA" w:fill="FFFFFF"/>
            <w:tcMar>
              <w:left w:w="60" w:type="dxa"/>
              <w:right w:w="60" w:type="dxa"/>
            </w:tcMar>
            <w:vAlign w:val="center"/>
          </w:tcPr>
          <w:p w14:paraId="6F38EEAA" w14:textId="77777777" w:rsidR="00FD1E19" w:rsidRDefault="00FD1E19" w:rsidP="00BE7E4A">
            <w:pPr>
              <w:pStyle w:val="DMETW37225BIPPAY"/>
              <w:rPr>
                <w:rFonts w:ascii="Verdana" w:eastAsia="Verdana" w:hAnsi="Verdana" w:cs="Verdana"/>
                <w:b/>
                <w:noProof/>
                <w:color w:val="000000"/>
                <w:sz w:val="18"/>
              </w:rPr>
            </w:pPr>
            <w:r>
              <w:rPr>
                <w:rFonts w:ascii="Verdana" w:eastAsia="Verdana" w:hAnsi="Verdana" w:cs="Verdana"/>
                <w:b/>
                <w:noProof/>
                <w:color w:val="000000"/>
                <w:sz w:val="18"/>
              </w:rPr>
              <w:t>Total</w:t>
            </w:r>
          </w:p>
        </w:tc>
        <w:tc>
          <w:tcPr>
            <w:tcW w:w="1996" w:type="dxa"/>
            <w:tcBorders>
              <w:top w:val="nil"/>
              <w:left w:val="nil"/>
              <w:bottom w:val="nil"/>
              <w:right w:val="nil"/>
              <w:tl2br w:val="nil"/>
              <w:tr2bl w:val="nil"/>
            </w:tcBorders>
            <w:shd w:val="solid" w:color="CCE1EA" w:fill="FFFFFF"/>
            <w:tcMar>
              <w:left w:w="60" w:type="dxa"/>
              <w:right w:w="60" w:type="dxa"/>
            </w:tcMar>
            <w:vAlign w:val="center"/>
          </w:tcPr>
          <w:p w14:paraId="7628EE15" w14:textId="77777777" w:rsidR="00FD1E19" w:rsidRDefault="00FD1E19" w:rsidP="00BE7E4A">
            <w:pPr>
              <w:pStyle w:val="DMETW37225BIPPAY"/>
              <w:jc w:val="center"/>
              <w:rPr>
                <w:rFonts w:ascii="Verdana" w:eastAsia="Verdana" w:hAnsi="Verdana" w:cs="Verdana"/>
                <w:b/>
                <w:noProof/>
                <w:color w:val="000000"/>
                <w:sz w:val="18"/>
              </w:rPr>
            </w:pPr>
          </w:p>
        </w:tc>
        <w:tc>
          <w:tcPr>
            <w:tcW w:w="1001" w:type="dxa"/>
            <w:tcBorders>
              <w:top w:val="nil"/>
              <w:left w:val="nil"/>
              <w:bottom w:val="nil"/>
              <w:right w:val="nil"/>
              <w:tl2br w:val="nil"/>
              <w:tr2bl w:val="nil"/>
            </w:tcBorders>
            <w:shd w:val="solid" w:color="CCE1EA" w:fill="FFFFFF"/>
            <w:tcMar>
              <w:left w:w="60" w:type="dxa"/>
              <w:right w:w="60" w:type="dxa"/>
            </w:tcMar>
            <w:vAlign w:val="center"/>
          </w:tcPr>
          <w:p w14:paraId="1B42A56D" w14:textId="77777777" w:rsidR="00FD1E19" w:rsidRPr="00915CF4" w:rsidRDefault="00FD1E19" w:rsidP="00BE7E4A">
            <w:pPr>
              <w:pStyle w:val="DMETW37225BIPPAY"/>
              <w:jc w:val="right"/>
              <w:rPr>
                <w:rFonts w:ascii="Verdana" w:eastAsia="Verdana" w:hAnsi="Verdana" w:cs="Verdana"/>
                <w:b/>
                <w:bCs/>
                <w:noProof/>
                <w:color w:val="000000"/>
                <w:sz w:val="18"/>
              </w:rPr>
            </w:pPr>
            <w:r>
              <w:rPr>
                <w:rFonts w:ascii="Verdana" w:eastAsia="Verdana" w:hAnsi="Verdana" w:cs="Verdana"/>
                <w:b/>
                <w:noProof/>
                <w:color w:val="000000"/>
                <w:sz w:val="18"/>
              </w:rPr>
              <w:t xml:space="preserve">  </w:t>
            </w:r>
            <w:r w:rsidRPr="00915CF4">
              <w:rPr>
                <w:rFonts w:ascii="Verdana" w:eastAsia="Verdana" w:hAnsi="Verdana" w:cs="Verdana"/>
                <w:b/>
                <w:bCs/>
                <w:i/>
                <w:noProof/>
                <w:color w:val="000000"/>
                <w:sz w:val="18"/>
              </w:rPr>
              <w:t>-</w:t>
            </w:r>
          </w:p>
        </w:tc>
        <w:tc>
          <w:tcPr>
            <w:tcW w:w="740" w:type="dxa"/>
            <w:tcBorders>
              <w:top w:val="nil"/>
              <w:left w:val="nil"/>
              <w:bottom w:val="nil"/>
              <w:right w:val="nil"/>
              <w:tl2br w:val="nil"/>
              <w:tr2bl w:val="nil"/>
            </w:tcBorders>
            <w:shd w:val="solid" w:color="CCE1EA" w:fill="FFFFFF"/>
            <w:tcMar>
              <w:left w:w="60" w:type="dxa"/>
              <w:right w:w="60" w:type="dxa"/>
            </w:tcMar>
            <w:vAlign w:val="center"/>
          </w:tcPr>
          <w:p w14:paraId="66D0FB92" w14:textId="77777777" w:rsidR="00FD1E19" w:rsidRDefault="00FD1E19" w:rsidP="00BE7E4A">
            <w:pPr>
              <w:pStyle w:val="DMETW37225BIPPAY"/>
              <w:jc w:val="right"/>
              <w:rPr>
                <w:rFonts w:ascii="Verdana" w:eastAsia="Verdana" w:hAnsi="Verdana" w:cs="Verdana"/>
                <w:b/>
                <w:noProof/>
                <w:color w:val="000000"/>
                <w:sz w:val="18"/>
              </w:rPr>
            </w:pPr>
            <w:r>
              <w:rPr>
                <w:rFonts w:ascii="Verdana" w:eastAsia="Verdana" w:hAnsi="Verdana" w:cs="Verdana"/>
                <w:b/>
                <w:noProof/>
                <w:color w:val="000000"/>
                <w:sz w:val="18"/>
              </w:rPr>
              <w:t xml:space="preserve">  16</w:t>
            </w:r>
          </w:p>
        </w:tc>
        <w:tc>
          <w:tcPr>
            <w:tcW w:w="850" w:type="dxa"/>
            <w:tcBorders>
              <w:top w:val="nil"/>
              <w:left w:val="nil"/>
              <w:bottom w:val="nil"/>
              <w:right w:val="nil"/>
              <w:tl2br w:val="nil"/>
              <w:tr2bl w:val="nil"/>
            </w:tcBorders>
            <w:shd w:val="solid" w:color="CCE1EA" w:fill="FFFFFF"/>
            <w:tcMar>
              <w:left w:w="60" w:type="dxa"/>
              <w:right w:w="60" w:type="dxa"/>
            </w:tcMar>
            <w:vAlign w:val="center"/>
          </w:tcPr>
          <w:p w14:paraId="7A4FF9FC" w14:textId="77777777" w:rsidR="00FD1E19" w:rsidRDefault="00FD1E19" w:rsidP="00BE7E4A">
            <w:pPr>
              <w:pStyle w:val="DMETW37225BIPPAY"/>
              <w:jc w:val="right"/>
              <w:rPr>
                <w:rFonts w:ascii="Verdana" w:eastAsia="Verdana" w:hAnsi="Verdana" w:cs="Verdana"/>
                <w:b/>
                <w:noProof/>
                <w:color w:val="000000"/>
                <w:sz w:val="18"/>
              </w:rPr>
            </w:pPr>
            <w:r>
              <w:rPr>
                <w:rFonts w:ascii="Verdana" w:eastAsia="Verdana" w:hAnsi="Verdana" w:cs="Verdana"/>
                <w:b/>
                <w:noProof/>
                <w:color w:val="000000"/>
                <w:sz w:val="18"/>
              </w:rPr>
              <w:t xml:space="preserve">  171</w:t>
            </w:r>
          </w:p>
        </w:tc>
        <w:tc>
          <w:tcPr>
            <w:tcW w:w="1418" w:type="dxa"/>
            <w:tcBorders>
              <w:top w:val="nil"/>
              <w:left w:val="nil"/>
              <w:bottom w:val="nil"/>
              <w:right w:val="nil"/>
              <w:tl2br w:val="nil"/>
              <w:tr2bl w:val="nil"/>
            </w:tcBorders>
            <w:shd w:val="solid" w:color="CCE1EA" w:fill="FFFFFF"/>
            <w:tcMar>
              <w:left w:w="60" w:type="dxa"/>
              <w:right w:w="60" w:type="dxa"/>
            </w:tcMar>
            <w:vAlign w:val="center"/>
          </w:tcPr>
          <w:p w14:paraId="6936329A" w14:textId="77777777" w:rsidR="00FD1E19" w:rsidRDefault="00FD1E19" w:rsidP="00BE7E4A">
            <w:pPr>
              <w:pStyle w:val="DMETW37225BIPPAY"/>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1334" w:type="dxa"/>
            <w:tcBorders>
              <w:top w:val="nil"/>
              <w:left w:val="nil"/>
              <w:bottom w:val="nil"/>
              <w:right w:val="nil"/>
              <w:tl2br w:val="nil"/>
              <w:tr2bl w:val="nil"/>
            </w:tcBorders>
            <w:shd w:val="solid" w:color="CCE1EA" w:fill="FFFFFF"/>
            <w:tcMar>
              <w:left w:w="60" w:type="dxa"/>
              <w:right w:w="60" w:type="dxa"/>
            </w:tcMar>
            <w:vAlign w:val="center"/>
          </w:tcPr>
          <w:p w14:paraId="5F403A1A" w14:textId="77777777" w:rsidR="00FD1E19" w:rsidRDefault="00FD1E19" w:rsidP="00BE7E4A">
            <w:pPr>
              <w:pStyle w:val="DMETW37225BIPPAY"/>
              <w:jc w:val="right"/>
              <w:rPr>
                <w:rFonts w:ascii="Verdana" w:eastAsia="Verdana" w:hAnsi="Verdana" w:cs="Verdana"/>
                <w:b/>
                <w:noProof/>
                <w:color w:val="000000"/>
                <w:sz w:val="18"/>
              </w:rPr>
            </w:pPr>
            <w:r>
              <w:rPr>
                <w:rFonts w:ascii="Verdana" w:eastAsia="Verdana" w:hAnsi="Verdana" w:cs="Verdana"/>
                <w:b/>
                <w:noProof/>
                <w:color w:val="000000"/>
                <w:sz w:val="18"/>
              </w:rPr>
              <w:t xml:space="preserve">  256</w:t>
            </w:r>
          </w:p>
        </w:tc>
      </w:tr>
    </w:tbl>
    <w:p w14:paraId="66A7109D" w14:textId="77777777" w:rsidR="00FD1E19" w:rsidRPr="00F64D38" w:rsidRDefault="00FD1E19" w:rsidP="00FD1E19">
      <w:pPr>
        <w:pStyle w:val="HEADER3Part2"/>
        <w:keepNext/>
        <w:keepLines/>
        <w:widowControl w:val="0"/>
        <w:jc w:val="both"/>
        <w:rPr>
          <w:noProof/>
        </w:rPr>
      </w:pPr>
      <w:r w:rsidRPr="00F64D38">
        <w:rPr>
          <w:noProof/>
        </w:rPr>
        <w:t xml:space="preserve"> </w:t>
      </w:r>
      <w:bookmarkStart w:id="91" w:name="_Ref35557546"/>
      <w:r w:rsidRPr="00F64D38">
        <w:rPr>
          <w:noProof/>
        </w:rPr>
        <w:t>Current payables</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5"/>
        <w:gridCol w:w="1342"/>
        <w:gridCol w:w="675"/>
        <w:gridCol w:w="1008"/>
        <w:gridCol w:w="1294"/>
        <w:gridCol w:w="1334"/>
      </w:tblGrid>
      <w:tr w:rsidR="00FD1E19" w14:paraId="3E9AE7CC" w14:textId="77777777" w:rsidTr="00BE7E4A">
        <w:trPr>
          <w:cantSplit/>
          <w:trHeight w:hRule="exact" w:val="255"/>
        </w:trPr>
        <w:tc>
          <w:tcPr>
            <w:tcW w:w="9758" w:type="dxa"/>
            <w:gridSpan w:val="6"/>
            <w:tcBorders>
              <w:top w:val="nil"/>
              <w:left w:val="nil"/>
              <w:bottom w:val="nil"/>
              <w:right w:val="nil"/>
              <w:tl2br w:val="nil"/>
              <w:tr2bl w:val="nil"/>
            </w:tcBorders>
            <w:shd w:val="clear" w:color="auto" w:fill="auto"/>
            <w:tcMar>
              <w:left w:w="60" w:type="dxa"/>
              <w:right w:w="60" w:type="dxa"/>
            </w:tcMar>
            <w:vAlign w:val="center"/>
          </w:tcPr>
          <w:p w14:paraId="32353765" w14:textId="77777777" w:rsidR="00FD1E19" w:rsidRDefault="00FD1E19" w:rsidP="00BE7E4A">
            <w:pPr>
              <w:pStyle w:val="DMETW37225BIPCURPAY"/>
              <w:keepNext/>
              <w:keepLines/>
              <w:jc w:val="right"/>
              <w:rPr>
                <w:rFonts w:ascii="Verdana" w:eastAsia="Verdana" w:hAnsi="Verdana" w:cs="Verdana"/>
                <w:i/>
                <w:noProof/>
                <w:color w:val="000000"/>
                <w:sz w:val="16"/>
                <w:lang w:bidi="en-GB"/>
              </w:rPr>
            </w:pPr>
            <w:bookmarkStart w:id="92" w:name="DOC_TBL00025_1_1"/>
            <w:bookmarkEnd w:id="92"/>
            <w:r>
              <w:rPr>
                <w:rFonts w:ascii="Verdana" w:eastAsia="Verdana" w:hAnsi="Verdana" w:cs="Verdana"/>
                <w:i/>
                <w:noProof/>
                <w:color w:val="000000"/>
                <w:sz w:val="16"/>
                <w:lang w:bidi="en-GB"/>
              </w:rPr>
              <w:t>EUR million</w:t>
            </w:r>
          </w:p>
        </w:tc>
      </w:tr>
      <w:tr w:rsidR="00FD1E19" w14:paraId="482D99B6" w14:textId="77777777" w:rsidTr="00BE7E4A">
        <w:trPr>
          <w:cantSplit/>
          <w:trHeight w:hRule="exact" w:val="590"/>
        </w:trPr>
        <w:tc>
          <w:tcPr>
            <w:tcW w:w="4105" w:type="dxa"/>
            <w:tcBorders>
              <w:top w:val="nil"/>
              <w:left w:val="nil"/>
              <w:bottom w:val="nil"/>
              <w:right w:val="nil"/>
              <w:tl2br w:val="nil"/>
              <w:tr2bl w:val="nil"/>
            </w:tcBorders>
            <w:shd w:val="solid" w:color="016794" w:fill="FFFFFF"/>
            <w:tcMar>
              <w:left w:w="60" w:type="dxa"/>
              <w:right w:w="60" w:type="dxa"/>
            </w:tcMar>
            <w:vAlign w:val="center"/>
          </w:tcPr>
          <w:p w14:paraId="57BB493C" w14:textId="77777777" w:rsidR="00FD1E19" w:rsidRDefault="00FD1E19" w:rsidP="00BE7E4A">
            <w:pPr>
              <w:pStyle w:val="DMETW37225BIPCURPAY"/>
              <w:keepNext/>
              <w:keepLines/>
              <w:jc w:val="center"/>
              <w:rPr>
                <w:rFonts w:ascii="Verdana" w:eastAsia="Verdana" w:hAnsi="Verdana" w:cs="Verdana"/>
                <w:noProof/>
                <w:color w:val="FFFFFF"/>
              </w:rPr>
            </w:pPr>
          </w:p>
        </w:tc>
        <w:tc>
          <w:tcPr>
            <w:tcW w:w="1342" w:type="dxa"/>
            <w:tcBorders>
              <w:top w:val="nil"/>
              <w:left w:val="nil"/>
              <w:bottom w:val="nil"/>
              <w:right w:val="nil"/>
              <w:tl2br w:val="nil"/>
              <w:tr2bl w:val="nil"/>
            </w:tcBorders>
            <w:shd w:val="solid" w:color="016794" w:fill="FFFFFF"/>
            <w:tcMar>
              <w:left w:w="60" w:type="dxa"/>
              <w:right w:w="60" w:type="dxa"/>
            </w:tcMar>
            <w:vAlign w:val="center"/>
          </w:tcPr>
          <w:p w14:paraId="46F5719E" w14:textId="77777777" w:rsidR="00FD1E19" w:rsidRDefault="00FD1E19" w:rsidP="00BE7E4A">
            <w:pPr>
              <w:pStyle w:val="DMETW37225BIPCURPAY"/>
              <w:keepNext/>
              <w:keepLines/>
              <w:jc w:val="right"/>
              <w:rPr>
                <w:rFonts w:ascii="Verdana" w:eastAsia="Verdana" w:hAnsi="Verdana" w:cs="Verdana"/>
                <w:noProof/>
                <w:color w:val="FFFFFF"/>
              </w:rPr>
            </w:pPr>
            <w:r>
              <w:rPr>
                <w:rFonts w:ascii="Verdana" w:eastAsia="Verdana" w:hAnsi="Verdana" w:cs="Verdana"/>
                <w:noProof/>
                <w:color w:val="FFFFFF"/>
              </w:rPr>
              <w:t>Ninth EDF</w:t>
            </w:r>
          </w:p>
        </w:tc>
        <w:tc>
          <w:tcPr>
            <w:tcW w:w="675" w:type="dxa"/>
            <w:tcBorders>
              <w:top w:val="nil"/>
              <w:left w:val="nil"/>
              <w:bottom w:val="nil"/>
              <w:right w:val="nil"/>
              <w:tl2br w:val="nil"/>
              <w:tr2bl w:val="nil"/>
            </w:tcBorders>
            <w:shd w:val="solid" w:color="016794" w:fill="FFFFFF"/>
            <w:tcMar>
              <w:left w:w="60" w:type="dxa"/>
              <w:right w:w="60" w:type="dxa"/>
            </w:tcMar>
            <w:vAlign w:val="center"/>
          </w:tcPr>
          <w:p w14:paraId="511486AD" w14:textId="77777777" w:rsidR="00FD1E19" w:rsidRDefault="00FD1E19" w:rsidP="00BE7E4A">
            <w:pPr>
              <w:pStyle w:val="DMETW37225BIPCURPAY"/>
              <w:keepNext/>
              <w:keepLines/>
              <w:jc w:val="right"/>
              <w:rPr>
                <w:rFonts w:ascii="Verdana" w:eastAsia="Verdana" w:hAnsi="Verdana" w:cs="Verdana"/>
                <w:noProof/>
                <w:color w:val="FFFFFF"/>
              </w:rPr>
            </w:pPr>
            <w:r>
              <w:rPr>
                <w:rFonts w:ascii="Verdana" w:eastAsia="Verdana" w:hAnsi="Verdana" w:cs="Verdana"/>
                <w:noProof/>
                <w:color w:val="FFFFFF"/>
              </w:rPr>
              <w:t>10th EDF</w:t>
            </w:r>
          </w:p>
        </w:tc>
        <w:tc>
          <w:tcPr>
            <w:tcW w:w="1008" w:type="dxa"/>
            <w:tcBorders>
              <w:top w:val="nil"/>
              <w:left w:val="nil"/>
              <w:bottom w:val="nil"/>
              <w:right w:val="nil"/>
              <w:tl2br w:val="nil"/>
              <w:tr2bl w:val="nil"/>
            </w:tcBorders>
            <w:shd w:val="solid" w:color="016794" w:fill="FFFFFF"/>
            <w:tcMar>
              <w:left w:w="60" w:type="dxa"/>
              <w:right w:w="60" w:type="dxa"/>
            </w:tcMar>
            <w:vAlign w:val="center"/>
          </w:tcPr>
          <w:p w14:paraId="1B7F713E" w14:textId="77777777" w:rsidR="00FD1E19" w:rsidRDefault="00FD1E19" w:rsidP="00BE7E4A">
            <w:pPr>
              <w:pStyle w:val="DMETW37225BIPCURPAY"/>
              <w:keepNext/>
              <w:keepLines/>
              <w:jc w:val="right"/>
              <w:rPr>
                <w:rFonts w:ascii="Verdana" w:eastAsia="Verdana" w:hAnsi="Verdana" w:cs="Verdana"/>
                <w:noProof/>
                <w:color w:val="FFFFFF"/>
              </w:rPr>
            </w:pPr>
            <w:r>
              <w:rPr>
                <w:rFonts w:ascii="Verdana" w:eastAsia="Verdana" w:hAnsi="Verdana" w:cs="Verdana"/>
                <w:noProof/>
                <w:color w:val="FFFFFF"/>
              </w:rPr>
              <w:t>11th EDF</w:t>
            </w:r>
          </w:p>
        </w:tc>
        <w:tc>
          <w:tcPr>
            <w:tcW w:w="1294" w:type="dxa"/>
            <w:tcBorders>
              <w:top w:val="nil"/>
              <w:left w:val="nil"/>
              <w:bottom w:val="nil"/>
              <w:right w:val="nil"/>
              <w:tl2br w:val="nil"/>
              <w:tr2bl w:val="nil"/>
            </w:tcBorders>
            <w:shd w:val="solid" w:color="016794" w:fill="FFFFFF"/>
            <w:tcMar>
              <w:left w:w="60" w:type="dxa"/>
              <w:right w:w="60" w:type="dxa"/>
            </w:tcMar>
            <w:vAlign w:val="center"/>
          </w:tcPr>
          <w:p w14:paraId="03281B90" w14:textId="77777777" w:rsidR="00FD1E19" w:rsidRDefault="00FD1E19" w:rsidP="00BE7E4A">
            <w:pPr>
              <w:pStyle w:val="DMETW37225BIPCURPAY"/>
              <w:keepNext/>
              <w:keepLines/>
              <w:jc w:val="right"/>
              <w:rPr>
                <w:rFonts w:ascii="Verdana" w:eastAsia="Verdana" w:hAnsi="Verdana" w:cs="Verdana"/>
                <w:noProof/>
                <w:color w:val="FFFFFF"/>
              </w:rPr>
            </w:pPr>
            <w:r>
              <w:rPr>
                <w:rFonts w:ascii="Verdana" w:eastAsia="Verdana" w:hAnsi="Verdana" w:cs="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14:paraId="34B61418" w14:textId="77777777" w:rsidR="00FD1E19" w:rsidRDefault="00FD1E19" w:rsidP="00BE7E4A">
            <w:pPr>
              <w:pStyle w:val="DMETW37225BIPCURPAY"/>
              <w:keepNext/>
              <w:keepLine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4D74084E" w14:textId="77777777" w:rsidTr="00BE7E4A">
        <w:trPr>
          <w:cantSplit/>
          <w:trHeight w:hRule="exact" w:val="255"/>
        </w:trPr>
        <w:tc>
          <w:tcPr>
            <w:tcW w:w="4105" w:type="dxa"/>
            <w:tcBorders>
              <w:top w:val="nil"/>
              <w:left w:val="nil"/>
              <w:bottom w:val="nil"/>
              <w:right w:val="nil"/>
              <w:tl2br w:val="nil"/>
              <w:tr2bl w:val="nil"/>
            </w:tcBorders>
            <w:shd w:val="clear" w:color="auto" w:fill="auto"/>
            <w:tcMar>
              <w:left w:w="60" w:type="dxa"/>
              <w:right w:w="60" w:type="dxa"/>
            </w:tcMar>
            <w:vAlign w:val="center"/>
          </w:tcPr>
          <w:p w14:paraId="186EC66B" w14:textId="77777777" w:rsidR="00FD1E19" w:rsidRDefault="00FD1E19" w:rsidP="00BE7E4A">
            <w:pPr>
              <w:pStyle w:val="DMETW37225BIPCURPAY"/>
              <w:keepNext/>
              <w:keepLines/>
              <w:rPr>
                <w:rFonts w:ascii="Verdana" w:eastAsia="Verdana" w:hAnsi="Verdana" w:cs="Verdana"/>
                <w:i/>
                <w:noProof/>
                <w:color w:val="000000"/>
                <w:sz w:val="18"/>
              </w:rPr>
            </w:pPr>
            <w:r>
              <w:rPr>
                <w:rFonts w:ascii="Verdana" w:eastAsia="Verdana" w:hAnsi="Verdana" w:cs="Verdana"/>
                <w:i/>
                <w:noProof/>
                <w:color w:val="000000"/>
                <w:sz w:val="18"/>
              </w:rPr>
              <w:t>Suppliers</w:t>
            </w:r>
          </w:p>
        </w:tc>
        <w:tc>
          <w:tcPr>
            <w:tcW w:w="1342" w:type="dxa"/>
            <w:tcBorders>
              <w:top w:val="nil"/>
              <w:left w:val="nil"/>
              <w:bottom w:val="nil"/>
              <w:right w:val="nil"/>
              <w:tl2br w:val="nil"/>
              <w:tr2bl w:val="nil"/>
            </w:tcBorders>
            <w:shd w:val="clear" w:color="auto" w:fill="auto"/>
            <w:tcMar>
              <w:left w:w="60" w:type="dxa"/>
              <w:right w:w="60" w:type="dxa"/>
            </w:tcMar>
            <w:vAlign w:val="center"/>
          </w:tcPr>
          <w:p w14:paraId="6CBEAE8A"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675" w:type="dxa"/>
            <w:tcBorders>
              <w:top w:val="nil"/>
              <w:left w:val="nil"/>
              <w:bottom w:val="nil"/>
              <w:right w:val="nil"/>
              <w:tl2br w:val="nil"/>
              <w:tr2bl w:val="nil"/>
            </w:tcBorders>
            <w:shd w:val="clear" w:color="auto" w:fill="auto"/>
            <w:tcMar>
              <w:left w:w="60" w:type="dxa"/>
              <w:right w:w="60" w:type="dxa"/>
            </w:tcMar>
            <w:vAlign w:val="center"/>
          </w:tcPr>
          <w:p w14:paraId="6A3AE2C2"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008" w:type="dxa"/>
            <w:tcBorders>
              <w:top w:val="nil"/>
              <w:left w:val="nil"/>
              <w:bottom w:val="nil"/>
              <w:right w:val="nil"/>
              <w:tl2br w:val="nil"/>
              <w:tr2bl w:val="nil"/>
            </w:tcBorders>
            <w:shd w:val="clear" w:color="auto" w:fill="auto"/>
            <w:tcMar>
              <w:left w:w="60" w:type="dxa"/>
              <w:right w:w="60" w:type="dxa"/>
            </w:tcMar>
            <w:vAlign w:val="center"/>
          </w:tcPr>
          <w:p w14:paraId="701A2BC7"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64</w:t>
            </w:r>
          </w:p>
        </w:tc>
        <w:tc>
          <w:tcPr>
            <w:tcW w:w="1294" w:type="dxa"/>
            <w:tcBorders>
              <w:top w:val="nil"/>
              <w:left w:val="nil"/>
              <w:bottom w:val="nil"/>
              <w:right w:val="nil"/>
              <w:tl2br w:val="nil"/>
              <w:tr2bl w:val="nil"/>
            </w:tcBorders>
            <w:shd w:val="clear" w:color="auto" w:fill="auto"/>
            <w:tcMar>
              <w:left w:w="60" w:type="dxa"/>
              <w:right w:w="60" w:type="dxa"/>
            </w:tcMar>
            <w:vAlign w:val="center"/>
          </w:tcPr>
          <w:p w14:paraId="370E6270"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71</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3DE320F4" w14:textId="77777777" w:rsidR="00FD1E19" w:rsidRDefault="00FD1E19" w:rsidP="00BE7E4A">
            <w:pPr>
              <w:pStyle w:val="DMETW37225BIPCURPAY"/>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56</w:t>
            </w:r>
          </w:p>
        </w:tc>
      </w:tr>
      <w:tr w:rsidR="00FD1E19" w14:paraId="736A67B9" w14:textId="77777777" w:rsidTr="00BE7E4A">
        <w:trPr>
          <w:cantSplit/>
          <w:trHeight w:hRule="exact" w:val="255"/>
        </w:trPr>
        <w:tc>
          <w:tcPr>
            <w:tcW w:w="4105" w:type="dxa"/>
            <w:tcBorders>
              <w:top w:val="nil"/>
              <w:left w:val="nil"/>
              <w:bottom w:val="nil"/>
              <w:right w:val="nil"/>
              <w:tl2br w:val="nil"/>
              <w:tr2bl w:val="nil"/>
            </w:tcBorders>
            <w:shd w:val="clear" w:color="auto" w:fill="auto"/>
            <w:tcMar>
              <w:left w:w="60" w:type="dxa"/>
              <w:right w:w="60" w:type="dxa"/>
            </w:tcMar>
            <w:vAlign w:val="center"/>
          </w:tcPr>
          <w:p w14:paraId="776F861A" w14:textId="77777777" w:rsidR="00FD1E19" w:rsidRDefault="00FD1E19" w:rsidP="00BE7E4A">
            <w:pPr>
              <w:pStyle w:val="DMETW37225BIPCURPAY"/>
              <w:keepNext/>
              <w:keepLines/>
              <w:rPr>
                <w:rFonts w:ascii="Verdana" w:eastAsia="Verdana" w:hAnsi="Verdana" w:cs="Verdana"/>
                <w:i/>
                <w:noProof/>
                <w:color w:val="000000"/>
                <w:sz w:val="18"/>
              </w:rPr>
            </w:pPr>
            <w:r>
              <w:rPr>
                <w:rFonts w:ascii="Verdana" w:eastAsia="Verdana" w:hAnsi="Verdana" w:cs="Verdana"/>
                <w:i/>
                <w:noProof/>
                <w:color w:val="000000"/>
                <w:sz w:val="18"/>
              </w:rPr>
              <w:t>Third states</w:t>
            </w:r>
          </w:p>
        </w:tc>
        <w:tc>
          <w:tcPr>
            <w:tcW w:w="1342" w:type="dxa"/>
            <w:tcBorders>
              <w:top w:val="nil"/>
              <w:left w:val="nil"/>
              <w:bottom w:val="nil"/>
              <w:right w:val="nil"/>
              <w:tl2br w:val="nil"/>
              <w:tr2bl w:val="nil"/>
            </w:tcBorders>
            <w:shd w:val="clear" w:color="auto" w:fill="auto"/>
            <w:tcMar>
              <w:left w:w="60" w:type="dxa"/>
              <w:right w:w="60" w:type="dxa"/>
            </w:tcMar>
            <w:vAlign w:val="center"/>
          </w:tcPr>
          <w:p w14:paraId="0C78979F"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675" w:type="dxa"/>
            <w:tcBorders>
              <w:top w:val="nil"/>
              <w:left w:val="nil"/>
              <w:bottom w:val="nil"/>
              <w:right w:val="nil"/>
              <w:tl2br w:val="nil"/>
              <w:tr2bl w:val="nil"/>
            </w:tcBorders>
            <w:shd w:val="clear" w:color="auto" w:fill="auto"/>
            <w:tcMar>
              <w:left w:w="60" w:type="dxa"/>
              <w:right w:w="60" w:type="dxa"/>
            </w:tcMar>
            <w:vAlign w:val="center"/>
          </w:tcPr>
          <w:p w14:paraId="095D7220"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008" w:type="dxa"/>
            <w:tcBorders>
              <w:top w:val="nil"/>
              <w:left w:val="nil"/>
              <w:bottom w:val="nil"/>
              <w:right w:val="nil"/>
              <w:tl2br w:val="nil"/>
              <w:tr2bl w:val="nil"/>
            </w:tcBorders>
            <w:shd w:val="clear" w:color="auto" w:fill="auto"/>
            <w:tcMar>
              <w:left w:w="60" w:type="dxa"/>
              <w:right w:w="60" w:type="dxa"/>
            </w:tcMar>
            <w:vAlign w:val="center"/>
          </w:tcPr>
          <w:p w14:paraId="60EFF46A"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294" w:type="dxa"/>
            <w:tcBorders>
              <w:top w:val="nil"/>
              <w:left w:val="nil"/>
              <w:bottom w:val="nil"/>
              <w:right w:val="nil"/>
              <w:tl2br w:val="nil"/>
              <w:tr2bl w:val="nil"/>
            </w:tcBorders>
            <w:shd w:val="clear" w:color="auto" w:fill="auto"/>
            <w:tcMar>
              <w:left w:w="60" w:type="dxa"/>
              <w:right w:w="60" w:type="dxa"/>
            </w:tcMar>
            <w:vAlign w:val="center"/>
          </w:tcPr>
          <w:p w14:paraId="70806896"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093939C8" w14:textId="77777777" w:rsidR="00FD1E19" w:rsidRDefault="00FD1E19" w:rsidP="00BE7E4A">
            <w:pPr>
              <w:pStyle w:val="DMETW37225BIPCURPAY"/>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29</w:t>
            </w:r>
          </w:p>
        </w:tc>
      </w:tr>
      <w:tr w:rsidR="00FD1E19" w14:paraId="751A0421" w14:textId="77777777" w:rsidTr="00BE7E4A">
        <w:trPr>
          <w:cantSplit/>
          <w:trHeight w:hRule="exact" w:val="255"/>
        </w:trPr>
        <w:tc>
          <w:tcPr>
            <w:tcW w:w="4105" w:type="dxa"/>
            <w:tcBorders>
              <w:top w:val="nil"/>
              <w:left w:val="nil"/>
              <w:bottom w:val="nil"/>
              <w:right w:val="nil"/>
              <w:tl2br w:val="nil"/>
              <w:tr2bl w:val="nil"/>
            </w:tcBorders>
            <w:shd w:val="clear" w:color="auto" w:fill="auto"/>
            <w:tcMar>
              <w:left w:w="60" w:type="dxa"/>
              <w:right w:w="60" w:type="dxa"/>
            </w:tcMar>
            <w:vAlign w:val="center"/>
          </w:tcPr>
          <w:p w14:paraId="541A1BA4" w14:textId="77777777" w:rsidR="00FD1E19" w:rsidRDefault="00FD1E19" w:rsidP="00BE7E4A">
            <w:pPr>
              <w:pStyle w:val="DMETW37225BIPCURPAY"/>
              <w:keepNext/>
              <w:keepLines/>
              <w:rPr>
                <w:rFonts w:ascii="Verdana" w:eastAsia="Verdana" w:hAnsi="Verdana" w:cs="Verdana"/>
                <w:i/>
                <w:noProof/>
                <w:color w:val="000000"/>
                <w:sz w:val="18"/>
              </w:rPr>
            </w:pPr>
            <w:r>
              <w:rPr>
                <w:rFonts w:ascii="Verdana" w:eastAsia="Verdana" w:hAnsi="Verdana" w:cs="Verdana"/>
                <w:i/>
                <w:noProof/>
                <w:color w:val="000000"/>
                <w:sz w:val="18"/>
              </w:rPr>
              <w:t>Public bodies</w:t>
            </w:r>
          </w:p>
        </w:tc>
        <w:tc>
          <w:tcPr>
            <w:tcW w:w="1342" w:type="dxa"/>
            <w:tcBorders>
              <w:top w:val="nil"/>
              <w:left w:val="nil"/>
              <w:bottom w:val="nil"/>
              <w:right w:val="nil"/>
              <w:tl2br w:val="nil"/>
              <w:tr2bl w:val="nil"/>
            </w:tcBorders>
            <w:shd w:val="clear" w:color="auto" w:fill="auto"/>
            <w:tcMar>
              <w:left w:w="60" w:type="dxa"/>
              <w:right w:w="60" w:type="dxa"/>
            </w:tcMar>
            <w:vAlign w:val="center"/>
          </w:tcPr>
          <w:p w14:paraId="08A3511A"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675" w:type="dxa"/>
            <w:tcBorders>
              <w:top w:val="nil"/>
              <w:left w:val="nil"/>
              <w:bottom w:val="nil"/>
              <w:right w:val="nil"/>
              <w:tl2br w:val="nil"/>
              <w:tr2bl w:val="nil"/>
            </w:tcBorders>
            <w:shd w:val="clear" w:color="auto" w:fill="auto"/>
            <w:tcMar>
              <w:left w:w="60" w:type="dxa"/>
              <w:right w:w="60" w:type="dxa"/>
            </w:tcMar>
            <w:vAlign w:val="center"/>
          </w:tcPr>
          <w:p w14:paraId="7C6B02D8"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008" w:type="dxa"/>
            <w:tcBorders>
              <w:top w:val="nil"/>
              <w:left w:val="nil"/>
              <w:bottom w:val="nil"/>
              <w:right w:val="nil"/>
              <w:tl2br w:val="nil"/>
              <w:tr2bl w:val="nil"/>
            </w:tcBorders>
            <w:shd w:val="clear" w:color="auto" w:fill="auto"/>
            <w:tcMar>
              <w:left w:w="60" w:type="dxa"/>
              <w:right w:w="60" w:type="dxa"/>
            </w:tcMar>
            <w:vAlign w:val="center"/>
          </w:tcPr>
          <w:p w14:paraId="305925B6"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1294" w:type="dxa"/>
            <w:tcBorders>
              <w:top w:val="nil"/>
              <w:left w:val="nil"/>
              <w:bottom w:val="nil"/>
              <w:right w:val="nil"/>
              <w:tl2br w:val="nil"/>
              <w:tr2bl w:val="nil"/>
            </w:tcBorders>
            <w:shd w:val="clear" w:color="auto" w:fill="auto"/>
            <w:tcMar>
              <w:left w:w="60" w:type="dxa"/>
              <w:right w:w="60" w:type="dxa"/>
            </w:tcMar>
            <w:vAlign w:val="center"/>
          </w:tcPr>
          <w:p w14:paraId="670879BA"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4B32C0C4" w14:textId="77777777" w:rsidR="00FD1E19" w:rsidRDefault="00FD1E19" w:rsidP="00BE7E4A">
            <w:pPr>
              <w:pStyle w:val="DMETW37225BIPCURPAY"/>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66</w:t>
            </w:r>
          </w:p>
        </w:tc>
      </w:tr>
      <w:tr w:rsidR="00FD1E19" w14:paraId="2BCCACFE" w14:textId="77777777" w:rsidTr="00BE7E4A">
        <w:trPr>
          <w:cantSplit/>
          <w:trHeight w:hRule="exact" w:val="255"/>
        </w:trPr>
        <w:tc>
          <w:tcPr>
            <w:tcW w:w="4105" w:type="dxa"/>
            <w:tcBorders>
              <w:top w:val="nil"/>
              <w:left w:val="nil"/>
              <w:bottom w:val="nil"/>
              <w:right w:val="nil"/>
              <w:tl2br w:val="nil"/>
              <w:tr2bl w:val="nil"/>
            </w:tcBorders>
            <w:shd w:val="clear" w:color="auto" w:fill="auto"/>
            <w:tcMar>
              <w:left w:w="60" w:type="dxa"/>
              <w:right w:w="60" w:type="dxa"/>
            </w:tcMar>
            <w:vAlign w:val="center"/>
          </w:tcPr>
          <w:p w14:paraId="021D5988" w14:textId="77777777" w:rsidR="00FD1E19" w:rsidRDefault="00FD1E19" w:rsidP="00BE7E4A">
            <w:pPr>
              <w:pStyle w:val="DMETW37225BIPCURPAY"/>
              <w:keepNext/>
              <w:keepLines/>
              <w:rPr>
                <w:rFonts w:ascii="Verdana" w:eastAsia="Verdana" w:hAnsi="Verdana" w:cs="Verdana"/>
                <w:i/>
                <w:noProof/>
                <w:color w:val="000000"/>
                <w:sz w:val="18"/>
              </w:rPr>
            </w:pPr>
            <w:r>
              <w:rPr>
                <w:rFonts w:ascii="Verdana" w:eastAsia="Verdana" w:hAnsi="Verdana" w:cs="Verdana"/>
                <w:i/>
                <w:noProof/>
                <w:color w:val="000000"/>
                <w:sz w:val="18"/>
              </w:rPr>
              <w:t>Institutions and Agencies</w:t>
            </w:r>
          </w:p>
        </w:tc>
        <w:tc>
          <w:tcPr>
            <w:tcW w:w="1342" w:type="dxa"/>
            <w:tcBorders>
              <w:top w:val="nil"/>
              <w:left w:val="nil"/>
              <w:bottom w:val="nil"/>
              <w:right w:val="nil"/>
              <w:tl2br w:val="nil"/>
              <w:tr2bl w:val="nil"/>
            </w:tcBorders>
            <w:shd w:val="clear" w:color="auto" w:fill="auto"/>
            <w:tcMar>
              <w:left w:w="60" w:type="dxa"/>
              <w:right w:w="60" w:type="dxa"/>
            </w:tcMar>
            <w:vAlign w:val="center"/>
          </w:tcPr>
          <w:p w14:paraId="3B006D7B"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675" w:type="dxa"/>
            <w:tcBorders>
              <w:top w:val="nil"/>
              <w:left w:val="nil"/>
              <w:bottom w:val="nil"/>
              <w:right w:val="nil"/>
              <w:tl2br w:val="nil"/>
              <w:tr2bl w:val="nil"/>
            </w:tcBorders>
            <w:shd w:val="clear" w:color="auto" w:fill="auto"/>
            <w:tcMar>
              <w:left w:w="60" w:type="dxa"/>
              <w:right w:w="60" w:type="dxa"/>
            </w:tcMar>
            <w:vAlign w:val="center"/>
          </w:tcPr>
          <w:p w14:paraId="1A74CE92"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08" w:type="dxa"/>
            <w:tcBorders>
              <w:top w:val="nil"/>
              <w:left w:val="nil"/>
              <w:bottom w:val="nil"/>
              <w:right w:val="nil"/>
              <w:tl2br w:val="nil"/>
              <w:tr2bl w:val="nil"/>
            </w:tcBorders>
            <w:shd w:val="clear" w:color="auto" w:fill="auto"/>
            <w:tcMar>
              <w:left w:w="60" w:type="dxa"/>
              <w:right w:w="60" w:type="dxa"/>
            </w:tcMar>
            <w:vAlign w:val="center"/>
          </w:tcPr>
          <w:p w14:paraId="0E257B14"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294" w:type="dxa"/>
            <w:tcBorders>
              <w:top w:val="nil"/>
              <w:left w:val="nil"/>
              <w:bottom w:val="nil"/>
              <w:right w:val="nil"/>
              <w:tl2br w:val="nil"/>
              <w:tr2bl w:val="nil"/>
            </w:tcBorders>
            <w:shd w:val="clear" w:color="auto" w:fill="auto"/>
            <w:tcMar>
              <w:left w:w="60" w:type="dxa"/>
              <w:right w:w="60" w:type="dxa"/>
            </w:tcMar>
            <w:vAlign w:val="center"/>
          </w:tcPr>
          <w:p w14:paraId="4EEF5F0B" w14:textId="77777777" w:rsidR="00FD1E19" w:rsidRDefault="00FD1E19" w:rsidP="00BE7E4A">
            <w:pPr>
              <w:pStyle w:val="DMETW37225BIPCURPAY"/>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501E0C5A" w14:textId="77777777" w:rsidR="00FD1E19" w:rsidRDefault="00FD1E19" w:rsidP="00BE7E4A">
            <w:pPr>
              <w:pStyle w:val="DMETW37225BIPCURPAY"/>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1FCB1D69" w14:textId="77777777" w:rsidTr="00BE7E4A">
        <w:trPr>
          <w:trHeight w:hRule="exact" w:val="225"/>
        </w:trPr>
        <w:tc>
          <w:tcPr>
            <w:tcW w:w="410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6154D02" w14:textId="77777777" w:rsidR="00FD1E19" w:rsidRDefault="00FD1E19" w:rsidP="00BE7E4A">
            <w:pPr>
              <w:pStyle w:val="DMETW37225BIPCURPAY"/>
              <w:keepNext/>
              <w:keepLines/>
              <w:rPr>
                <w:rFonts w:ascii="Verdana" w:eastAsia="Verdana" w:hAnsi="Verdana" w:cs="Verdana"/>
                <w:b/>
                <w:noProof/>
                <w:color w:val="000000"/>
                <w:sz w:val="18"/>
              </w:rPr>
            </w:pPr>
            <w:r>
              <w:rPr>
                <w:rFonts w:ascii="Verdana" w:eastAsia="Verdana" w:hAnsi="Verdana" w:cs="Verdana"/>
                <w:b/>
                <w:noProof/>
                <w:color w:val="000000"/>
                <w:sz w:val="18"/>
              </w:rPr>
              <w:t>Total</w:t>
            </w:r>
          </w:p>
        </w:tc>
        <w:tc>
          <w:tcPr>
            <w:tcW w:w="134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A384388" w14:textId="77777777" w:rsidR="00FD1E19" w:rsidRDefault="00FD1E19" w:rsidP="00BE7E4A">
            <w:pPr>
              <w:pStyle w:val="DMETW37225BIPCURPAY"/>
              <w:keepNext/>
              <w:keepLines/>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67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B839146" w14:textId="77777777" w:rsidR="00FD1E19" w:rsidRDefault="00FD1E19" w:rsidP="00BE7E4A">
            <w:pPr>
              <w:pStyle w:val="DMETW37225BIPCURPAY"/>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10</w:t>
            </w:r>
          </w:p>
        </w:tc>
        <w:tc>
          <w:tcPr>
            <w:tcW w:w="100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168EE3D" w14:textId="77777777" w:rsidR="00FD1E19" w:rsidRDefault="00FD1E19" w:rsidP="00BE7E4A">
            <w:pPr>
              <w:pStyle w:val="DMETW37225BIPCURPAY"/>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93</w:t>
            </w:r>
          </w:p>
        </w:tc>
        <w:tc>
          <w:tcPr>
            <w:tcW w:w="129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18882C2" w14:textId="77777777" w:rsidR="00FD1E19" w:rsidRDefault="00FD1E19" w:rsidP="00BE7E4A">
            <w:pPr>
              <w:pStyle w:val="DMETW37225BIPCURPAY"/>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104</w:t>
            </w:r>
          </w:p>
        </w:tc>
        <w:tc>
          <w:tcPr>
            <w:tcW w:w="133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D0D3C32" w14:textId="77777777" w:rsidR="00FD1E19" w:rsidRDefault="00FD1E19" w:rsidP="00BE7E4A">
            <w:pPr>
              <w:pStyle w:val="DMETW37225BIPCURPAY"/>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150</w:t>
            </w:r>
          </w:p>
        </w:tc>
      </w:tr>
    </w:tbl>
    <w:p w14:paraId="4E34176A" w14:textId="77777777" w:rsidR="00FD1E19" w:rsidRDefault="00FD1E19" w:rsidP="00FD1E19">
      <w:pPr>
        <w:pStyle w:val="Textstand-alone"/>
      </w:pPr>
      <w:r>
        <w:t>Payables largely comprise cost statements received by the EDF in respect of grants provided to the beneficiaries. They are recorded at the moment when the cost statement is received and for the full amount of the cost statement. Following an eligibility check, only the eligible amounts are paid to the beneficiaries. At year-end, the outstanding cost claims are analysed and the estimated eligible amounts related to those cost claims are recognised in the statement of financial performance. The estimated non-eligible amounts are shown under ‘Other current payables’.</w:t>
      </w:r>
    </w:p>
    <w:p w14:paraId="3F732848" w14:textId="77777777" w:rsidR="00FD1E19" w:rsidRDefault="00FD1E19" w:rsidP="00FD1E19">
      <w:pPr>
        <w:pStyle w:val="Textstand-alone"/>
      </w:pPr>
      <w:r>
        <w:t>The decrease in payables is attributed to a lower volume of invoices received that remained outstanding at year-end.</w:t>
      </w:r>
    </w:p>
    <w:p w14:paraId="3FDD25C7" w14:textId="77777777" w:rsidR="00FD1E19" w:rsidRPr="00F64D38" w:rsidRDefault="00FD1E19" w:rsidP="00FD1E19">
      <w:pPr>
        <w:pStyle w:val="HEADER3Part2"/>
        <w:jc w:val="both"/>
        <w:rPr>
          <w:noProof/>
        </w:rPr>
      </w:pPr>
      <w:bookmarkStart w:id="93" w:name="_Ref35557557"/>
      <w:r w:rsidRPr="00F64D38">
        <w:rPr>
          <w:noProof/>
        </w:rPr>
        <w:t>Sundry payables</w:t>
      </w:r>
      <w:bookmarkEnd w:id="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5"/>
        <w:gridCol w:w="959"/>
        <w:gridCol w:w="957"/>
        <w:gridCol w:w="799"/>
        <w:gridCol w:w="603"/>
        <w:gridCol w:w="1442"/>
        <w:gridCol w:w="1593"/>
      </w:tblGrid>
      <w:tr w:rsidR="00FD1E19" w14:paraId="5164062A" w14:textId="77777777" w:rsidTr="00BE7E4A">
        <w:trPr>
          <w:trHeight w:val="255"/>
        </w:trPr>
        <w:tc>
          <w:tcPr>
            <w:tcW w:w="9758" w:type="dxa"/>
            <w:gridSpan w:val="7"/>
            <w:tcBorders>
              <w:top w:val="nil"/>
              <w:left w:val="nil"/>
              <w:bottom w:val="nil"/>
              <w:right w:val="nil"/>
              <w:tl2br w:val="nil"/>
              <w:tr2bl w:val="nil"/>
            </w:tcBorders>
            <w:shd w:val="clear" w:color="auto" w:fill="auto"/>
            <w:tcMar>
              <w:left w:w="60" w:type="dxa"/>
              <w:right w:w="60" w:type="dxa"/>
            </w:tcMar>
            <w:vAlign w:val="center"/>
          </w:tcPr>
          <w:p w14:paraId="21FF120B" w14:textId="77777777" w:rsidR="00FD1E19" w:rsidRDefault="00FD1E19" w:rsidP="00BE7E4A">
            <w:pPr>
              <w:pStyle w:val="DMETW37225BIPSUNPAY"/>
              <w:jc w:val="right"/>
              <w:rPr>
                <w:rFonts w:ascii="Verdana" w:eastAsia="Verdana" w:hAnsi="Verdana" w:cs="Verdana"/>
                <w:i/>
                <w:noProof/>
                <w:color w:val="000000"/>
                <w:sz w:val="16"/>
                <w:lang w:bidi="en-GB"/>
              </w:rPr>
            </w:pPr>
            <w:bookmarkStart w:id="94" w:name="DOC_TBL00026_1_1"/>
            <w:bookmarkEnd w:id="94"/>
            <w:r>
              <w:rPr>
                <w:rFonts w:ascii="Verdana" w:eastAsia="Verdana" w:hAnsi="Verdana" w:cs="Verdana"/>
                <w:i/>
                <w:noProof/>
                <w:color w:val="000000"/>
                <w:sz w:val="16"/>
                <w:lang w:bidi="en-GB"/>
              </w:rPr>
              <w:t>EUR million</w:t>
            </w:r>
          </w:p>
        </w:tc>
      </w:tr>
      <w:tr w:rsidR="00FD1E19" w14:paraId="2663B651" w14:textId="77777777" w:rsidTr="00BE7E4A">
        <w:trPr>
          <w:trHeight w:val="255"/>
        </w:trPr>
        <w:tc>
          <w:tcPr>
            <w:tcW w:w="3405" w:type="dxa"/>
            <w:tcBorders>
              <w:top w:val="nil"/>
              <w:left w:val="nil"/>
              <w:bottom w:val="nil"/>
              <w:right w:val="nil"/>
              <w:tl2br w:val="nil"/>
              <w:tr2bl w:val="nil"/>
            </w:tcBorders>
            <w:shd w:val="solid" w:color="016794" w:fill="FFFFFF"/>
            <w:tcMar>
              <w:left w:w="60" w:type="dxa"/>
              <w:right w:w="60" w:type="dxa"/>
            </w:tcMar>
            <w:vAlign w:val="center"/>
          </w:tcPr>
          <w:p w14:paraId="054D4EC1" w14:textId="77777777" w:rsidR="00FD1E19" w:rsidRDefault="00FD1E19" w:rsidP="00BE7E4A">
            <w:pPr>
              <w:pStyle w:val="DMETW37225BIPSUNPAY"/>
              <w:jc w:val="center"/>
              <w:rPr>
                <w:rFonts w:ascii="Verdana" w:eastAsia="Verdana" w:hAnsi="Verdana" w:cs="Verdana"/>
                <w:noProof/>
                <w:color w:val="FFFFFF"/>
              </w:rPr>
            </w:pPr>
          </w:p>
        </w:tc>
        <w:tc>
          <w:tcPr>
            <w:tcW w:w="959" w:type="dxa"/>
            <w:tcBorders>
              <w:top w:val="nil"/>
              <w:left w:val="nil"/>
              <w:bottom w:val="nil"/>
              <w:right w:val="nil"/>
              <w:tl2br w:val="nil"/>
              <w:tr2bl w:val="nil"/>
            </w:tcBorders>
            <w:shd w:val="solid" w:color="016794" w:fill="FFFFFF"/>
            <w:tcMar>
              <w:left w:w="60" w:type="dxa"/>
              <w:right w:w="60" w:type="dxa"/>
            </w:tcMar>
            <w:vAlign w:val="center"/>
          </w:tcPr>
          <w:p w14:paraId="01D2FF42" w14:textId="77777777" w:rsidR="00FD1E19" w:rsidRDefault="00FD1E19" w:rsidP="00BE7E4A">
            <w:pPr>
              <w:pStyle w:val="DMETW37225BIPSUNPAY"/>
              <w:jc w:val="center"/>
              <w:rPr>
                <w:rFonts w:ascii="Verdana" w:eastAsia="Verdana" w:hAnsi="Verdana" w:cs="Verdana"/>
                <w:noProof/>
                <w:color w:val="FFFFFF"/>
              </w:rPr>
            </w:pPr>
            <w:r>
              <w:rPr>
                <w:rFonts w:ascii="Verdana" w:eastAsia="Verdana" w:hAnsi="Verdana" w:cs="Verdana"/>
                <w:noProof/>
                <w:color w:val="FFFFFF"/>
              </w:rPr>
              <w:t>Note</w:t>
            </w:r>
          </w:p>
        </w:tc>
        <w:tc>
          <w:tcPr>
            <w:tcW w:w="957" w:type="dxa"/>
            <w:tcBorders>
              <w:top w:val="nil"/>
              <w:left w:val="nil"/>
              <w:bottom w:val="nil"/>
              <w:right w:val="nil"/>
              <w:tl2br w:val="nil"/>
              <w:tr2bl w:val="nil"/>
            </w:tcBorders>
            <w:shd w:val="solid" w:color="016794" w:fill="FFFFFF"/>
            <w:tcMar>
              <w:left w:w="60" w:type="dxa"/>
              <w:right w:w="60" w:type="dxa"/>
            </w:tcMar>
            <w:vAlign w:val="center"/>
          </w:tcPr>
          <w:p w14:paraId="169742D9" w14:textId="77777777" w:rsidR="00FD1E19" w:rsidRDefault="00FD1E19" w:rsidP="00BE7E4A">
            <w:pPr>
              <w:pStyle w:val="DMETW37225BIPSUNPAY"/>
              <w:jc w:val="right"/>
              <w:rPr>
                <w:rFonts w:ascii="Verdana" w:eastAsia="Verdana" w:hAnsi="Verdana" w:cs="Verdana"/>
                <w:noProof/>
                <w:color w:val="FFFFFF"/>
              </w:rPr>
            </w:pPr>
            <w:r>
              <w:rPr>
                <w:rFonts w:ascii="Verdana" w:eastAsia="Verdana" w:hAnsi="Verdana" w:cs="Verdana"/>
                <w:noProof/>
                <w:color w:val="FFFFFF"/>
              </w:rPr>
              <w:t>Ninth EDF</w:t>
            </w:r>
          </w:p>
        </w:tc>
        <w:tc>
          <w:tcPr>
            <w:tcW w:w="799" w:type="dxa"/>
            <w:tcBorders>
              <w:top w:val="nil"/>
              <w:left w:val="nil"/>
              <w:bottom w:val="nil"/>
              <w:right w:val="nil"/>
              <w:tl2br w:val="nil"/>
              <w:tr2bl w:val="nil"/>
            </w:tcBorders>
            <w:shd w:val="solid" w:color="016794" w:fill="FFFFFF"/>
            <w:tcMar>
              <w:left w:w="60" w:type="dxa"/>
              <w:right w:w="60" w:type="dxa"/>
            </w:tcMar>
            <w:vAlign w:val="center"/>
          </w:tcPr>
          <w:p w14:paraId="43EC3755" w14:textId="77777777" w:rsidR="00FD1E19" w:rsidRDefault="00FD1E19" w:rsidP="00BE7E4A">
            <w:pPr>
              <w:pStyle w:val="DMETW37225BIPSUNPAY"/>
              <w:jc w:val="right"/>
              <w:rPr>
                <w:rFonts w:ascii="Verdana" w:eastAsia="Verdana" w:hAnsi="Verdana" w:cs="Verdana"/>
                <w:noProof/>
                <w:color w:val="FFFFFF"/>
              </w:rPr>
            </w:pPr>
            <w:r>
              <w:rPr>
                <w:rFonts w:ascii="Verdana" w:eastAsia="Verdana" w:hAnsi="Verdana" w:cs="Verdana"/>
                <w:noProof/>
                <w:color w:val="FFFFFF"/>
              </w:rPr>
              <w:t>10th EDF</w:t>
            </w:r>
          </w:p>
        </w:tc>
        <w:tc>
          <w:tcPr>
            <w:tcW w:w="603" w:type="dxa"/>
            <w:tcBorders>
              <w:top w:val="nil"/>
              <w:left w:val="nil"/>
              <w:bottom w:val="nil"/>
              <w:right w:val="nil"/>
              <w:tl2br w:val="nil"/>
              <w:tr2bl w:val="nil"/>
            </w:tcBorders>
            <w:shd w:val="solid" w:color="016794" w:fill="FFFFFF"/>
            <w:tcMar>
              <w:left w:w="60" w:type="dxa"/>
              <w:right w:w="60" w:type="dxa"/>
            </w:tcMar>
            <w:vAlign w:val="center"/>
          </w:tcPr>
          <w:p w14:paraId="581380B5" w14:textId="77777777" w:rsidR="00FD1E19" w:rsidRDefault="00FD1E19" w:rsidP="00BE7E4A">
            <w:pPr>
              <w:pStyle w:val="DMETW37225BIPSUNPAY"/>
              <w:jc w:val="right"/>
              <w:rPr>
                <w:rFonts w:ascii="Verdana" w:eastAsia="Verdana" w:hAnsi="Verdana" w:cs="Verdana"/>
                <w:noProof/>
                <w:color w:val="FFFFFF"/>
              </w:rPr>
            </w:pPr>
            <w:r>
              <w:rPr>
                <w:rFonts w:ascii="Verdana" w:eastAsia="Verdana" w:hAnsi="Verdana" w:cs="Verdana"/>
                <w:noProof/>
                <w:color w:val="FFFFFF"/>
              </w:rPr>
              <w:t>11th EDF</w:t>
            </w:r>
          </w:p>
        </w:tc>
        <w:tc>
          <w:tcPr>
            <w:tcW w:w="1442" w:type="dxa"/>
            <w:tcBorders>
              <w:top w:val="nil"/>
              <w:left w:val="nil"/>
              <w:bottom w:val="nil"/>
              <w:right w:val="nil"/>
              <w:tl2br w:val="nil"/>
              <w:tr2bl w:val="nil"/>
            </w:tcBorders>
            <w:shd w:val="solid" w:color="016794" w:fill="FFFFFF"/>
            <w:tcMar>
              <w:left w:w="60" w:type="dxa"/>
              <w:right w:w="60" w:type="dxa"/>
            </w:tcMar>
            <w:vAlign w:val="center"/>
          </w:tcPr>
          <w:p w14:paraId="7F3D8EDE" w14:textId="77777777" w:rsidR="00FD1E19" w:rsidRDefault="00FD1E19" w:rsidP="00BE7E4A">
            <w:pPr>
              <w:pStyle w:val="DMETW37225BIPSUNPAY"/>
              <w:jc w:val="right"/>
              <w:rPr>
                <w:rFonts w:ascii="Verdana" w:eastAsia="Verdana" w:hAnsi="Verdana" w:cs="Verdana"/>
                <w:noProof/>
                <w:color w:val="FFFFFF"/>
              </w:rPr>
            </w:pPr>
            <w:r>
              <w:rPr>
                <w:rFonts w:ascii="Verdana" w:eastAsia="Verdana" w:hAnsi="Verdana" w:cs="Verdana"/>
                <w:noProof/>
                <w:color w:val="FFFFFF"/>
              </w:rPr>
              <w:t>31.12.2025</w:t>
            </w:r>
          </w:p>
        </w:tc>
        <w:tc>
          <w:tcPr>
            <w:tcW w:w="1593" w:type="dxa"/>
            <w:tcBorders>
              <w:top w:val="nil"/>
              <w:left w:val="nil"/>
              <w:bottom w:val="nil"/>
              <w:right w:val="nil"/>
              <w:tl2br w:val="nil"/>
              <w:tr2bl w:val="nil"/>
            </w:tcBorders>
            <w:shd w:val="solid" w:color="016794" w:fill="FFFFFF"/>
            <w:tcMar>
              <w:left w:w="60" w:type="dxa"/>
              <w:right w:w="60" w:type="dxa"/>
            </w:tcMar>
            <w:vAlign w:val="center"/>
          </w:tcPr>
          <w:p w14:paraId="779EE929" w14:textId="77777777" w:rsidR="00FD1E19" w:rsidRDefault="00FD1E19" w:rsidP="00BE7E4A">
            <w:pPr>
              <w:pStyle w:val="DMETW37225BIPSUNPAY"/>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288C1256" w14:textId="77777777" w:rsidTr="00BE7E4A">
        <w:trPr>
          <w:trHeight w:val="255"/>
        </w:trPr>
        <w:tc>
          <w:tcPr>
            <w:tcW w:w="3405" w:type="dxa"/>
            <w:tcBorders>
              <w:top w:val="nil"/>
              <w:left w:val="nil"/>
              <w:bottom w:val="nil"/>
              <w:right w:val="nil"/>
              <w:tl2br w:val="nil"/>
              <w:tr2bl w:val="nil"/>
            </w:tcBorders>
            <w:shd w:val="clear" w:color="auto" w:fill="auto"/>
            <w:tcMar>
              <w:left w:w="60" w:type="dxa"/>
              <w:right w:w="60" w:type="dxa"/>
            </w:tcMar>
            <w:vAlign w:val="center"/>
          </w:tcPr>
          <w:p w14:paraId="5A5614F8" w14:textId="77777777" w:rsidR="00FD1E19" w:rsidRDefault="00FD1E19" w:rsidP="00BE7E4A">
            <w:pPr>
              <w:pStyle w:val="DMETW37225BIPSUNPAY"/>
              <w:rPr>
                <w:rFonts w:ascii="Verdana" w:eastAsia="Verdana" w:hAnsi="Verdana" w:cs="Verdana"/>
                <w:i/>
                <w:noProof/>
                <w:color w:val="000000"/>
                <w:sz w:val="18"/>
              </w:rPr>
            </w:pPr>
            <w:r>
              <w:rPr>
                <w:rFonts w:ascii="Verdana" w:eastAsia="Verdana" w:hAnsi="Verdana" w:cs="Verdana"/>
                <w:i/>
                <w:noProof/>
                <w:color w:val="000000"/>
                <w:sz w:val="18"/>
              </w:rPr>
              <w:t>Co-financing payables</w:t>
            </w:r>
          </w:p>
        </w:tc>
        <w:tc>
          <w:tcPr>
            <w:tcW w:w="959" w:type="dxa"/>
            <w:tcBorders>
              <w:top w:val="nil"/>
              <w:left w:val="nil"/>
              <w:bottom w:val="nil"/>
              <w:right w:val="nil"/>
              <w:tl2br w:val="nil"/>
              <w:tr2bl w:val="nil"/>
            </w:tcBorders>
            <w:shd w:val="clear" w:color="auto" w:fill="auto"/>
            <w:tcMar>
              <w:left w:w="60" w:type="dxa"/>
              <w:right w:w="60" w:type="dxa"/>
            </w:tcMar>
            <w:vAlign w:val="center"/>
          </w:tcPr>
          <w:p w14:paraId="336F5C3D" w14:textId="77777777" w:rsidR="00FD1E19" w:rsidRDefault="00FD1E19" w:rsidP="00BE7E4A">
            <w:pPr>
              <w:pStyle w:val="DMETW37225BIPSUNPAY"/>
              <w:rPr>
                <w:rFonts w:ascii="Verdana" w:eastAsia="Verdana" w:hAnsi="Verdana" w:cs="Verdana"/>
                <w:noProof/>
                <w:color w:val="000000"/>
                <w:sz w:val="18"/>
              </w:rPr>
            </w:pPr>
            <w:r>
              <w:rPr>
                <w:rFonts w:ascii="Verdana" w:eastAsia="Verdana" w:hAnsi="Verdana" w:cs="Verdana"/>
                <w:noProof/>
                <w:color w:val="000000"/>
                <w:sz w:val="18"/>
              </w:rPr>
              <w:t>2.7.2.1</w:t>
            </w:r>
          </w:p>
        </w:tc>
        <w:tc>
          <w:tcPr>
            <w:tcW w:w="957" w:type="dxa"/>
            <w:tcBorders>
              <w:top w:val="nil"/>
              <w:left w:val="nil"/>
              <w:bottom w:val="nil"/>
              <w:right w:val="nil"/>
              <w:tl2br w:val="nil"/>
              <w:tr2bl w:val="nil"/>
            </w:tcBorders>
            <w:shd w:val="clear" w:color="auto" w:fill="auto"/>
            <w:tcMar>
              <w:left w:w="60" w:type="dxa"/>
              <w:right w:w="60" w:type="dxa"/>
            </w:tcMar>
            <w:vAlign w:val="center"/>
          </w:tcPr>
          <w:p w14:paraId="52326A73"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99" w:type="dxa"/>
            <w:tcBorders>
              <w:top w:val="nil"/>
              <w:left w:val="nil"/>
              <w:bottom w:val="nil"/>
              <w:right w:val="nil"/>
              <w:tl2br w:val="nil"/>
              <w:tr2bl w:val="nil"/>
            </w:tcBorders>
            <w:shd w:val="clear" w:color="auto" w:fill="auto"/>
            <w:tcMar>
              <w:left w:w="60" w:type="dxa"/>
              <w:right w:w="60" w:type="dxa"/>
            </w:tcMar>
            <w:vAlign w:val="center"/>
          </w:tcPr>
          <w:p w14:paraId="732A92E5"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603" w:type="dxa"/>
            <w:tcBorders>
              <w:top w:val="nil"/>
              <w:left w:val="nil"/>
              <w:bottom w:val="nil"/>
              <w:right w:val="nil"/>
              <w:tl2br w:val="nil"/>
              <w:tr2bl w:val="nil"/>
            </w:tcBorders>
            <w:shd w:val="clear" w:color="auto" w:fill="auto"/>
            <w:tcMar>
              <w:left w:w="60" w:type="dxa"/>
              <w:right w:w="60" w:type="dxa"/>
            </w:tcMar>
            <w:vAlign w:val="center"/>
          </w:tcPr>
          <w:p w14:paraId="43524238"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 xml:space="preserve"> 22</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45C32EE4"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 xml:space="preserve"> 27</w:t>
            </w:r>
          </w:p>
        </w:tc>
        <w:tc>
          <w:tcPr>
            <w:tcW w:w="1593" w:type="dxa"/>
            <w:tcBorders>
              <w:top w:val="nil"/>
              <w:left w:val="nil"/>
              <w:bottom w:val="nil"/>
              <w:right w:val="nil"/>
              <w:tl2br w:val="nil"/>
              <w:tr2bl w:val="nil"/>
            </w:tcBorders>
            <w:shd w:val="clear" w:color="auto" w:fill="auto"/>
            <w:tcMar>
              <w:left w:w="60" w:type="dxa"/>
              <w:right w:w="60" w:type="dxa"/>
            </w:tcMar>
            <w:vAlign w:val="center"/>
          </w:tcPr>
          <w:p w14:paraId="6BEAC4C8" w14:textId="77777777" w:rsidR="00FD1E19" w:rsidRDefault="00FD1E19" w:rsidP="00BE7E4A">
            <w:pPr>
              <w:pStyle w:val="DMETW37225BIPSUNPA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w:t>
            </w:r>
          </w:p>
        </w:tc>
      </w:tr>
      <w:tr w:rsidR="00FD1E19" w14:paraId="11C35AA6" w14:textId="77777777" w:rsidTr="00BE7E4A">
        <w:trPr>
          <w:trHeight w:val="255"/>
        </w:trPr>
        <w:tc>
          <w:tcPr>
            <w:tcW w:w="3405" w:type="dxa"/>
            <w:tcBorders>
              <w:top w:val="nil"/>
              <w:left w:val="nil"/>
              <w:bottom w:val="nil"/>
              <w:right w:val="nil"/>
              <w:tl2br w:val="nil"/>
              <w:tr2bl w:val="nil"/>
            </w:tcBorders>
            <w:shd w:val="clear" w:color="auto" w:fill="auto"/>
            <w:tcMar>
              <w:left w:w="60" w:type="dxa"/>
              <w:right w:w="60" w:type="dxa"/>
            </w:tcMar>
            <w:vAlign w:val="center"/>
          </w:tcPr>
          <w:p w14:paraId="20A83374" w14:textId="77777777" w:rsidR="00FD1E19" w:rsidRDefault="00FD1E19" w:rsidP="00BE7E4A">
            <w:pPr>
              <w:pStyle w:val="DMETW37225BIPSUNPAY"/>
              <w:rPr>
                <w:rFonts w:ascii="Verdana" w:eastAsia="Verdana" w:hAnsi="Verdana" w:cs="Verdana"/>
                <w:i/>
                <w:noProof/>
                <w:color w:val="000000"/>
                <w:sz w:val="18"/>
              </w:rPr>
            </w:pPr>
            <w:r>
              <w:rPr>
                <w:rFonts w:ascii="Verdana" w:eastAsia="Verdana" w:hAnsi="Verdana" w:cs="Verdana"/>
                <w:i/>
                <w:noProof/>
                <w:color w:val="000000"/>
                <w:sz w:val="18"/>
              </w:rPr>
              <w:t>Deferred capital contributions</w:t>
            </w:r>
          </w:p>
        </w:tc>
        <w:tc>
          <w:tcPr>
            <w:tcW w:w="959" w:type="dxa"/>
            <w:tcBorders>
              <w:top w:val="nil"/>
              <w:left w:val="nil"/>
              <w:bottom w:val="nil"/>
              <w:right w:val="nil"/>
              <w:tl2br w:val="nil"/>
              <w:tr2bl w:val="nil"/>
            </w:tcBorders>
            <w:shd w:val="clear" w:color="auto" w:fill="auto"/>
            <w:tcMar>
              <w:left w:w="60" w:type="dxa"/>
              <w:right w:w="60" w:type="dxa"/>
            </w:tcMar>
            <w:vAlign w:val="center"/>
          </w:tcPr>
          <w:p w14:paraId="6FCAA42E" w14:textId="77777777" w:rsidR="00FD1E19" w:rsidRDefault="00FD1E19" w:rsidP="00BE7E4A">
            <w:pPr>
              <w:pStyle w:val="DMETW37225BIPSUNPAY"/>
              <w:rPr>
                <w:rFonts w:ascii="Verdana" w:eastAsia="Verdana" w:hAnsi="Verdana" w:cs="Verdana"/>
                <w:noProof/>
                <w:color w:val="000000"/>
                <w:sz w:val="18"/>
              </w:rPr>
            </w:pPr>
            <w:r>
              <w:rPr>
                <w:rFonts w:ascii="Verdana" w:eastAsia="Verdana" w:hAnsi="Verdana" w:cs="Verdana"/>
                <w:noProof/>
                <w:color w:val="000000"/>
                <w:sz w:val="18"/>
              </w:rPr>
              <w:t>2.7.2.2</w:t>
            </w:r>
          </w:p>
        </w:tc>
        <w:tc>
          <w:tcPr>
            <w:tcW w:w="957" w:type="dxa"/>
            <w:tcBorders>
              <w:top w:val="nil"/>
              <w:left w:val="nil"/>
              <w:bottom w:val="nil"/>
              <w:right w:val="nil"/>
              <w:tl2br w:val="nil"/>
              <w:tr2bl w:val="nil"/>
            </w:tcBorders>
            <w:shd w:val="clear" w:color="auto" w:fill="auto"/>
            <w:tcMar>
              <w:left w:w="60" w:type="dxa"/>
              <w:right w:w="60" w:type="dxa"/>
            </w:tcMar>
            <w:vAlign w:val="center"/>
          </w:tcPr>
          <w:p w14:paraId="4C097E02"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99" w:type="dxa"/>
            <w:tcBorders>
              <w:top w:val="nil"/>
              <w:left w:val="nil"/>
              <w:bottom w:val="nil"/>
              <w:right w:val="nil"/>
              <w:tl2br w:val="nil"/>
              <w:tr2bl w:val="nil"/>
            </w:tcBorders>
            <w:shd w:val="clear" w:color="auto" w:fill="auto"/>
            <w:tcMar>
              <w:left w:w="60" w:type="dxa"/>
              <w:right w:w="60" w:type="dxa"/>
            </w:tcMar>
            <w:vAlign w:val="center"/>
          </w:tcPr>
          <w:p w14:paraId="2333F1F6"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603" w:type="dxa"/>
            <w:tcBorders>
              <w:top w:val="nil"/>
              <w:left w:val="nil"/>
              <w:bottom w:val="nil"/>
              <w:right w:val="nil"/>
              <w:tl2br w:val="nil"/>
              <w:tr2bl w:val="nil"/>
            </w:tcBorders>
            <w:shd w:val="clear" w:color="auto" w:fill="auto"/>
            <w:tcMar>
              <w:left w:w="60" w:type="dxa"/>
              <w:right w:w="60" w:type="dxa"/>
            </w:tcMar>
            <w:vAlign w:val="center"/>
          </w:tcPr>
          <w:p w14:paraId="1AD63F0A"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 xml:space="preserve"> 51</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283D1FDA"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 xml:space="preserve"> 51</w:t>
            </w:r>
          </w:p>
        </w:tc>
        <w:tc>
          <w:tcPr>
            <w:tcW w:w="1593" w:type="dxa"/>
            <w:tcBorders>
              <w:top w:val="nil"/>
              <w:left w:val="nil"/>
              <w:bottom w:val="nil"/>
              <w:right w:val="nil"/>
              <w:tl2br w:val="nil"/>
              <w:tr2bl w:val="nil"/>
            </w:tcBorders>
            <w:shd w:val="clear" w:color="auto" w:fill="auto"/>
            <w:tcMar>
              <w:left w:w="60" w:type="dxa"/>
              <w:right w:w="60" w:type="dxa"/>
            </w:tcMar>
            <w:vAlign w:val="center"/>
          </w:tcPr>
          <w:p w14:paraId="4BFBB108" w14:textId="77777777" w:rsidR="00FD1E19" w:rsidRDefault="00FD1E19" w:rsidP="00BE7E4A">
            <w:pPr>
              <w:pStyle w:val="DMETW37225BIPSUNPA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64</w:t>
            </w:r>
          </w:p>
        </w:tc>
      </w:tr>
      <w:tr w:rsidR="00FD1E19" w14:paraId="6661231E" w14:textId="77777777" w:rsidTr="00BE7E4A">
        <w:trPr>
          <w:trHeight w:val="255"/>
        </w:trPr>
        <w:tc>
          <w:tcPr>
            <w:tcW w:w="3405" w:type="dxa"/>
            <w:tcBorders>
              <w:top w:val="nil"/>
              <w:left w:val="nil"/>
              <w:bottom w:val="single" w:sz="4" w:space="0" w:color="016794"/>
              <w:right w:val="nil"/>
              <w:tl2br w:val="nil"/>
              <w:tr2bl w:val="nil"/>
            </w:tcBorders>
            <w:shd w:val="clear" w:color="auto" w:fill="auto"/>
            <w:tcMar>
              <w:left w:w="60" w:type="dxa"/>
              <w:right w:w="60" w:type="dxa"/>
            </w:tcMar>
            <w:vAlign w:val="center"/>
          </w:tcPr>
          <w:p w14:paraId="0E794483" w14:textId="77777777" w:rsidR="00FD1E19" w:rsidRDefault="00FD1E19" w:rsidP="00BE7E4A">
            <w:pPr>
              <w:pStyle w:val="DMETW37225BIPSUNPAY"/>
              <w:rPr>
                <w:rFonts w:ascii="Verdana" w:eastAsia="Verdana" w:hAnsi="Verdana" w:cs="Verdana"/>
                <w:i/>
                <w:noProof/>
                <w:color w:val="000000"/>
                <w:sz w:val="18"/>
              </w:rPr>
            </w:pPr>
            <w:r>
              <w:rPr>
                <w:rFonts w:ascii="Verdana" w:eastAsia="Verdana" w:hAnsi="Verdana" w:cs="Verdana"/>
                <w:i/>
                <w:noProof/>
                <w:color w:val="000000"/>
                <w:sz w:val="18"/>
              </w:rPr>
              <w:t>Other sundry payables</w:t>
            </w:r>
          </w:p>
        </w:tc>
        <w:tc>
          <w:tcPr>
            <w:tcW w:w="959" w:type="dxa"/>
            <w:tcBorders>
              <w:top w:val="nil"/>
              <w:left w:val="nil"/>
              <w:bottom w:val="single" w:sz="4" w:space="0" w:color="016794"/>
              <w:right w:val="nil"/>
              <w:tl2br w:val="nil"/>
              <w:tr2bl w:val="nil"/>
            </w:tcBorders>
            <w:shd w:val="clear" w:color="auto" w:fill="auto"/>
            <w:tcMar>
              <w:left w:w="60" w:type="dxa"/>
              <w:right w:w="60" w:type="dxa"/>
            </w:tcMar>
            <w:vAlign w:val="center"/>
          </w:tcPr>
          <w:p w14:paraId="5D45FD86" w14:textId="77777777" w:rsidR="00FD1E19" w:rsidRDefault="00FD1E19" w:rsidP="00BE7E4A">
            <w:pPr>
              <w:pStyle w:val="DMETW37225BIPSUNPAY"/>
              <w:jc w:val="center"/>
              <w:rPr>
                <w:rFonts w:ascii="Verdana" w:eastAsia="Verdana" w:hAnsi="Verdana" w:cs="Verdana"/>
                <w:noProof/>
                <w:color w:val="000000"/>
                <w:sz w:val="18"/>
              </w:rPr>
            </w:pPr>
          </w:p>
        </w:tc>
        <w:tc>
          <w:tcPr>
            <w:tcW w:w="957" w:type="dxa"/>
            <w:tcBorders>
              <w:top w:val="nil"/>
              <w:left w:val="nil"/>
              <w:bottom w:val="single" w:sz="4" w:space="0" w:color="016794"/>
              <w:right w:val="nil"/>
              <w:tl2br w:val="nil"/>
              <w:tr2bl w:val="nil"/>
            </w:tcBorders>
            <w:shd w:val="clear" w:color="auto" w:fill="auto"/>
            <w:tcMar>
              <w:left w:w="60" w:type="dxa"/>
              <w:right w:w="60" w:type="dxa"/>
            </w:tcMar>
            <w:vAlign w:val="center"/>
          </w:tcPr>
          <w:p w14:paraId="611BF6C3"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99" w:type="dxa"/>
            <w:tcBorders>
              <w:top w:val="nil"/>
              <w:left w:val="nil"/>
              <w:bottom w:val="single" w:sz="4" w:space="0" w:color="016794"/>
              <w:right w:val="nil"/>
              <w:tl2br w:val="nil"/>
              <w:tr2bl w:val="nil"/>
            </w:tcBorders>
            <w:shd w:val="clear" w:color="auto" w:fill="auto"/>
            <w:tcMar>
              <w:left w:w="60" w:type="dxa"/>
              <w:right w:w="60" w:type="dxa"/>
            </w:tcMar>
            <w:vAlign w:val="center"/>
          </w:tcPr>
          <w:p w14:paraId="08D68510"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603" w:type="dxa"/>
            <w:tcBorders>
              <w:top w:val="nil"/>
              <w:left w:val="nil"/>
              <w:bottom w:val="single" w:sz="4" w:space="0" w:color="016794"/>
              <w:right w:val="nil"/>
              <w:tl2br w:val="nil"/>
              <w:tr2bl w:val="nil"/>
            </w:tcBorders>
            <w:shd w:val="clear" w:color="auto" w:fill="auto"/>
            <w:tcMar>
              <w:left w:w="60" w:type="dxa"/>
              <w:right w:w="60" w:type="dxa"/>
            </w:tcMar>
            <w:vAlign w:val="center"/>
          </w:tcPr>
          <w:p w14:paraId="28BB71B5"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442" w:type="dxa"/>
            <w:tcBorders>
              <w:top w:val="nil"/>
              <w:left w:val="nil"/>
              <w:bottom w:val="single" w:sz="4" w:space="0" w:color="016794"/>
              <w:right w:val="nil"/>
              <w:tl2br w:val="nil"/>
              <w:tr2bl w:val="nil"/>
            </w:tcBorders>
            <w:shd w:val="clear" w:color="auto" w:fill="auto"/>
            <w:tcMar>
              <w:left w:w="60" w:type="dxa"/>
              <w:right w:w="60" w:type="dxa"/>
            </w:tcMar>
            <w:vAlign w:val="center"/>
          </w:tcPr>
          <w:p w14:paraId="3A05FDC1" w14:textId="77777777" w:rsidR="00FD1E19" w:rsidRDefault="00FD1E19" w:rsidP="00BE7E4A">
            <w:pPr>
              <w:pStyle w:val="DMETW37225BIPSUNPAY"/>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593" w:type="dxa"/>
            <w:tcBorders>
              <w:top w:val="nil"/>
              <w:left w:val="nil"/>
              <w:bottom w:val="single" w:sz="4" w:space="0" w:color="016794"/>
              <w:right w:val="nil"/>
              <w:tl2br w:val="nil"/>
              <w:tr2bl w:val="nil"/>
            </w:tcBorders>
            <w:shd w:val="clear" w:color="auto" w:fill="auto"/>
            <w:tcMar>
              <w:left w:w="60" w:type="dxa"/>
              <w:right w:w="60" w:type="dxa"/>
            </w:tcMar>
            <w:vAlign w:val="center"/>
          </w:tcPr>
          <w:p w14:paraId="12E49627" w14:textId="77777777" w:rsidR="00FD1E19" w:rsidRDefault="00FD1E19" w:rsidP="00BE7E4A">
            <w:pPr>
              <w:pStyle w:val="DMETW37225BIPSUNPA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w:t>
            </w:r>
          </w:p>
        </w:tc>
      </w:tr>
      <w:tr w:rsidR="00FD1E19" w14:paraId="61F35788" w14:textId="77777777" w:rsidTr="00BE7E4A">
        <w:trPr>
          <w:trHeight w:val="255"/>
        </w:trPr>
        <w:tc>
          <w:tcPr>
            <w:tcW w:w="340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78D24A5" w14:textId="77777777" w:rsidR="00FD1E19" w:rsidRDefault="00FD1E19" w:rsidP="00BE7E4A">
            <w:pPr>
              <w:pStyle w:val="DMETW37225BIPSUNPAY"/>
              <w:rPr>
                <w:rFonts w:ascii="Verdana" w:eastAsia="Verdana" w:hAnsi="Verdana" w:cs="Verdana"/>
                <w:b/>
                <w:noProof/>
                <w:color w:val="000000"/>
                <w:sz w:val="18"/>
              </w:rPr>
            </w:pPr>
            <w:r>
              <w:rPr>
                <w:rFonts w:ascii="Verdana" w:eastAsia="Verdana" w:hAnsi="Verdana" w:cs="Verdana"/>
                <w:b/>
                <w:noProof/>
                <w:color w:val="000000"/>
                <w:sz w:val="18"/>
              </w:rPr>
              <w:t>Total</w:t>
            </w:r>
          </w:p>
        </w:tc>
        <w:tc>
          <w:tcPr>
            <w:tcW w:w="95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CC39340" w14:textId="77777777" w:rsidR="00FD1E19" w:rsidRDefault="00FD1E19" w:rsidP="00BE7E4A">
            <w:pPr>
              <w:pStyle w:val="DMETW37225BIPSUNPAY"/>
              <w:jc w:val="right"/>
              <w:rPr>
                <w:rFonts w:ascii="Verdana" w:eastAsia="Verdana" w:hAnsi="Verdana" w:cs="Verdana"/>
                <w:b/>
                <w:noProof/>
                <w:color w:val="000000"/>
                <w:sz w:val="18"/>
              </w:rPr>
            </w:pPr>
          </w:p>
        </w:tc>
        <w:tc>
          <w:tcPr>
            <w:tcW w:w="95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5F4D8C4" w14:textId="77777777" w:rsidR="00FD1E19" w:rsidRPr="00915CF4" w:rsidRDefault="00FD1E19" w:rsidP="00BE7E4A">
            <w:pPr>
              <w:pStyle w:val="DMETW37225BIPSUNPAY"/>
              <w:jc w:val="right"/>
              <w:rPr>
                <w:rFonts w:ascii="Verdana" w:eastAsia="Verdana" w:hAnsi="Verdana" w:cs="Verdana"/>
                <w:b/>
                <w:bCs/>
                <w:noProof/>
                <w:color w:val="000000"/>
                <w:sz w:val="18"/>
              </w:rPr>
            </w:pPr>
            <w:r w:rsidRPr="00915CF4">
              <w:rPr>
                <w:rFonts w:ascii="Verdana" w:eastAsia="Verdana" w:hAnsi="Verdana" w:cs="Verdana"/>
                <w:b/>
                <w:bCs/>
                <w:i/>
                <w:noProof/>
                <w:color w:val="000000"/>
                <w:sz w:val="18"/>
              </w:rPr>
              <w:t>–</w:t>
            </w:r>
          </w:p>
        </w:tc>
        <w:tc>
          <w:tcPr>
            <w:tcW w:w="79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D2C9ADE" w14:textId="77777777" w:rsidR="00FD1E19" w:rsidRDefault="00FD1E19" w:rsidP="00BE7E4A">
            <w:pPr>
              <w:pStyle w:val="DMETW37225BIPSUNPAY"/>
              <w:jc w:val="right"/>
              <w:rPr>
                <w:rFonts w:ascii="Verdana" w:eastAsia="Verdana" w:hAnsi="Verdana" w:cs="Verdana"/>
                <w:b/>
                <w:noProof/>
                <w:color w:val="000000"/>
                <w:sz w:val="18"/>
              </w:rPr>
            </w:pPr>
            <w:r>
              <w:rPr>
                <w:rFonts w:ascii="Verdana" w:eastAsia="Verdana" w:hAnsi="Verdana" w:cs="Verdana"/>
                <w:b/>
                <w:noProof/>
                <w:color w:val="000000"/>
                <w:sz w:val="18"/>
              </w:rPr>
              <w:t xml:space="preserve"> 6</w:t>
            </w:r>
          </w:p>
        </w:tc>
        <w:tc>
          <w:tcPr>
            <w:tcW w:w="60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33DEAF4" w14:textId="77777777" w:rsidR="00FD1E19" w:rsidRDefault="00FD1E19" w:rsidP="00BE7E4A">
            <w:pPr>
              <w:pStyle w:val="DMETW37225BIPSUNPAY"/>
              <w:jc w:val="right"/>
              <w:rPr>
                <w:rFonts w:ascii="Verdana" w:eastAsia="Verdana" w:hAnsi="Verdana" w:cs="Verdana"/>
                <w:b/>
                <w:noProof/>
                <w:color w:val="000000"/>
                <w:sz w:val="18"/>
              </w:rPr>
            </w:pPr>
            <w:r>
              <w:rPr>
                <w:rFonts w:ascii="Verdana" w:eastAsia="Verdana" w:hAnsi="Verdana" w:cs="Verdana"/>
                <w:b/>
                <w:noProof/>
                <w:color w:val="000000"/>
                <w:sz w:val="18"/>
              </w:rPr>
              <w:t xml:space="preserve"> 77</w:t>
            </w:r>
          </w:p>
        </w:tc>
        <w:tc>
          <w:tcPr>
            <w:tcW w:w="144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96B3DDF" w14:textId="77777777" w:rsidR="00FD1E19" w:rsidRDefault="00FD1E19" w:rsidP="00BE7E4A">
            <w:pPr>
              <w:pStyle w:val="DMETW37225BIPSUNPAY"/>
              <w:jc w:val="right"/>
              <w:rPr>
                <w:rFonts w:ascii="Verdana" w:eastAsia="Verdana" w:hAnsi="Verdana" w:cs="Verdana"/>
                <w:b/>
                <w:noProof/>
                <w:color w:val="000000"/>
                <w:sz w:val="18"/>
              </w:rPr>
            </w:pPr>
            <w:r>
              <w:rPr>
                <w:rFonts w:ascii="Verdana" w:eastAsia="Verdana" w:hAnsi="Verdana" w:cs="Verdana"/>
                <w:b/>
                <w:noProof/>
                <w:color w:val="000000"/>
                <w:sz w:val="18"/>
              </w:rPr>
              <w:t xml:space="preserve"> 83</w:t>
            </w:r>
          </w:p>
        </w:tc>
        <w:tc>
          <w:tcPr>
            <w:tcW w:w="159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2318CCD" w14:textId="77777777" w:rsidR="00FD1E19" w:rsidRDefault="00FD1E19" w:rsidP="00BE7E4A">
            <w:pPr>
              <w:pStyle w:val="DMETW37225BIPSUNPAY"/>
              <w:jc w:val="right"/>
              <w:rPr>
                <w:rFonts w:ascii="Verdana" w:eastAsia="Verdana" w:hAnsi="Verdana" w:cs="Verdana"/>
                <w:b/>
                <w:noProof/>
                <w:color w:val="000000"/>
                <w:sz w:val="18"/>
              </w:rPr>
            </w:pPr>
            <w:r>
              <w:rPr>
                <w:rFonts w:ascii="Verdana" w:eastAsia="Verdana" w:hAnsi="Verdana" w:cs="Verdana"/>
                <w:b/>
                <w:noProof/>
                <w:color w:val="000000"/>
                <w:sz w:val="18"/>
              </w:rPr>
              <w:t xml:space="preserve"> 105</w:t>
            </w:r>
          </w:p>
        </w:tc>
      </w:tr>
    </w:tbl>
    <w:p w14:paraId="4F71EC0C" w14:textId="77777777" w:rsidR="00FD1E19" w:rsidRPr="00F64D38" w:rsidRDefault="00FD1E19" w:rsidP="00FD1E19">
      <w:pPr>
        <w:pStyle w:val="HEADER4Part2"/>
        <w:rPr>
          <w:noProof/>
        </w:rPr>
      </w:pPr>
      <w:r w:rsidRPr="00F64D38">
        <w:rPr>
          <w:noProof/>
        </w:rPr>
        <w:t>Co-financing payables</w:t>
      </w:r>
    </w:p>
    <w:p w14:paraId="60797AEC" w14:textId="77777777" w:rsidR="00FD1E19" w:rsidRPr="00F64D38" w:rsidRDefault="00FD1E19" w:rsidP="00FD1E19">
      <w:pPr>
        <w:pStyle w:val="Textstand-alone"/>
      </w:pPr>
      <w:r w:rsidRPr="00F64D38">
        <w:t xml:space="preserve">Co-financing payables represent funds received by the EDF in respect </w:t>
      </w:r>
      <w:r>
        <w:t>of</w:t>
      </w:r>
      <w:r w:rsidRPr="00F64D38">
        <w:t xml:space="preserve"> the co-financing agreements. The EDF is required to use these contributions to deliver agreed services to third parties and return the unused funds to the contributors. Timing of the use of the co-financing amounts determines whether it is disclosed as current or non-current. </w:t>
      </w:r>
    </w:p>
    <w:p w14:paraId="2F6DA586" w14:textId="77777777" w:rsidR="00FD1E19" w:rsidRPr="00F64D38" w:rsidRDefault="00FD1E19" w:rsidP="00FD1E19">
      <w:pPr>
        <w:pStyle w:val="Textstand-alone"/>
      </w:pPr>
      <w:r>
        <w:t>At the year-</w:t>
      </w:r>
      <w:r w:rsidRPr="00F64D38">
        <w:t>end a case-by-case assessment of all co-financing payables is performed and all amounts that are unlikely to be used in the following 12 months are considered non-current.</w:t>
      </w: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0"/>
        <w:gridCol w:w="863"/>
        <w:gridCol w:w="719"/>
        <w:gridCol w:w="1006"/>
        <w:gridCol w:w="1006"/>
        <w:gridCol w:w="1439"/>
        <w:gridCol w:w="1355"/>
      </w:tblGrid>
      <w:tr w:rsidR="00FD1E19" w14:paraId="21AC6183" w14:textId="77777777" w:rsidTr="00BE7E4A">
        <w:trPr>
          <w:trHeight w:hRule="exact" w:val="255"/>
        </w:trPr>
        <w:tc>
          <w:tcPr>
            <w:tcW w:w="3370" w:type="dxa"/>
            <w:gridSpan w:val="7"/>
            <w:tcBorders>
              <w:top w:val="nil"/>
              <w:left w:val="nil"/>
              <w:bottom w:val="nil"/>
              <w:right w:val="nil"/>
              <w:tl2br w:val="nil"/>
              <w:tr2bl w:val="nil"/>
            </w:tcBorders>
            <w:shd w:val="clear" w:color="auto" w:fill="auto"/>
            <w:tcMar>
              <w:left w:w="60" w:type="dxa"/>
              <w:right w:w="60" w:type="dxa"/>
            </w:tcMar>
            <w:vAlign w:val="center"/>
          </w:tcPr>
          <w:p w14:paraId="1C73CDD7" w14:textId="77777777" w:rsidR="00FD1E19" w:rsidRDefault="00FD1E19" w:rsidP="00BE7E4A">
            <w:pPr>
              <w:pStyle w:val="DMETW37225BIPCOFINPAY"/>
              <w:jc w:val="right"/>
              <w:rPr>
                <w:rFonts w:ascii="Verdana" w:eastAsia="Verdana" w:hAnsi="Verdana" w:cs="Verdana"/>
                <w:i/>
                <w:noProof/>
                <w:color w:val="000000"/>
                <w:sz w:val="16"/>
                <w:lang w:bidi="en-GB"/>
              </w:rPr>
            </w:pPr>
            <w:bookmarkStart w:id="95" w:name="DOC_TBL00023_1_1"/>
            <w:bookmarkEnd w:id="95"/>
            <w:r>
              <w:rPr>
                <w:rFonts w:ascii="Verdana" w:eastAsia="Verdana" w:hAnsi="Verdana" w:cs="Verdana"/>
                <w:i/>
                <w:noProof/>
                <w:color w:val="000000"/>
                <w:sz w:val="16"/>
                <w:lang w:bidi="en-GB"/>
              </w:rPr>
              <w:t>EUR million</w:t>
            </w:r>
          </w:p>
        </w:tc>
      </w:tr>
      <w:tr w:rsidR="00FD1E19" w14:paraId="2C3FF06C" w14:textId="77777777" w:rsidTr="00BE7E4A">
        <w:trPr>
          <w:trHeight w:hRule="exact" w:val="699"/>
        </w:trPr>
        <w:tc>
          <w:tcPr>
            <w:tcW w:w="3370" w:type="dxa"/>
            <w:tcBorders>
              <w:top w:val="nil"/>
              <w:left w:val="nil"/>
              <w:bottom w:val="nil"/>
              <w:right w:val="nil"/>
              <w:tl2br w:val="nil"/>
              <w:tr2bl w:val="nil"/>
            </w:tcBorders>
            <w:shd w:val="solid" w:color="016794" w:fill="FFFFFF"/>
            <w:tcMar>
              <w:left w:w="60" w:type="dxa"/>
              <w:right w:w="60" w:type="dxa"/>
            </w:tcMar>
            <w:vAlign w:val="center"/>
          </w:tcPr>
          <w:p w14:paraId="6D259F1A" w14:textId="77777777" w:rsidR="00FD1E19" w:rsidRDefault="00FD1E19" w:rsidP="00BE7E4A">
            <w:pPr>
              <w:pStyle w:val="DMETW37225BIPCOFINPAY"/>
              <w:jc w:val="center"/>
              <w:rPr>
                <w:rFonts w:ascii="Verdana" w:eastAsia="Verdana" w:hAnsi="Verdana" w:cs="Verdana"/>
                <w:noProof/>
                <w:color w:val="FFFFFF"/>
              </w:rPr>
            </w:pPr>
          </w:p>
        </w:tc>
        <w:tc>
          <w:tcPr>
            <w:tcW w:w="863" w:type="dxa"/>
            <w:tcBorders>
              <w:top w:val="nil"/>
              <w:left w:val="nil"/>
              <w:bottom w:val="nil"/>
              <w:right w:val="nil"/>
              <w:tl2br w:val="nil"/>
              <w:tr2bl w:val="nil"/>
            </w:tcBorders>
            <w:shd w:val="solid" w:color="016794" w:fill="FFFFFF"/>
            <w:tcMar>
              <w:left w:w="60" w:type="dxa"/>
              <w:right w:w="60" w:type="dxa"/>
            </w:tcMar>
            <w:vAlign w:val="center"/>
          </w:tcPr>
          <w:p w14:paraId="57559158" w14:textId="77777777" w:rsidR="00FD1E19" w:rsidRDefault="00FD1E19" w:rsidP="00BE7E4A">
            <w:pPr>
              <w:pStyle w:val="DMETW37225BIPCOFINPAY"/>
              <w:jc w:val="right"/>
              <w:rPr>
                <w:rFonts w:ascii="Verdana" w:eastAsia="Verdana" w:hAnsi="Verdana" w:cs="Verdana"/>
                <w:noProof/>
                <w:color w:val="FFFFFF"/>
              </w:rPr>
            </w:pPr>
            <w:r>
              <w:rPr>
                <w:rFonts w:ascii="Verdana" w:eastAsia="Verdana" w:hAnsi="Verdana" w:cs="Verdana"/>
                <w:noProof/>
                <w:color w:val="FFFFFF"/>
              </w:rPr>
              <w:t>Eighth EDF</w:t>
            </w:r>
          </w:p>
        </w:tc>
        <w:tc>
          <w:tcPr>
            <w:tcW w:w="719" w:type="dxa"/>
            <w:tcBorders>
              <w:top w:val="nil"/>
              <w:left w:val="nil"/>
              <w:bottom w:val="nil"/>
              <w:right w:val="nil"/>
              <w:tl2br w:val="nil"/>
              <w:tr2bl w:val="nil"/>
            </w:tcBorders>
            <w:shd w:val="solid" w:color="016794" w:fill="FFFFFF"/>
            <w:tcMar>
              <w:left w:w="60" w:type="dxa"/>
              <w:right w:w="60" w:type="dxa"/>
            </w:tcMar>
            <w:vAlign w:val="center"/>
          </w:tcPr>
          <w:p w14:paraId="08B5C233" w14:textId="77777777" w:rsidR="00FD1E19" w:rsidRDefault="00FD1E19" w:rsidP="00BE7E4A">
            <w:pPr>
              <w:pStyle w:val="DMETW37225BIPCOFINPAY"/>
              <w:jc w:val="right"/>
              <w:rPr>
                <w:rFonts w:ascii="Verdana" w:eastAsia="Verdana" w:hAnsi="Verdana" w:cs="Verdana"/>
                <w:noProof/>
                <w:color w:val="FFFFFF"/>
              </w:rPr>
            </w:pPr>
            <w:r>
              <w:rPr>
                <w:rFonts w:ascii="Verdana" w:eastAsia="Verdana" w:hAnsi="Verdana" w:cs="Verdana"/>
                <w:noProof/>
                <w:color w:val="FFFFFF"/>
              </w:rPr>
              <w:t>Ninth EDF</w:t>
            </w:r>
          </w:p>
        </w:tc>
        <w:tc>
          <w:tcPr>
            <w:tcW w:w="1006" w:type="dxa"/>
            <w:tcBorders>
              <w:top w:val="nil"/>
              <w:left w:val="nil"/>
              <w:bottom w:val="nil"/>
              <w:right w:val="nil"/>
              <w:tl2br w:val="nil"/>
              <w:tr2bl w:val="nil"/>
            </w:tcBorders>
            <w:shd w:val="solid" w:color="016794" w:fill="FFFFFF"/>
            <w:tcMar>
              <w:left w:w="60" w:type="dxa"/>
              <w:right w:w="60" w:type="dxa"/>
            </w:tcMar>
            <w:vAlign w:val="center"/>
          </w:tcPr>
          <w:p w14:paraId="3FE7E137" w14:textId="77777777" w:rsidR="00FD1E19" w:rsidRDefault="00FD1E19" w:rsidP="00BE7E4A">
            <w:pPr>
              <w:pStyle w:val="DMETW37225BIPCOFINPAY"/>
              <w:jc w:val="right"/>
              <w:rPr>
                <w:rFonts w:ascii="Verdana" w:eastAsia="Verdana" w:hAnsi="Verdana" w:cs="Verdana"/>
                <w:noProof/>
                <w:color w:val="FFFFFF"/>
              </w:rPr>
            </w:pPr>
            <w:r>
              <w:rPr>
                <w:rFonts w:ascii="Verdana" w:eastAsia="Verdana" w:hAnsi="Verdana" w:cs="Verdana"/>
                <w:noProof/>
                <w:color w:val="FFFFFF"/>
              </w:rPr>
              <w:t>10th EDF</w:t>
            </w:r>
          </w:p>
        </w:tc>
        <w:tc>
          <w:tcPr>
            <w:tcW w:w="1006" w:type="dxa"/>
            <w:tcBorders>
              <w:top w:val="nil"/>
              <w:left w:val="nil"/>
              <w:bottom w:val="nil"/>
              <w:right w:val="nil"/>
              <w:tl2br w:val="nil"/>
              <w:tr2bl w:val="nil"/>
            </w:tcBorders>
            <w:shd w:val="solid" w:color="016794" w:fill="FFFFFF"/>
            <w:tcMar>
              <w:left w:w="60" w:type="dxa"/>
              <w:right w:w="60" w:type="dxa"/>
            </w:tcMar>
            <w:vAlign w:val="center"/>
          </w:tcPr>
          <w:p w14:paraId="3DB7C7C8" w14:textId="77777777" w:rsidR="00FD1E19" w:rsidRDefault="00FD1E19" w:rsidP="00BE7E4A">
            <w:pPr>
              <w:pStyle w:val="DMETW37225BIPCOFINPAY"/>
              <w:jc w:val="right"/>
              <w:rPr>
                <w:rFonts w:ascii="Verdana" w:eastAsia="Verdana" w:hAnsi="Verdana" w:cs="Verdana"/>
                <w:noProof/>
                <w:color w:val="FFFFFF"/>
              </w:rPr>
            </w:pPr>
            <w:r>
              <w:rPr>
                <w:rFonts w:ascii="Verdana" w:eastAsia="Verdana" w:hAnsi="Verdana" w:cs="Verdana"/>
                <w:noProof/>
                <w:color w:val="FFFFFF"/>
              </w:rPr>
              <w:t>11th EDF</w:t>
            </w:r>
          </w:p>
        </w:tc>
        <w:tc>
          <w:tcPr>
            <w:tcW w:w="1439" w:type="dxa"/>
            <w:tcBorders>
              <w:top w:val="nil"/>
              <w:left w:val="nil"/>
              <w:bottom w:val="nil"/>
              <w:right w:val="nil"/>
              <w:tl2br w:val="nil"/>
              <w:tr2bl w:val="nil"/>
            </w:tcBorders>
            <w:shd w:val="solid" w:color="016794" w:fill="FFFFFF"/>
            <w:tcMar>
              <w:left w:w="60" w:type="dxa"/>
              <w:right w:w="60" w:type="dxa"/>
            </w:tcMar>
            <w:vAlign w:val="center"/>
          </w:tcPr>
          <w:p w14:paraId="4E782477" w14:textId="77777777" w:rsidR="00FD1E19" w:rsidRDefault="00FD1E19" w:rsidP="00BE7E4A">
            <w:pPr>
              <w:pStyle w:val="DMETW37225BIPCOFINPAY"/>
              <w:jc w:val="right"/>
              <w:rPr>
                <w:rFonts w:ascii="Verdana" w:eastAsia="Verdana" w:hAnsi="Verdana" w:cs="Verdana"/>
                <w:noProof/>
                <w:color w:val="FFFFFF"/>
              </w:rPr>
            </w:pPr>
            <w:r>
              <w:rPr>
                <w:rFonts w:ascii="Verdana" w:eastAsia="Verdana" w:hAnsi="Verdana" w:cs="Verdana"/>
                <w:noProof/>
                <w:color w:val="FFFFFF"/>
              </w:rPr>
              <w:t>31.12.2025</w:t>
            </w:r>
          </w:p>
        </w:tc>
        <w:tc>
          <w:tcPr>
            <w:tcW w:w="1355" w:type="dxa"/>
            <w:tcBorders>
              <w:top w:val="nil"/>
              <w:left w:val="nil"/>
              <w:bottom w:val="nil"/>
              <w:right w:val="nil"/>
              <w:tl2br w:val="nil"/>
              <w:tr2bl w:val="nil"/>
            </w:tcBorders>
            <w:shd w:val="solid" w:color="016794" w:fill="FFFFFF"/>
            <w:tcMar>
              <w:left w:w="60" w:type="dxa"/>
              <w:right w:w="60" w:type="dxa"/>
            </w:tcMar>
            <w:vAlign w:val="center"/>
          </w:tcPr>
          <w:p w14:paraId="721BB6C7" w14:textId="77777777" w:rsidR="00FD1E19" w:rsidRDefault="00FD1E19" w:rsidP="00BE7E4A">
            <w:pPr>
              <w:pStyle w:val="DMETW37225BIPCOFINPAY"/>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3015A058" w14:textId="77777777" w:rsidTr="00BE7E4A">
        <w:trPr>
          <w:trHeight w:hRule="exact" w:val="255"/>
        </w:trPr>
        <w:tc>
          <w:tcPr>
            <w:tcW w:w="3370" w:type="dxa"/>
            <w:tcBorders>
              <w:top w:val="nil"/>
              <w:left w:val="nil"/>
              <w:bottom w:val="single" w:sz="4" w:space="0" w:color="016794"/>
              <w:right w:val="nil"/>
              <w:tl2br w:val="nil"/>
              <w:tr2bl w:val="nil"/>
            </w:tcBorders>
            <w:shd w:val="clear" w:color="auto" w:fill="auto"/>
            <w:tcMar>
              <w:left w:w="60" w:type="dxa"/>
              <w:right w:w="60" w:type="dxa"/>
            </w:tcMar>
            <w:vAlign w:val="center"/>
          </w:tcPr>
          <w:p w14:paraId="2BF72A17" w14:textId="77777777" w:rsidR="00FD1E19" w:rsidRDefault="00FD1E19" w:rsidP="00BE7E4A">
            <w:pPr>
              <w:pStyle w:val="DMETW37225BIPCOFINPAY"/>
              <w:rPr>
                <w:rFonts w:ascii="Verdana" w:eastAsia="Verdana" w:hAnsi="Verdana" w:cs="Verdana"/>
                <w:i/>
                <w:noProof/>
                <w:color w:val="000000"/>
                <w:sz w:val="18"/>
              </w:rPr>
            </w:pPr>
            <w:r>
              <w:rPr>
                <w:rFonts w:ascii="Verdana" w:eastAsia="Verdana" w:hAnsi="Verdana" w:cs="Verdana"/>
                <w:i/>
                <w:noProof/>
                <w:color w:val="000000"/>
                <w:sz w:val="18"/>
              </w:rPr>
              <w:t>Current co-financing payables</w:t>
            </w:r>
          </w:p>
        </w:tc>
        <w:tc>
          <w:tcPr>
            <w:tcW w:w="863" w:type="dxa"/>
            <w:tcBorders>
              <w:top w:val="nil"/>
              <w:left w:val="nil"/>
              <w:bottom w:val="single" w:sz="4" w:space="0" w:color="016794"/>
              <w:right w:val="nil"/>
              <w:tl2br w:val="nil"/>
              <w:tr2bl w:val="nil"/>
            </w:tcBorders>
            <w:shd w:val="clear" w:color="auto" w:fill="auto"/>
            <w:tcMar>
              <w:left w:w="60" w:type="dxa"/>
              <w:right w:w="60" w:type="dxa"/>
            </w:tcMar>
            <w:vAlign w:val="center"/>
          </w:tcPr>
          <w:p w14:paraId="44167970" w14:textId="77777777" w:rsidR="00FD1E19" w:rsidRDefault="00FD1E19" w:rsidP="00BE7E4A">
            <w:pPr>
              <w:pStyle w:val="DMETW37225BIPCOFIN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19" w:type="dxa"/>
            <w:tcBorders>
              <w:top w:val="nil"/>
              <w:left w:val="nil"/>
              <w:bottom w:val="single" w:sz="4" w:space="0" w:color="016794"/>
              <w:right w:val="nil"/>
              <w:tl2br w:val="nil"/>
              <w:tr2bl w:val="nil"/>
            </w:tcBorders>
            <w:shd w:val="clear" w:color="auto" w:fill="auto"/>
            <w:tcMar>
              <w:left w:w="60" w:type="dxa"/>
              <w:right w:w="60" w:type="dxa"/>
            </w:tcMar>
            <w:vAlign w:val="center"/>
          </w:tcPr>
          <w:p w14:paraId="2D3DA9A9" w14:textId="77777777" w:rsidR="00FD1E19" w:rsidRDefault="00FD1E19" w:rsidP="00BE7E4A">
            <w:pPr>
              <w:pStyle w:val="DMETW37225BIPCOFINPAY"/>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06" w:type="dxa"/>
            <w:tcBorders>
              <w:top w:val="nil"/>
              <w:left w:val="nil"/>
              <w:bottom w:val="single" w:sz="4" w:space="0" w:color="016794"/>
              <w:right w:val="nil"/>
              <w:tl2br w:val="nil"/>
              <w:tr2bl w:val="nil"/>
            </w:tcBorders>
            <w:shd w:val="clear" w:color="auto" w:fill="auto"/>
            <w:tcMar>
              <w:left w:w="60" w:type="dxa"/>
              <w:right w:w="60" w:type="dxa"/>
            </w:tcMar>
            <w:vAlign w:val="center"/>
          </w:tcPr>
          <w:p w14:paraId="31A2886B" w14:textId="77777777" w:rsidR="00FD1E19" w:rsidRDefault="00FD1E19" w:rsidP="00BE7E4A">
            <w:pPr>
              <w:pStyle w:val="DMETW37225BIPCOFINPAY"/>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006" w:type="dxa"/>
            <w:tcBorders>
              <w:top w:val="nil"/>
              <w:left w:val="nil"/>
              <w:bottom w:val="single" w:sz="4" w:space="0" w:color="016794"/>
              <w:right w:val="nil"/>
              <w:tl2br w:val="nil"/>
              <w:tr2bl w:val="nil"/>
            </w:tcBorders>
            <w:shd w:val="clear" w:color="auto" w:fill="auto"/>
            <w:tcMar>
              <w:left w:w="60" w:type="dxa"/>
              <w:right w:w="60" w:type="dxa"/>
            </w:tcMar>
            <w:vAlign w:val="center"/>
          </w:tcPr>
          <w:p w14:paraId="43584A69" w14:textId="77777777" w:rsidR="00FD1E19" w:rsidRDefault="00FD1E19" w:rsidP="00BE7E4A">
            <w:pPr>
              <w:pStyle w:val="DMETW37225BIPCOFINPAY"/>
              <w:jc w:val="right"/>
              <w:rPr>
                <w:rFonts w:ascii="Verdana" w:eastAsia="Verdana" w:hAnsi="Verdana" w:cs="Verdana"/>
                <w:i/>
                <w:noProof/>
                <w:color w:val="000000"/>
                <w:sz w:val="18"/>
              </w:rPr>
            </w:pPr>
            <w:r>
              <w:rPr>
                <w:rFonts w:ascii="Verdana" w:eastAsia="Verdana" w:hAnsi="Verdana" w:cs="Verdana"/>
                <w:i/>
                <w:noProof/>
                <w:color w:val="000000"/>
                <w:sz w:val="18"/>
              </w:rPr>
              <w:t xml:space="preserve"> 22</w:t>
            </w:r>
          </w:p>
        </w:tc>
        <w:tc>
          <w:tcPr>
            <w:tcW w:w="1439" w:type="dxa"/>
            <w:tcBorders>
              <w:top w:val="nil"/>
              <w:left w:val="nil"/>
              <w:bottom w:val="single" w:sz="4" w:space="0" w:color="016794"/>
              <w:right w:val="nil"/>
              <w:tl2br w:val="nil"/>
              <w:tr2bl w:val="nil"/>
            </w:tcBorders>
            <w:shd w:val="clear" w:color="auto" w:fill="auto"/>
            <w:tcMar>
              <w:left w:w="60" w:type="dxa"/>
              <w:right w:w="60" w:type="dxa"/>
            </w:tcMar>
            <w:vAlign w:val="center"/>
          </w:tcPr>
          <w:p w14:paraId="2D2B7A4F" w14:textId="77777777" w:rsidR="00FD1E19" w:rsidRDefault="00FD1E19" w:rsidP="00BE7E4A">
            <w:pPr>
              <w:pStyle w:val="DMETW37225BIPCOFINPAY"/>
              <w:jc w:val="right"/>
              <w:rPr>
                <w:rFonts w:ascii="Verdana" w:eastAsia="Verdana" w:hAnsi="Verdana" w:cs="Verdana"/>
                <w:i/>
                <w:noProof/>
                <w:color w:val="000000"/>
                <w:sz w:val="18"/>
              </w:rPr>
            </w:pPr>
            <w:r>
              <w:rPr>
                <w:rFonts w:ascii="Verdana" w:eastAsia="Verdana" w:hAnsi="Verdana" w:cs="Verdana"/>
                <w:i/>
                <w:noProof/>
                <w:color w:val="000000"/>
                <w:sz w:val="18"/>
              </w:rPr>
              <w:t xml:space="preserve"> 27</w:t>
            </w:r>
          </w:p>
        </w:tc>
        <w:tc>
          <w:tcPr>
            <w:tcW w:w="1355" w:type="dxa"/>
            <w:tcBorders>
              <w:top w:val="nil"/>
              <w:left w:val="nil"/>
              <w:bottom w:val="single" w:sz="4" w:space="0" w:color="016794"/>
              <w:right w:val="nil"/>
              <w:tl2br w:val="nil"/>
              <w:tr2bl w:val="nil"/>
            </w:tcBorders>
            <w:shd w:val="clear" w:color="auto" w:fill="auto"/>
            <w:tcMar>
              <w:left w:w="60" w:type="dxa"/>
              <w:right w:w="60" w:type="dxa"/>
            </w:tcMar>
            <w:vAlign w:val="center"/>
          </w:tcPr>
          <w:p w14:paraId="77FFEC35" w14:textId="77777777" w:rsidR="00FD1E19" w:rsidRDefault="00FD1E19" w:rsidP="00BE7E4A">
            <w:pPr>
              <w:pStyle w:val="DMETW37225BIPCOFINPAY"/>
              <w:jc w:val="right"/>
              <w:rPr>
                <w:rFonts w:ascii="Verdana" w:eastAsia="Verdana" w:hAnsi="Verdana" w:cs="Verdana"/>
                <w:i/>
                <w:noProof/>
                <w:color w:val="000000"/>
                <w:sz w:val="18"/>
              </w:rPr>
            </w:pPr>
            <w:r>
              <w:rPr>
                <w:rFonts w:ascii="Verdana" w:eastAsia="Verdana" w:hAnsi="Verdana" w:cs="Verdana"/>
                <w:i/>
                <w:noProof/>
                <w:color w:val="000000"/>
                <w:sz w:val="18"/>
              </w:rPr>
              <w:t xml:space="preserve"> 28</w:t>
            </w:r>
          </w:p>
        </w:tc>
      </w:tr>
    </w:tbl>
    <w:p w14:paraId="48B529CF" w14:textId="77777777" w:rsidR="00FD1E19" w:rsidRPr="00F64D38" w:rsidRDefault="00FD1E19" w:rsidP="00FD1E19">
      <w:pPr>
        <w:pStyle w:val="HEADER4Part2"/>
        <w:rPr>
          <w:noProof/>
        </w:rPr>
      </w:pPr>
      <w:r w:rsidRPr="00F64D38">
        <w:rPr>
          <w:noProof/>
        </w:rPr>
        <w:t>Deferred capital contributions</w:t>
      </w:r>
    </w:p>
    <w:p w14:paraId="6911BBDE" w14:textId="77777777" w:rsidR="00FD1E19" w:rsidRPr="002E422E" w:rsidRDefault="00FD1E19" w:rsidP="00FD1E19">
      <w:pPr>
        <w:pStyle w:val="Textstand-alone"/>
        <w:rPr>
          <w:sz w:val="20"/>
          <w:szCs w:val="20"/>
        </w:rPr>
      </w:pPr>
      <w:r w:rsidRPr="002E422E">
        <w:rPr>
          <w:sz w:val="20"/>
          <w:szCs w:val="20"/>
        </w:rPr>
        <w:t xml:space="preserve">An amount of EUR 1.2 million of deferred capital contributions relates to a refund to Member States and the United Kingdom from decommitted or unused funds from projects under the Ninth EDF (see Note </w:t>
      </w:r>
      <w:r w:rsidRPr="002E422E">
        <w:rPr>
          <w:b/>
          <w:bCs/>
          <w:sz w:val="20"/>
          <w:szCs w:val="20"/>
        </w:rPr>
        <w:t>2.9.1</w:t>
      </w:r>
      <w:r w:rsidRPr="002E422E">
        <w:rPr>
          <w:sz w:val="20"/>
          <w:szCs w:val="20"/>
        </w:rPr>
        <w:t>). The Member States agreed for the refund to be offset against the contributions from the 11th EDF during the first call for contributions in 2026.</w:t>
      </w:r>
    </w:p>
    <w:p w14:paraId="68613366" w14:textId="77777777" w:rsidR="00FD1E19" w:rsidRPr="002E422E" w:rsidRDefault="00FD1E19" w:rsidP="00FD1E19">
      <w:pPr>
        <w:pStyle w:val="Textstand-alone"/>
        <w:rPr>
          <w:sz w:val="20"/>
          <w:szCs w:val="20"/>
        </w:rPr>
      </w:pPr>
      <w:r w:rsidRPr="002E422E">
        <w:rPr>
          <w:sz w:val="20"/>
          <w:szCs w:val="20"/>
        </w:rPr>
        <w:t xml:space="preserve">In addition to the refund, an amount of EUR 49 million relates to the 1st instalment of 2026 paid in advance by the United Kingdom, Portugal, Hungary and Estonia. Of this amount, EUR 44 million entirely relates to the contribution from the United Kingdom. According to Article 152 of the Withdrawal Agreement, the United Kingdom remains party to the EDF until the closure of the 11th EDF and all previous unclosed EDFs and assumes the same obligations as the Member States in this respect (see Note </w:t>
      </w:r>
      <w:r w:rsidRPr="002E422E">
        <w:rPr>
          <w:b/>
          <w:bCs/>
          <w:sz w:val="20"/>
          <w:szCs w:val="20"/>
        </w:rPr>
        <w:t>2.9.1</w:t>
      </w:r>
      <w:r w:rsidRPr="002E422E">
        <w:rPr>
          <w:sz w:val="20"/>
          <w:szCs w:val="20"/>
        </w:rPr>
        <w:t>).</w:t>
      </w:r>
    </w:p>
    <w:p w14:paraId="73FDC4A4" w14:textId="77777777" w:rsidR="00FD1E19" w:rsidRDefault="00FD1E19" w:rsidP="00FD1E19">
      <w:pPr>
        <w:pStyle w:val="HEADER2Part2"/>
        <w:ind w:left="3402" w:hanging="3402"/>
        <w:jc w:val="both"/>
        <w:rPr>
          <w:noProof/>
        </w:rPr>
      </w:pPr>
      <w:r w:rsidRPr="00F64D38">
        <w:rPr>
          <w:noProof/>
        </w:rPr>
        <w:t xml:space="preserve">ACCRUED CHARGES </w:t>
      </w:r>
    </w:p>
    <w:p w14:paraId="696DB9B1" w14:textId="77777777" w:rsidR="00FD1E19" w:rsidRDefault="00FD1E19" w:rsidP="00FD1E19">
      <w:pPr>
        <w:pStyle w:val="HEADER2Part2"/>
        <w:numPr>
          <w:ilvl w:val="0"/>
          <w:numId w:val="0"/>
        </w:numPr>
        <w:spacing w:before="120" w:after="120"/>
        <w:jc w:val="both"/>
        <w:rPr>
          <w:b w:val="0"/>
          <w:noProof/>
          <w:color w:val="auto"/>
          <w:sz w:val="18"/>
          <w:szCs w:val="18"/>
          <w:lang w:eastAsia="en-US"/>
        </w:rPr>
      </w:pPr>
      <w:bookmarkStart w:id="96" w:name="BIP_SEL005"/>
      <w:r>
        <w:rPr>
          <w:b w:val="0"/>
          <w:noProof/>
          <w:color w:val="auto"/>
          <w:sz w:val="18"/>
          <w:szCs w:val="18"/>
          <w:lang w:eastAsia="en-US"/>
        </w:rPr>
        <w:t>Accruals are liabilities to pay for goods or services that have been received or supplied but - unlike payables - have not yet been invoiced or formally agreed with the supplier. The calculation of accruals is based on the open amount of budgetary commitments at year-end. The portion of the estimated accrued charges relating to pre-financing paid has been recorded as a reduction of the pre-financing amounts.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2"/>
        <w:gridCol w:w="1036"/>
        <w:gridCol w:w="1035"/>
        <w:gridCol w:w="921"/>
        <w:gridCol w:w="1307"/>
        <w:gridCol w:w="1587"/>
      </w:tblGrid>
      <w:tr w:rsidR="00FD1E19" w14:paraId="240A2D55" w14:textId="77777777" w:rsidTr="00BE7E4A">
        <w:trPr>
          <w:trHeight w:val="255"/>
        </w:trPr>
        <w:tc>
          <w:tcPr>
            <w:tcW w:w="9758" w:type="dxa"/>
            <w:gridSpan w:val="6"/>
            <w:tcBorders>
              <w:top w:val="nil"/>
              <w:left w:val="nil"/>
              <w:bottom w:val="nil"/>
              <w:right w:val="nil"/>
              <w:tl2br w:val="nil"/>
              <w:tr2bl w:val="nil"/>
            </w:tcBorders>
            <w:shd w:val="clear" w:color="auto" w:fill="auto"/>
            <w:tcMar>
              <w:left w:w="60" w:type="dxa"/>
              <w:right w:w="60" w:type="dxa"/>
            </w:tcMar>
            <w:vAlign w:val="center"/>
          </w:tcPr>
          <w:p w14:paraId="3179ADB8" w14:textId="77777777" w:rsidR="00FD1E19" w:rsidRDefault="00FD1E19" w:rsidP="00BE7E4A">
            <w:pPr>
              <w:pStyle w:val="DMETW37225BIPACCDEF"/>
              <w:jc w:val="right"/>
              <w:rPr>
                <w:rFonts w:ascii="Verdana" w:eastAsia="Verdana" w:hAnsi="Verdana" w:cs="Verdana"/>
                <w:i/>
                <w:noProof/>
                <w:color w:val="000000"/>
                <w:sz w:val="16"/>
                <w:lang w:bidi="en-GB"/>
              </w:rPr>
            </w:pPr>
            <w:bookmarkStart w:id="97" w:name="DOC_TBL00029_1_1"/>
            <w:bookmarkEnd w:id="96"/>
            <w:bookmarkEnd w:id="97"/>
            <w:r>
              <w:rPr>
                <w:rFonts w:ascii="Verdana" w:eastAsia="Verdana" w:hAnsi="Verdana" w:cs="Verdana"/>
                <w:i/>
                <w:noProof/>
                <w:color w:val="000000"/>
                <w:sz w:val="16"/>
                <w:lang w:bidi="en-GB"/>
              </w:rPr>
              <w:t>EUR million</w:t>
            </w:r>
          </w:p>
        </w:tc>
      </w:tr>
      <w:tr w:rsidR="00FD1E19" w14:paraId="0DE25DC2" w14:textId="77777777" w:rsidTr="00BE7E4A">
        <w:trPr>
          <w:trHeight w:val="255"/>
        </w:trPr>
        <w:tc>
          <w:tcPr>
            <w:tcW w:w="3872" w:type="dxa"/>
            <w:tcBorders>
              <w:top w:val="nil"/>
              <w:left w:val="nil"/>
              <w:bottom w:val="nil"/>
              <w:right w:val="nil"/>
              <w:tl2br w:val="nil"/>
              <w:tr2bl w:val="nil"/>
            </w:tcBorders>
            <w:shd w:val="solid" w:color="016794" w:fill="FFFFFF"/>
            <w:tcMar>
              <w:left w:w="60" w:type="dxa"/>
              <w:right w:w="60" w:type="dxa"/>
            </w:tcMar>
            <w:vAlign w:val="center"/>
          </w:tcPr>
          <w:p w14:paraId="3579E647" w14:textId="77777777" w:rsidR="00FD1E19" w:rsidRDefault="00FD1E19" w:rsidP="00BE7E4A">
            <w:pPr>
              <w:pStyle w:val="DMETW37225BIPACCDEF"/>
              <w:jc w:val="center"/>
              <w:rPr>
                <w:rFonts w:ascii="Verdana" w:eastAsia="Verdana" w:hAnsi="Verdana" w:cs="Verdana"/>
                <w:noProof/>
                <w:color w:val="FFFFFF"/>
              </w:rPr>
            </w:pPr>
          </w:p>
        </w:tc>
        <w:tc>
          <w:tcPr>
            <w:tcW w:w="1036" w:type="dxa"/>
            <w:tcBorders>
              <w:top w:val="nil"/>
              <w:left w:val="nil"/>
              <w:bottom w:val="nil"/>
              <w:right w:val="nil"/>
              <w:tl2br w:val="nil"/>
              <w:tr2bl w:val="nil"/>
            </w:tcBorders>
            <w:shd w:val="solid" w:color="016794" w:fill="FFFFFF"/>
            <w:tcMar>
              <w:left w:w="60" w:type="dxa"/>
              <w:right w:w="60" w:type="dxa"/>
            </w:tcMar>
            <w:vAlign w:val="center"/>
          </w:tcPr>
          <w:p w14:paraId="208407D0" w14:textId="77777777" w:rsidR="00FD1E19" w:rsidRDefault="00FD1E19" w:rsidP="00BE7E4A">
            <w:pPr>
              <w:pStyle w:val="DMETW37225BIPACCDEF"/>
              <w:jc w:val="right"/>
              <w:rPr>
                <w:rFonts w:ascii="Verdana" w:eastAsia="Verdana" w:hAnsi="Verdana" w:cs="Verdana"/>
                <w:noProof/>
                <w:color w:val="FFFFFF"/>
              </w:rPr>
            </w:pPr>
            <w:r>
              <w:rPr>
                <w:rFonts w:ascii="Verdana" w:eastAsia="Verdana" w:hAnsi="Verdana" w:cs="Verdana"/>
                <w:noProof/>
                <w:color w:val="FFFFFF"/>
              </w:rPr>
              <w:t>Ninth EDF</w:t>
            </w:r>
          </w:p>
        </w:tc>
        <w:tc>
          <w:tcPr>
            <w:tcW w:w="1035" w:type="dxa"/>
            <w:tcBorders>
              <w:top w:val="nil"/>
              <w:left w:val="nil"/>
              <w:bottom w:val="nil"/>
              <w:right w:val="nil"/>
              <w:tl2br w:val="nil"/>
              <w:tr2bl w:val="nil"/>
            </w:tcBorders>
            <w:shd w:val="solid" w:color="016794" w:fill="FFFFFF"/>
            <w:tcMar>
              <w:left w:w="60" w:type="dxa"/>
              <w:right w:w="60" w:type="dxa"/>
            </w:tcMar>
            <w:vAlign w:val="center"/>
          </w:tcPr>
          <w:p w14:paraId="042C7E1F" w14:textId="77777777" w:rsidR="00FD1E19" w:rsidRDefault="00FD1E19" w:rsidP="00BE7E4A">
            <w:pPr>
              <w:pStyle w:val="DMETW37225BIPACCDEF"/>
              <w:jc w:val="right"/>
              <w:rPr>
                <w:rFonts w:ascii="Verdana" w:eastAsia="Verdana" w:hAnsi="Verdana" w:cs="Verdana"/>
                <w:noProof/>
                <w:color w:val="FFFFFF"/>
              </w:rPr>
            </w:pPr>
            <w:r>
              <w:rPr>
                <w:rFonts w:ascii="Verdana" w:eastAsia="Verdana" w:hAnsi="Verdana" w:cs="Verdana"/>
                <w:noProof/>
                <w:color w:val="FFFFFF"/>
              </w:rPr>
              <w:t>10th EDF</w:t>
            </w:r>
          </w:p>
        </w:tc>
        <w:tc>
          <w:tcPr>
            <w:tcW w:w="921" w:type="dxa"/>
            <w:tcBorders>
              <w:top w:val="nil"/>
              <w:left w:val="nil"/>
              <w:bottom w:val="nil"/>
              <w:right w:val="nil"/>
              <w:tl2br w:val="nil"/>
              <w:tr2bl w:val="nil"/>
            </w:tcBorders>
            <w:shd w:val="solid" w:color="016794" w:fill="FFFFFF"/>
            <w:tcMar>
              <w:left w:w="60" w:type="dxa"/>
              <w:right w:w="60" w:type="dxa"/>
            </w:tcMar>
            <w:vAlign w:val="center"/>
          </w:tcPr>
          <w:p w14:paraId="39EF30A5" w14:textId="77777777" w:rsidR="00FD1E19" w:rsidRDefault="00FD1E19" w:rsidP="00BE7E4A">
            <w:pPr>
              <w:pStyle w:val="DMETW37225BIPACCDEF"/>
              <w:jc w:val="right"/>
              <w:rPr>
                <w:rFonts w:ascii="Verdana" w:eastAsia="Verdana" w:hAnsi="Verdana" w:cs="Verdana"/>
                <w:noProof/>
                <w:color w:val="FFFFFF"/>
              </w:rPr>
            </w:pPr>
            <w:r>
              <w:rPr>
                <w:rFonts w:ascii="Verdana" w:eastAsia="Verdana" w:hAnsi="Verdana" w:cs="Verdana"/>
                <w:noProof/>
                <w:color w:val="FFFFFF"/>
              </w:rPr>
              <w:t>11th EDF</w:t>
            </w:r>
          </w:p>
        </w:tc>
        <w:tc>
          <w:tcPr>
            <w:tcW w:w="1307" w:type="dxa"/>
            <w:tcBorders>
              <w:top w:val="nil"/>
              <w:left w:val="nil"/>
              <w:bottom w:val="nil"/>
              <w:right w:val="nil"/>
              <w:tl2br w:val="nil"/>
              <w:tr2bl w:val="nil"/>
            </w:tcBorders>
            <w:shd w:val="solid" w:color="016794" w:fill="FFFFFF"/>
            <w:tcMar>
              <w:left w:w="60" w:type="dxa"/>
              <w:right w:w="60" w:type="dxa"/>
            </w:tcMar>
            <w:vAlign w:val="center"/>
          </w:tcPr>
          <w:p w14:paraId="282A0B6D" w14:textId="77777777" w:rsidR="00FD1E19" w:rsidRDefault="00FD1E19" w:rsidP="00BE7E4A">
            <w:pPr>
              <w:pStyle w:val="DMETW37225BIPACCDEF"/>
              <w:jc w:val="right"/>
              <w:rPr>
                <w:rFonts w:ascii="Verdana" w:eastAsia="Verdana" w:hAnsi="Verdana" w:cs="Verdana"/>
                <w:noProof/>
                <w:color w:val="FFFFFF"/>
              </w:rPr>
            </w:pPr>
            <w:r>
              <w:rPr>
                <w:rFonts w:ascii="Verdana" w:eastAsia="Verdana" w:hAnsi="Verdana" w:cs="Verdana"/>
                <w:noProof/>
                <w:color w:val="FFFFFF"/>
              </w:rPr>
              <w:t>31.12.2025</w:t>
            </w:r>
          </w:p>
        </w:tc>
        <w:tc>
          <w:tcPr>
            <w:tcW w:w="1587" w:type="dxa"/>
            <w:tcBorders>
              <w:top w:val="nil"/>
              <w:left w:val="nil"/>
              <w:bottom w:val="nil"/>
              <w:right w:val="nil"/>
              <w:tl2br w:val="nil"/>
              <w:tr2bl w:val="nil"/>
            </w:tcBorders>
            <w:shd w:val="solid" w:color="016794" w:fill="FFFFFF"/>
            <w:tcMar>
              <w:left w:w="60" w:type="dxa"/>
              <w:right w:w="60" w:type="dxa"/>
            </w:tcMar>
            <w:vAlign w:val="center"/>
          </w:tcPr>
          <w:p w14:paraId="70051422" w14:textId="77777777" w:rsidR="00FD1E19" w:rsidRDefault="00FD1E19" w:rsidP="00BE7E4A">
            <w:pPr>
              <w:pStyle w:val="DMETW37225BIPACCDEF"/>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09212622" w14:textId="77777777" w:rsidTr="00BE7E4A">
        <w:trPr>
          <w:trHeight w:val="255"/>
        </w:trPr>
        <w:tc>
          <w:tcPr>
            <w:tcW w:w="3872" w:type="dxa"/>
            <w:tcBorders>
              <w:top w:val="nil"/>
              <w:left w:val="nil"/>
              <w:bottom w:val="nil"/>
              <w:right w:val="nil"/>
              <w:tl2br w:val="nil"/>
              <w:tr2bl w:val="nil"/>
            </w:tcBorders>
            <w:shd w:val="clear" w:color="auto" w:fill="auto"/>
            <w:tcMar>
              <w:left w:w="60" w:type="dxa"/>
              <w:right w:w="60" w:type="dxa"/>
            </w:tcMar>
            <w:vAlign w:val="center"/>
          </w:tcPr>
          <w:p w14:paraId="40338344" w14:textId="77777777" w:rsidR="00FD1E19" w:rsidRDefault="00FD1E19" w:rsidP="00BE7E4A">
            <w:pPr>
              <w:pStyle w:val="DMETW37225BIPACCDEF"/>
              <w:rPr>
                <w:rFonts w:ascii="Verdana" w:eastAsia="Verdana" w:hAnsi="Verdana" w:cs="Verdana"/>
                <w:i/>
                <w:noProof/>
                <w:color w:val="000000"/>
                <w:sz w:val="18"/>
              </w:rPr>
            </w:pPr>
            <w:r>
              <w:rPr>
                <w:rFonts w:ascii="Verdana" w:eastAsia="Verdana" w:hAnsi="Verdana" w:cs="Verdana"/>
                <w:i/>
                <w:noProof/>
                <w:color w:val="000000"/>
                <w:sz w:val="18"/>
              </w:rPr>
              <w:t>Accrued charges</w:t>
            </w:r>
          </w:p>
        </w:tc>
        <w:tc>
          <w:tcPr>
            <w:tcW w:w="1036" w:type="dxa"/>
            <w:tcBorders>
              <w:top w:val="nil"/>
              <w:left w:val="nil"/>
              <w:bottom w:val="nil"/>
              <w:right w:val="nil"/>
              <w:tl2br w:val="nil"/>
              <w:tr2bl w:val="nil"/>
            </w:tcBorders>
            <w:shd w:val="clear" w:color="auto" w:fill="auto"/>
            <w:tcMar>
              <w:left w:w="60" w:type="dxa"/>
              <w:right w:w="60" w:type="dxa"/>
            </w:tcMar>
            <w:vAlign w:val="center"/>
          </w:tcPr>
          <w:p w14:paraId="133F8C7E" w14:textId="77777777" w:rsidR="00FD1E19" w:rsidRDefault="00FD1E19" w:rsidP="00BE7E4A">
            <w:pPr>
              <w:pStyle w:val="DMETW37225BIPACCDE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35" w:type="dxa"/>
            <w:tcBorders>
              <w:top w:val="nil"/>
              <w:left w:val="nil"/>
              <w:bottom w:val="nil"/>
              <w:right w:val="nil"/>
              <w:tl2br w:val="nil"/>
              <w:tr2bl w:val="nil"/>
            </w:tcBorders>
            <w:shd w:val="clear" w:color="auto" w:fill="auto"/>
            <w:tcMar>
              <w:left w:w="60" w:type="dxa"/>
              <w:right w:w="60" w:type="dxa"/>
            </w:tcMar>
            <w:vAlign w:val="center"/>
          </w:tcPr>
          <w:p w14:paraId="07FD6783" w14:textId="77777777" w:rsidR="00FD1E19" w:rsidRDefault="00FD1E19" w:rsidP="00BE7E4A">
            <w:pPr>
              <w:pStyle w:val="DMETW37225BIPACCDEF"/>
              <w:jc w:val="right"/>
              <w:rPr>
                <w:rFonts w:ascii="Verdana" w:eastAsia="Verdana" w:hAnsi="Verdana" w:cs="Verdana"/>
                <w:i/>
                <w:noProof/>
                <w:color w:val="000000"/>
                <w:sz w:val="18"/>
              </w:rPr>
            </w:pPr>
            <w:r>
              <w:rPr>
                <w:rFonts w:ascii="Verdana" w:eastAsia="Verdana" w:hAnsi="Verdana" w:cs="Verdana"/>
                <w:i/>
                <w:noProof/>
                <w:color w:val="000000"/>
                <w:sz w:val="18"/>
              </w:rPr>
              <w:t xml:space="preserve"> 34</w:t>
            </w:r>
          </w:p>
        </w:tc>
        <w:tc>
          <w:tcPr>
            <w:tcW w:w="921" w:type="dxa"/>
            <w:tcBorders>
              <w:top w:val="nil"/>
              <w:left w:val="nil"/>
              <w:bottom w:val="nil"/>
              <w:right w:val="nil"/>
              <w:tl2br w:val="nil"/>
              <w:tr2bl w:val="nil"/>
            </w:tcBorders>
            <w:shd w:val="clear" w:color="auto" w:fill="auto"/>
            <w:tcMar>
              <w:left w:w="60" w:type="dxa"/>
              <w:right w:w="60" w:type="dxa"/>
            </w:tcMar>
            <w:vAlign w:val="center"/>
          </w:tcPr>
          <w:p w14:paraId="1F78C6BD" w14:textId="77777777" w:rsidR="00FD1E19" w:rsidRDefault="00FD1E19" w:rsidP="00BE7E4A">
            <w:pPr>
              <w:pStyle w:val="DMETW37225BIPACCDEF"/>
              <w:jc w:val="right"/>
              <w:rPr>
                <w:rFonts w:ascii="Verdana" w:eastAsia="Verdana" w:hAnsi="Verdana" w:cs="Verdana"/>
                <w:i/>
                <w:noProof/>
                <w:color w:val="000000"/>
                <w:sz w:val="18"/>
              </w:rPr>
            </w:pPr>
            <w:r>
              <w:rPr>
                <w:rFonts w:ascii="Verdana" w:eastAsia="Verdana" w:hAnsi="Verdana" w:cs="Verdana"/>
                <w:i/>
                <w:noProof/>
                <w:color w:val="000000"/>
                <w:sz w:val="18"/>
              </w:rPr>
              <w:t xml:space="preserve"> 661</w:t>
            </w:r>
          </w:p>
        </w:tc>
        <w:tc>
          <w:tcPr>
            <w:tcW w:w="1307" w:type="dxa"/>
            <w:tcBorders>
              <w:top w:val="nil"/>
              <w:left w:val="nil"/>
              <w:bottom w:val="nil"/>
              <w:right w:val="nil"/>
              <w:tl2br w:val="nil"/>
              <w:tr2bl w:val="nil"/>
            </w:tcBorders>
            <w:shd w:val="clear" w:color="auto" w:fill="auto"/>
            <w:tcMar>
              <w:left w:w="60" w:type="dxa"/>
              <w:right w:w="60" w:type="dxa"/>
            </w:tcMar>
            <w:vAlign w:val="center"/>
          </w:tcPr>
          <w:p w14:paraId="776CF256" w14:textId="77777777" w:rsidR="00FD1E19" w:rsidRDefault="00FD1E19" w:rsidP="00BE7E4A">
            <w:pPr>
              <w:pStyle w:val="DMETW37225BIPACCDEF"/>
              <w:jc w:val="right"/>
              <w:rPr>
                <w:rFonts w:ascii="Verdana" w:eastAsia="Verdana" w:hAnsi="Verdana" w:cs="Verdana"/>
                <w:i/>
                <w:noProof/>
                <w:color w:val="000000"/>
                <w:sz w:val="18"/>
              </w:rPr>
            </w:pPr>
            <w:r>
              <w:rPr>
                <w:rFonts w:ascii="Verdana" w:eastAsia="Verdana" w:hAnsi="Verdana" w:cs="Verdana"/>
                <w:i/>
                <w:noProof/>
                <w:color w:val="000000"/>
                <w:sz w:val="18"/>
              </w:rPr>
              <w:t xml:space="preserve"> 695</w:t>
            </w:r>
          </w:p>
        </w:tc>
        <w:tc>
          <w:tcPr>
            <w:tcW w:w="1587" w:type="dxa"/>
            <w:tcBorders>
              <w:top w:val="nil"/>
              <w:left w:val="nil"/>
              <w:bottom w:val="nil"/>
              <w:right w:val="nil"/>
              <w:tl2br w:val="nil"/>
              <w:tr2bl w:val="nil"/>
            </w:tcBorders>
            <w:shd w:val="clear" w:color="auto" w:fill="auto"/>
            <w:tcMar>
              <w:left w:w="60" w:type="dxa"/>
              <w:right w:w="60" w:type="dxa"/>
            </w:tcMar>
            <w:vAlign w:val="center"/>
          </w:tcPr>
          <w:p w14:paraId="2999B77E" w14:textId="77777777" w:rsidR="00FD1E19" w:rsidRDefault="00FD1E19" w:rsidP="00BE7E4A">
            <w:pPr>
              <w:pStyle w:val="DMETW37225BIPACCDE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774</w:t>
            </w:r>
          </w:p>
        </w:tc>
      </w:tr>
    </w:tbl>
    <w:p w14:paraId="57C09328" w14:textId="77777777" w:rsidR="00FD1E19" w:rsidRDefault="00FD1E19" w:rsidP="00FD1E19">
      <w:pPr>
        <w:pStyle w:val="Textstand-alone"/>
      </w:pPr>
      <w:r>
        <w:t xml:space="preserve">Accrued charges comprise estimated operating expenses for on-going or completed contracts without validated cost claims where the eligible expenses incurred by beneficiaries were estimated using the best available </w:t>
      </w:r>
      <w:r w:rsidRPr="009673F1">
        <w:t>information at the time of preparing the financial statements. It is noted that information that arise in the normal course of business,</w:t>
      </w:r>
      <w:r>
        <w:t xml:space="preserve"> such as contract extensions signed after the reporting date, is not systematically considered, and the potential impact of these activities on the accrued charges cannot be reliably estimated. The portion of the estimated accrued charges that relates to pre financing paid has been recorded as a reduction of the pre-financing amounts (see Note </w:t>
      </w:r>
      <w:r w:rsidRPr="00885272">
        <w:rPr>
          <w:b/>
          <w:bCs/>
        </w:rPr>
        <w:t>2.2</w:t>
      </w:r>
      <w:r>
        <w:t>).</w:t>
      </w:r>
    </w:p>
    <w:p w14:paraId="11DA5733" w14:textId="77777777" w:rsidR="00FD1E19" w:rsidRPr="009011C6" w:rsidRDefault="00FD1E19" w:rsidP="00FD1E19">
      <w:pPr>
        <w:pStyle w:val="Textstand-alone"/>
      </w:pPr>
      <w:r>
        <w:t>The decrease in accrued charges of EUR 79 million is explained by the reduction in the number of contracts for which charges had to be estimated and accrued. This decrease is in line with the life cycle of the EDF and the underlying number of open contracts</w:t>
      </w:r>
      <w:r w:rsidRPr="009011C6">
        <w:t xml:space="preserve">. </w:t>
      </w:r>
    </w:p>
    <w:p w14:paraId="00500810" w14:textId="77777777" w:rsidR="00FD1E19" w:rsidRPr="00F64D38" w:rsidRDefault="00FD1E19" w:rsidP="00FD1E19">
      <w:pPr>
        <w:pStyle w:val="HEADERTABLE"/>
        <w:keepNext/>
        <w:keepLines/>
        <w:spacing w:after="0"/>
        <w:rPr>
          <w:noProof/>
        </w:rPr>
      </w:pPr>
      <w:r w:rsidRPr="00F64D38">
        <w:rPr>
          <w:noProof/>
        </w:rPr>
        <w:t>NET ASSETS</w:t>
      </w:r>
    </w:p>
    <w:p w14:paraId="1951FAB2" w14:textId="77777777" w:rsidR="00FD1E19" w:rsidRDefault="00FD1E19" w:rsidP="00FD1E19">
      <w:pPr>
        <w:pStyle w:val="HEADER2Part2"/>
        <w:keepNext/>
        <w:keepLines/>
        <w:ind w:left="3402" w:hanging="3402"/>
        <w:jc w:val="both"/>
        <w:rPr>
          <w:noProof/>
        </w:rPr>
      </w:pPr>
      <w:r w:rsidRPr="00F64D38">
        <w:rPr>
          <w:noProof/>
        </w:rPr>
        <w:t>FUND CAPITAL</w:t>
      </w:r>
    </w:p>
    <w:p w14:paraId="790B50EF" w14:textId="77777777" w:rsidR="00FD1E19" w:rsidRDefault="00FD1E19" w:rsidP="00FD1E19">
      <w:pPr>
        <w:pStyle w:val="Textstand-alone"/>
      </w:pPr>
      <w:r>
        <w:t xml:space="preserve">The EDF Member States provide contributions to the Fund for the implementation of EDF programmes as laid down in the Internal Agreement of each EDF. According to the applicable legal basis the capital calls, i.e. the requests for funding for a given year N, are decided by a Council Decision in year N-1, with the funds to be received clearly assigned to specified future periods. </w:t>
      </w:r>
    </w:p>
    <w:p w14:paraId="422CD9F7" w14:textId="77777777" w:rsidR="00FD1E19" w:rsidRDefault="00FD1E19" w:rsidP="00FD1E19">
      <w:pPr>
        <w:pStyle w:val="Textstand-alone"/>
      </w:pPr>
      <w:r>
        <w:t>The contributions meet the criteria of contribution from owners (EAR 1) and are thus treated as fund capital in the EDF financial statements. The fund capital represents the total amount of contributions to be received from the EDF members states. As the uncalled fund capital is deducted from the total fund capital (see Statement of Changes in Net Assets), only the called fund capital is recognised in the Balance Sheet.</w:t>
      </w:r>
    </w:p>
    <w:p w14:paraId="4DB2AF6C" w14:textId="77777777" w:rsidR="00FD1E19" w:rsidRDefault="00FD1E19" w:rsidP="00FD1E19">
      <w:pPr>
        <w:pStyle w:val="Textstand-alone"/>
      </w:pPr>
      <w:r>
        <w:t>As the agreed contributions are assigned to specified reporting periods, with the EDF’s legal claim against the EDF member states arising only in these periods, any amounts received in advance are recognised as deferred capital contributions under Payables rather than as called capital.</w:t>
      </w:r>
    </w:p>
    <w:p w14:paraId="5B00A224" w14:textId="77777777" w:rsidR="00FD1E19" w:rsidRPr="00F64D38" w:rsidRDefault="00FD1E19" w:rsidP="00FD1E19">
      <w:pPr>
        <w:pStyle w:val="HEADER3Part2"/>
        <w:keepNext/>
        <w:keepLines/>
        <w:jc w:val="both"/>
        <w:rPr>
          <w:noProof/>
        </w:rPr>
      </w:pPr>
      <w:r w:rsidRPr="00F64D38">
        <w:rPr>
          <w:noProof/>
        </w:rPr>
        <w:t>Called fund capital – active EDFs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06"/>
        <w:gridCol w:w="1753"/>
        <w:gridCol w:w="1368"/>
        <w:gridCol w:w="1205"/>
        <w:gridCol w:w="1326"/>
      </w:tblGrid>
      <w:tr w:rsidR="00FD1E19" w14:paraId="71FD9FEF" w14:textId="77777777" w:rsidTr="00BE7E4A">
        <w:trPr>
          <w:trHeight w:val="255"/>
        </w:trPr>
        <w:tc>
          <w:tcPr>
            <w:tcW w:w="4106" w:type="dxa"/>
            <w:gridSpan w:val="5"/>
            <w:tcBorders>
              <w:top w:val="nil"/>
              <w:left w:val="nil"/>
              <w:bottom w:val="nil"/>
              <w:right w:val="nil"/>
              <w:tl2br w:val="nil"/>
              <w:tr2bl w:val="nil"/>
            </w:tcBorders>
            <w:shd w:val="clear" w:color="auto" w:fill="auto"/>
            <w:tcMar>
              <w:left w:w="60" w:type="dxa"/>
              <w:right w:w="60" w:type="dxa"/>
            </w:tcMar>
            <w:vAlign w:val="center"/>
          </w:tcPr>
          <w:p w14:paraId="42592C19" w14:textId="77777777" w:rsidR="00FD1E19" w:rsidRDefault="00FD1E19" w:rsidP="00BE7E4A">
            <w:pPr>
              <w:pStyle w:val="DMETW37225BIPCLDFCAP"/>
              <w:jc w:val="right"/>
              <w:rPr>
                <w:rFonts w:ascii="Verdana" w:eastAsia="Verdana" w:hAnsi="Verdana" w:cs="Verdana"/>
                <w:i/>
                <w:noProof/>
                <w:color w:val="000000"/>
                <w:sz w:val="16"/>
                <w:lang w:bidi="en-GB"/>
              </w:rPr>
            </w:pPr>
            <w:bookmarkStart w:id="98" w:name="DOC_TBL00041_1_1"/>
            <w:bookmarkStart w:id="99" w:name="_Hlk224543866"/>
            <w:bookmarkEnd w:id="98"/>
            <w:r>
              <w:rPr>
                <w:rFonts w:ascii="Verdana" w:eastAsia="Verdana" w:hAnsi="Verdana" w:cs="Verdana"/>
                <w:i/>
                <w:noProof/>
                <w:color w:val="000000"/>
                <w:sz w:val="16"/>
                <w:lang w:bidi="en-GB"/>
              </w:rPr>
              <w:t>EUR million</w:t>
            </w:r>
            <w:bookmarkEnd w:id="99"/>
          </w:p>
        </w:tc>
      </w:tr>
      <w:tr w:rsidR="00FD1E19" w14:paraId="78BD815D" w14:textId="77777777" w:rsidTr="00BE7E4A">
        <w:trPr>
          <w:trHeight w:val="255"/>
        </w:trPr>
        <w:tc>
          <w:tcPr>
            <w:tcW w:w="4106" w:type="dxa"/>
            <w:tcBorders>
              <w:top w:val="nil"/>
              <w:left w:val="nil"/>
              <w:bottom w:val="nil"/>
              <w:right w:val="nil"/>
              <w:tl2br w:val="nil"/>
              <w:tr2bl w:val="nil"/>
            </w:tcBorders>
            <w:shd w:val="solid" w:color="016794" w:fill="FFFFFF"/>
            <w:tcMar>
              <w:left w:w="60" w:type="dxa"/>
              <w:right w:w="60" w:type="dxa"/>
            </w:tcMar>
            <w:vAlign w:val="center"/>
          </w:tcPr>
          <w:p w14:paraId="29ED8066" w14:textId="77777777" w:rsidR="00FD1E19" w:rsidRDefault="00FD1E19" w:rsidP="00BE7E4A">
            <w:pPr>
              <w:pStyle w:val="DMETW37225BIPCLDFCAP"/>
              <w:jc w:val="center"/>
              <w:rPr>
                <w:rFonts w:ascii="Verdana" w:eastAsia="Verdana" w:hAnsi="Verdana" w:cs="Verdana"/>
                <w:noProof/>
                <w:color w:val="FFFFFF"/>
              </w:rPr>
            </w:pPr>
          </w:p>
        </w:tc>
        <w:tc>
          <w:tcPr>
            <w:tcW w:w="1753" w:type="dxa"/>
            <w:tcBorders>
              <w:top w:val="nil"/>
              <w:left w:val="nil"/>
              <w:bottom w:val="nil"/>
              <w:right w:val="nil"/>
              <w:tl2br w:val="nil"/>
              <w:tr2bl w:val="nil"/>
            </w:tcBorders>
            <w:shd w:val="solid" w:color="016794" w:fill="FFFFFF"/>
            <w:tcMar>
              <w:left w:w="60" w:type="dxa"/>
              <w:right w:w="60" w:type="dxa"/>
            </w:tcMar>
            <w:vAlign w:val="center"/>
          </w:tcPr>
          <w:p w14:paraId="1763842D" w14:textId="77777777" w:rsidR="00FD1E19" w:rsidRDefault="00FD1E19" w:rsidP="00BE7E4A">
            <w:pPr>
              <w:pStyle w:val="DMETW37225BIPCLDFCAP"/>
              <w:jc w:val="right"/>
              <w:rPr>
                <w:rFonts w:ascii="Verdana" w:eastAsia="Verdana" w:hAnsi="Verdana" w:cs="Verdana"/>
                <w:noProof/>
                <w:color w:val="FFFFFF"/>
              </w:rPr>
            </w:pPr>
            <w:r>
              <w:rPr>
                <w:rFonts w:ascii="Verdana" w:eastAsia="Verdana" w:hAnsi="Verdana" w:cs="Verdana"/>
                <w:noProof/>
                <w:color w:val="FFFFFF"/>
              </w:rPr>
              <w:t>Ninth EDF</w:t>
            </w:r>
          </w:p>
        </w:tc>
        <w:tc>
          <w:tcPr>
            <w:tcW w:w="1368" w:type="dxa"/>
            <w:tcBorders>
              <w:top w:val="nil"/>
              <w:left w:val="nil"/>
              <w:bottom w:val="nil"/>
              <w:right w:val="nil"/>
              <w:tl2br w:val="nil"/>
              <w:tr2bl w:val="nil"/>
            </w:tcBorders>
            <w:shd w:val="solid" w:color="016794" w:fill="FFFFFF"/>
            <w:tcMar>
              <w:left w:w="60" w:type="dxa"/>
              <w:right w:w="60" w:type="dxa"/>
            </w:tcMar>
            <w:vAlign w:val="center"/>
          </w:tcPr>
          <w:p w14:paraId="5FD271E3" w14:textId="77777777" w:rsidR="00FD1E19" w:rsidRDefault="00FD1E19" w:rsidP="00BE7E4A">
            <w:pPr>
              <w:pStyle w:val="DMETW37225BIPCLDFCAP"/>
              <w:jc w:val="right"/>
              <w:rPr>
                <w:rFonts w:ascii="Verdana" w:eastAsia="Verdana" w:hAnsi="Verdana" w:cs="Verdana"/>
                <w:noProof/>
                <w:color w:val="FFFFFF"/>
              </w:rPr>
            </w:pPr>
            <w:r>
              <w:rPr>
                <w:rFonts w:ascii="Verdana" w:eastAsia="Verdana" w:hAnsi="Verdana" w:cs="Verdana"/>
                <w:noProof/>
                <w:color w:val="FFFFFF"/>
              </w:rPr>
              <w:t>10th EDF</w:t>
            </w:r>
          </w:p>
        </w:tc>
        <w:tc>
          <w:tcPr>
            <w:tcW w:w="1205" w:type="dxa"/>
            <w:tcBorders>
              <w:top w:val="nil"/>
              <w:left w:val="nil"/>
              <w:bottom w:val="nil"/>
              <w:right w:val="nil"/>
              <w:tl2br w:val="nil"/>
              <w:tr2bl w:val="nil"/>
            </w:tcBorders>
            <w:shd w:val="solid" w:color="016794" w:fill="FFFFFF"/>
            <w:tcMar>
              <w:left w:w="60" w:type="dxa"/>
              <w:right w:w="60" w:type="dxa"/>
            </w:tcMar>
            <w:vAlign w:val="center"/>
          </w:tcPr>
          <w:p w14:paraId="2767EC81" w14:textId="77777777" w:rsidR="00FD1E19" w:rsidRDefault="00FD1E19" w:rsidP="00BE7E4A">
            <w:pPr>
              <w:pStyle w:val="DMETW37225BIPCLDFCAP"/>
              <w:jc w:val="right"/>
              <w:rPr>
                <w:rFonts w:ascii="Verdana" w:eastAsia="Verdana" w:hAnsi="Verdana" w:cs="Verdana"/>
                <w:noProof/>
                <w:color w:val="FFFFFF"/>
              </w:rPr>
            </w:pPr>
            <w:r>
              <w:rPr>
                <w:rFonts w:ascii="Verdana" w:eastAsia="Verdana" w:hAnsi="Verdana" w:cs="Verdana"/>
                <w:noProof/>
                <w:color w:val="FFFFFF"/>
              </w:rPr>
              <w:t>11th EDF</w:t>
            </w:r>
          </w:p>
        </w:tc>
        <w:tc>
          <w:tcPr>
            <w:tcW w:w="1326" w:type="dxa"/>
            <w:tcBorders>
              <w:top w:val="nil"/>
              <w:left w:val="nil"/>
              <w:bottom w:val="nil"/>
              <w:right w:val="nil"/>
              <w:tl2br w:val="nil"/>
              <w:tr2bl w:val="nil"/>
            </w:tcBorders>
            <w:shd w:val="solid" w:color="016794" w:fill="FFFFFF"/>
            <w:tcMar>
              <w:left w:w="60" w:type="dxa"/>
              <w:right w:w="60" w:type="dxa"/>
            </w:tcMar>
            <w:vAlign w:val="center"/>
          </w:tcPr>
          <w:p w14:paraId="58E8DEF0" w14:textId="77777777" w:rsidR="00FD1E19" w:rsidRDefault="00FD1E19" w:rsidP="00BE7E4A">
            <w:pPr>
              <w:pStyle w:val="DMETW37225BIPCLDFCAP"/>
              <w:jc w:val="right"/>
              <w:rPr>
                <w:rFonts w:ascii="Verdana" w:eastAsia="Verdana" w:hAnsi="Verdana" w:cs="Verdana"/>
                <w:noProof/>
                <w:color w:val="FFFFFF"/>
                <w:lang w:bidi="en-GB"/>
              </w:rPr>
            </w:pPr>
            <w:r>
              <w:rPr>
                <w:rFonts w:ascii="Verdana" w:eastAsia="Verdana" w:hAnsi="Verdana" w:cs="Verdana"/>
                <w:noProof/>
                <w:color w:val="FFFFFF"/>
              </w:rPr>
              <w:t>Total</w:t>
            </w:r>
          </w:p>
        </w:tc>
      </w:tr>
      <w:tr w:rsidR="00FD1E19" w14:paraId="2ADECD1E" w14:textId="77777777" w:rsidTr="00BE7E4A">
        <w:trPr>
          <w:trHeight w:val="255"/>
        </w:trPr>
        <w:tc>
          <w:tcPr>
            <w:tcW w:w="4106" w:type="dxa"/>
            <w:tcBorders>
              <w:top w:val="nil"/>
              <w:left w:val="nil"/>
              <w:bottom w:val="nil"/>
              <w:right w:val="nil"/>
              <w:tl2br w:val="nil"/>
              <w:tr2bl w:val="nil"/>
            </w:tcBorders>
            <w:shd w:val="clear" w:color="auto" w:fill="auto"/>
            <w:tcMar>
              <w:left w:w="60" w:type="dxa"/>
              <w:right w:w="60" w:type="dxa"/>
            </w:tcMar>
            <w:vAlign w:val="center"/>
          </w:tcPr>
          <w:p w14:paraId="1918C75F" w14:textId="77777777" w:rsidR="00FD1E19" w:rsidRDefault="00FD1E19" w:rsidP="00BE7E4A">
            <w:pPr>
              <w:pStyle w:val="DMETW37225BIPCLDFCAP"/>
              <w:rPr>
                <w:rFonts w:ascii="Verdana" w:eastAsia="Verdana" w:hAnsi="Verdana" w:cs="Verdana"/>
                <w:i/>
                <w:noProof/>
                <w:color w:val="000000"/>
                <w:sz w:val="18"/>
              </w:rPr>
            </w:pPr>
            <w:r>
              <w:rPr>
                <w:rFonts w:ascii="Verdana" w:eastAsia="Verdana" w:hAnsi="Verdana" w:cs="Verdana"/>
                <w:i/>
                <w:noProof/>
                <w:color w:val="000000"/>
                <w:sz w:val="18"/>
              </w:rPr>
              <w:t>Fund capital</w:t>
            </w:r>
          </w:p>
        </w:tc>
        <w:tc>
          <w:tcPr>
            <w:tcW w:w="1753" w:type="dxa"/>
            <w:tcBorders>
              <w:top w:val="nil"/>
              <w:left w:val="nil"/>
              <w:bottom w:val="nil"/>
              <w:right w:val="nil"/>
              <w:tl2br w:val="nil"/>
              <w:tr2bl w:val="nil"/>
            </w:tcBorders>
            <w:shd w:val="clear" w:color="auto" w:fill="auto"/>
            <w:tcMar>
              <w:left w:w="60" w:type="dxa"/>
              <w:right w:w="60" w:type="dxa"/>
            </w:tcMar>
            <w:vAlign w:val="center"/>
          </w:tcPr>
          <w:p w14:paraId="66A54148"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10 435</w:t>
            </w:r>
          </w:p>
        </w:tc>
        <w:tc>
          <w:tcPr>
            <w:tcW w:w="1368" w:type="dxa"/>
            <w:tcBorders>
              <w:top w:val="nil"/>
              <w:left w:val="nil"/>
              <w:bottom w:val="nil"/>
              <w:right w:val="nil"/>
              <w:tl2br w:val="nil"/>
              <w:tr2bl w:val="nil"/>
            </w:tcBorders>
            <w:shd w:val="clear" w:color="auto" w:fill="auto"/>
            <w:tcMar>
              <w:left w:w="60" w:type="dxa"/>
              <w:right w:w="60" w:type="dxa"/>
            </w:tcMar>
            <w:vAlign w:val="center"/>
          </w:tcPr>
          <w:p w14:paraId="6CC642B7"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20 819</w:t>
            </w:r>
          </w:p>
        </w:tc>
        <w:tc>
          <w:tcPr>
            <w:tcW w:w="1205" w:type="dxa"/>
            <w:tcBorders>
              <w:top w:val="nil"/>
              <w:left w:val="nil"/>
              <w:bottom w:val="nil"/>
              <w:right w:val="nil"/>
              <w:tl2br w:val="nil"/>
              <w:tr2bl w:val="nil"/>
            </w:tcBorders>
            <w:shd w:val="clear" w:color="auto" w:fill="auto"/>
            <w:tcMar>
              <w:left w:w="60" w:type="dxa"/>
              <w:right w:w="60" w:type="dxa"/>
            </w:tcMar>
            <w:vAlign w:val="center"/>
          </w:tcPr>
          <w:p w14:paraId="0CFA6556"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29 290</w:t>
            </w:r>
          </w:p>
        </w:tc>
        <w:tc>
          <w:tcPr>
            <w:tcW w:w="1326" w:type="dxa"/>
            <w:tcBorders>
              <w:top w:val="nil"/>
              <w:left w:val="nil"/>
              <w:bottom w:val="nil"/>
              <w:right w:val="nil"/>
              <w:tl2br w:val="nil"/>
              <w:tr2bl w:val="nil"/>
            </w:tcBorders>
            <w:shd w:val="clear" w:color="auto" w:fill="auto"/>
            <w:tcMar>
              <w:left w:w="60" w:type="dxa"/>
              <w:right w:w="60" w:type="dxa"/>
            </w:tcMar>
            <w:vAlign w:val="center"/>
          </w:tcPr>
          <w:p w14:paraId="7D0E5BA5" w14:textId="77777777" w:rsidR="00FD1E19" w:rsidRDefault="00FD1E19" w:rsidP="00BE7E4A">
            <w:pPr>
              <w:pStyle w:val="DMETW37225BIPCLDFCAP"/>
              <w:jc w:val="right"/>
              <w:rPr>
                <w:rFonts w:ascii="Verdana" w:eastAsia="Verdana" w:hAnsi="Verdana" w:cs="Verdana"/>
                <w:i/>
                <w:noProof/>
                <w:color w:val="000000"/>
                <w:sz w:val="18"/>
                <w:lang w:bidi="en-GB"/>
              </w:rPr>
            </w:pPr>
            <w:r>
              <w:rPr>
                <w:rFonts w:ascii="Verdana" w:eastAsia="Verdana" w:hAnsi="Verdana" w:cs="Verdana"/>
                <w:i/>
                <w:noProof/>
                <w:color w:val="000000"/>
                <w:sz w:val="18"/>
              </w:rPr>
              <w:t>60 544</w:t>
            </w:r>
          </w:p>
        </w:tc>
      </w:tr>
      <w:tr w:rsidR="00FD1E19" w14:paraId="5687850B" w14:textId="77777777" w:rsidTr="00BE7E4A">
        <w:trPr>
          <w:trHeight w:val="255"/>
        </w:trPr>
        <w:tc>
          <w:tcPr>
            <w:tcW w:w="4106" w:type="dxa"/>
            <w:tcBorders>
              <w:top w:val="nil"/>
              <w:left w:val="nil"/>
              <w:bottom w:val="nil"/>
              <w:right w:val="nil"/>
              <w:tl2br w:val="nil"/>
              <w:tr2bl w:val="nil"/>
            </w:tcBorders>
            <w:shd w:val="clear" w:color="auto" w:fill="auto"/>
            <w:tcMar>
              <w:left w:w="60" w:type="dxa"/>
              <w:right w:w="60" w:type="dxa"/>
            </w:tcMar>
            <w:vAlign w:val="center"/>
          </w:tcPr>
          <w:p w14:paraId="406FBB42" w14:textId="77777777" w:rsidR="00FD1E19" w:rsidRDefault="00FD1E19" w:rsidP="00BE7E4A">
            <w:pPr>
              <w:pStyle w:val="DMETW37225BIPCLDFCAP"/>
              <w:rPr>
                <w:rFonts w:ascii="Verdana" w:eastAsia="Verdana" w:hAnsi="Verdana" w:cs="Verdana"/>
                <w:i/>
                <w:noProof/>
                <w:color w:val="000000"/>
                <w:sz w:val="18"/>
              </w:rPr>
            </w:pPr>
            <w:r>
              <w:rPr>
                <w:rFonts w:ascii="Verdana" w:eastAsia="Verdana" w:hAnsi="Verdana" w:cs="Verdana"/>
                <w:i/>
                <w:noProof/>
                <w:color w:val="000000"/>
                <w:sz w:val="18"/>
              </w:rPr>
              <w:t>Uncalled fund capital</w:t>
            </w:r>
          </w:p>
        </w:tc>
        <w:tc>
          <w:tcPr>
            <w:tcW w:w="1753" w:type="dxa"/>
            <w:tcBorders>
              <w:top w:val="nil"/>
              <w:left w:val="nil"/>
              <w:bottom w:val="nil"/>
              <w:right w:val="nil"/>
              <w:tl2br w:val="nil"/>
              <w:tr2bl w:val="nil"/>
            </w:tcBorders>
            <w:shd w:val="clear" w:color="auto" w:fill="auto"/>
            <w:tcMar>
              <w:left w:w="60" w:type="dxa"/>
              <w:right w:w="60" w:type="dxa"/>
            </w:tcMar>
            <w:vAlign w:val="center"/>
          </w:tcPr>
          <w:p w14:paraId="196FB822"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68" w:type="dxa"/>
            <w:tcBorders>
              <w:top w:val="nil"/>
              <w:left w:val="nil"/>
              <w:bottom w:val="nil"/>
              <w:right w:val="nil"/>
              <w:tl2br w:val="nil"/>
              <w:tr2bl w:val="nil"/>
            </w:tcBorders>
            <w:shd w:val="clear" w:color="auto" w:fill="auto"/>
            <w:tcMar>
              <w:left w:w="60" w:type="dxa"/>
              <w:right w:w="60" w:type="dxa"/>
            </w:tcMar>
            <w:vAlign w:val="center"/>
          </w:tcPr>
          <w:p w14:paraId="6DF7AC11"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05" w:type="dxa"/>
            <w:tcBorders>
              <w:top w:val="nil"/>
              <w:left w:val="nil"/>
              <w:bottom w:val="nil"/>
              <w:right w:val="nil"/>
              <w:tl2br w:val="nil"/>
              <w:tr2bl w:val="nil"/>
            </w:tcBorders>
            <w:shd w:val="clear" w:color="auto" w:fill="auto"/>
            <w:tcMar>
              <w:left w:w="60" w:type="dxa"/>
              <w:right w:w="60" w:type="dxa"/>
            </w:tcMar>
            <w:vAlign w:val="center"/>
          </w:tcPr>
          <w:p w14:paraId="5190FF76"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(4 840)</w:t>
            </w:r>
          </w:p>
        </w:tc>
        <w:tc>
          <w:tcPr>
            <w:tcW w:w="1326" w:type="dxa"/>
            <w:tcBorders>
              <w:top w:val="nil"/>
              <w:left w:val="nil"/>
              <w:bottom w:val="nil"/>
              <w:right w:val="nil"/>
              <w:tl2br w:val="nil"/>
              <w:tr2bl w:val="nil"/>
            </w:tcBorders>
            <w:shd w:val="clear" w:color="auto" w:fill="auto"/>
            <w:tcMar>
              <w:left w:w="60" w:type="dxa"/>
              <w:right w:w="60" w:type="dxa"/>
            </w:tcMar>
            <w:vAlign w:val="center"/>
          </w:tcPr>
          <w:p w14:paraId="42A5324D" w14:textId="77777777" w:rsidR="00FD1E19" w:rsidRDefault="00FD1E19" w:rsidP="00BE7E4A">
            <w:pPr>
              <w:pStyle w:val="DMETW37225BIPCLDFCAP"/>
              <w:jc w:val="right"/>
              <w:rPr>
                <w:rFonts w:ascii="Verdana" w:eastAsia="Verdana" w:hAnsi="Verdana" w:cs="Verdana"/>
                <w:i/>
                <w:noProof/>
                <w:color w:val="000000"/>
                <w:sz w:val="18"/>
                <w:lang w:bidi="en-GB"/>
              </w:rPr>
            </w:pPr>
            <w:r>
              <w:rPr>
                <w:rFonts w:ascii="Verdana" w:eastAsia="Verdana" w:hAnsi="Verdana" w:cs="Verdana"/>
                <w:i/>
                <w:noProof/>
                <w:color w:val="000000"/>
                <w:sz w:val="18"/>
              </w:rPr>
              <w:t>(4 840)</w:t>
            </w:r>
          </w:p>
        </w:tc>
      </w:tr>
      <w:tr w:rsidR="00FD1E19" w14:paraId="6EDD0F7C" w14:textId="77777777" w:rsidTr="00BE7E4A">
        <w:trPr>
          <w:trHeight w:val="255"/>
        </w:trPr>
        <w:tc>
          <w:tcPr>
            <w:tcW w:w="4106" w:type="dxa"/>
            <w:tcBorders>
              <w:top w:val="nil"/>
              <w:left w:val="nil"/>
              <w:bottom w:val="nil"/>
              <w:right w:val="nil"/>
              <w:tl2br w:val="nil"/>
              <w:tr2bl w:val="nil"/>
            </w:tcBorders>
            <w:shd w:val="solid" w:color="CCE1EA" w:fill="FFFFFF"/>
            <w:tcMar>
              <w:left w:w="60" w:type="dxa"/>
              <w:right w:w="60" w:type="dxa"/>
            </w:tcMar>
            <w:vAlign w:val="center"/>
          </w:tcPr>
          <w:p w14:paraId="2807E55E" w14:textId="77777777" w:rsidR="00FD1E19" w:rsidRDefault="00FD1E19" w:rsidP="00BE7E4A">
            <w:pPr>
              <w:pStyle w:val="DMETW37225BIPCLDFCAP"/>
              <w:rPr>
                <w:rFonts w:ascii="Verdana" w:eastAsia="Verdana" w:hAnsi="Verdana" w:cs="Verdana"/>
                <w:b/>
                <w:noProof/>
                <w:color w:val="000000"/>
                <w:sz w:val="18"/>
              </w:rPr>
            </w:pPr>
            <w:r>
              <w:rPr>
                <w:rFonts w:ascii="Verdana" w:eastAsia="Verdana" w:hAnsi="Verdana" w:cs="Verdana"/>
                <w:b/>
                <w:noProof/>
                <w:color w:val="000000"/>
                <w:sz w:val="18"/>
              </w:rPr>
              <w:t>Called fund capital 31.12.2024</w:t>
            </w:r>
          </w:p>
        </w:tc>
        <w:tc>
          <w:tcPr>
            <w:tcW w:w="1753" w:type="dxa"/>
            <w:tcBorders>
              <w:top w:val="nil"/>
              <w:left w:val="nil"/>
              <w:bottom w:val="nil"/>
              <w:right w:val="nil"/>
              <w:tl2br w:val="nil"/>
              <w:tr2bl w:val="nil"/>
            </w:tcBorders>
            <w:shd w:val="solid" w:color="CCE1EA" w:fill="FFFFFF"/>
            <w:tcMar>
              <w:left w:w="60" w:type="dxa"/>
              <w:right w:w="60" w:type="dxa"/>
            </w:tcMar>
            <w:vAlign w:val="center"/>
          </w:tcPr>
          <w:p w14:paraId="51F70FFA" w14:textId="77777777" w:rsidR="00FD1E19" w:rsidRDefault="00FD1E19" w:rsidP="00BE7E4A">
            <w:pPr>
              <w:pStyle w:val="DMETW37225BIPCLDFCAP"/>
              <w:jc w:val="right"/>
              <w:rPr>
                <w:rFonts w:ascii="Verdana" w:eastAsia="Verdana" w:hAnsi="Verdana" w:cs="Verdana"/>
                <w:b/>
                <w:noProof/>
                <w:color w:val="000000"/>
                <w:sz w:val="18"/>
              </w:rPr>
            </w:pPr>
            <w:r>
              <w:rPr>
                <w:rFonts w:ascii="Verdana" w:eastAsia="Verdana" w:hAnsi="Verdana" w:cs="Verdana"/>
                <w:b/>
                <w:noProof/>
                <w:color w:val="000000"/>
                <w:sz w:val="18"/>
              </w:rPr>
              <w:t xml:space="preserve"> 10 435</w:t>
            </w:r>
          </w:p>
        </w:tc>
        <w:tc>
          <w:tcPr>
            <w:tcW w:w="1368" w:type="dxa"/>
            <w:tcBorders>
              <w:top w:val="nil"/>
              <w:left w:val="nil"/>
              <w:bottom w:val="nil"/>
              <w:right w:val="nil"/>
              <w:tl2br w:val="nil"/>
              <w:tr2bl w:val="nil"/>
            </w:tcBorders>
            <w:shd w:val="solid" w:color="CCE1EA" w:fill="FFFFFF"/>
            <w:tcMar>
              <w:left w:w="60" w:type="dxa"/>
              <w:right w:w="60" w:type="dxa"/>
            </w:tcMar>
            <w:vAlign w:val="center"/>
          </w:tcPr>
          <w:p w14:paraId="0E2CD8F1" w14:textId="77777777" w:rsidR="00FD1E19" w:rsidRDefault="00FD1E19" w:rsidP="00BE7E4A">
            <w:pPr>
              <w:pStyle w:val="DMETW37225BIPCLDFCAP"/>
              <w:jc w:val="right"/>
              <w:rPr>
                <w:rFonts w:ascii="Verdana" w:eastAsia="Verdana" w:hAnsi="Verdana" w:cs="Verdana"/>
                <w:b/>
                <w:noProof/>
                <w:color w:val="000000"/>
                <w:sz w:val="18"/>
              </w:rPr>
            </w:pPr>
            <w:r>
              <w:rPr>
                <w:rFonts w:ascii="Verdana" w:eastAsia="Verdana" w:hAnsi="Verdana" w:cs="Verdana"/>
                <w:b/>
                <w:noProof/>
                <w:color w:val="000000"/>
                <w:sz w:val="18"/>
              </w:rPr>
              <w:t xml:space="preserve"> 20 819</w:t>
            </w:r>
          </w:p>
        </w:tc>
        <w:tc>
          <w:tcPr>
            <w:tcW w:w="1205" w:type="dxa"/>
            <w:tcBorders>
              <w:top w:val="nil"/>
              <w:left w:val="nil"/>
              <w:bottom w:val="nil"/>
              <w:right w:val="nil"/>
              <w:tl2br w:val="nil"/>
              <w:tr2bl w:val="nil"/>
            </w:tcBorders>
            <w:shd w:val="solid" w:color="CCE1EA" w:fill="FFFFFF"/>
            <w:tcMar>
              <w:left w:w="60" w:type="dxa"/>
              <w:right w:w="60" w:type="dxa"/>
            </w:tcMar>
            <w:vAlign w:val="center"/>
          </w:tcPr>
          <w:p w14:paraId="698B5756" w14:textId="77777777" w:rsidR="00FD1E19" w:rsidRDefault="00FD1E19" w:rsidP="00BE7E4A">
            <w:pPr>
              <w:pStyle w:val="DMETW37225BIPCLDFCAP"/>
              <w:jc w:val="right"/>
              <w:rPr>
                <w:rFonts w:ascii="Verdana" w:eastAsia="Verdana" w:hAnsi="Verdana" w:cs="Verdana"/>
                <w:b/>
                <w:noProof/>
                <w:color w:val="000000"/>
                <w:sz w:val="18"/>
              </w:rPr>
            </w:pPr>
            <w:r>
              <w:rPr>
                <w:rFonts w:ascii="Verdana" w:eastAsia="Verdana" w:hAnsi="Verdana" w:cs="Verdana"/>
                <w:b/>
                <w:noProof/>
                <w:color w:val="000000"/>
                <w:sz w:val="18"/>
              </w:rPr>
              <w:t xml:space="preserve"> 24 449</w:t>
            </w:r>
          </w:p>
        </w:tc>
        <w:tc>
          <w:tcPr>
            <w:tcW w:w="1326" w:type="dxa"/>
            <w:tcBorders>
              <w:top w:val="nil"/>
              <w:left w:val="nil"/>
              <w:bottom w:val="nil"/>
              <w:right w:val="nil"/>
              <w:tl2br w:val="nil"/>
              <w:tr2bl w:val="nil"/>
            </w:tcBorders>
            <w:shd w:val="solid" w:color="CCE1EA" w:fill="FFFFFF"/>
            <w:tcMar>
              <w:left w:w="60" w:type="dxa"/>
              <w:right w:w="60" w:type="dxa"/>
            </w:tcMar>
            <w:vAlign w:val="center"/>
          </w:tcPr>
          <w:p w14:paraId="21A26A84" w14:textId="77777777" w:rsidR="00FD1E19" w:rsidRDefault="00FD1E19" w:rsidP="00BE7E4A">
            <w:pPr>
              <w:pStyle w:val="DMETW37225BIPCLDFCAP"/>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55 704</w:t>
            </w:r>
          </w:p>
        </w:tc>
      </w:tr>
      <w:tr w:rsidR="00FD1E19" w14:paraId="44A0E495" w14:textId="77777777" w:rsidTr="00BE7E4A">
        <w:trPr>
          <w:trHeight w:val="255"/>
        </w:trPr>
        <w:tc>
          <w:tcPr>
            <w:tcW w:w="4106" w:type="dxa"/>
            <w:tcBorders>
              <w:top w:val="nil"/>
              <w:left w:val="nil"/>
              <w:bottom w:val="nil"/>
              <w:right w:val="nil"/>
              <w:tl2br w:val="nil"/>
              <w:tr2bl w:val="nil"/>
            </w:tcBorders>
            <w:shd w:val="clear" w:color="auto" w:fill="auto"/>
            <w:tcMar>
              <w:left w:w="60" w:type="dxa"/>
              <w:right w:w="60" w:type="dxa"/>
            </w:tcMar>
            <w:vAlign w:val="center"/>
          </w:tcPr>
          <w:p w14:paraId="31A7F777" w14:textId="77777777" w:rsidR="00FD1E19" w:rsidRDefault="00FD1E19" w:rsidP="00BE7E4A">
            <w:pPr>
              <w:pStyle w:val="DMETW37225BIPCLDFCAP"/>
              <w:rPr>
                <w:rFonts w:ascii="Verdana" w:eastAsia="Verdana" w:hAnsi="Verdana" w:cs="Verdana"/>
                <w:i/>
                <w:noProof/>
                <w:color w:val="000000"/>
                <w:sz w:val="18"/>
              </w:rPr>
            </w:pPr>
            <w:r>
              <w:rPr>
                <w:rFonts w:ascii="Verdana" w:eastAsia="Verdana" w:hAnsi="Verdana" w:cs="Verdana"/>
                <w:i/>
                <w:noProof/>
                <w:color w:val="000000"/>
                <w:sz w:val="18"/>
              </w:rPr>
              <w:t>Fund capital</w:t>
            </w:r>
          </w:p>
        </w:tc>
        <w:tc>
          <w:tcPr>
            <w:tcW w:w="1753" w:type="dxa"/>
            <w:tcBorders>
              <w:top w:val="nil"/>
              <w:left w:val="nil"/>
              <w:bottom w:val="nil"/>
              <w:right w:val="nil"/>
              <w:tl2br w:val="nil"/>
              <w:tr2bl w:val="nil"/>
            </w:tcBorders>
            <w:shd w:val="clear" w:color="auto" w:fill="auto"/>
            <w:tcMar>
              <w:left w:w="60" w:type="dxa"/>
              <w:right w:w="60" w:type="dxa"/>
            </w:tcMar>
            <w:vAlign w:val="center"/>
          </w:tcPr>
          <w:p w14:paraId="13CD6DF8"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10 434</w:t>
            </w:r>
          </w:p>
        </w:tc>
        <w:tc>
          <w:tcPr>
            <w:tcW w:w="1368" w:type="dxa"/>
            <w:tcBorders>
              <w:top w:val="nil"/>
              <w:left w:val="nil"/>
              <w:bottom w:val="nil"/>
              <w:right w:val="nil"/>
              <w:tl2br w:val="nil"/>
              <w:tr2bl w:val="nil"/>
            </w:tcBorders>
            <w:shd w:val="clear" w:color="auto" w:fill="auto"/>
            <w:tcMar>
              <w:left w:w="60" w:type="dxa"/>
              <w:right w:w="60" w:type="dxa"/>
            </w:tcMar>
            <w:vAlign w:val="center"/>
          </w:tcPr>
          <w:p w14:paraId="4B007F7C"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20 816</w:t>
            </w:r>
          </w:p>
        </w:tc>
        <w:tc>
          <w:tcPr>
            <w:tcW w:w="1205" w:type="dxa"/>
            <w:tcBorders>
              <w:top w:val="nil"/>
              <w:left w:val="nil"/>
              <w:bottom w:val="nil"/>
              <w:right w:val="nil"/>
              <w:tl2br w:val="nil"/>
              <w:tr2bl w:val="nil"/>
            </w:tcBorders>
            <w:shd w:val="clear" w:color="auto" w:fill="auto"/>
            <w:tcMar>
              <w:left w:w="60" w:type="dxa"/>
              <w:right w:w="60" w:type="dxa"/>
            </w:tcMar>
            <w:vAlign w:val="center"/>
          </w:tcPr>
          <w:p w14:paraId="6D27A152"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29 278</w:t>
            </w:r>
          </w:p>
        </w:tc>
        <w:tc>
          <w:tcPr>
            <w:tcW w:w="1326" w:type="dxa"/>
            <w:tcBorders>
              <w:top w:val="nil"/>
              <w:left w:val="nil"/>
              <w:bottom w:val="nil"/>
              <w:right w:val="nil"/>
              <w:tl2br w:val="nil"/>
              <w:tr2bl w:val="nil"/>
            </w:tcBorders>
            <w:shd w:val="clear" w:color="auto" w:fill="auto"/>
            <w:tcMar>
              <w:left w:w="60" w:type="dxa"/>
              <w:right w:w="60" w:type="dxa"/>
            </w:tcMar>
            <w:vAlign w:val="center"/>
          </w:tcPr>
          <w:p w14:paraId="2464A87F" w14:textId="77777777" w:rsidR="00FD1E19" w:rsidRDefault="00FD1E19" w:rsidP="00BE7E4A">
            <w:pPr>
              <w:pStyle w:val="DMETW37225BIPCLDFCAP"/>
              <w:jc w:val="right"/>
              <w:rPr>
                <w:rFonts w:ascii="Verdana" w:eastAsia="Verdana" w:hAnsi="Verdana" w:cs="Verdana"/>
                <w:i/>
                <w:noProof/>
                <w:color w:val="000000"/>
                <w:sz w:val="18"/>
                <w:lang w:bidi="en-GB"/>
              </w:rPr>
            </w:pPr>
            <w:r>
              <w:rPr>
                <w:rFonts w:ascii="Verdana" w:eastAsia="Verdana" w:hAnsi="Verdana" w:cs="Verdana"/>
                <w:i/>
                <w:noProof/>
                <w:color w:val="000000"/>
                <w:sz w:val="18"/>
              </w:rPr>
              <w:t>60 528</w:t>
            </w:r>
          </w:p>
        </w:tc>
      </w:tr>
      <w:tr w:rsidR="00FD1E19" w14:paraId="3843B0A2" w14:textId="77777777" w:rsidTr="00BE7E4A">
        <w:trPr>
          <w:trHeight w:val="255"/>
        </w:trPr>
        <w:tc>
          <w:tcPr>
            <w:tcW w:w="4106" w:type="dxa"/>
            <w:tcBorders>
              <w:top w:val="nil"/>
              <w:left w:val="nil"/>
              <w:bottom w:val="nil"/>
              <w:right w:val="nil"/>
              <w:tl2br w:val="nil"/>
              <w:tr2bl w:val="nil"/>
            </w:tcBorders>
            <w:shd w:val="clear" w:color="auto" w:fill="auto"/>
            <w:tcMar>
              <w:left w:w="60" w:type="dxa"/>
              <w:right w:w="60" w:type="dxa"/>
            </w:tcMar>
            <w:vAlign w:val="center"/>
          </w:tcPr>
          <w:p w14:paraId="6B6DF6CD" w14:textId="77777777" w:rsidR="00FD1E19" w:rsidRDefault="00FD1E19" w:rsidP="00BE7E4A">
            <w:pPr>
              <w:pStyle w:val="DMETW37225BIPCLDFCAP"/>
              <w:rPr>
                <w:rFonts w:ascii="Verdana" w:eastAsia="Verdana" w:hAnsi="Verdana" w:cs="Verdana"/>
                <w:i/>
                <w:noProof/>
                <w:color w:val="000000"/>
                <w:sz w:val="18"/>
              </w:rPr>
            </w:pPr>
            <w:r>
              <w:rPr>
                <w:rFonts w:ascii="Verdana" w:eastAsia="Verdana" w:hAnsi="Verdana" w:cs="Verdana"/>
                <w:i/>
                <w:noProof/>
                <w:color w:val="000000"/>
                <w:sz w:val="18"/>
              </w:rPr>
              <w:t>Uncalled fund capital</w:t>
            </w:r>
          </w:p>
        </w:tc>
        <w:tc>
          <w:tcPr>
            <w:tcW w:w="1753" w:type="dxa"/>
            <w:tcBorders>
              <w:top w:val="nil"/>
              <w:left w:val="nil"/>
              <w:bottom w:val="nil"/>
              <w:right w:val="nil"/>
              <w:tl2br w:val="nil"/>
              <w:tr2bl w:val="nil"/>
            </w:tcBorders>
            <w:shd w:val="clear" w:color="auto" w:fill="auto"/>
            <w:tcMar>
              <w:left w:w="60" w:type="dxa"/>
              <w:right w:w="60" w:type="dxa"/>
            </w:tcMar>
            <w:vAlign w:val="center"/>
          </w:tcPr>
          <w:p w14:paraId="74A20C08"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368" w:type="dxa"/>
            <w:tcBorders>
              <w:top w:val="nil"/>
              <w:left w:val="nil"/>
              <w:bottom w:val="nil"/>
              <w:right w:val="nil"/>
              <w:tl2br w:val="nil"/>
              <w:tr2bl w:val="nil"/>
            </w:tcBorders>
            <w:shd w:val="clear" w:color="auto" w:fill="auto"/>
            <w:tcMar>
              <w:left w:w="60" w:type="dxa"/>
              <w:right w:w="60" w:type="dxa"/>
            </w:tcMar>
            <w:vAlign w:val="center"/>
          </w:tcPr>
          <w:p w14:paraId="07B48EF6"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05" w:type="dxa"/>
            <w:tcBorders>
              <w:top w:val="nil"/>
              <w:left w:val="nil"/>
              <w:bottom w:val="nil"/>
              <w:right w:val="nil"/>
              <w:tl2br w:val="nil"/>
              <w:tr2bl w:val="nil"/>
            </w:tcBorders>
            <w:shd w:val="clear" w:color="auto" w:fill="auto"/>
            <w:tcMar>
              <w:left w:w="60" w:type="dxa"/>
              <w:right w:w="60" w:type="dxa"/>
            </w:tcMar>
            <w:vAlign w:val="center"/>
          </w:tcPr>
          <w:p w14:paraId="34DD372E" w14:textId="77777777" w:rsidR="00FD1E19" w:rsidRDefault="00FD1E19" w:rsidP="00BE7E4A">
            <w:pPr>
              <w:pStyle w:val="DMETW37225BIPCLDFCAP"/>
              <w:jc w:val="right"/>
              <w:rPr>
                <w:rFonts w:ascii="Verdana" w:eastAsia="Verdana" w:hAnsi="Verdana" w:cs="Verdana"/>
                <w:i/>
                <w:noProof/>
                <w:color w:val="000000"/>
                <w:sz w:val="18"/>
              </w:rPr>
            </w:pPr>
            <w:r>
              <w:rPr>
                <w:rFonts w:ascii="Verdana" w:eastAsia="Verdana" w:hAnsi="Verdana" w:cs="Verdana"/>
                <w:i/>
                <w:noProof/>
                <w:color w:val="000000"/>
                <w:sz w:val="18"/>
              </w:rPr>
              <w:t>(4 040)</w:t>
            </w:r>
          </w:p>
        </w:tc>
        <w:tc>
          <w:tcPr>
            <w:tcW w:w="1326" w:type="dxa"/>
            <w:tcBorders>
              <w:top w:val="nil"/>
              <w:left w:val="nil"/>
              <w:bottom w:val="nil"/>
              <w:right w:val="nil"/>
              <w:tl2br w:val="nil"/>
              <w:tr2bl w:val="nil"/>
            </w:tcBorders>
            <w:shd w:val="clear" w:color="auto" w:fill="auto"/>
            <w:tcMar>
              <w:left w:w="60" w:type="dxa"/>
              <w:right w:w="60" w:type="dxa"/>
            </w:tcMar>
            <w:vAlign w:val="center"/>
          </w:tcPr>
          <w:p w14:paraId="259AA1F3" w14:textId="77777777" w:rsidR="00FD1E19" w:rsidRDefault="00FD1E19" w:rsidP="00BE7E4A">
            <w:pPr>
              <w:pStyle w:val="DMETW37225BIPCLDFCAP"/>
              <w:jc w:val="right"/>
              <w:rPr>
                <w:rFonts w:ascii="Verdana" w:eastAsia="Verdana" w:hAnsi="Verdana" w:cs="Verdana"/>
                <w:i/>
                <w:noProof/>
                <w:color w:val="000000"/>
                <w:sz w:val="18"/>
                <w:lang w:bidi="en-GB"/>
              </w:rPr>
            </w:pPr>
            <w:r>
              <w:rPr>
                <w:rFonts w:ascii="Verdana" w:eastAsia="Verdana" w:hAnsi="Verdana" w:cs="Verdana"/>
                <w:i/>
                <w:noProof/>
                <w:color w:val="000000"/>
                <w:sz w:val="18"/>
              </w:rPr>
              <w:t>(4 040)</w:t>
            </w:r>
          </w:p>
        </w:tc>
      </w:tr>
      <w:tr w:rsidR="00FD1E19" w14:paraId="2E1A2232" w14:textId="77777777" w:rsidTr="00BE7E4A">
        <w:trPr>
          <w:trHeight w:val="255"/>
        </w:trPr>
        <w:tc>
          <w:tcPr>
            <w:tcW w:w="4106" w:type="dxa"/>
            <w:tcBorders>
              <w:top w:val="nil"/>
              <w:left w:val="nil"/>
              <w:bottom w:val="nil"/>
              <w:right w:val="nil"/>
              <w:tl2br w:val="nil"/>
              <w:tr2bl w:val="nil"/>
            </w:tcBorders>
            <w:shd w:val="solid" w:color="CCE1EA" w:fill="FFFFFF"/>
            <w:tcMar>
              <w:left w:w="60" w:type="dxa"/>
              <w:right w:w="60" w:type="dxa"/>
            </w:tcMar>
            <w:vAlign w:val="center"/>
          </w:tcPr>
          <w:p w14:paraId="17DC0A06" w14:textId="77777777" w:rsidR="00FD1E19" w:rsidRDefault="00FD1E19" w:rsidP="00BE7E4A">
            <w:pPr>
              <w:pStyle w:val="DMETW37225BIPCLDFCAP"/>
              <w:rPr>
                <w:rFonts w:ascii="Verdana" w:eastAsia="Verdana" w:hAnsi="Verdana" w:cs="Verdana"/>
                <w:b/>
                <w:noProof/>
                <w:color w:val="000000"/>
                <w:sz w:val="18"/>
              </w:rPr>
            </w:pPr>
            <w:r>
              <w:rPr>
                <w:rFonts w:ascii="Verdana" w:eastAsia="Verdana" w:hAnsi="Verdana" w:cs="Verdana"/>
                <w:b/>
                <w:noProof/>
                <w:color w:val="000000"/>
                <w:sz w:val="18"/>
              </w:rPr>
              <w:t>Called fund capital 31.12.2025</w:t>
            </w:r>
          </w:p>
        </w:tc>
        <w:tc>
          <w:tcPr>
            <w:tcW w:w="1753" w:type="dxa"/>
            <w:tcBorders>
              <w:top w:val="nil"/>
              <w:left w:val="nil"/>
              <w:bottom w:val="nil"/>
              <w:right w:val="nil"/>
              <w:tl2br w:val="nil"/>
              <w:tr2bl w:val="nil"/>
            </w:tcBorders>
            <w:shd w:val="solid" w:color="CCE1EA" w:fill="FFFFFF"/>
            <w:tcMar>
              <w:left w:w="60" w:type="dxa"/>
              <w:right w:w="60" w:type="dxa"/>
            </w:tcMar>
            <w:vAlign w:val="center"/>
          </w:tcPr>
          <w:p w14:paraId="6F79537B" w14:textId="77777777" w:rsidR="00FD1E19" w:rsidRDefault="00FD1E19" w:rsidP="00BE7E4A">
            <w:pPr>
              <w:pStyle w:val="DMETW37225BIPCLDFCAP"/>
              <w:jc w:val="right"/>
              <w:rPr>
                <w:rFonts w:ascii="Verdana" w:eastAsia="Verdana" w:hAnsi="Verdana" w:cs="Verdana"/>
                <w:b/>
                <w:noProof/>
                <w:color w:val="000000"/>
                <w:sz w:val="18"/>
              </w:rPr>
            </w:pPr>
            <w:r>
              <w:rPr>
                <w:rFonts w:ascii="Verdana" w:eastAsia="Verdana" w:hAnsi="Verdana" w:cs="Verdana"/>
                <w:b/>
                <w:noProof/>
                <w:color w:val="000000"/>
                <w:sz w:val="18"/>
              </w:rPr>
              <w:t xml:space="preserve"> 10 434</w:t>
            </w:r>
          </w:p>
        </w:tc>
        <w:tc>
          <w:tcPr>
            <w:tcW w:w="1368" w:type="dxa"/>
            <w:tcBorders>
              <w:top w:val="nil"/>
              <w:left w:val="nil"/>
              <w:bottom w:val="nil"/>
              <w:right w:val="nil"/>
              <w:tl2br w:val="nil"/>
              <w:tr2bl w:val="nil"/>
            </w:tcBorders>
            <w:shd w:val="solid" w:color="CCE1EA" w:fill="FFFFFF"/>
            <w:tcMar>
              <w:left w:w="60" w:type="dxa"/>
              <w:right w:w="60" w:type="dxa"/>
            </w:tcMar>
            <w:vAlign w:val="center"/>
          </w:tcPr>
          <w:p w14:paraId="1C848494" w14:textId="77777777" w:rsidR="00FD1E19" w:rsidRDefault="00FD1E19" w:rsidP="00BE7E4A">
            <w:pPr>
              <w:pStyle w:val="DMETW37225BIPCLDFCAP"/>
              <w:jc w:val="right"/>
              <w:rPr>
                <w:rFonts w:ascii="Verdana" w:eastAsia="Verdana" w:hAnsi="Verdana" w:cs="Verdana"/>
                <w:b/>
                <w:noProof/>
                <w:color w:val="000000"/>
                <w:sz w:val="18"/>
              </w:rPr>
            </w:pPr>
            <w:r>
              <w:rPr>
                <w:rFonts w:ascii="Verdana" w:eastAsia="Verdana" w:hAnsi="Verdana" w:cs="Verdana"/>
                <w:b/>
                <w:noProof/>
                <w:color w:val="000000"/>
                <w:sz w:val="18"/>
              </w:rPr>
              <w:t xml:space="preserve"> 20 816</w:t>
            </w:r>
          </w:p>
        </w:tc>
        <w:tc>
          <w:tcPr>
            <w:tcW w:w="1205" w:type="dxa"/>
            <w:tcBorders>
              <w:top w:val="nil"/>
              <w:left w:val="nil"/>
              <w:bottom w:val="nil"/>
              <w:right w:val="nil"/>
              <w:tl2br w:val="nil"/>
              <w:tr2bl w:val="nil"/>
            </w:tcBorders>
            <w:shd w:val="solid" w:color="CCE1EA" w:fill="FFFFFF"/>
            <w:tcMar>
              <w:left w:w="60" w:type="dxa"/>
              <w:right w:w="60" w:type="dxa"/>
            </w:tcMar>
            <w:vAlign w:val="center"/>
          </w:tcPr>
          <w:p w14:paraId="22DEF503" w14:textId="77777777" w:rsidR="00FD1E19" w:rsidRDefault="00FD1E19" w:rsidP="00BE7E4A">
            <w:pPr>
              <w:pStyle w:val="DMETW37225BIPCLDFCAP"/>
              <w:jc w:val="right"/>
              <w:rPr>
                <w:rFonts w:ascii="Verdana" w:eastAsia="Verdana" w:hAnsi="Verdana" w:cs="Verdana"/>
                <w:b/>
                <w:noProof/>
                <w:color w:val="000000"/>
                <w:sz w:val="18"/>
              </w:rPr>
            </w:pPr>
            <w:r>
              <w:rPr>
                <w:rFonts w:ascii="Verdana" w:eastAsia="Verdana" w:hAnsi="Verdana" w:cs="Verdana"/>
                <w:b/>
                <w:noProof/>
                <w:color w:val="000000"/>
                <w:sz w:val="18"/>
              </w:rPr>
              <w:t xml:space="preserve"> 25 237</w:t>
            </w:r>
          </w:p>
        </w:tc>
        <w:tc>
          <w:tcPr>
            <w:tcW w:w="1326" w:type="dxa"/>
            <w:tcBorders>
              <w:top w:val="nil"/>
              <w:left w:val="nil"/>
              <w:bottom w:val="nil"/>
              <w:right w:val="nil"/>
              <w:tl2br w:val="nil"/>
              <w:tr2bl w:val="nil"/>
            </w:tcBorders>
            <w:shd w:val="solid" w:color="CCE1EA" w:fill="FFFFFF"/>
            <w:tcMar>
              <w:left w:w="60" w:type="dxa"/>
              <w:right w:w="60" w:type="dxa"/>
            </w:tcMar>
            <w:vAlign w:val="center"/>
          </w:tcPr>
          <w:p w14:paraId="5E6A465C" w14:textId="77777777" w:rsidR="00FD1E19" w:rsidRDefault="00FD1E19" w:rsidP="00BE7E4A">
            <w:pPr>
              <w:pStyle w:val="DMETW37225BIPCLDFCAP"/>
              <w:jc w:val="right"/>
              <w:rPr>
                <w:rFonts w:ascii="Verdana" w:eastAsia="Verdana" w:hAnsi="Verdana" w:cs="Verdana"/>
                <w:b/>
                <w:noProof/>
                <w:color w:val="000000"/>
                <w:sz w:val="18"/>
              </w:rPr>
            </w:pPr>
            <w:r>
              <w:rPr>
                <w:rFonts w:ascii="Verdana" w:eastAsia="Verdana" w:hAnsi="Verdana" w:cs="Verdana"/>
                <w:b/>
                <w:noProof/>
                <w:color w:val="000000"/>
                <w:sz w:val="18"/>
              </w:rPr>
              <w:t xml:space="preserve"> 56 488</w:t>
            </w:r>
          </w:p>
        </w:tc>
      </w:tr>
    </w:tbl>
    <w:p w14:paraId="3B9EABC9" w14:textId="77777777" w:rsidR="00FD1E19" w:rsidRDefault="00FD1E19" w:rsidP="00FD1E19">
      <w:pPr>
        <w:pStyle w:val="Textstand-alone"/>
      </w:pPr>
      <w:bookmarkStart w:id="100" w:name="_Hlk135727589"/>
      <w:r>
        <w:t xml:space="preserve">The uncalled funds represent amounts not yet called from Member States. The called fund capital represents the contributions which have been called by the EDF and transferred to the treasury accounts by the Member States (see below </w:t>
      </w:r>
      <w:r w:rsidRPr="00885272">
        <w:rPr>
          <w:b/>
          <w:bCs/>
        </w:rPr>
        <w:t>2.9.2</w:t>
      </w:r>
      <w:r>
        <w:t>).</w:t>
      </w:r>
    </w:p>
    <w:p w14:paraId="51310CC5" w14:textId="77777777" w:rsidR="00FD1E19" w:rsidRDefault="00FD1E19" w:rsidP="00FD1E19">
      <w:pPr>
        <w:pStyle w:val="Textstand-alone"/>
      </w:pPr>
      <w:r>
        <w:t xml:space="preserve">By means of Council Decision (EU) 2025/2324, the Member States' contributions set out in the Internal Agreements of the Ninth EDF were reduced by an amount of EUR 1.2 million from funds decommitted from this EDF. Refunds arising from this reduction have been compensated against additional calls for funds under the 11th EDF. In fact, the refund will be used against the first instalment of 2026 (see Note </w:t>
      </w:r>
      <w:r w:rsidRPr="00885272">
        <w:rPr>
          <w:b/>
          <w:bCs/>
        </w:rPr>
        <w:t>2.7.2</w:t>
      </w:r>
      <w:r>
        <w:t xml:space="preserve">). </w:t>
      </w:r>
    </w:p>
    <w:p w14:paraId="61C3B7BB" w14:textId="77777777" w:rsidR="00FD1E19" w:rsidRPr="009011C6" w:rsidRDefault="00FD1E19" w:rsidP="00FD1E19">
      <w:pPr>
        <w:pStyle w:val="Textstand-alone"/>
        <w:rPr>
          <w:lang w:bidi="en-GB"/>
        </w:rPr>
      </w:pPr>
      <w:r>
        <w:t>While the United Kingdom remains party to the EDF until the closure of all programmes, in accordance with Article 153 of the Withdrawal Agreement, its share of uncommitted and decommitted funds from the Ninth and 10th EDF cannot be reused. In 2025, the UK requested that its second instalment for the year be compensated using its outstanding share in the reserve of the 10th and 11th EDFs. As a result, the fund capital of the 10th and 11th EDFs was reduced by EUR 15 million</w:t>
      </w:r>
      <w:r w:rsidRPr="009011C6">
        <w:rPr>
          <w:lang w:bidi="en-GB"/>
        </w:rPr>
        <w:t xml:space="preserve">. </w:t>
      </w:r>
    </w:p>
    <w:p w14:paraId="2C6C7CCB" w14:textId="77777777" w:rsidR="00FD1E19" w:rsidRPr="00F64D38" w:rsidRDefault="00FD1E19" w:rsidP="00FD1E19">
      <w:pPr>
        <w:pStyle w:val="HEADER3Part2"/>
        <w:spacing w:before="0" w:after="0"/>
        <w:jc w:val="both"/>
        <w:rPr>
          <w:noProof/>
        </w:rPr>
      </w:pPr>
      <w:bookmarkStart w:id="101" w:name="_Ref35811248"/>
      <w:bookmarkEnd w:id="100"/>
      <w:r w:rsidRPr="00F64D38">
        <w:rPr>
          <w:noProof/>
        </w:rPr>
        <w:t>Called and uncalled fund capital by Member State</w:t>
      </w:r>
      <w:bookmarkEnd w:id="101"/>
      <w:r>
        <w:rPr>
          <w:noProof/>
        </w:rPr>
        <w:t>s and the UK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3"/>
        <w:gridCol w:w="1762"/>
        <w:gridCol w:w="2013"/>
        <w:gridCol w:w="1583"/>
        <w:gridCol w:w="1787"/>
      </w:tblGrid>
      <w:tr w:rsidR="00FD1E19" w14:paraId="5E85CAB2" w14:textId="77777777" w:rsidTr="00BE7E4A">
        <w:trPr>
          <w:cantSplit/>
          <w:trHeight w:val="255"/>
        </w:trPr>
        <w:tc>
          <w:tcPr>
            <w:tcW w:w="2613" w:type="dxa"/>
            <w:gridSpan w:val="5"/>
            <w:tcBorders>
              <w:top w:val="nil"/>
              <w:left w:val="nil"/>
              <w:bottom w:val="nil"/>
              <w:right w:val="nil"/>
              <w:tl2br w:val="nil"/>
              <w:tr2bl w:val="nil"/>
            </w:tcBorders>
            <w:shd w:val="clear" w:color="auto" w:fill="auto"/>
            <w:tcMar>
              <w:left w:w="60" w:type="dxa"/>
              <w:right w:w="60" w:type="dxa"/>
            </w:tcMar>
            <w:vAlign w:val="center"/>
          </w:tcPr>
          <w:p w14:paraId="58FC34E3" w14:textId="77777777" w:rsidR="00FD1E19" w:rsidRDefault="00FD1E19" w:rsidP="00BE7E4A">
            <w:pPr>
              <w:pStyle w:val="DMETW37225BIPCLDFCAPMS11"/>
              <w:jc w:val="right"/>
              <w:rPr>
                <w:rFonts w:ascii="Verdana" w:eastAsia="Verdana" w:hAnsi="Verdana" w:cs="Verdana"/>
                <w:i/>
                <w:noProof/>
                <w:color w:val="000000"/>
                <w:sz w:val="16"/>
                <w:lang w:bidi="en-GB"/>
              </w:rPr>
            </w:pPr>
            <w:bookmarkStart w:id="102" w:name="DOC_TBL00044_1_1"/>
            <w:bookmarkEnd w:id="102"/>
            <w:r>
              <w:rPr>
                <w:rFonts w:ascii="Verdana" w:eastAsia="Verdana" w:hAnsi="Verdana" w:cs="Verdana"/>
                <w:i/>
                <w:noProof/>
                <w:color w:val="000000"/>
                <w:sz w:val="16"/>
                <w:lang w:bidi="en-GB"/>
              </w:rPr>
              <w:t>EUR million</w:t>
            </w:r>
          </w:p>
        </w:tc>
      </w:tr>
      <w:tr w:rsidR="00FD1E19" w14:paraId="085F5309" w14:textId="77777777" w:rsidTr="00BE7E4A">
        <w:trPr>
          <w:cantSplit/>
          <w:trHeight w:val="255"/>
        </w:trPr>
        <w:tc>
          <w:tcPr>
            <w:tcW w:w="2613" w:type="dxa"/>
            <w:tcBorders>
              <w:top w:val="nil"/>
              <w:left w:val="nil"/>
              <w:bottom w:val="nil"/>
              <w:right w:val="nil"/>
              <w:tl2br w:val="nil"/>
              <w:tr2bl w:val="nil"/>
            </w:tcBorders>
            <w:shd w:val="solid" w:color="016794" w:fill="FFFFFF"/>
            <w:tcMar>
              <w:left w:w="60" w:type="dxa"/>
              <w:right w:w="60" w:type="dxa"/>
            </w:tcMar>
            <w:vAlign w:val="center"/>
          </w:tcPr>
          <w:p w14:paraId="4DBDED86" w14:textId="77777777" w:rsidR="00FD1E19" w:rsidRDefault="00FD1E19" w:rsidP="00BE7E4A">
            <w:pPr>
              <w:pStyle w:val="DMETW37225BIPCLDFCAPMS11"/>
              <w:jc w:val="center"/>
              <w:rPr>
                <w:rFonts w:ascii="Verdana" w:eastAsia="Verdana" w:hAnsi="Verdana" w:cs="Verdana"/>
                <w:noProof/>
                <w:color w:val="FFFFFF"/>
              </w:rPr>
            </w:pPr>
            <w:r>
              <w:rPr>
                <w:rFonts w:ascii="Verdana" w:eastAsia="Verdana" w:hAnsi="Verdana" w:cs="Verdana"/>
                <w:noProof/>
                <w:color w:val="FFFFFF"/>
              </w:rPr>
              <w:t>Contributions 11th EDF</w:t>
            </w:r>
          </w:p>
        </w:tc>
        <w:tc>
          <w:tcPr>
            <w:tcW w:w="1762" w:type="dxa"/>
            <w:tcBorders>
              <w:top w:val="nil"/>
              <w:left w:val="nil"/>
              <w:bottom w:val="nil"/>
              <w:right w:val="nil"/>
              <w:tl2br w:val="nil"/>
              <w:tr2bl w:val="nil"/>
            </w:tcBorders>
            <w:shd w:val="solid" w:color="016794" w:fill="FFFFFF"/>
            <w:tcMar>
              <w:left w:w="60" w:type="dxa"/>
              <w:right w:w="60" w:type="dxa"/>
            </w:tcMar>
            <w:vAlign w:val="center"/>
          </w:tcPr>
          <w:p w14:paraId="0A4E05E0" w14:textId="77777777" w:rsidR="00FD1E19" w:rsidRDefault="00FD1E19" w:rsidP="00BE7E4A">
            <w:pPr>
              <w:pStyle w:val="DMETW37225BIPCLDFCAPMS11"/>
              <w:jc w:val="center"/>
              <w:rPr>
                <w:rFonts w:ascii="Verdana" w:eastAsia="Verdana" w:hAnsi="Verdana" w:cs="Verdana"/>
                <w:noProof/>
                <w:color w:val="FFFFFF"/>
              </w:rPr>
            </w:pPr>
            <w:r>
              <w:rPr>
                <w:rFonts w:ascii="Verdana" w:eastAsia="Verdana" w:hAnsi="Verdana" w:cs="Verdana"/>
                <w:noProof/>
                <w:color w:val="FFFFFF"/>
              </w:rPr>
              <w:t>%</w:t>
            </w:r>
          </w:p>
        </w:tc>
        <w:tc>
          <w:tcPr>
            <w:tcW w:w="2013" w:type="dxa"/>
            <w:tcBorders>
              <w:top w:val="nil"/>
              <w:left w:val="nil"/>
              <w:bottom w:val="nil"/>
              <w:right w:val="nil"/>
              <w:tl2br w:val="nil"/>
              <w:tr2bl w:val="nil"/>
            </w:tcBorders>
            <w:shd w:val="solid" w:color="016794" w:fill="FFFFFF"/>
            <w:tcMar>
              <w:left w:w="60" w:type="dxa"/>
              <w:right w:w="60" w:type="dxa"/>
            </w:tcMar>
            <w:vAlign w:val="center"/>
          </w:tcPr>
          <w:p w14:paraId="6E440DD5" w14:textId="77777777" w:rsidR="00FD1E19" w:rsidRDefault="00FD1E19" w:rsidP="00BE7E4A">
            <w:pPr>
              <w:pStyle w:val="DMETW37225BIPCLDFCAPMS11"/>
              <w:jc w:val="center"/>
              <w:rPr>
                <w:rFonts w:ascii="Verdana" w:eastAsia="Verdana" w:hAnsi="Verdana" w:cs="Verdana"/>
                <w:noProof/>
                <w:color w:val="FFFFFF"/>
              </w:rPr>
            </w:pPr>
            <w:r>
              <w:rPr>
                <w:rFonts w:ascii="Verdana" w:eastAsia="Verdana" w:hAnsi="Verdana" w:cs="Verdana"/>
                <w:noProof/>
                <w:color w:val="FFFFFF"/>
              </w:rPr>
              <w:t>Uncalled capital 31.12.2024</w:t>
            </w:r>
          </w:p>
        </w:tc>
        <w:tc>
          <w:tcPr>
            <w:tcW w:w="1583" w:type="dxa"/>
            <w:tcBorders>
              <w:top w:val="nil"/>
              <w:left w:val="nil"/>
              <w:bottom w:val="nil"/>
              <w:right w:val="nil"/>
              <w:tl2br w:val="nil"/>
              <w:tr2bl w:val="nil"/>
            </w:tcBorders>
            <w:shd w:val="solid" w:color="016794" w:fill="FFFFFF"/>
            <w:tcMar>
              <w:left w:w="60" w:type="dxa"/>
              <w:right w:w="60" w:type="dxa"/>
            </w:tcMar>
            <w:vAlign w:val="center"/>
          </w:tcPr>
          <w:p w14:paraId="43D38BB5" w14:textId="77777777" w:rsidR="00FD1E19" w:rsidRDefault="00FD1E19" w:rsidP="00BE7E4A">
            <w:pPr>
              <w:pStyle w:val="DMETW37225BIPCLDFCAPMS11"/>
              <w:jc w:val="center"/>
              <w:rPr>
                <w:rFonts w:ascii="Verdana" w:eastAsia="Verdana" w:hAnsi="Verdana" w:cs="Verdana"/>
                <w:noProof/>
                <w:color w:val="FFFFFF"/>
              </w:rPr>
            </w:pPr>
            <w:r>
              <w:rPr>
                <w:rFonts w:ascii="Verdana" w:eastAsia="Verdana" w:hAnsi="Verdana" w:cs="Verdana"/>
                <w:noProof/>
                <w:color w:val="FFFFFF"/>
              </w:rPr>
              <w:t>Capital called in 2025</w:t>
            </w:r>
          </w:p>
        </w:tc>
        <w:tc>
          <w:tcPr>
            <w:tcW w:w="1787" w:type="dxa"/>
            <w:tcBorders>
              <w:top w:val="nil"/>
              <w:left w:val="nil"/>
              <w:bottom w:val="nil"/>
              <w:right w:val="nil"/>
              <w:tl2br w:val="nil"/>
              <w:tr2bl w:val="nil"/>
            </w:tcBorders>
            <w:shd w:val="solid" w:color="016794" w:fill="FFFFFF"/>
            <w:tcMar>
              <w:left w:w="60" w:type="dxa"/>
              <w:right w:w="60" w:type="dxa"/>
            </w:tcMar>
            <w:vAlign w:val="center"/>
          </w:tcPr>
          <w:p w14:paraId="25A364D0" w14:textId="77777777" w:rsidR="00FD1E19" w:rsidRDefault="00FD1E19" w:rsidP="00BE7E4A">
            <w:pPr>
              <w:pStyle w:val="DMETW37225BIPCLDFCAPMS11"/>
              <w:jc w:val="center"/>
              <w:rPr>
                <w:rFonts w:ascii="Verdana" w:eastAsia="Verdana" w:hAnsi="Verdana" w:cs="Verdana"/>
                <w:noProof/>
                <w:color w:val="FFFFFF"/>
                <w:lang w:bidi="en-GB"/>
              </w:rPr>
            </w:pPr>
            <w:r>
              <w:rPr>
                <w:rFonts w:ascii="Verdana" w:eastAsia="Verdana" w:hAnsi="Verdana" w:cs="Verdana"/>
                <w:noProof/>
                <w:color w:val="FFFFFF"/>
              </w:rPr>
              <w:t>Uncalled capital 31.12.2025</w:t>
            </w:r>
          </w:p>
        </w:tc>
      </w:tr>
      <w:tr w:rsidR="00FD1E19" w14:paraId="1E65A62D"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4C014115"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Austria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672AA109"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2.40</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6970D160"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116</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281D3A6D"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(19)</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04572651"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97</w:t>
            </w:r>
          </w:p>
        </w:tc>
      </w:tr>
      <w:tr w:rsidR="00FD1E19" w14:paraId="261F9582"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3CA4E164"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Belgium</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1C679964"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3.25</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4D743F8F"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157</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7FB72D8F"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(26)</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315BB445"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131</w:t>
            </w:r>
          </w:p>
        </w:tc>
      </w:tr>
      <w:tr w:rsidR="00FD1E19" w14:paraId="2315F416"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24B758EC"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Bulgaria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28DB0E28"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0.22</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76BAE5C0"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7B0CF30E"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3AD5471D"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w:t>
            </w:r>
          </w:p>
        </w:tc>
      </w:tr>
      <w:tr w:rsidR="00FD1E19" w14:paraId="7BAC9356"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1C41AD96"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Croatia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1EAD12CF"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0.23</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70B75554"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44517851"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04819E8F"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w:t>
            </w:r>
          </w:p>
        </w:tc>
      </w:tr>
      <w:tr w:rsidR="00FD1E19" w14:paraId="1DDA01F8"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269D3DB5"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Cyprus</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79551F25"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0.11</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5198B8D7"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6AF7E73F"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436F3F3E"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0D944536"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4F8A55C5"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Czech Republic</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090935C5"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0.80</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416079D1"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39</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2D2E2A0F"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5F1040D6"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32</w:t>
            </w:r>
          </w:p>
        </w:tc>
      </w:tr>
      <w:tr w:rsidR="00FD1E19" w14:paraId="30D60E9F"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0C2FD893"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Denmark</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22943C79"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1.98</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2BE0A2DC"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96</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63D48E89"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6C6D1BF2"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80</w:t>
            </w:r>
          </w:p>
        </w:tc>
      </w:tr>
      <w:tr w:rsidR="00FD1E19" w14:paraId="26627FD1"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1EFBBF68"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Estonia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3AEAC3DC"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0.09</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5B68A8E9"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5924D240"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74A2D8C2"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0A91A2A8"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2BCE39C9"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Finland</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218BAB17"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1.51</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062F4762"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73</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5ED22CA7"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4007E965"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61</w:t>
            </w:r>
          </w:p>
        </w:tc>
      </w:tr>
      <w:tr w:rsidR="00FD1E19" w14:paraId="092990EC"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1019CE24"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France</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4905FD04"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17.81</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05C8564D"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862</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71A38543"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(143)</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293C4B82"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720</w:t>
            </w:r>
          </w:p>
        </w:tc>
      </w:tr>
      <w:tr w:rsidR="00FD1E19" w14:paraId="7D2A9B32"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1AA96748"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Germany</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6FEBFBD0"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20.58</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4B283F6A"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996</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6215B23A"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(165)</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75634A69"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831</w:t>
            </w:r>
          </w:p>
        </w:tc>
      </w:tr>
      <w:tr w:rsidR="00FD1E19" w14:paraId="538162B9"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6690D382"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Greece</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5D0F164A"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1.51</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26D6FC96"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73</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20A4C8F5"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6CBE16E6"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61</w:t>
            </w:r>
          </w:p>
        </w:tc>
      </w:tr>
      <w:tr w:rsidR="00FD1E19" w14:paraId="72C4839B"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25B54613"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Hungary</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364E0BD6"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0.61</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6B28EEC6"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30</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1C5D2090"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3BB6E6E4"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w:t>
            </w:r>
          </w:p>
        </w:tc>
      </w:tr>
      <w:tr w:rsidR="00FD1E19" w14:paraId="75A99378"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77F9B5C9"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Ireland</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41BFD030"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0.94</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76A29820"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46</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56B309E5"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2D8F8337"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38</w:t>
            </w:r>
          </w:p>
        </w:tc>
      </w:tr>
      <w:tr w:rsidR="00FD1E19" w14:paraId="3C97799E"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058B4F2B"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Italy</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4C68DFBD"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12.53</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6E5C3B8F"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606</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6365DE59"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(100)</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560FF0D8"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506</w:t>
            </w:r>
          </w:p>
        </w:tc>
      </w:tr>
      <w:tr w:rsidR="00FD1E19" w14:paraId="50268B61"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1A217280"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Latvia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103252A6"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0.12</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75995BFB"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176A966F"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6F19E9AD"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603133FC"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71BDFA0D"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Lithuania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202EC18E"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0.18</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3CC42FBD"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4D68469E"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3469F6E3"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w:t>
            </w:r>
          </w:p>
        </w:tc>
      </w:tr>
      <w:tr w:rsidR="00FD1E19" w14:paraId="3027FAB8"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5AA43C5D"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Luxembourg</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69AC9240"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0.26</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1C73929E"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18CC8A6C"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79E70E99"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10</w:t>
            </w:r>
          </w:p>
        </w:tc>
      </w:tr>
      <w:tr w:rsidR="00FD1E19" w14:paraId="6A3969FF"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08CA377E"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Malta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50BF9DA9"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0.04</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621041C5"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24B8198E"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45B92125"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200F30EE"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37A44882"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Netherlands</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347E7A25"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4.78</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7320ABE3"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231</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476F2A7C"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(38)</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0EBDBD2D"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193</w:t>
            </w:r>
          </w:p>
        </w:tc>
      </w:tr>
      <w:tr w:rsidR="00FD1E19" w14:paraId="3A1180DA"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01D4DC2D"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Poland</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5E0F6949"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2.01</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1047058B"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97</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0FAC5ED2"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62BE500A"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81</w:t>
            </w:r>
          </w:p>
        </w:tc>
      </w:tr>
      <w:tr w:rsidR="00FD1E19" w14:paraId="365FD541"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4C88F047"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Portugal</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3C76BFC4"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1.20</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32A7923A"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58</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61A1949C"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0ECF00D6"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48</w:t>
            </w:r>
          </w:p>
        </w:tc>
      </w:tr>
      <w:tr w:rsidR="00FD1E19" w14:paraId="44DB6BC5"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1584EB58"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Romania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27454272"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0.72</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2712E116"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35</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1A51E262"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526697D3"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29</w:t>
            </w:r>
          </w:p>
        </w:tc>
      </w:tr>
      <w:tr w:rsidR="00FD1E19" w14:paraId="27D0A18B"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30C2308C"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Slovakia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24CD2561"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0.38</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6D1FCEC1"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18</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784BBE1E"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0CC9766B"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w:t>
            </w:r>
          </w:p>
        </w:tc>
      </w:tr>
      <w:tr w:rsidR="00FD1E19" w14:paraId="509F79C4"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09D20D98"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Slovenia</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5A602741"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0.22</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35CEDACE"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5BACE3C8"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12AB4C6C"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w:t>
            </w:r>
          </w:p>
        </w:tc>
      </w:tr>
      <w:tr w:rsidR="00FD1E19" w14:paraId="438EBDD3"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110F2654"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Spain</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0D3E1AFE"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7.93</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229E37C6"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384</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2ACE74EF"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(63)</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4D68ABAC"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320</w:t>
            </w:r>
          </w:p>
        </w:tc>
      </w:tr>
      <w:tr w:rsidR="00FD1E19" w14:paraId="2CB72FC4" w14:textId="77777777" w:rsidTr="00BE7E4A">
        <w:trPr>
          <w:cantSplit/>
          <w:trHeight w:val="255"/>
        </w:trPr>
        <w:tc>
          <w:tcPr>
            <w:tcW w:w="2613" w:type="dxa"/>
            <w:tcBorders>
              <w:top w:val="nil"/>
              <w:left w:val="nil"/>
              <w:bottom w:val="nil"/>
              <w:right w:val="nil"/>
              <w:tl2br w:val="nil"/>
              <w:tr2bl w:val="nil"/>
            </w:tcBorders>
            <w:shd w:val="clear" w:color="auto" w:fill="auto"/>
            <w:tcMar>
              <w:left w:w="60" w:type="dxa"/>
              <w:right w:w="60" w:type="dxa"/>
            </w:tcMar>
            <w:vAlign w:val="center"/>
          </w:tcPr>
          <w:p w14:paraId="56152769"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Sweden</w:t>
            </w:r>
          </w:p>
        </w:tc>
        <w:tc>
          <w:tcPr>
            <w:tcW w:w="1762" w:type="dxa"/>
            <w:tcBorders>
              <w:top w:val="nil"/>
              <w:left w:val="nil"/>
              <w:bottom w:val="nil"/>
              <w:right w:val="nil"/>
              <w:tl2br w:val="nil"/>
              <w:tr2bl w:val="nil"/>
            </w:tcBorders>
            <w:shd w:val="clear" w:color="auto" w:fill="auto"/>
            <w:tcMar>
              <w:left w:w="60" w:type="dxa"/>
              <w:right w:w="60" w:type="dxa"/>
            </w:tcMar>
            <w:vAlign w:val="center"/>
          </w:tcPr>
          <w:p w14:paraId="0495C63C"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2.94</w:t>
            </w:r>
          </w:p>
        </w:tc>
        <w:tc>
          <w:tcPr>
            <w:tcW w:w="2013" w:type="dxa"/>
            <w:tcBorders>
              <w:top w:val="nil"/>
              <w:left w:val="nil"/>
              <w:bottom w:val="nil"/>
              <w:right w:val="nil"/>
              <w:tl2br w:val="nil"/>
              <w:tr2bl w:val="nil"/>
            </w:tcBorders>
            <w:shd w:val="clear" w:color="auto" w:fill="auto"/>
            <w:tcMar>
              <w:left w:w="60" w:type="dxa"/>
              <w:right w:w="60" w:type="dxa"/>
            </w:tcMar>
            <w:vAlign w:val="center"/>
          </w:tcPr>
          <w:p w14:paraId="00E28C2C"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142</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0E281315"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(24)</w:t>
            </w:r>
          </w:p>
        </w:tc>
        <w:tc>
          <w:tcPr>
            <w:tcW w:w="1787" w:type="dxa"/>
            <w:tcBorders>
              <w:top w:val="nil"/>
              <w:left w:val="nil"/>
              <w:bottom w:val="nil"/>
              <w:right w:val="nil"/>
              <w:tl2br w:val="nil"/>
              <w:tr2bl w:val="nil"/>
            </w:tcBorders>
            <w:shd w:val="clear" w:color="auto" w:fill="auto"/>
            <w:tcMar>
              <w:left w:w="60" w:type="dxa"/>
              <w:right w:w="60" w:type="dxa"/>
            </w:tcMar>
            <w:vAlign w:val="center"/>
          </w:tcPr>
          <w:p w14:paraId="3270CEB8"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119</w:t>
            </w:r>
          </w:p>
        </w:tc>
      </w:tr>
      <w:tr w:rsidR="00FD1E19" w14:paraId="22DA344D" w14:textId="77777777" w:rsidTr="00BE7E4A">
        <w:trPr>
          <w:cantSplit/>
          <w:trHeight w:val="255"/>
        </w:trPr>
        <w:tc>
          <w:tcPr>
            <w:tcW w:w="2613" w:type="dxa"/>
            <w:tcBorders>
              <w:top w:val="nil"/>
              <w:left w:val="nil"/>
              <w:bottom w:val="single" w:sz="4" w:space="0" w:color="016794"/>
              <w:right w:val="nil"/>
              <w:tl2br w:val="nil"/>
              <w:tr2bl w:val="nil"/>
            </w:tcBorders>
            <w:shd w:val="clear" w:color="auto" w:fill="auto"/>
            <w:tcMar>
              <w:left w:w="60" w:type="dxa"/>
              <w:right w:w="60" w:type="dxa"/>
            </w:tcMar>
            <w:vAlign w:val="center"/>
          </w:tcPr>
          <w:p w14:paraId="0AB035E8" w14:textId="77777777" w:rsidR="00FD1E19" w:rsidRDefault="00FD1E19" w:rsidP="00BE7E4A">
            <w:pPr>
              <w:pStyle w:val="DMETW37225BIPCLDFCAPMS11"/>
              <w:rPr>
                <w:rFonts w:ascii="Verdana" w:eastAsia="Verdana" w:hAnsi="Verdana" w:cs="Verdana"/>
                <w:i/>
                <w:noProof/>
                <w:color w:val="000000"/>
                <w:sz w:val="18"/>
              </w:rPr>
            </w:pPr>
            <w:r>
              <w:rPr>
                <w:rFonts w:ascii="Verdana" w:eastAsia="Verdana" w:hAnsi="Verdana" w:cs="Verdana"/>
                <w:i/>
                <w:noProof/>
                <w:color w:val="000000"/>
                <w:sz w:val="18"/>
              </w:rPr>
              <w:t>United Kingdom</w:t>
            </w:r>
          </w:p>
        </w:tc>
        <w:tc>
          <w:tcPr>
            <w:tcW w:w="1762" w:type="dxa"/>
            <w:tcBorders>
              <w:top w:val="nil"/>
              <w:left w:val="nil"/>
              <w:bottom w:val="single" w:sz="4" w:space="0" w:color="016794"/>
              <w:right w:val="nil"/>
              <w:tl2br w:val="nil"/>
              <w:tr2bl w:val="nil"/>
            </w:tcBorders>
            <w:shd w:val="clear" w:color="auto" w:fill="auto"/>
            <w:tcMar>
              <w:left w:w="60" w:type="dxa"/>
              <w:right w:w="60" w:type="dxa"/>
            </w:tcMar>
            <w:vAlign w:val="center"/>
          </w:tcPr>
          <w:p w14:paraId="2510A9E3" w14:textId="77777777" w:rsidR="00FD1E19" w:rsidRDefault="00FD1E19" w:rsidP="00BE7E4A">
            <w:pPr>
              <w:pStyle w:val="DMETW37225BIPCLDFCAPMS11"/>
              <w:jc w:val="center"/>
              <w:rPr>
                <w:rFonts w:ascii="Verdana" w:eastAsia="Verdana" w:hAnsi="Verdana" w:cs="Verdana"/>
                <w:i/>
                <w:noProof/>
                <w:color w:val="000000"/>
                <w:sz w:val="18"/>
              </w:rPr>
            </w:pPr>
            <w:r>
              <w:rPr>
                <w:rFonts w:ascii="Verdana" w:eastAsia="Verdana" w:hAnsi="Verdana" w:cs="Verdana"/>
                <w:i/>
                <w:noProof/>
                <w:color w:val="000000"/>
                <w:sz w:val="18"/>
              </w:rPr>
              <w:t>14.68</w:t>
            </w:r>
          </w:p>
        </w:tc>
        <w:tc>
          <w:tcPr>
            <w:tcW w:w="2013" w:type="dxa"/>
            <w:tcBorders>
              <w:top w:val="nil"/>
              <w:left w:val="nil"/>
              <w:bottom w:val="single" w:sz="4" w:space="0" w:color="016794"/>
              <w:right w:val="nil"/>
              <w:tl2br w:val="nil"/>
              <w:tr2bl w:val="nil"/>
            </w:tcBorders>
            <w:shd w:val="clear" w:color="auto" w:fill="auto"/>
            <w:tcMar>
              <w:left w:w="60" w:type="dxa"/>
              <w:right w:w="60" w:type="dxa"/>
            </w:tcMar>
            <w:vAlign w:val="center"/>
          </w:tcPr>
          <w:p w14:paraId="0B5225D3"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710</w:t>
            </w:r>
          </w:p>
        </w:tc>
        <w:tc>
          <w:tcPr>
            <w:tcW w:w="1583" w:type="dxa"/>
            <w:tcBorders>
              <w:top w:val="nil"/>
              <w:left w:val="nil"/>
              <w:bottom w:val="single" w:sz="4" w:space="0" w:color="016794"/>
              <w:right w:val="nil"/>
              <w:tl2br w:val="nil"/>
              <w:tr2bl w:val="nil"/>
            </w:tcBorders>
            <w:shd w:val="clear" w:color="auto" w:fill="auto"/>
            <w:tcMar>
              <w:left w:w="60" w:type="dxa"/>
              <w:right w:w="60" w:type="dxa"/>
            </w:tcMar>
            <w:vAlign w:val="center"/>
          </w:tcPr>
          <w:p w14:paraId="6981BBE5" w14:textId="77777777" w:rsidR="00FD1E19" w:rsidRDefault="00FD1E19" w:rsidP="00BE7E4A">
            <w:pPr>
              <w:pStyle w:val="DMETW37225BIPCLDFCAPMS11"/>
              <w:jc w:val="right"/>
              <w:rPr>
                <w:rFonts w:ascii="Verdana" w:eastAsia="Verdana" w:hAnsi="Verdana" w:cs="Verdana"/>
                <w:i/>
                <w:noProof/>
                <w:color w:val="000000"/>
                <w:sz w:val="18"/>
              </w:rPr>
            </w:pPr>
            <w:r>
              <w:rPr>
                <w:rFonts w:ascii="Verdana" w:eastAsia="Verdana" w:hAnsi="Verdana" w:cs="Verdana"/>
                <w:i/>
                <w:noProof/>
                <w:color w:val="000000"/>
                <w:sz w:val="18"/>
              </w:rPr>
              <w:t xml:space="preserve"> (117)</w:t>
            </w:r>
          </w:p>
        </w:tc>
        <w:tc>
          <w:tcPr>
            <w:tcW w:w="1787" w:type="dxa"/>
            <w:tcBorders>
              <w:top w:val="nil"/>
              <w:left w:val="nil"/>
              <w:bottom w:val="single" w:sz="4" w:space="0" w:color="016794"/>
              <w:right w:val="nil"/>
              <w:tl2br w:val="nil"/>
              <w:tr2bl w:val="nil"/>
            </w:tcBorders>
            <w:shd w:val="clear" w:color="auto" w:fill="auto"/>
            <w:tcMar>
              <w:left w:w="60" w:type="dxa"/>
              <w:right w:w="60" w:type="dxa"/>
            </w:tcMar>
            <w:vAlign w:val="center"/>
          </w:tcPr>
          <w:p w14:paraId="31123724" w14:textId="77777777" w:rsidR="00FD1E19" w:rsidRDefault="00FD1E19" w:rsidP="00BE7E4A">
            <w:pPr>
              <w:pStyle w:val="DMETW37225BIPCLDFCAPMS11"/>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593</w:t>
            </w:r>
          </w:p>
        </w:tc>
      </w:tr>
      <w:tr w:rsidR="00FD1E19" w14:paraId="2E34549D" w14:textId="77777777" w:rsidTr="00BE7E4A">
        <w:trPr>
          <w:trHeight w:val="255"/>
        </w:trPr>
        <w:tc>
          <w:tcPr>
            <w:tcW w:w="26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81527BF" w14:textId="77777777" w:rsidR="00FD1E19" w:rsidRDefault="00FD1E19" w:rsidP="00BE7E4A">
            <w:pPr>
              <w:pStyle w:val="DMETW37225BIPCLDFCAPMS11"/>
              <w:rPr>
                <w:rFonts w:ascii="Verdana" w:eastAsia="Verdana" w:hAnsi="Verdana" w:cs="Verdana"/>
                <w:b/>
                <w:noProof/>
                <w:color w:val="000000"/>
                <w:sz w:val="18"/>
              </w:rPr>
            </w:pPr>
            <w:r>
              <w:rPr>
                <w:rFonts w:ascii="Verdana" w:eastAsia="Verdana" w:hAnsi="Verdana" w:cs="Verdana"/>
                <w:b/>
                <w:noProof/>
                <w:color w:val="000000"/>
                <w:sz w:val="18"/>
              </w:rPr>
              <w:t>Total</w:t>
            </w:r>
          </w:p>
        </w:tc>
        <w:tc>
          <w:tcPr>
            <w:tcW w:w="176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EA27F96" w14:textId="77777777" w:rsidR="00FD1E19" w:rsidRDefault="00FD1E19" w:rsidP="00BE7E4A">
            <w:pPr>
              <w:pStyle w:val="DMETW37225BIPCLDFCAPMS11"/>
              <w:jc w:val="center"/>
              <w:rPr>
                <w:rFonts w:ascii="Verdana" w:eastAsia="Verdana" w:hAnsi="Verdana" w:cs="Verdana"/>
                <w:b/>
                <w:noProof/>
                <w:color w:val="000000"/>
                <w:sz w:val="18"/>
              </w:rPr>
            </w:pPr>
            <w:r>
              <w:rPr>
                <w:rFonts w:ascii="Verdana" w:eastAsia="Verdana" w:hAnsi="Verdana" w:cs="Verdana"/>
                <w:b/>
                <w:noProof/>
                <w:color w:val="000000"/>
                <w:sz w:val="18"/>
              </w:rPr>
              <w:t>100.00</w:t>
            </w:r>
          </w:p>
        </w:tc>
        <w:tc>
          <w:tcPr>
            <w:tcW w:w="20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B0575FB" w14:textId="77777777" w:rsidR="00FD1E19" w:rsidRDefault="00FD1E19" w:rsidP="00BE7E4A">
            <w:pPr>
              <w:pStyle w:val="DMETW37225BIPCLDFCAPMS11"/>
              <w:jc w:val="right"/>
              <w:rPr>
                <w:rFonts w:ascii="Verdana" w:eastAsia="Verdana" w:hAnsi="Verdana" w:cs="Verdana"/>
                <w:b/>
                <w:noProof/>
                <w:color w:val="000000"/>
                <w:sz w:val="18"/>
              </w:rPr>
            </w:pPr>
            <w:r>
              <w:rPr>
                <w:rFonts w:ascii="Verdana" w:eastAsia="Verdana" w:hAnsi="Verdana" w:cs="Verdana"/>
                <w:b/>
                <w:noProof/>
                <w:color w:val="000000"/>
                <w:sz w:val="18"/>
              </w:rPr>
              <w:t>4 840</w:t>
            </w:r>
          </w:p>
        </w:tc>
        <w:tc>
          <w:tcPr>
            <w:tcW w:w="158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B8C0BE1" w14:textId="77777777" w:rsidR="00FD1E19" w:rsidRDefault="00FD1E19" w:rsidP="00BE7E4A">
            <w:pPr>
              <w:pStyle w:val="DMETW37225BIPCLDFCAPMS11"/>
              <w:jc w:val="right"/>
              <w:rPr>
                <w:rFonts w:ascii="Verdana" w:eastAsia="Verdana" w:hAnsi="Verdana" w:cs="Verdana"/>
                <w:b/>
                <w:noProof/>
                <w:color w:val="000000"/>
                <w:sz w:val="18"/>
              </w:rPr>
            </w:pPr>
            <w:r>
              <w:rPr>
                <w:rFonts w:ascii="Verdana" w:eastAsia="Verdana" w:hAnsi="Verdana" w:cs="Verdana"/>
                <w:b/>
                <w:noProof/>
                <w:color w:val="000000"/>
                <w:sz w:val="18"/>
              </w:rPr>
              <w:t xml:space="preserve"> (800)</w:t>
            </w:r>
          </w:p>
        </w:tc>
        <w:tc>
          <w:tcPr>
            <w:tcW w:w="178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6B08D95" w14:textId="77777777" w:rsidR="00FD1E19" w:rsidRDefault="00FD1E19" w:rsidP="00BE7E4A">
            <w:pPr>
              <w:pStyle w:val="DMETW37225BIPCLDFCAPMS11"/>
              <w:jc w:val="right"/>
              <w:rPr>
                <w:rFonts w:ascii="Verdana" w:eastAsia="Verdana" w:hAnsi="Verdana" w:cs="Verdana"/>
                <w:b/>
                <w:noProof/>
                <w:color w:val="000000"/>
                <w:sz w:val="18"/>
              </w:rPr>
            </w:pPr>
            <w:r>
              <w:rPr>
                <w:rFonts w:ascii="Verdana" w:eastAsia="Verdana" w:hAnsi="Verdana" w:cs="Verdana"/>
                <w:b/>
                <w:noProof/>
                <w:color w:val="000000"/>
                <w:sz w:val="18"/>
              </w:rPr>
              <w:t>4 040</w:t>
            </w:r>
          </w:p>
        </w:tc>
      </w:tr>
    </w:tbl>
    <w:p w14:paraId="289EC974" w14:textId="77777777" w:rsidR="00FD1E19" w:rsidRPr="00F64D38" w:rsidRDefault="00FD1E19" w:rsidP="00FD1E19">
      <w:pPr>
        <w:pStyle w:val="Textstand-alone"/>
      </w:pPr>
      <w:r w:rsidRPr="009816D0">
        <w:t xml:space="preserve">Since the capital of the Ninth and </w:t>
      </w:r>
      <w:r>
        <w:t>10th</w:t>
      </w:r>
      <w:r w:rsidRPr="009816D0">
        <w:t xml:space="preserve"> EDF</w:t>
      </w:r>
      <w:r>
        <w:t>s</w:t>
      </w:r>
      <w:r w:rsidRPr="009816D0">
        <w:t xml:space="preserve"> has been called up and received in its entirety in previous years, in 20</w:t>
      </w:r>
      <w:r>
        <w:t>25, an amount of EUR 800</w:t>
      </w:r>
      <w:r w:rsidRPr="009816D0">
        <w:t xml:space="preserve"> million has been called which relates entirely to the </w:t>
      </w:r>
      <w:r>
        <w:t>11th</w:t>
      </w:r>
      <w:r w:rsidRPr="009816D0">
        <w:t xml:space="preserve"> EDF.</w:t>
      </w:r>
      <w:r>
        <w:t xml:space="preserve"> C</w:t>
      </w:r>
      <w:r w:rsidRPr="008B047D">
        <w:t xml:space="preserve">alled capital decreased from EUR </w:t>
      </w:r>
      <w:r>
        <w:t>1 200</w:t>
      </w:r>
      <w:r w:rsidRPr="008B047D">
        <w:t xml:space="preserve"> million in 202</w:t>
      </w:r>
      <w:r>
        <w:t>4</w:t>
      </w:r>
      <w:r w:rsidRPr="008B047D">
        <w:t xml:space="preserve"> to EUR </w:t>
      </w:r>
      <w:r>
        <w:t>800</w:t>
      </w:r>
      <w:r w:rsidRPr="008B047D">
        <w:t xml:space="preserve"> million in 202</w:t>
      </w:r>
      <w:r>
        <w:t>5</w:t>
      </w:r>
      <w:r w:rsidRPr="008B047D">
        <w:t>.</w:t>
      </w:r>
    </w:p>
    <w:p w14:paraId="6EA32661" w14:textId="77777777" w:rsidR="00FD1E19" w:rsidRDefault="00FD1E19" w:rsidP="00FD1E19">
      <w:pPr>
        <w:pStyle w:val="HEADER3Part2"/>
        <w:keepNext/>
        <w:keepLines/>
        <w:spacing w:before="0" w:after="240"/>
        <w:jc w:val="both"/>
        <w:rPr>
          <w:noProof/>
        </w:rPr>
      </w:pPr>
      <w:r w:rsidRPr="00F64D38">
        <w:rPr>
          <w:noProof/>
        </w:rPr>
        <w:t>Called fund capital transfers between active EDFs</w:t>
      </w:r>
    </w:p>
    <w:p w14:paraId="04043CC5" w14:textId="77777777" w:rsidR="00FD1E19" w:rsidRPr="000238AB" w:rsidRDefault="00FD1E19" w:rsidP="00FD1E19">
      <w:pPr>
        <w:pStyle w:val="DMETW37225BIPCLDFCAPMS11"/>
        <w:keepNext/>
        <w:keepLines/>
        <w:jc w:val="right"/>
        <w:rPr>
          <w:rFonts w:ascii="Verdana" w:eastAsia="Verdana" w:hAnsi="Verdana" w:cs="Verdana"/>
          <w:i/>
          <w:noProof/>
          <w:color w:val="000000"/>
          <w:sz w:val="16"/>
          <w:lang w:bidi="en-GB"/>
        </w:rPr>
      </w:pPr>
      <w:r w:rsidRPr="000238AB">
        <w:rPr>
          <w:rFonts w:ascii="Verdana" w:eastAsia="Verdana" w:hAnsi="Verdana" w:cs="Verdana"/>
          <w:i/>
          <w:noProof/>
          <w:color w:val="000000"/>
          <w:sz w:val="16"/>
          <w:lang w:bidi="en-GB"/>
        </w:rPr>
        <w:t>EUR million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5"/>
        <w:gridCol w:w="1409"/>
        <w:gridCol w:w="851"/>
        <w:gridCol w:w="867"/>
        <w:gridCol w:w="1176"/>
      </w:tblGrid>
      <w:tr w:rsidR="00FD1E19" w14:paraId="308B6E34" w14:textId="77777777" w:rsidTr="00BE7E4A">
        <w:trPr>
          <w:trHeight w:val="807"/>
        </w:trPr>
        <w:tc>
          <w:tcPr>
            <w:tcW w:w="5455" w:type="dxa"/>
            <w:tcBorders>
              <w:top w:val="nil"/>
              <w:left w:val="nil"/>
              <w:bottom w:val="nil"/>
              <w:right w:val="nil"/>
              <w:tl2br w:val="nil"/>
              <w:tr2bl w:val="nil"/>
            </w:tcBorders>
            <w:shd w:val="solid" w:color="016794" w:fill="FFFFFF"/>
            <w:tcMar>
              <w:left w:w="60" w:type="dxa"/>
              <w:right w:w="60" w:type="dxa"/>
            </w:tcMar>
            <w:vAlign w:val="center"/>
          </w:tcPr>
          <w:p w14:paraId="319C09D7" w14:textId="77777777" w:rsidR="00FD1E19" w:rsidRDefault="00FD1E19" w:rsidP="00BE7E4A">
            <w:pPr>
              <w:pStyle w:val="DMETW37225BIPCLDFCAPTFTACT"/>
              <w:keepNext/>
              <w:keepLines/>
              <w:jc w:val="right"/>
              <w:rPr>
                <w:rFonts w:ascii="Verdana" w:eastAsia="Verdana" w:hAnsi="Verdana" w:cs="Verdana"/>
                <w:noProof/>
                <w:color w:val="FFFFFF"/>
              </w:rPr>
            </w:pPr>
            <w:bookmarkStart w:id="103" w:name="DOC_TBL00033_1_1"/>
            <w:bookmarkEnd w:id="103"/>
          </w:p>
        </w:tc>
        <w:tc>
          <w:tcPr>
            <w:tcW w:w="1409" w:type="dxa"/>
            <w:tcBorders>
              <w:top w:val="nil"/>
              <w:left w:val="nil"/>
              <w:bottom w:val="nil"/>
              <w:right w:val="nil"/>
              <w:tl2br w:val="nil"/>
              <w:tr2bl w:val="nil"/>
            </w:tcBorders>
            <w:shd w:val="solid" w:color="016794" w:fill="FFFFFF"/>
            <w:tcMar>
              <w:left w:w="60" w:type="dxa"/>
              <w:right w:w="60" w:type="dxa"/>
            </w:tcMar>
            <w:vAlign w:val="center"/>
          </w:tcPr>
          <w:p w14:paraId="4A324064" w14:textId="77777777" w:rsidR="00FD1E19" w:rsidRDefault="00FD1E19" w:rsidP="00BE7E4A">
            <w:pPr>
              <w:pStyle w:val="DMETW37225BIPCLDFCAPTFTACT"/>
              <w:keepNext/>
              <w:keepLines/>
              <w:jc w:val="right"/>
              <w:rPr>
                <w:rFonts w:ascii="Verdana" w:eastAsia="Verdana" w:hAnsi="Verdana" w:cs="Verdana"/>
                <w:noProof/>
                <w:color w:val="FFFFFF"/>
              </w:rPr>
            </w:pPr>
            <w:r>
              <w:rPr>
                <w:rFonts w:ascii="Verdana" w:eastAsia="Verdana" w:hAnsi="Verdana" w:cs="Verdana"/>
                <w:noProof/>
                <w:color w:val="FFFFFF"/>
              </w:rPr>
              <w:t>Ninth EDF</w:t>
            </w:r>
          </w:p>
        </w:tc>
        <w:tc>
          <w:tcPr>
            <w:tcW w:w="851" w:type="dxa"/>
            <w:tcBorders>
              <w:top w:val="nil"/>
              <w:left w:val="nil"/>
              <w:bottom w:val="nil"/>
              <w:right w:val="nil"/>
              <w:tl2br w:val="nil"/>
              <w:tr2bl w:val="nil"/>
            </w:tcBorders>
            <w:shd w:val="solid" w:color="016794" w:fill="FFFFFF"/>
            <w:tcMar>
              <w:left w:w="60" w:type="dxa"/>
              <w:right w:w="60" w:type="dxa"/>
            </w:tcMar>
            <w:vAlign w:val="center"/>
          </w:tcPr>
          <w:p w14:paraId="04DD1A84" w14:textId="77777777" w:rsidR="00FD1E19" w:rsidRDefault="00FD1E19" w:rsidP="00BE7E4A">
            <w:pPr>
              <w:pStyle w:val="DMETW37225BIPCLDFCAPTFTACT"/>
              <w:keepNext/>
              <w:keepLines/>
              <w:jc w:val="right"/>
              <w:rPr>
                <w:rFonts w:ascii="Verdana" w:eastAsia="Verdana" w:hAnsi="Verdana" w:cs="Verdana"/>
                <w:noProof/>
                <w:color w:val="FFFFFF"/>
              </w:rPr>
            </w:pPr>
            <w:r>
              <w:rPr>
                <w:rFonts w:ascii="Verdana" w:eastAsia="Verdana" w:hAnsi="Verdana" w:cs="Verdana"/>
                <w:noProof/>
                <w:color w:val="FFFFFF"/>
              </w:rPr>
              <w:t>10th EDF</w:t>
            </w:r>
          </w:p>
        </w:tc>
        <w:tc>
          <w:tcPr>
            <w:tcW w:w="867" w:type="dxa"/>
            <w:tcBorders>
              <w:top w:val="nil"/>
              <w:left w:val="nil"/>
              <w:bottom w:val="nil"/>
              <w:right w:val="nil"/>
              <w:tl2br w:val="nil"/>
              <w:tr2bl w:val="nil"/>
            </w:tcBorders>
            <w:shd w:val="solid" w:color="016794" w:fill="FFFFFF"/>
            <w:tcMar>
              <w:left w:w="60" w:type="dxa"/>
              <w:right w:w="60" w:type="dxa"/>
            </w:tcMar>
            <w:vAlign w:val="center"/>
          </w:tcPr>
          <w:p w14:paraId="314EF9CB" w14:textId="77777777" w:rsidR="00FD1E19" w:rsidRDefault="00FD1E19" w:rsidP="00BE7E4A">
            <w:pPr>
              <w:pStyle w:val="DMETW37225BIPCLDFCAPTFTACT"/>
              <w:keepNext/>
              <w:keepLines/>
              <w:jc w:val="right"/>
              <w:rPr>
                <w:rFonts w:ascii="Verdana" w:eastAsia="Verdana" w:hAnsi="Verdana" w:cs="Verdana"/>
                <w:noProof/>
                <w:color w:val="FFFFFF"/>
              </w:rPr>
            </w:pPr>
            <w:r>
              <w:rPr>
                <w:rFonts w:ascii="Verdana" w:eastAsia="Verdana" w:hAnsi="Verdana" w:cs="Verdana"/>
                <w:noProof/>
                <w:color w:val="FFFFFF"/>
              </w:rPr>
              <w:t>11th EDF</w:t>
            </w:r>
          </w:p>
        </w:tc>
        <w:tc>
          <w:tcPr>
            <w:tcW w:w="1176" w:type="dxa"/>
            <w:tcBorders>
              <w:top w:val="nil"/>
              <w:left w:val="nil"/>
              <w:bottom w:val="nil"/>
              <w:right w:val="nil"/>
              <w:tl2br w:val="nil"/>
              <w:tr2bl w:val="nil"/>
            </w:tcBorders>
            <w:shd w:val="solid" w:color="016794" w:fill="FFFFFF"/>
            <w:tcMar>
              <w:left w:w="60" w:type="dxa"/>
              <w:right w:w="60" w:type="dxa"/>
            </w:tcMar>
            <w:vAlign w:val="center"/>
          </w:tcPr>
          <w:p w14:paraId="3DD1B14B" w14:textId="77777777" w:rsidR="00FD1E19" w:rsidRDefault="00FD1E19" w:rsidP="00BE7E4A">
            <w:pPr>
              <w:pStyle w:val="DMETW37225BIPCLDFCAPTFTACT"/>
              <w:keepNext/>
              <w:keepLines/>
              <w:jc w:val="right"/>
              <w:rPr>
                <w:rFonts w:ascii="Verdana" w:eastAsia="Verdana" w:hAnsi="Verdana" w:cs="Verdana"/>
                <w:noProof/>
                <w:color w:val="FFFFFF"/>
                <w:lang w:bidi="en-GB"/>
              </w:rPr>
            </w:pPr>
            <w:r>
              <w:rPr>
                <w:rFonts w:ascii="Verdana" w:eastAsia="Verdana" w:hAnsi="Verdana" w:cs="Verdana"/>
                <w:noProof/>
                <w:color w:val="FFFFFF"/>
              </w:rPr>
              <w:t>Total</w:t>
            </w:r>
          </w:p>
        </w:tc>
      </w:tr>
      <w:tr w:rsidR="00FD1E19" w14:paraId="1A26C311" w14:textId="77777777" w:rsidTr="00BE7E4A">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14:paraId="700F8034" w14:textId="77777777" w:rsidR="00FD1E19" w:rsidRDefault="00FD1E19" w:rsidP="00BE7E4A">
            <w:pPr>
              <w:pStyle w:val="DMETW37225BIPCLDFCAPTFTACT"/>
              <w:keepNext/>
              <w:keepLines/>
              <w:rPr>
                <w:rFonts w:ascii="Verdana" w:eastAsia="Verdana" w:hAnsi="Verdana" w:cs="Verdana"/>
                <w:b/>
                <w:noProof/>
                <w:color w:val="000000"/>
                <w:sz w:val="18"/>
              </w:rPr>
            </w:pPr>
            <w:r>
              <w:rPr>
                <w:rFonts w:ascii="Verdana" w:eastAsia="Verdana" w:hAnsi="Verdana" w:cs="Verdana"/>
                <w:b/>
                <w:noProof/>
                <w:color w:val="000000"/>
                <w:sz w:val="18"/>
              </w:rPr>
              <w:t>Balance at 31.12.2023</w:t>
            </w:r>
          </w:p>
        </w:tc>
        <w:tc>
          <w:tcPr>
            <w:tcW w:w="1409" w:type="dxa"/>
            <w:tcBorders>
              <w:top w:val="nil"/>
              <w:left w:val="nil"/>
              <w:bottom w:val="nil"/>
              <w:right w:val="nil"/>
              <w:tl2br w:val="nil"/>
              <w:tr2bl w:val="nil"/>
            </w:tcBorders>
            <w:shd w:val="solid" w:color="CCE1EA" w:fill="FFFFFF"/>
            <w:tcMar>
              <w:left w:w="60" w:type="dxa"/>
              <w:right w:w="60" w:type="dxa"/>
            </w:tcMar>
            <w:vAlign w:val="center"/>
          </w:tcPr>
          <w:p w14:paraId="1DB63764"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(509)</w:t>
            </w:r>
          </w:p>
        </w:tc>
        <w:tc>
          <w:tcPr>
            <w:tcW w:w="851" w:type="dxa"/>
            <w:tcBorders>
              <w:top w:val="nil"/>
              <w:left w:val="nil"/>
              <w:bottom w:val="nil"/>
              <w:right w:val="nil"/>
              <w:tl2br w:val="nil"/>
              <w:tr2bl w:val="nil"/>
            </w:tcBorders>
            <w:shd w:val="solid" w:color="CCE1EA" w:fill="FFFFFF"/>
            <w:tcMar>
              <w:left w:w="60" w:type="dxa"/>
              <w:right w:w="60" w:type="dxa"/>
            </w:tcMar>
            <w:vAlign w:val="center"/>
          </w:tcPr>
          <w:p w14:paraId="7277AB67"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(120)</w:t>
            </w:r>
          </w:p>
        </w:tc>
        <w:tc>
          <w:tcPr>
            <w:tcW w:w="867" w:type="dxa"/>
            <w:tcBorders>
              <w:top w:val="nil"/>
              <w:left w:val="nil"/>
              <w:bottom w:val="nil"/>
              <w:right w:val="nil"/>
              <w:tl2br w:val="nil"/>
              <w:tr2bl w:val="nil"/>
            </w:tcBorders>
            <w:shd w:val="solid" w:color="CCE1EA" w:fill="FFFFFF"/>
            <w:tcMar>
              <w:left w:w="60" w:type="dxa"/>
              <w:right w:w="60" w:type="dxa"/>
            </w:tcMar>
            <w:vAlign w:val="center"/>
          </w:tcPr>
          <w:p w14:paraId="73F77178"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628</w:t>
            </w:r>
          </w:p>
        </w:tc>
        <w:tc>
          <w:tcPr>
            <w:tcW w:w="1176" w:type="dxa"/>
            <w:tcBorders>
              <w:top w:val="nil"/>
              <w:left w:val="nil"/>
              <w:bottom w:val="nil"/>
              <w:right w:val="nil"/>
              <w:tl2br w:val="nil"/>
              <w:tr2bl w:val="nil"/>
            </w:tcBorders>
            <w:shd w:val="solid" w:color="CCE1EA" w:fill="FFFFFF"/>
            <w:tcMar>
              <w:left w:w="60" w:type="dxa"/>
              <w:right w:w="60" w:type="dxa"/>
            </w:tcMar>
            <w:vAlign w:val="center"/>
          </w:tcPr>
          <w:p w14:paraId="76C90DE3" w14:textId="77777777" w:rsidR="00FD1E19" w:rsidRDefault="00FD1E19" w:rsidP="00BE7E4A">
            <w:pPr>
              <w:pStyle w:val="DMETW37225BIPCLDFCAPTFTACT"/>
              <w:keepNext/>
              <w:keepLines/>
              <w:jc w:val="right"/>
              <w:rPr>
                <w:rFonts w:ascii="Verdana" w:eastAsia="Verdana" w:hAnsi="Verdana" w:cs="Verdana"/>
                <w:b/>
                <w:noProof/>
                <w:color w:val="000000"/>
                <w:sz w:val="18"/>
                <w:lang w:bidi="en-GB"/>
              </w:rPr>
            </w:pPr>
            <w:r>
              <w:rPr>
                <w:rFonts w:ascii="Verdana" w:eastAsia="Verdana" w:hAnsi="Verdana" w:cs="Verdana"/>
                <w:b/>
                <w:noProof/>
                <w:color w:val="000000"/>
                <w:sz w:val="18"/>
              </w:rPr>
              <w:t>–</w:t>
            </w:r>
          </w:p>
        </w:tc>
      </w:tr>
      <w:tr w:rsidR="00FD1E19" w14:paraId="67C9CBF8" w14:textId="77777777" w:rsidTr="00BE7E4A">
        <w:trPr>
          <w:trHeight w:val="255"/>
        </w:trPr>
        <w:tc>
          <w:tcPr>
            <w:tcW w:w="5455" w:type="dxa"/>
            <w:tcBorders>
              <w:top w:val="nil"/>
              <w:left w:val="nil"/>
              <w:bottom w:val="nil"/>
              <w:right w:val="nil"/>
              <w:tl2br w:val="nil"/>
              <w:tr2bl w:val="nil"/>
            </w:tcBorders>
            <w:shd w:val="clear" w:color="auto" w:fill="auto"/>
            <w:tcMar>
              <w:left w:w="60" w:type="dxa"/>
              <w:right w:w="60" w:type="dxa"/>
            </w:tcMar>
            <w:vAlign w:val="center"/>
          </w:tcPr>
          <w:p w14:paraId="5C16118E" w14:textId="77777777" w:rsidR="00FD1E19" w:rsidRDefault="00FD1E19" w:rsidP="00BE7E4A">
            <w:pPr>
              <w:pStyle w:val="DMETW37225BIPCLDFCAPTFTACT"/>
              <w:keepNext/>
              <w:keepLines/>
              <w:rPr>
                <w:rFonts w:ascii="Verdana" w:eastAsia="Verdana" w:hAnsi="Verdana" w:cs="Verdana"/>
                <w:i/>
                <w:noProof/>
                <w:color w:val="000000"/>
                <w:sz w:val="18"/>
              </w:rPr>
            </w:pPr>
            <w:r>
              <w:rPr>
                <w:rFonts w:ascii="Verdana" w:eastAsia="Verdana" w:hAnsi="Verdana" w:cs="Verdana"/>
                <w:i/>
                <w:noProof/>
                <w:color w:val="000000"/>
                <w:sz w:val="18"/>
              </w:rPr>
              <w:t>Transfer of amounts to the 10th EDF performance reserve from previous EDFs</w:t>
            </w:r>
          </w:p>
        </w:tc>
        <w:tc>
          <w:tcPr>
            <w:tcW w:w="1409" w:type="dxa"/>
            <w:tcBorders>
              <w:top w:val="nil"/>
              <w:left w:val="nil"/>
              <w:bottom w:val="nil"/>
              <w:right w:val="nil"/>
              <w:tl2br w:val="nil"/>
              <w:tr2bl w:val="nil"/>
            </w:tcBorders>
            <w:shd w:val="clear" w:color="auto" w:fill="auto"/>
            <w:tcMar>
              <w:left w:w="60" w:type="dxa"/>
              <w:right w:w="60" w:type="dxa"/>
            </w:tcMar>
            <w:vAlign w:val="center"/>
          </w:tcPr>
          <w:p w14:paraId="55AC5F22"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50CA806E"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867" w:type="dxa"/>
            <w:tcBorders>
              <w:top w:val="nil"/>
              <w:left w:val="nil"/>
              <w:bottom w:val="nil"/>
              <w:right w:val="nil"/>
              <w:tl2br w:val="nil"/>
              <w:tr2bl w:val="nil"/>
            </w:tcBorders>
            <w:shd w:val="clear" w:color="auto" w:fill="auto"/>
            <w:tcMar>
              <w:left w:w="60" w:type="dxa"/>
              <w:right w:w="60" w:type="dxa"/>
            </w:tcMar>
            <w:vAlign w:val="center"/>
          </w:tcPr>
          <w:p w14:paraId="03ADD714"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76" w:type="dxa"/>
            <w:tcBorders>
              <w:top w:val="nil"/>
              <w:left w:val="nil"/>
              <w:bottom w:val="nil"/>
              <w:right w:val="nil"/>
              <w:tl2br w:val="nil"/>
              <w:tr2bl w:val="nil"/>
            </w:tcBorders>
            <w:shd w:val="clear" w:color="auto" w:fill="auto"/>
            <w:tcMar>
              <w:left w:w="60" w:type="dxa"/>
              <w:right w:w="60" w:type="dxa"/>
            </w:tcMar>
            <w:vAlign w:val="center"/>
          </w:tcPr>
          <w:p w14:paraId="3F20C8F2" w14:textId="77777777" w:rsidR="00FD1E19" w:rsidRDefault="00FD1E19" w:rsidP="00BE7E4A">
            <w:pPr>
              <w:pStyle w:val="DMETW37225BIPCLDFCAPTFTAC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303374EA" w14:textId="77777777" w:rsidTr="00BE7E4A">
        <w:trPr>
          <w:trHeight w:val="255"/>
        </w:trPr>
        <w:tc>
          <w:tcPr>
            <w:tcW w:w="5455" w:type="dxa"/>
            <w:tcBorders>
              <w:top w:val="nil"/>
              <w:left w:val="nil"/>
              <w:bottom w:val="nil"/>
              <w:right w:val="nil"/>
              <w:tl2br w:val="nil"/>
              <w:tr2bl w:val="nil"/>
            </w:tcBorders>
            <w:shd w:val="clear" w:color="auto" w:fill="auto"/>
            <w:tcMar>
              <w:left w:w="60" w:type="dxa"/>
              <w:right w:w="60" w:type="dxa"/>
            </w:tcMar>
            <w:vAlign w:val="center"/>
          </w:tcPr>
          <w:p w14:paraId="43A2E40D" w14:textId="77777777" w:rsidR="00FD1E19" w:rsidRDefault="00FD1E19" w:rsidP="00BE7E4A">
            <w:pPr>
              <w:pStyle w:val="DMETW37225BIPCLDFCAPTFTACT"/>
              <w:keepNext/>
              <w:keepLines/>
              <w:rPr>
                <w:rFonts w:ascii="Verdana" w:eastAsia="Verdana" w:hAnsi="Verdana" w:cs="Verdana"/>
                <w:i/>
                <w:noProof/>
                <w:color w:val="000000"/>
                <w:sz w:val="18"/>
              </w:rPr>
            </w:pPr>
            <w:r>
              <w:rPr>
                <w:rFonts w:ascii="Verdana" w:eastAsia="Verdana" w:hAnsi="Verdana" w:cs="Verdana"/>
                <w:i/>
                <w:noProof/>
                <w:color w:val="000000"/>
                <w:sz w:val="18"/>
              </w:rPr>
              <w:t>Transfer of amounts to the 11th EDF performance reserve from previous EDFs</w:t>
            </w:r>
          </w:p>
        </w:tc>
        <w:tc>
          <w:tcPr>
            <w:tcW w:w="1409" w:type="dxa"/>
            <w:tcBorders>
              <w:top w:val="nil"/>
              <w:left w:val="nil"/>
              <w:bottom w:val="nil"/>
              <w:right w:val="nil"/>
              <w:tl2br w:val="nil"/>
              <w:tr2bl w:val="nil"/>
            </w:tcBorders>
            <w:shd w:val="clear" w:color="auto" w:fill="auto"/>
            <w:tcMar>
              <w:left w:w="60" w:type="dxa"/>
              <w:right w:w="60" w:type="dxa"/>
            </w:tcMar>
            <w:vAlign w:val="center"/>
          </w:tcPr>
          <w:p w14:paraId="5B13A355"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1B6DE134"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(68)</w:t>
            </w:r>
          </w:p>
        </w:tc>
        <w:tc>
          <w:tcPr>
            <w:tcW w:w="867" w:type="dxa"/>
            <w:tcBorders>
              <w:top w:val="nil"/>
              <w:left w:val="nil"/>
              <w:bottom w:val="nil"/>
              <w:right w:val="nil"/>
              <w:tl2br w:val="nil"/>
              <w:tr2bl w:val="nil"/>
            </w:tcBorders>
            <w:shd w:val="clear" w:color="auto" w:fill="auto"/>
            <w:tcMar>
              <w:left w:w="60" w:type="dxa"/>
              <w:right w:w="60" w:type="dxa"/>
            </w:tcMar>
            <w:vAlign w:val="center"/>
          </w:tcPr>
          <w:p w14:paraId="61653BE4"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68</w:t>
            </w:r>
          </w:p>
        </w:tc>
        <w:tc>
          <w:tcPr>
            <w:tcW w:w="1176" w:type="dxa"/>
            <w:tcBorders>
              <w:top w:val="nil"/>
              <w:left w:val="nil"/>
              <w:bottom w:val="nil"/>
              <w:right w:val="nil"/>
              <w:tl2br w:val="nil"/>
              <w:tr2bl w:val="nil"/>
            </w:tcBorders>
            <w:shd w:val="clear" w:color="auto" w:fill="auto"/>
            <w:tcMar>
              <w:left w:w="60" w:type="dxa"/>
              <w:right w:w="60" w:type="dxa"/>
            </w:tcMar>
            <w:vAlign w:val="center"/>
          </w:tcPr>
          <w:p w14:paraId="03B775EB" w14:textId="77777777" w:rsidR="00FD1E19" w:rsidRDefault="00FD1E19" w:rsidP="00BE7E4A">
            <w:pPr>
              <w:pStyle w:val="DMETW37225BIPCLDFCAPTFTAC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374B1D05" w14:textId="77777777" w:rsidTr="00BE7E4A">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14:paraId="411905DB" w14:textId="77777777" w:rsidR="00FD1E19" w:rsidRDefault="00FD1E19" w:rsidP="00BE7E4A">
            <w:pPr>
              <w:pStyle w:val="DMETW37225BIPCLDFCAPTFTACT"/>
              <w:keepNext/>
              <w:keepLines/>
              <w:rPr>
                <w:rFonts w:ascii="Verdana" w:eastAsia="Verdana" w:hAnsi="Verdana" w:cs="Verdana"/>
                <w:b/>
                <w:noProof/>
                <w:color w:val="000000"/>
                <w:sz w:val="18"/>
              </w:rPr>
            </w:pPr>
            <w:r>
              <w:rPr>
                <w:rFonts w:ascii="Verdana" w:eastAsia="Verdana" w:hAnsi="Verdana" w:cs="Verdana"/>
                <w:b/>
                <w:noProof/>
                <w:color w:val="000000"/>
                <w:sz w:val="18"/>
              </w:rPr>
              <w:t>Balance at 31.12.2024</w:t>
            </w:r>
          </w:p>
        </w:tc>
        <w:tc>
          <w:tcPr>
            <w:tcW w:w="1409" w:type="dxa"/>
            <w:tcBorders>
              <w:top w:val="nil"/>
              <w:left w:val="nil"/>
              <w:bottom w:val="nil"/>
              <w:right w:val="nil"/>
              <w:tl2br w:val="nil"/>
              <w:tr2bl w:val="nil"/>
            </w:tcBorders>
            <w:shd w:val="solid" w:color="CCE1EA" w:fill="FFFFFF"/>
            <w:tcMar>
              <w:left w:w="60" w:type="dxa"/>
              <w:right w:w="60" w:type="dxa"/>
            </w:tcMar>
            <w:vAlign w:val="center"/>
          </w:tcPr>
          <w:p w14:paraId="78027C05"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(510)</w:t>
            </w:r>
          </w:p>
        </w:tc>
        <w:tc>
          <w:tcPr>
            <w:tcW w:w="851" w:type="dxa"/>
            <w:tcBorders>
              <w:top w:val="nil"/>
              <w:left w:val="nil"/>
              <w:bottom w:val="nil"/>
              <w:right w:val="nil"/>
              <w:tl2br w:val="nil"/>
              <w:tr2bl w:val="nil"/>
            </w:tcBorders>
            <w:shd w:val="solid" w:color="CCE1EA" w:fill="FFFFFF"/>
            <w:tcMar>
              <w:left w:w="60" w:type="dxa"/>
              <w:right w:w="60" w:type="dxa"/>
            </w:tcMar>
            <w:vAlign w:val="center"/>
          </w:tcPr>
          <w:p w14:paraId="125CC760"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867" w:type="dxa"/>
            <w:tcBorders>
              <w:top w:val="nil"/>
              <w:left w:val="nil"/>
              <w:bottom w:val="nil"/>
              <w:right w:val="nil"/>
              <w:tl2br w:val="nil"/>
              <w:tr2bl w:val="nil"/>
            </w:tcBorders>
            <w:shd w:val="solid" w:color="CCE1EA" w:fill="FFFFFF"/>
            <w:tcMar>
              <w:left w:w="60" w:type="dxa"/>
              <w:right w:w="60" w:type="dxa"/>
            </w:tcMar>
            <w:vAlign w:val="center"/>
          </w:tcPr>
          <w:p w14:paraId="0C597596"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696</w:t>
            </w:r>
          </w:p>
        </w:tc>
        <w:tc>
          <w:tcPr>
            <w:tcW w:w="1176" w:type="dxa"/>
            <w:tcBorders>
              <w:top w:val="nil"/>
              <w:left w:val="nil"/>
              <w:bottom w:val="nil"/>
              <w:right w:val="nil"/>
              <w:tl2br w:val="nil"/>
              <w:tr2bl w:val="nil"/>
            </w:tcBorders>
            <w:shd w:val="solid" w:color="CCE1EA" w:fill="FFFFFF"/>
            <w:tcMar>
              <w:left w:w="60" w:type="dxa"/>
              <w:right w:w="60" w:type="dxa"/>
            </w:tcMar>
            <w:vAlign w:val="center"/>
          </w:tcPr>
          <w:p w14:paraId="5F00A873" w14:textId="77777777" w:rsidR="00FD1E19" w:rsidRDefault="00FD1E19" w:rsidP="00BE7E4A">
            <w:pPr>
              <w:pStyle w:val="DMETW37225BIPCLDFCAPTFTACT"/>
              <w:keepNext/>
              <w:keepLines/>
              <w:jc w:val="right"/>
              <w:rPr>
                <w:rFonts w:ascii="Verdana" w:eastAsia="Verdana" w:hAnsi="Verdana" w:cs="Verdana"/>
                <w:b/>
                <w:noProof/>
                <w:color w:val="000000"/>
                <w:sz w:val="18"/>
                <w:lang w:bidi="en-GB"/>
              </w:rPr>
            </w:pPr>
            <w:r>
              <w:rPr>
                <w:rFonts w:ascii="Verdana" w:eastAsia="Verdana" w:hAnsi="Verdana" w:cs="Verdana"/>
                <w:b/>
                <w:noProof/>
                <w:color w:val="000000"/>
                <w:sz w:val="18"/>
              </w:rPr>
              <w:t>–</w:t>
            </w:r>
          </w:p>
        </w:tc>
      </w:tr>
      <w:tr w:rsidR="00FD1E19" w14:paraId="0CA94B71" w14:textId="77777777" w:rsidTr="00BE7E4A">
        <w:trPr>
          <w:trHeight w:val="255"/>
        </w:trPr>
        <w:tc>
          <w:tcPr>
            <w:tcW w:w="5455" w:type="dxa"/>
            <w:tcBorders>
              <w:top w:val="nil"/>
              <w:left w:val="nil"/>
              <w:bottom w:val="nil"/>
              <w:right w:val="nil"/>
              <w:tl2br w:val="nil"/>
              <w:tr2bl w:val="nil"/>
            </w:tcBorders>
            <w:shd w:val="clear" w:color="auto" w:fill="auto"/>
            <w:tcMar>
              <w:left w:w="60" w:type="dxa"/>
              <w:right w:w="60" w:type="dxa"/>
            </w:tcMar>
            <w:vAlign w:val="center"/>
          </w:tcPr>
          <w:p w14:paraId="57A5091B" w14:textId="77777777" w:rsidR="00FD1E19" w:rsidRDefault="00FD1E19" w:rsidP="00BE7E4A">
            <w:pPr>
              <w:pStyle w:val="DMETW37225BIPCLDFCAPTFTACT"/>
              <w:keepNext/>
              <w:keepLines/>
              <w:rPr>
                <w:rFonts w:ascii="Verdana" w:eastAsia="Verdana" w:hAnsi="Verdana" w:cs="Verdana"/>
                <w:i/>
                <w:noProof/>
                <w:color w:val="000000"/>
                <w:sz w:val="18"/>
              </w:rPr>
            </w:pPr>
            <w:r>
              <w:rPr>
                <w:rFonts w:ascii="Verdana" w:eastAsia="Verdana" w:hAnsi="Verdana" w:cs="Verdana"/>
                <w:i/>
                <w:noProof/>
                <w:color w:val="000000"/>
                <w:sz w:val="18"/>
              </w:rPr>
              <w:t>Transfer of amounts to the 10th EDF performance reserve from previous EDFs</w:t>
            </w:r>
          </w:p>
        </w:tc>
        <w:tc>
          <w:tcPr>
            <w:tcW w:w="1409" w:type="dxa"/>
            <w:tcBorders>
              <w:top w:val="nil"/>
              <w:left w:val="nil"/>
              <w:bottom w:val="nil"/>
              <w:right w:val="nil"/>
              <w:tl2br w:val="nil"/>
              <w:tr2bl w:val="nil"/>
            </w:tcBorders>
            <w:shd w:val="clear" w:color="auto" w:fill="auto"/>
            <w:tcMar>
              <w:left w:w="60" w:type="dxa"/>
              <w:right w:w="60" w:type="dxa"/>
            </w:tcMar>
            <w:vAlign w:val="center"/>
          </w:tcPr>
          <w:p w14:paraId="715B24CD"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509FBE10"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67" w:type="dxa"/>
            <w:tcBorders>
              <w:top w:val="nil"/>
              <w:left w:val="nil"/>
              <w:bottom w:val="nil"/>
              <w:right w:val="nil"/>
              <w:tl2br w:val="nil"/>
              <w:tr2bl w:val="nil"/>
            </w:tcBorders>
            <w:shd w:val="clear" w:color="auto" w:fill="auto"/>
            <w:tcMar>
              <w:left w:w="60" w:type="dxa"/>
              <w:right w:w="60" w:type="dxa"/>
            </w:tcMar>
            <w:vAlign w:val="center"/>
          </w:tcPr>
          <w:p w14:paraId="1B4B53BE"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76" w:type="dxa"/>
            <w:tcBorders>
              <w:top w:val="nil"/>
              <w:left w:val="nil"/>
              <w:bottom w:val="nil"/>
              <w:right w:val="nil"/>
              <w:tl2br w:val="nil"/>
              <w:tr2bl w:val="nil"/>
            </w:tcBorders>
            <w:shd w:val="clear" w:color="auto" w:fill="auto"/>
            <w:tcMar>
              <w:left w:w="60" w:type="dxa"/>
              <w:right w:w="60" w:type="dxa"/>
            </w:tcMar>
            <w:vAlign w:val="center"/>
          </w:tcPr>
          <w:p w14:paraId="33D85107" w14:textId="77777777" w:rsidR="00FD1E19" w:rsidRDefault="00FD1E19" w:rsidP="00BE7E4A">
            <w:pPr>
              <w:pStyle w:val="DMETW37225BIPCLDFCAPTFTAC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6F6E3C71" w14:textId="77777777" w:rsidTr="00BE7E4A">
        <w:trPr>
          <w:trHeight w:val="255"/>
        </w:trPr>
        <w:tc>
          <w:tcPr>
            <w:tcW w:w="5455" w:type="dxa"/>
            <w:tcBorders>
              <w:top w:val="nil"/>
              <w:left w:val="nil"/>
              <w:bottom w:val="nil"/>
              <w:right w:val="nil"/>
              <w:tl2br w:val="nil"/>
              <w:tr2bl w:val="nil"/>
            </w:tcBorders>
            <w:shd w:val="clear" w:color="auto" w:fill="auto"/>
            <w:tcMar>
              <w:left w:w="60" w:type="dxa"/>
              <w:right w:w="60" w:type="dxa"/>
            </w:tcMar>
            <w:vAlign w:val="center"/>
          </w:tcPr>
          <w:p w14:paraId="55BFF5FB" w14:textId="77777777" w:rsidR="00FD1E19" w:rsidRDefault="00FD1E19" w:rsidP="00BE7E4A">
            <w:pPr>
              <w:pStyle w:val="DMETW37225BIPCLDFCAPTFTACT"/>
              <w:keepNext/>
              <w:keepLines/>
              <w:rPr>
                <w:rFonts w:ascii="Verdana" w:eastAsia="Verdana" w:hAnsi="Verdana" w:cs="Verdana"/>
                <w:i/>
                <w:noProof/>
                <w:color w:val="000000"/>
                <w:sz w:val="18"/>
              </w:rPr>
            </w:pPr>
            <w:r>
              <w:rPr>
                <w:rFonts w:ascii="Verdana" w:eastAsia="Verdana" w:hAnsi="Verdana" w:cs="Verdana"/>
                <w:i/>
                <w:noProof/>
                <w:color w:val="000000"/>
                <w:sz w:val="18"/>
              </w:rPr>
              <w:t>Transfer of amounts to the 11th EDF performance reserve from previous EDFs</w:t>
            </w:r>
          </w:p>
        </w:tc>
        <w:tc>
          <w:tcPr>
            <w:tcW w:w="1409" w:type="dxa"/>
            <w:tcBorders>
              <w:top w:val="nil"/>
              <w:left w:val="nil"/>
              <w:bottom w:val="nil"/>
              <w:right w:val="nil"/>
              <w:tl2br w:val="nil"/>
              <w:tr2bl w:val="nil"/>
            </w:tcBorders>
            <w:shd w:val="clear" w:color="auto" w:fill="auto"/>
            <w:tcMar>
              <w:left w:w="60" w:type="dxa"/>
              <w:right w:w="60" w:type="dxa"/>
            </w:tcMar>
            <w:vAlign w:val="center"/>
          </w:tcPr>
          <w:p w14:paraId="404C8669"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52CD3705"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67" w:type="dxa"/>
            <w:tcBorders>
              <w:top w:val="nil"/>
              <w:left w:val="nil"/>
              <w:bottom w:val="nil"/>
              <w:right w:val="nil"/>
              <w:tl2br w:val="nil"/>
              <w:tr2bl w:val="nil"/>
            </w:tcBorders>
            <w:shd w:val="clear" w:color="auto" w:fill="auto"/>
            <w:tcMar>
              <w:left w:w="60" w:type="dxa"/>
              <w:right w:w="60" w:type="dxa"/>
            </w:tcMar>
            <w:vAlign w:val="center"/>
          </w:tcPr>
          <w:p w14:paraId="25C4A298" w14:textId="77777777" w:rsidR="00FD1E19" w:rsidRDefault="00FD1E19" w:rsidP="00BE7E4A">
            <w:pPr>
              <w:pStyle w:val="DMETW37225BIPCLDFCAPTFTAC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76" w:type="dxa"/>
            <w:tcBorders>
              <w:top w:val="nil"/>
              <w:left w:val="nil"/>
              <w:bottom w:val="nil"/>
              <w:right w:val="nil"/>
              <w:tl2br w:val="nil"/>
              <w:tr2bl w:val="nil"/>
            </w:tcBorders>
            <w:shd w:val="clear" w:color="auto" w:fill="auto"/>
            <w:tcMar>
              <w:left w:w="60" w:type="dxa"/>
              <w:right w:w="60" w:type="dxa"/>
            </w:tcMar>
            <w:vAlign w:val="center"/>
          </w:tcPr>
          <w:p w14:paraId="039E6AA7" w14:textId="77777777" w:rsidR="00FD1E19" w:rsidRDefault="00FD1E19" w:rsidP="00BE7E4A">
            <w:pPr>
              <w:pStyle w:val="DMETW37225BIPCLDFCAPTFTAC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5694B73C" w14:textId="77777777" w:rsidTr="00BE7E4A">
        <w:trPr>
          <w:trHeight w:val="255"/>
        </w:trPr>
        <w:tc>
          <w:tcPr>
            <w:tcW w:w="5455" w:type="dxa"/>
            <w:tcBorders>
              <w:top w:val="nil"/>
              <w:left w:val="nil"/>
              <w:bottom w:val="nil"/>
              <w:right w:val="nil"/>
              <w:tl2br w:val="nil"/>
              <w:tr2bl w:val="nil"/>
            </w:tcBorders>
            <w:shd w:val="solid" w:color="CCE1EA" w:fill="FFFFFF"/>
            <w:tcMar>
              <w:left w:w="60" w:type="dxa"/>
              <w:right w:w="60" w:type="dxa"/>
            </w:tcMar>
            <w:vAlign w:val="center"/>
          </w:tcPr>
          <w:p w14:paraId="7311A898" w14:textId="77777777" w:rsidR="00FD1E19" w:rsidRDefault="00FD1E19" w:rsidP="00BE7E4A">
            <w:pPr>
              <w:pStyle w:val="DMETW37225BIPCLDFCAPTFTACT"/>
              <w:keepNext/>
              <w:keepLines/>
              <w:rPr>
                <w:rFonts w:ascii="Verdana" w:eastAsia="Verdana" w:hAnsi="Verdana" w:cs="Verdana"/>
                <w:b/>
                <w:noProof/>
                <w:color w:val="000000"/>
                <w:sz w:val="18"/>
              </w:rPr>
            </w:pPr>
            <w:r>
              <w:rPr>
                <w:rFonts w:ascii="Verdana" w:eastAsia="Verdana" w:hAnsi="Verdana" w:cs="Verdana"/>
                <w:b/>
                <w:noProof/>
                <w:color w:val="000000"/>
                <w:sz w:val="18"/>
              </w:rPr>
              <w:t>Balance at 31.12.2025</w:t>
            </w:r>
          </w:p>
        </w:tc>
        <w:tc>
          <w:tcPr>
            <w:tcW w:w="1409" w:type="dxa"/>
            <w:tcBorders>
              <w:top w:val="nil"/>
              <w:left w:val="nil"/>
              <w:bottom w:val="nil"/>
              <w:right w:val="nil"/>
              <w:tl2br w:val="nil"/>
              <w:tr2bl w:val="nil"/>
            </w:tcBorders>
            <w:shd w:val="solid" w:color="CCE1EA" w:fill="FFFFFF"/>
            <w:tcMar>
              <w:left w:w="60" w:type="dxa"/>
              <w:right w:w="60" w:type="dxa"/>
            </w:tcMar>
            <w:vAlign w:val="center"/>
          </w:tcPr>
          <w:p w14:paraId="077DBEA4"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(510)</w:t>
            </w:r>
          </w:p>
        </w:tc>
        <w:tc>
          <w:tcPr>
            <w:tcW w:w="851" w:type="dxa"/>
            <w:tcBorders>
              <w:top w:val="nil"/>
              <w:left w:val="nil"/>
              <w:bottom w:val="nil"/>
              <w:right w:val="nil"/>
              <w:tl2br w:val="nil"/>
              <w:tr2bl w:val="nil"/>
            </w:tcBorders>
            <w:shd w:val="solid" w:color="CCE1EA" w:fill="FFFFFF"/>
            <w:tcMar>
              <w:left w:w="60" w:type="dxa"/>
              <w:right w:w="60" w:type="dxa"/>
            </w:tcMar>
            <w:vAlign w:val="center"/>
          </w:tcPr>
          <w:p w14:paraId="7E0750F2"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(187)</w:t>
            </w:r>
          </w:p>
        </w:tc>
        <w:tc>
          <w:tcPr>
            <w:tcW w:w="867" w:type="dxa"/>
            <w:tcBorders>
              <w:top w:val="nil"/>
              <w:left w:val="nil"/>
              <w:bottom w:val="nil"/>
              <w:right w:val="nil"/>
              <w:tl2br w:val="nil"/>
              <w:tr2bl w:val="nil"/>
            </w:tcBorders>
            <w:shd w:val="solid" w:color="CCE1EA" w:fill="FFFFFF"/>
            <w:tcMar>
              <w:left w:w="60" w:type="dxa"/>
              <w:right w:w="60" w:type="dxa"/>
            </w:tcMar>
            <w:vAlign w:val="center"/>
          </w:tcPr>
          <w:p w14:paraId="79B95D08"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696</w:t>
            </w:r>
          </w:p>
        </w:tc>
        <w:tc>
          <w:tcPr>
            <w:tcW w:w="1176" w:type="dxa"/>
            <w:tcBorders>
              <w:top w:val="nil"/>
              <w:left w:val="nil"/>
              <w:bottom w:val="nil"/>
              <w:right w:val="nil"/>
              <w:tl2br w:val="nil"/>
              <w:tr2bl w:val="nil"/>
            </w:tcBorders>
            <w:shd w:val="solid" w:color="CCE1EA" w:fill="FFFFFF"/>
            <w:tcMar>
              <w:left w:w="60" w:type="dxa"/>
              <w:right w:w="60" w:type="dxa"/>
            </w:tcMar>
            <w:vAlign w:val="center"/>
          </w:tcPr>
          <w:p w14:paraId="5732E554" w14:textId="77777777" w:rsidR="00FD1E19" w:rsidRDefault="00FD1E19" w:rsidP="00BE7E4A">
            <w:pPr>
              <w:pStyle w:val="DMETW37225BIPCLDFCAPTFTACT"/>
              <w:keepNext/>
              <w:keepLines/>
              <w:jc w:val="right"/>
              <w:rPr>
                <w:rFonts w:ascii="Verdana" w:eastAsia="Verdana" w:hAnsi="Verdana" w:cs="Verdana"/>
                <w:b/>
                <w:noProof/>
                <w:color w:val="000000"/>
                <w:sz w:val="18"/>
              </w:rPr>
            </w:pPr>
            <w:r>
              <w:rPr>
                <w:rFonts w:ascii="Verdana" w:eastAsia="Verdana" w:hAnsi="Verdana" w:cs="Verdana"/>
                <w:b/>
                <w:noProof/>
                <w:color w:val="000000"/>
                <w:sz w:val="18"/>
              </w:rPr>
              <w:t>–</w:t>
            </w:r>
          </w:p>
        </w:tc>
      </w:tr>
    </w:tbl>
    <w:p w14:paraId="22464BF8" w14:textId="77777777" w:rsidR="00FD1E19" w:rsidRPr="00F64D38" w:rsidRDefault="00FD1E19" w:rsidP="00FD1E19">
      <w:pPr>
        <w:pStyle w:val="Textstand-alone"/>
        <w:keepNext/>
        <w:keepLines/>
        <w:rPr>
          <w:lang w:bidi="en-GB"/>
        </w:rPr>
      </w:pPr>
      <w:r w:rsidRPr="00F64D38">
        <w:rPr>
          <w:lang w:bidi="en-GB"/>
        </w:rPr>
        <w:t>This heading includes the resources transferred between the active EDFs.</w:t>
      </w:r>
    </w:p>
    <w:p w14:paraId="7DDD3465" w14:textId="77777777" w:rsidR="00FD1E19" w:rsidRDefault="00FD1E19" w:rsidP="00FD1E19">
      <w:pPr>
        <w:pStyle w:val="Textstand-alone"/>
        <w:rPr>
          <w:lang w:bidi="en-GB"/>
        </w:rPr>
      </w:pPr>
      <w:r w:rsidRPr="00F64D38">
        <w:rPr>
          <w:lang w:bidi="en-GB"/>
        </w:rPr>
        <w:t>Since the entry into force of the Cotonou Agreement, all the unspent funds in previous active EDFs are transferred to the most recently opened EDF after de</w:t>
      </w:r>
      <w:r>
        <w:rPr>
          <w:lang w:bidi="en-GB"/>
        </w:rPr>
        <w:t>-</w:t>
      </w:r>
      <w:r w:rsidRPr="00F64D38">
        <w:rPr>
          <w:lang w:bidi="en-GB"/>
        </w:rPr>
        <w:t xml:space="preserve">commitment. The resources transferred from other EDFs increase the appropriations of the receiving fund and reduce the appropriations of the fund of origin. Funds transferred to the performance reserve of the </w:t>
      </w:r>
      <w:r>
        <w:rPr>
          <w:lang w:bidi="en-GB"/>
        </w:rPr>
        <w:t>10th</w:t>
      </w:r>
      <w:r w:rsidRPr="00F64D38">
        <w:rPr>
          <w:lang w:bidi="en-GB"/>
        </w:rPr>
        <w:t xml:space="preserve"> and </w:t>
      </w:r>
      <w:r>
        <w:rPr>
          <w:lang w:bidi="en-GB"/>
        </w:rPr>
        <w:t>11th</w:t>
      </w:r>
      <w:r w:rsidRPr="00F64D38">
        <w:rPr>
          <w:lang w:bidi="en-GB"/>
        </w:rPr>
        <w:t xml:space="preserve"> EDFs can be committed only under specific conditions set out in the Internal Agreements.</w:t>
      </w:r>
    </w:p>
    <w:p w14:paraId="2A2FF596" w14:textId="77777777" w:rsidR="00FD1E19" w:rsidRDefault="00FD1E19" w:rsidP="00FD1E19">
      <w:pPr>
        <w:pStyle w:val="Textstand-alone"/>
        <w:rPr>
          <w:lang w:bidi="en-GB"/>
        </w:rPr>
      </w:pPr>
    </w:p>
    <w:p w14:paraId="0CED4EBE" w14:textId="77777777" w:rsidR="00FD1E19" w:rsidRPr="00F64D38" w:rsidRDefault="00FD1E19" w:rsidP="00FD1E19">
      <w:pPr>
        <w:pStyle w:val="Textstand-alone"/>
        <w:rPr>
          <w:lang w:bidi="en-GB"/>
        </w:rPr>
        <w:sectPr w:rsidR="00FD1E19" w:rsidRPr="00F64D38" w:rsidSect="00FD1E19">
          <w:headerReference w:type="default" r:id="rId74"/>
          <w:pgSz w:w="11906" w:h="16838" w:code="9"/>
          <w:pgMar w:top="1134" w:right="1134" w:bottom="1134" w:left="1134" w:header="709" w:footer="709" w:gutter="0"/>
          <w:cols w:space="708"/>
          <w:docGrid w:linePitch="360"/>
        </w:sectPr>
      </w:pPr>
      <w:r>
        <w:rPr>
          <w:lang w:bidi="en-GB"/>
        </w:rPr>
        <w:t xml:space="preserve"> </w:t>
      </w:r>
    </w:p>
    <w:p w14:paraId="06F27AEF" w14:textId="77777777" w:rsidR="00FD1E19" w:rsidRPr="00F64D38" w:rsidRDefault="00FD1E19" w:rsidP="00FD1E19">
      <w:pPr>
        <w:pStyle w:val="HEADER1Part2"/>
        <w:rPr>
          <w:noProof/>
        </w:rPr>
      </w:pPr>
      <w:r w:rsidRPr="00F64D38">
        <w:rPr>
          <w:noProof/>
        </w:rPr>
        <w:t>NOTES TO THE STATEMENT OF FINANCIAL PERFORMANCE</w:t>
      </w:r>
    </w:p>
    <w:p w14:paraId="1F62E73C" w14:textId="77777777" w:rsidR="00FD1E19" w:rsidRPr="00F64D38" w:rsidRDefault="00FD1E19" w:rsidP="00FD1E19">
      <w:pPr>
        <w:pStyle w:val="HEADERTABLE"/>
        <w:rPr>
          <w:noProof/>
        </w:rPr>
      </w:pPr>
      <w:r w:rsidRPr="00F64D38">
        <w:rPr>
          <w:noProof/>
        </w:rPr>
        <w:t>REVENUE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5"/>
        <w:gridCol w:w="1539"/>
        <w:gridCol w:w="1916"/>
        <w:gridCol w:w="1048"/>
      </w:tblGrid>
      <w:tr w:rsidR="00FD1E19" w14:paraId="3142239F" w14:textId="77777777" w:rsidTr="00BE7E4A">
        <w:trPr>
          <w:trHeight w:hRule="exact" w:val="300"/>
        </w:trPr>
        <w:tc>
          <w:tcPr>
            <w:tcW w:w="5255" w:type="dxa"/>
            <w:gridSpan w:val="4"/>
            <w:tcBorders>
              <w:top w:val="nil"/>
              <w:left w:val="nil"/>
              <w:bottom w:val="nil"/>
              <w:right w:val="nil"/>
              <w:tl2br w:val="nil"/>
              <w:tr2bl w:val="nil"/>
            </w:tcBorders>
            <w:shd w:val="clear" w:color="auto" w:fill="auto"/>
            <w:tcMar>
              <w:left w:w="60" w:type="dxa"/>
              <w:right w:w="60" w:type="dxa"/>
            </w:tcMar>
            <w:vAlign w:val="center"/>
          </w:tcPr>
          <w:p w14:paraId="304DBC6B" w14:textId="77777777" w:rsidR="00FD1E19" w:rsidRDefault="00FD1E19" w:rsidP="00BE7E4A">
            <w:pPr>
              <w:pStyle w:val="DMETW37225BIPREV"/>
              <w:jc w:val="right"/>
              <w:rPr>
                <w:rFonts w:ascii="Verdana" w:eastAsia="Verdana" w:hAnsi="Verdana" w:cs="Verdana"/>
                <w:i/>
                <w:noProof/>
                <w:color w:val="000000"/>
                <w:sz w:val="16"/>
                <w:lang w:bidi="en-GB"/>
              </w:rPr>
            </w:pPr>
            <w:bookmarkStart w:id="104" w:name="DOC_TBL00045_1_1"/>
            <w:bookmarkEnd w:id="104"/>
            <w:r>
              <w:rPr>
                <w:rFonts w:ascii="Verdana" w:eastAsia="Verdana" w:hAnsi="Verdana" w:cs="Verdana"/>
                <w:i/>
                <w:noProof/>
                <w:color w:val="000000"/>
                <w:sz w:val="16"/>
                <w:lang w:bidi="en-GB"/>
              </w:rPr>
              <w:t>EUR million</w:t>
            </w:r>
          </w:p>
        </w:tc>
      </w:tr>
      <w:tr w:rsidR="00FD1E19" w14:paraId="2C842D58" w14:textId="77777777" w:rsidTr="00BE7E4A">
        <w:trPr>
          <w:trHeight w:hRule="exact" w:val="252"/>
        </w:trPr>
        <w:tc>
          <w:tcPr>
            <w:tcW w:w="5255" w:type="dxa"/>
            <w:tcBorders>
              <w:top w:val="nil"/>
              <w:left w:val="nil"/>
              <w:bottom w:val="nil"/>
              <w:right w:val="nil"/>
              <w:tl2br w:val="nil"/>
              <w:tr2bl w:val="nil"/>
            </w:tcBorders>
            <w:shd w:val="solid" w:color="016794" w:fill="FFFFFF"/>
            <w:tcMar>
              <w:left w:w="60" w:type="dxa"/>
              <w:right w:w="60" w:type="dxa"/>
            </w:tcMar>
            <w:vAlign w:val="center"/>
          </w:tcPr>
          <w:p w14:paraId="515D60EE" w14:textId="77777777" w:rsidR="00FD1E19" w:rsidRDefault="00FD1E19" w:rsidP="00BE7E4A">
            <w:pPr>
              <w:pStyle w:val="DMETW37225BIPREV"/>
              <w:jc w:val="center"/>
              <w:rPr>
                <w:rFonts w:ascii="Verdana" w:eastAsia="Verdana" w:hAnsi="Verdana" w:cs="Verdana"/>
                <w:noProof/>
                <w:color w:val="FFFFFF"/>
              </w:rPr>
            </w:pPr>
          </w:p>
        </w:tc>
        <w:tc>
          <w:tcPr>
            <w:tcW w:w="1539" w:type="dxa"/>
            <w:tcBorders>
              <w:top w:val="nil"/>
              <w:left w:val="nil"/>
              <w:bottom w:val="nil"/>
              <w:right w:val="nil"/>
              <w:tl2br w:val="nil"/>
              <w:tr2bl w:val="nil"/>
            </w:tcBorders>
            <w:shd w:val="solid" w:color="016794" w:fill="FFFFFF"/>
            <w:tcMar>
              <w:left w:w="60" w:type="dxa"/>
              <w:right w:w="60" w:type="dxa"/>
            </w:tcMar>
            <w:vAlign w:val="center"/>
          </w:tcPr>
          <w:p w14:paraId="065C5FF5" w14:textId="77777777" w:rsidR="00FD1E19" w:rsidRDefault="00FD1E19" w:rsidP="00BE7E4A">
            <w:pPr>
              <w:pStyle w:val="DMETW37225BIPREV"/>
              <w:jc w:val="center"/>
              <w:rPr>
                <w:rFonts w:ascii="Verdana" w:eastAsia="Verdana" w:hAnsi="Verdana" w:cs="Verdana"/>
                <w:noProof/>
                <w:color w:val="FFFFFF"/>
              </w:rPr>
            </w:pPr>
            <w:r>
              <w:rPr>
                <w:rFonts w:ascii="Verdana" w:eastAsia="Verdana" w:hAnsi="Verdana" w:cs="Verdana"/>
                <w:noProof/>
                <w:color w:val="FFFFFF"/>
              </w:rPr>
              <w:t>Note</w:t>
            </w:r>
          </w:p>
        </w:tc>
        <w:tc>
          <w:tcPr>
            <w:tcW w:w="1916" w:type="dxa"/>
            <w:tcBorders>
              <w:top w:val="nil"/>
              <w:left w:val="nil"/>
              <w:bottom w:val="nil"/>
              <w:right w:val="nil"/>
              <w:tl2br w:val="nil"/>
              <w:tr2bl w:val="nil"/>
            </w:tcBorders>
            <w:shd w:val="solid" w:color="016794" w:fill="FFFFFF"/>
            <w:tcMar>
              <w:left w:w="60" w:type="dxa"/>
              <w:right w:w="60" w:type="dxa"/>
            </w:tcMar>
            <w:vAlign w:val="center"/>
          </w:tcPr>
          <w:p w14:paraId="20D9F726" w14:textId="77777777" w:rsidR="00FD1E19" w:rsidRDefault="00FD1E19" w:rsidP="00BE7E4A">
            <w:pPr>
              <w:pStyle w:val="DMETW37225BIPREV"/>
              <w:jc w:val="right"/>
              <w:rPr>
                <w:rFonts w:ascii="Verdana" w:eastAsia="Verdana" w:hAnsi="Verdana" w:cs="Verdana"/>
                <w:noProof/>
                <w:color w:val="FFFFFF"/>
              </w:rPr>
            </w:pPr>
            <w:r>
              <w:rPr>
                <w:rFonts w:ascii="Verdana" w:eastAsia="Verdana" w:hAnsi="Verdana" w:cs="Verdana"/>
                <w:noProof/>
                <w:color w:val="FFFFFF"/>
              </w:rPr>
              <w:t>2025</w:t>
            </w:r>
          </w:p>
        </w:tc>
        <w:tc>
          <w:tcPr>
            <w:tcW w:w="1048" w:type="dxa"/>
            <w:tcBorders>
              <w:top w:val="nil"/>
              <w:left w:val="nil"/>
              <w:bottom w:val="nil"/>
              <w:right w:val="nil"/>
              <w:tl2br w:val="nil"/>
              <w:tr2bl w:val="nil"/>
            </w:tcBorders>
            <w:shd w:val="solid" w:color="016794" w:fill="FFFFFF"/>
            <w:tcMar>
              <w:left w:w="60" w:type="dxa"/>
              <w:right w:w="60" w:type="dxa"/>
            </w:tcMar>
            <w:vAlign w:val="center"/>
          </w:tcPr>
          <w:p w14:paraId="64EB28AC" w14:textId="77777777" w:rsidR="00FD1E19" w:rsidRDefault="00FD1E19" w:rsidP="00BE7E4A">
            <w:pPr>
              <w:pStyle w:val="DMETW37225BIPREV"/>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0F82A086" w14:textId="77777777" w:rsidTr="00BE7E4A">
        <w:trPr>
          <w:trHeight w:hRule="exact" w:val="228"/>
        </w:trPr>
        <w:tc>
          <w:tcPr>
            <w:tcW w:w="5255" w:type="dxa"/>
            <w:tcBorders>
              <w:top w:val="nil"/>
              <w:left w:val="nil"/>
              <w:bottom w:val="nil"/>
              <w:right w:val="nil"/>
              <w:tl2br w:val="nil"/>
              <w:tr2bl w:val="nil"/>
            </w:tcBorders>
            <w:shd w:val="clear" w:color="auto" w:fill="auto"/>
            <w:tcMar>
              <w:left w:w="60" w:type="dxa"/>
              <w:right w:w="60" w:type="dxa"/>
            </w:tcMar>
            <w:vAlign w:val="center"/>
          </w:tcPr>
          <w:p w14:paraId="65CC6128" w14:textId="77777777" w:rsidR="00FD1E19" w:rsidRDefault="00FD1E19" w:rsidP="00BE7E4A">
            <w:pPr>
              <w:pStyle w:val="DMETW37225BIPREV"/>
              <w:rPr>
                <w:rFonts w:ascii="Verdana" w:eastAsia="Verdana" w:hAnsi="Verdana" w:cs="Verdana"/>
                <w:i/>
                <w:noProof/>
                <w:color w:val="000000"/>
                <w:sz w:val="18"/>
              </w:rPr>
            </w:pPr>
            <w:r>
              <w:rPr>
                <w:rFonts w:ascii="Verdana" w:eastAsia="Verdana" w:hAnsi="Verdana" w:cs="Verdana"/>
                <w:i/>
                <w:noProof/>
                <w:color w:val="000000"/>
                <w:sz w:val="18"/>
              </w:rPr>
              <w:t>Revenue from non-exchange transactions</w:t>
            </w:r>
          </w:p>
        </w:tc>
        <w:tc>
          <w:tcPr>
            <w:tcW w:w="1539" w:type="dxa"/>
            <w:tcBorders>
              <w:top w:val="nil"/>
              <w:left w:val="nil"/>
              <w:bottom w:val="nil"/>
              <w:right w:val="nil"/>
              <w:tl2br w:val="nil"/>
              <w:tr2bl w:val="nil"/>
            </w:tcBorders>
            <w:shd w:val="clear" w:color="auto" w:fill="auto"/>
            <w:tcMar>
              <w:left w:w="60" w:type="dxa"/>
              <w:right w:w="60" w:type="dxa"/>
            </w:tcMar>
            <w:vAlign w:val="center"/>
          </w:tcPr>
          <w:p w14:paraId="6CB833B7" w14:textId="77777777" w:rsidR="00FD1E19" w:rsidRDefault="00FD1E19" w:rsidP="00BE7E4A">
            <w:pPr>
              <w:pStyle w:val="DMETW37225BIPREV"/>
              <w:jc w:val="center"/>
              <w:rPr>
                <w:rFonts w:ascii="Verdana" w:eastAsia="Verdana" w:hAnsi="Verdana" w:cs="Verdana"/>
                <w:noProof/>
                <w:color w:val="000000"/>
                <w:sz w:val="18"/>
              </w:rPr>
            </w:pPr>
            <w:r>
              <w:rPr>
                <w:rFonts w:ascii="Verdana" w:eastAsia="Verdana" w:hAnsi="Verdana" w:cs="Verdana"/>
                <w:noProof/>
                <w:color w:val="000000"/>
                <w:sz w:val="18"/>
              </w:rPr>
              <w:t>3.1</w:t>
            </w:r>
          </w:p>
        </w:tc>
        <w:tc>
          <w:tcPr>
            <w:tcW w:w="1916" w:type="dxa"/>
            <w:tcBorders>
              <w:top w:val="nil"/>
              <w:left w:val="nil"/>
              <w:bottom w:val="nil"/>
              <w:right w:val="nil"/>
              <w:tl2br w:val="nil"/>
              <w:tr2bl w:val="nil"/>
            </w:tcBorders>
            <w:shd w:val="clear" w:color="auto" w:fill="auto"/>
            <w:tcMar>
              <w:left w:w="60" w:type="dxa"/>
              <w:right w:w="60" w:type="dxa"/>
            </w:tcMar>
            <w:vAlign w:val="center"/>
          </w:tcPr>
          <w:p w14:paraId="71A4DACE" w14:textId="77777777" w:rsidR="00FD1E19" w:rsidRDefault="00FD1E19" w:rsidP="00BE7E4A">
            <w:pPr>
              <w:pStyle w:val="DMETW37225BIPREV"/>
              <w:jc w:val="right"/>
              <w:rPr>
                <w:rFonts w:ascii="Verdana" w:eastAsia="Verdana" w:hAnsi="Verdana" w:cs="Verdana"/>
                <w:i/>
                <w:noProof/>
                <w:color w:val="000000"/>
                <w:sz w:val="18"/>
              </w:rPr>
            </w:pPr>
            <w:r>
              <w:rPr>
                <w:rFonts w:ascii="Verdana" w:eastAsia="Verdana" w:hAnsi="Verdana" w:cs="Verdana"/>
                <w:i/>
                <w:noProof/>
                <w:color w:val="000000"/>
                <w:sz w:val="18"/>
              </w:rPr>
              <w:t xml:space="preserve"> 12</w:t>
            </w:r>
          </w:p>
        </w:tc>
        <w:tc>
          <w:tcPr>
            <w:tcW w:w="1048" w:type="dxa"/>
            <w:tcBorders>
              <w:top w:val="nil"/>
              <w:left w:val="nil"/>
              <w:bottom w:val="nil"/>
              <w:right w:val="nil"/>
              <w:tl2br w:val="nil"/>
              <w:tr2bl w:val="nil"/>
            </w:tcBorders>
            <w:shd w:val="clear" w:color="auto" w:fill="auto"/>
            <w:tcMar>
              <w:left w:w="60" w:type="dxa"/>
              <w:right w:w="60" w:type="dxa"/>
            </w:tcMar>
            <w:vAlign w:val="center"/>
          </w:tcPr>
          <w:p w14:paraId="5C6AFD41" w14:textId="77777777" w:rsidR="00FD1E19" w:rsidRDefault="00FD1E19" w:rsidP="00BE7E4A">
            <w:pPr>
              <w:pStyle w:val="DMETW37225BIP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w:t>
            </w:r>
          </w:p>
        </w:tc>
      </w:tr>
      <w:tr w:rsidR="00FD1E19" w14:paraId="5D51EC6D" w14:textId="77777777" w:rsidTr="00BE7E4A">
        <w:trPr>
          <w:trHeight w:hRule="exact" w:val="228"/>
        </w:trPr>
        <w:tc>
          <w:tcPr>
            <w:tcW w:w="5255" w:type="dxa"/>
            <w:tcBorders>
              <w:top w:val="nil"/>
              <w:left w:val="nil"/>
              <w:bottom w:val="single" w:sz="4" w:space="0" w:color="016794"/>
              <w:right w:val="nil"/>
              <w:tl2br w:val="nil"/>
              <w:tr2bl w:val="nil"/>
            </w:tcBorders>
            <w:shd w:val="clear" w:color="auto" w:fill="auto"/>
            <w:tcMar>
              <w:left w:w="60" w:type="dxa"/>
              <w:right w:w="60" w:type="dxa"/>
            </w:tcMar>
            <w:vAlign w:val="center"/>
          </w:tcPr>
          <w:p w14:paraId="2154FC77" w14:textId="77777777" w:rsidR="00FD1E19" w:rsidRDefault="00FD1E19" w:rsidP="00BE7E4A">
            <w:pPr>
              <w:pStyle w:val="DMETW37225BIPREV"/>
              <w:rPr>
                <w:rFonts w:ascii="Verdana" w:eastAsia="Verdana" w:hAnsi="Verdana" w:cs="Verdana"/>
                <w:i/>
                <w:noProof/>
                <w:color w:val="000000"/>
                <w:sz w:val="18"/>
              </w:rPr>
            </w:pPr>
            <w:r>
              <w:rPr>
                <w:rFonts w:ascii="Verdana" w:eastAsia="Verdana" w:hAnsi="Verdana" w:cs="Verdana"/>
                <w:i/>
                <w:noProof/>
                <w:color w:val="000000"/>
                <w:sz w:val="18"/>
              </w:rPr>
              <w:t>Revenue from exchange transactions</w:t>
            </w:r>
          </w:p>
        </w:tc>
        <w:tc>
          <w:tcPr>
            <w:tcW w:w="1539" w:type="dxa"/>
            <w:tcBorders>
              <w:top w:val="nil"/>
              <w:left w:val="nil"/>
              <w:bottom w:val="single" w:sz="4" w:space="0" w:color="016794"/>
              <w:right w:val="nil"/>
              <w:tl2br w:val="nil"/>
              <w:tr2bl w:val="nil"/>
            </w:tcBorders>
            <w:shd w:val="clear" w:color="auto" w:fill="auto"/>
            <w:tcMar>
              <w:left w:w="60" w:type="dxa"/>
              <w:right w:w="60" w:type="dxa"/>
            </w:tcMar>
            <w:vAlign w:val="center"/>
          </w:tcPr>
          <w:p w14:paraId="54661528" w14:textId="77777777" w:rsidR="00FD1E19" w:rsidRDefault="00FD1E19" w:rsidP="00BE7E4A">
            <w:pPr>
              <w:pStyle w:val="DMETW37225BIPREV"/>
              <w:jc w:val="center"/>
              <w:rPr>
                <w:rFonts w:ascii="Verdana" w:eastAsia="Verdana" w:hAnsi="Verdana" w:cs="Verdana"/>
                <w:noProof/>
                <w:color w:val="000000"/>
                <w:sz w:val="18"/>
              </w:rPr>
            </w:pPr>
            <w:r>
              <w:rPr>
                <w:rFonts w:ascii="Verdana" w:eastAsia="Verdana" w:hAnsi="Verdana" w:cs="Verdana"/>
                <w:noProof/>
                <w:color w:val="000000"/>
                <w:sz w:val="18"/>
              </w:rPr>
              <w:t>3.2</w:t>
            </w:r>
          </w:p>
        </w:tc>
        <w:tc>
          <w:tcPr>
            <w:tcW w:w="1916" w:type="dxa"/>
            <w:tcBorders>
              <w:top w:val="nil"/>
              <w:left w:val="nil"/>
              <w:bottom w:val="single" w:sz="4" w:space="0" w:color="016794"/>
              <w:right w:val="nil"/>
              <w:tl2br w:val="nil"/>
              <w:tr2bl w:val="nil"/>
            </w:tcBorders>
            <w:shd w:val="clear" w:color="auto" w:fill="auto"/>
            <w:tcMar>
              <w:left w:w="60" w:type="dxa"/>
              <w:right w:w="60" w:type="dxa"/>
            </w:tcMar>
            <w:vAlign w:val="center"/>
          </w:tcPr>
          <w:p w14:paraId="6B4674A6" w14:textId="77777777" w:rsidR="00FD1E19" w:rsidRDefault="00FD1E19" w:rsidP="00BE7E4A">
            <w:pPr>
              <w:pStyle w:val="DMETW37225BIPREV"/>
              <w:jc w:val="right"/>
              <w:rPr>
                <w:rFonts w:ascii="Verdana" w:eastAsia="Verdana" w:hAnsi="Verdana" w:cs="Verdana"/>
                <w:i/>
                <w:noProof/>
                <w:color w:val="000000"/>
                <w:sz w:val="18"/>
              </w:rPr>
            </w:pPr>
            <w:r>
              <w:rPr>
                <w:rFonts w:ascii="Verdana" w:eastAsia="Verdana" w:hAnsi="Verdana" w:cs="Verdana"/>
                <w:i/>
                <w:noProof/>
                <w:color w:val="000000"/>
                <w:sz w:val="18"/>
              </w:rPr>
              <w:t xml:space="preserve"> 28</w:t>
            </w:r>
          </w:p>
        </w:tc>
        <w:tc>
          <w:tcPr>
            <w:tcW w:w="1048" w:type="dxa"/>
            <w:tcBorders>
              <w:top w:val="nil"/>
              <w:left w:val="nil"/>
              <w:bottom w:val="single" w:sz="4" w:space="0" w:color="016794"/>
              <w:right w:val="nil"/>
              <w:tl2br w:val="nil"/>
              <w:tr2bl w:val="nil"/>
            </w:tcBorders>
            <w:shd w:val="clear" w:color="auto" w:fill="auto"/>
            <w:tcMar>
              <w:left w:w="60" w:type="dxa"/>
              <w:right w:w="60" w:type="dxa"/>
            </w:tcMar>
            <w:vAlign w:val="center"/>
          </w:tcPr>
          <w:p w14:paraId="08F5EB56" w14:textId="77777777" w:rsidR="00FD1E19" w:rsidRDefault="00FD1E19" w:rsidP="00BE7E4A">
            <w:pPr>
              <w:pStyle w:val="DMETW37225BIP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90</w:t>
            </w:r>
          </w:p>
        </w:tc>
      </w:tr>
      <w:tr w:rsidR="00FD1E19" w14:paraId="1C3727F4" w14:textId="77777777" w:rsidTr="00BE7E4A">
        <w:trPr>
          <w:trHeight w:hRule="exact" w:val="228"/>
        </w:trPr>
        <w:tc>
          <w:tcPr>
            <w:tcW w:w="525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AE7F58E" w14:textId="77777777" w:rsidR="00FD1E19" w:rsidRDefault="00FD1E19" w:rsidP="00BE7E4A">
            <w:pPr>
              <w:pStyle w:val="DMETW37225BIPREV"/>
              <w:rPr>
                <w:rFonts w:ascii="Verdana" w:eastAsia="Verdana" w:hAnsi="Verdana" w:cs="Verdana"/>
                <w:b/>
                <w:noProof/>
                <w:color w:val="000000"/>
                <w:sz w:val="18"/>
              </w:rPr>
            </w:pPr>
            <w:r>
              <w:rPr>
                <w:rFonts w:ascii="Verdana" w:eastAsia="Verdana" w:hAnsi="Verdana" w:cs="Verdana"/>
                <w:b/>
                <w:noProof/>
                <w:color w:val="000000"/>
                <w:sz w:val="18"/>
              </w:rPr>
              <w:t>Total</w:t>
            </w:r>
          </w:p>
        </w:tc>
        <w:tc>
          <w:tcPr>
            <w:tcW w:w="153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FC407E7" w14:textId="77777777" w:rsidR="00FD1E19" w:rsidRDefault="00FD1E19" w:rsidP="00BE7E4A">
            <w:pPr>
              <w:pStyle w:val="DMETW37225BIPREV"/>
              <w:jc w:val="right"/>
              <w:rPr>
                <w:rFonts w:ascii="Verdana" w:eastAsia="Verdana" w:hAnsi="Verdana" w:cs="Verdana"/>
                <w:b/>
                <w:noProof/>
                <w:color w:val="000000"/>
                <w:sz w:val="18"/>
              </w:rPr>
            </w:pPr>
          </w:p>
        </w:tc>
        <w:tc>
          <w:tcPr>
            <w:tcW w:w="191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E6FEF0D" w14:textId="77777777" w:rsidR="00FD1E19" w:rsidRDefault="00FD1E19" w:rsidP="00BE7E4A">
            <w:pPr>
              <w:pStyle w:val="DMETW37225BIPREV"/>
              <w:jc w:val="right"/>
              <w:rPr>
                <w:rFonts w:ascii="Verdana" w:eastAsia="Verdana" w:hAnsi="Verdana" w:cs="Verdana"/>
                <w:b/>
                <w:noProof/>
                <w:color w:val="000000"/>
                <w:sz w:val="18"/>
              </w:rPr>
            </w:pPr>
            <w:r>
              <w:rPr>
                <w:rFonts w:ascii="Verdana" w:eastAsia="Verdana" w:hAnsi="Verdana" w:cs="Verdana"/>
                <w:b/>
                <w:noProof/>
                <w:color w:val="000000"/>
                <w:sz w:val="18"/>
              </w:rPr>
              <w:t xml:space="preserve"> 40</w:t>
            </w:r>
          </w:p>
        </w:tc>
        <w:tc>
          <w:tcPr>
            <w:tcW w:w="104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732A029" w14:textId="77777777" w:rsidR="00FD1E19" w:rsidRDefault="00FD1E19" w:rsidP="00BE7E4A">
            <w:pPr>
              <w:pStyle w:val="DMETW37225BIPREV"/>
              <w:jc w:val="right"/>
              <w:rPr>
                <w:rFonts w:ascii="Verdana" w:eastAsia="Verdana" w:hAnsi="Verdana" w:cs="Verdana"/>
                <w:b/>
                <w:noProof/>
                <w:color w:val="000000"/>
                <w:sz w:val="18"/>
              </w:rPr>
            </w:pPr>
            <w:r>
              <w:rPr>
                <w:rFonts w:ascii="Verdana" w:eastAsia="Verdana" w:hAnsi="Verdana" w:cs="Verdana"/>
                <w:b/>
                <w:noProof/>
                <w:color w:val="000000"/>
                <w:sz w:val="18"/>
              </w:rPr>
              <w:t xml:space="preserve"> 131</w:t>
            </w:r>
          </w:p>
        </w:tc>
      </w:tr>
    </w:tbl>
    <w:p w14:paraId="0B047411" w14:textId="77777777" w:rsidR="00FD1E19" w:rsidRDefault="00FD1E19" w:rsidP="00FD1E19">
      <w:pPr>
        <w:pStyle w:val="HEADER2Part2"/>
        <w:ind w:left="3402" w:hanging="3402"/>
        <w:jc w:val="both"/>
        <w:rPr>
          <w:noProof/>
        </w:rPr>
      </w:pPr>
      <w:r w:rsidRPr="00F64D38">
        <w:rPr>
          <w:noProof/>
        </w:rPr>
        <w:t>REVENUE FROM NON-EXCHANGE TRANSACTIONS</w:t>
      </w:r>
    </w:p>
    <w:p w14:paraId="44E55B09" w14:textId="77777777" w:rsidR="00FD1E19" w:rsidRPr="00F64D38" w:rsidRDefault="00FD1E19" w:rsidP="00FD1E19">
      <w:pPr>
        <w:pStyle w:val="Textstand-alone"/>
      </w:pPr>
      <w:bookmarkStart w:id="105" w:name="BIP_SEL008"/>
      <w:r>
        <w:t>Revenue from non-exchange transactions relates to transactions where the transferor provides resources to the recipient entity without the recipient entity providing approximately equal value directly in exchange. The heading mainly includes amounts received from the Commission during the year and recoveries of operational expenses.</w:t>
      </w:r>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1583"/>
        <w:gridCol w:w="1656"/>
        <w:gridCol w:w="708"/>
        <w:gridCol w:w="802"/>
        <w:gridCol w:w="1109"/>
        <w:gridCol w:w="983"/>
      </w:tblGrid>
      <w:tr w:rsidR="00FD1E19" w14:paraId="5B798491" w14:textId="77777777" w:rsidTr="00BE7E4A">
        <w:trPr>
          <w:trHeight w:val="255"/>
        </w:trPr>
        <w:tc>
          <w:tcPr>
            <w:tcW w:w="2917" w:type="dxa"/>
            <w:gridSpan w:val="7"/>
            <w:tcBorders>
              <w:top w:val="nil"/>
              <w:left w:val="nil"/>
              <w:bottom w:val="nil"/>
              <w:right w:val="nil"/>
              <w:tl2br w:val="nil"/>
              <w:tr2bl w:val="nil"/>
            </w:tcBorders>
            <w:shd w:val="clear" w:color="auto" w:fill="auto"/>
            <w:tcMar>
              <w:left w:w="60" w:type="dxa"/>
              <w:right w:w="60" w:type="dxa"/>
            </w:tcMar>
            <w:vAlign w:val="center"/>
          </w:tcPr>
          <w:p w14:paraId="2DE23E37" w14:textId="77777777" w:rsidR="00FD1E19" w:rsidRDefault="00FD1E19" w:rsidP="00BE7E4A">
            <w:pPr>
              <w:pStyle w:val="DMETW37225BIPNEXREV"/>
              <w:jc w:val="right"/>
              <w:rPr>
                <w:rFonts w:ascii="Verdana" w:eastAsia="Verdana" w:hAnsi="Verdana" w:cs="Verdana"/>
                <w:i/>
                <w:noProof/>
                <w:color w:val="000000"/>
                <w:sz w:val="16"/>
                <w:lang w:bidi="en-GB"/>
              </w:rPr>
            </w:pPr>
            <w:bookmarkStart w:id="106" w:name="DOC_TBL00035_1_1"/>
            <w:bookmarkEnd w:id="106"/>
            <w:r>
              <w:rPr>
                <w:rFonts w:ascii="Verdana" w:eastAsia="Verdana" w:hAnsi="Verdana" w:cs="Verdana"/>
                <w:i/>
                <w:noProof/>
                <w:color w:val="000000"/>
                <w:sz w:val="16"/>
                <w:lang w:bidi="en-GB"/>
              </w:rPr>
              <w:t>EUR million</w:t>
            </w:r>
          </w:p>
        </w:tc>
      </w:tr>
      <w:tr w:rsidR="00FD1E19" w14:paraId="4C67B3A0" w14:textId="77777777" w:rsidTr="00BE7E4A">
        <w:trPr>
          <w:trHeight w:val="255"/>
        </w:trPr>
        <w:tc>
          <w:tcPr>
            <w:tcW w:w="2917" w:type="dxa"/>
            <w:tcBorders>
              <w:top w:val="nil"/>
              <w:left w:val="nil"/>
              <w:bottom w:val="nil"/>
              <w:right w:val="nil"/>
              <w:tl2br w:val="nil"/>
              <w:tr2bl w:val="nil"/>
            </w:tcBorders>
            <w:shd w:val="solid" w:color="016794" w:fill="FFFFFF"/>
            <w:tcMar>
              <w:left w:w="60" w:type="dxa"/>
              <w:right w:w="60" w:type="dxa"/>
            </w:tcMar>
            <w:vAlign w:val="center"/>
          </w:tcPr>
          <w:p w14:paraId="5FDF9E8B" w14:textId="77777777" w:rsidR="00FD1E19" w:rsidRDefault="00FD1E19" w:rsidP="00BE7E4A">
            <w:pPr>
              <w:pStyle w:val="DMETW37225BIPNEXREV"/>
              <w:jc w:val="center"/>
              <w:rPr>
                <w:rFonts w:ascii="Verdana" w:eastAsia="Verdana" w:hAnsi="Verdana" w:cs="Verdana"/>
                <w:noProof/>
                <w:color w:val="FFFFFF"/>
              </w:rPr>
            </w:pPr>
          </w:p>
        </w:tc>
        <w:tc>
          <w:tcPr>
            <w:tcW w:w="1583" w:type="dxa"/>
            <w:tcBorders>
              <w:top w:val="nil"/>
              <w:left w:val="nil"/>
              <w:bottom w:val="nil"/>
              <w:right w:val="nil"/>
              <w:tl2br w:val="nil"/>
              <w:tr2bl w:val="nil"/>
            </w:tcBorders>
            <w:shd w:val="solid" w:color="016794" w:fill="FFFFFF"/>
            <w:tcMar>
              <w:left w:w="60" w:type="dxa"/>
              <w:right w:w="60" w:type="dxa"/>
            </w:tcMar>
            <w:vAlign w:val="center"/>
          </w:tcPr>
          <w:p w14:paraId="20D21B9B" w14:textId="77777777" w:rsidR="00FD1E19" w:rsidRDefault="00FD1E19" w:rsidP="00BE7E4A">
            <w:pPr>
              <w:pStyle w:val="DMETW37225BIPNEXREV"/>
              <w:jc w:val="center"/>
              <w:rPr>
                <w:rFonts w:ascii="Verdana" w:eastAsia="Verdana" w:hAnsi="Verdana" w:cs="Verdana"/>
                <w:noProof/>
                <w:color w:val="FFFFFF"/>
              </w:rPr>
            </w:pPr>
            <w:r>
              <w:rPr>
                <w:rFonts w:ascii="Verdana" w:eastAsia="Verdana" w:hAnsi="Verdana" w:cs="Verdana"/>
                <w:noProof/>
                <w:color w:val="FFFFFF"/>
              </w:rPr>
              <w:t>Note</w:t>
            </w:r>
          </w:p>
        </w:tc>
        <w:tc>
          <w:tcPr>
            <w:tcW w:w="1656" w:type="dxa"/>
            <w:tcBorders>
              <w:top w:val="nil"/>
              <w:left w:val="nil"/>
              <w:bottom w:val="nil"/>
              <w:right w:val="nil"/>
              <w:tl2br w:val="nil"/>
              <w:tr2bl w:val="nil"/>
            </w:tcBorders>
            <w:shd w:val="solid" w:color="016794" w:fill="FFFFFF"/>
            <w:tcMar>
              <w:left w:w="60" w:type="dxa"/>
              <w:right w:w="60" w:type="dxa"/>
            </w:tcMar>
            <w:vAlign w:val="center"/>
          </w:tcPr>
          <w:p w14:paraId="3779CC5F" w14:textId="77777777" w:rsidR="00FD1E19" w:rsidRDefault="00FD1E19" w:rsidP="00BE7E4A">
            <w:pPr>
              <w:pStyle w:val="DMETW37225BIPNEXREV"/>
              <w:jc w:val="right"/>
              <w:rPr>
                <w:rFonts w:ascii="Verdana" w:eastAsia="Verdana" w:hAnsi="Verdana" w:cs="Verdana"/>
                <w:noProof/>
                <w:color w:val="FFFFFF"/>
              </w:rPr>
            </w:pPr>
            <w:r>
              <w:rPr>
                <w:rFonts w:ascii="Verdana" w:eastAsia="Verdana" w:hAnsi="Verdana" w:cs="Verdana"/>
                <w:noProof/>
                <w:color w:val="FFFFFF"/>
              </w:rPr>
              <w:t>Ninth EDF</w:t>
            </w:r>
          </w:p>
        </w:tc>
        <w:tc>
          <w:tcPr>
            <w:tcW w:w="708" w:type="dxa"/>
            <w:tcBorders>
              <w:top w:val="nil"/>
              <w:left w:val="nil"/>
              <w:bottom w:val="nil"/>
              <w:right w:val="nil"/>
              <w:tl2br w:val="nil"/>
              <w:tr2bl w:val="nil"/>
            </w:tcBorders>
            <w:shd w:val="solid" w:color="016794" w:fill="FFFFFF"/>
            <w:tcMar>
              <w:left w:w="60" w:type="dxa"/>
              <w:right w:w="60" w:type="dxa"/>
            </w:tcMar>
            <w:vAlign w:val="center"/>
          </w:tcPr>
          <w:p w14:paraId="56A221CA" w14:textId="77777777" w:rsidR="00FD1E19" w:rsidRDefault="00FD1E19" w:rsidP="00BE7E4A">
            <w:pPr>
              <w:pStyle w:val="DMETW37225BIPNEXREV"/>
              <w:jc w:val="right"/>
              <w:rPr>
                <w:rFonts w:ascii="Verdana" w:eastAsia="Verdana" w:hAnsi="Verdana" w:cs="Verdana"/>
                <w:noProof/>
                <w:color w:val="FFFFFF"/>
              </w:rPr>
            </w:pPr>
            <w:r>
              <w:rPr>
                <w:rFonts w:ascii="Verdana" w:eastAsia="Verdana" w:hAnsi="Verdana" w:cs="Verdana"/>
                <w:noProof/>
                <w:color w:val="FFFFFF"/>
              </w:rPr>
              <w:t>10th EDF</w:t>
            </w:r>
          </w:p>
        </w:tc>
        <w:tc>
          <w:tcPr>
            <w:tcW w:w="802" w:type="dxa"/>
            <w:tcBorders>
              <w:top w:val="nil"/>
              <w:left w:val="nil"/>
              <w:bottom w:val="nil"/>
              <w:right w:val="nil"/>
              <w:tl2br w:val="nil"/>
              <w:tr2bl w:val="nil"/>
            </w:tcBorders>
            <w:shd w:val="solid" w:color="016794" w:fill="FFFFFF"/>
            <w:tcMar>
              <w:left w:w="60" w:type="dxa"/>
              <w:right w:w="60" w:type="dxa"/>
            </w:tcMar>
            <w:vAlign w:val="center"/>
          </w:tcPr>
          <w:p w14:paraId="24F734F3" w14:textId="77777777" w:rsidR="00FD1E19" w:rsidRDefault="00FD1E19" w:rsidP="00BE7E4A">
            <w:pPr>
              <w:pStyle w:val="DMETW37225BIPNEXREV"/>
              <w:jc w:val="right"/>
              <w:rPr>
                <w:rFonts w:ascii="Verdana" w:eastAsia="Verdana" w:hAnsi="Verdana" w:cs="Verdana"/>
                <w:noProof/>
                <w:color w:val="FFFFFF"/>
              </w:rPr>
            </w:pPr>
            <w:r>
              <w:rPr>
                <w:rFonts w:ascii="Verdana" w:eastAsia="Verdana" w:hAnsi="Verdana" w:cs="Verdana"/>
                <w:noProof/>
                <w:color w:val="FFFFFF"/>
              </w:rPr>
              <w:t>11th EDF</w:t>
            </w:r>
          </w:p>
        </w:tc>
        <w:tc>
          <w:tcPr>
            <w:tcW w:w="1109" w:type="dxa"/>
            <w:tcBorders>
              <w:top w:val="nil"/>
              <w:left w:val="nil"/>
              <w:bottom w:val="nil"/>
              <w:right w:val="nil"/>
              <w:tl2br w:val="nil"/>
              <w:tr2bl w:val="nil"/>
            </w:tcBorders>
            <w:shd w:val="solid" w:color="016794" w:fill="FFFFFF"/>
            <w:tcMar>
              <w:left w:w="60" w:type="dxa"/>
              <w:right w:w="60" w:type="dxa"/>
            </w:tcMar>
            <w:vAlign w:val="center"/>
          </w:tcPr>
          <w:p w14:paraId="3AB71DB4" w14:textId="77777777" w:rsidR="00FD1E19" w:rsidRDefault="00FD1E19" w:rsidP="00BE7E4A">
            <w:pPr>
              <w:pStyle w:val="DMETW37225BIPNEXREV"/>
              <w:jc w:val="right"/>
              <w:rPr>
                <w:rFonts w:ascii="Verdana" w:eastAsia="Verdana" w:hAnsi="Verdana" w:cs="Verdana"/>
                <w:noProof/>
                <w:color w:val="FFFFFF"/>
              </w:rPr>
            </w:pPr>
            <w:r>
              <w:rPr>
                <w:rFonts w:ascii="Verdana" w:eastAsia="Verdana" w:hAnsi="Verdana" w:cs="Verdana"/>
                <w:noProof/>
                <w:color w:val="FFFFFF"/>
              </w:rPr>
              <w:t>2025</w:t>
            </w:r>
          </w:p>
        </w:tc>
        <w:tc>
          <w:tcPr>
            <w:tcW w:w="983" w:type="dxa"/>
            <w:tcBorders>
              <w:top w:val="nil"/>
              <w:left w:val="nil"/>
              <w:bottom w:val="nil"/>
              <w:right w:val="nil"/>
              <w:tl2br w:val="nil"/>
              <w:tr2bl w:val="nil"/>
            </w:tcBorders>
            <w:shd w:val="solid" w:color="016794" w:fill="FFFFFF"/>
            <w:tcMar>
              <w:left w:w="60" w:type="dxa"/>
              <w:right w:w="60" w:type="dxa"/>
            </w:tcMar>
            <w:vAlign w:val="center"/>
          </w:tcPr>
          <w:p w14:paraId="1DFB4A8D" w14:textId="77777777" w:rsidR="00FD1E19" w:rsidRDefault="00FD1E19" w:rsidP="00BE7E4A">
            <w:pPr>
              <w:pStyle w:val="DMETW37225BIPNEXREV"/>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47C5E54A" w14:textId="77777777" w:rsidTr="00BE7E4A">
        <w:trPr>
          <w:trHeight w:val="255"/>
        </w:trPr>
        <w:tc>
          <w:tcPr>
            <w:tcW w:w="2917" w:type="dxa"/>
            <w:tcBorders>
              <w:top w:val="nil"/>
              <w:left w:val="nil"/>
              <w:bottom w:val="nil"/>
              <w:right w:val="nil"/>
              <w:tl2br w:val="nil"/>
              <w:tr2bl w:val="nil"/>
            </w:tcBorders>
            <w:shd w:val="clear" w:color="auto" w:fill="auto"/>
            <w:tcMar>
              <w:left w:w="60" w:type="dxa"/>
              <w:right w:w="60" w:type="dxa"/>
            </w:tcMar>
            <w:vAlign w:val="center"/>
          </w:tcPr>
          <w:p w14:paraId="4162E800" w14:textId="77777777" w:rsidR="00FD1E19" w:rsidRDefault="00FD1E19" w:rsidP="00BE7E4A">
            <w:pPr>
              <w:pStyle w:val="DMETW37225BIPNEXREV"/>
              <w:rPr>
                <w:rFonts w:ascii="Verdana" w:eastAsia="Verdana" w:hAnsi="Verdana" w:cs="Verdana"/>
                <w:i/>
                <w:noProof/>
                <w:color w:val="000000"/>
                <w:sz w:val="18"/>
              </w:rPr>
            </w:pPr>
            <w:r>
              <w:rPr>
                <w:rFonts w:ascii="Verdana" w:eastAsia="Verdana" w:hAnsi="Verdana" w:cs="Verdana"/>
                <w:i/>
                <w:noProof/>
                <w:color w:val="000000"/>
                <w:sz w:val="18"/>
              </w:rPr>
              <w:t>Recovery of expenses</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0A6B30E7" w14:textId="77777777" w:rsidR="00FD1E19" w:rsidRDefault="00FD1E19" w:rsidP="00BE7E4A">
            <w:pPr>
              <w:pStyle w:val="DMETW37225BIPNEXREV"/>
              <w:jc w:val="center"/>
              <w:rPr>
                <w:rFonts w:ascii="Verdana" w:eastAsia="Verdana" w:hAnsi="Verdana" w:cs="Verdana"/>
                <w:noProof/>
                <w:color w:val="000000"/>
                <w:sz w:val="18"/>
              </w:rPr>
            </w:pPr>
          </w:p>
        </w:tc>
        <w:tc>
          <w:tcPr>
            <w:tcW w:w="1656" w:type="dxa"/>
            <w:tcBorders>
              <w:top w:val="nil"/>
              <w:left w:val="nil"/>
              <w:bottom w:val="nil"/>
              <w:right w:val="nil"/>
              <w:tl2br w:val="nil"/>
              <w:tr2bl w:val="nil"/>
            </w:tcBorders>
            <w:shd w:val="clear" w:color="auto" w:fill="auto"/>
            <w:tcMar>
              <w:left w:w="60" w:type="dxa"/>
              <w:right w:w="60" w:type="dxa"/>
            </w:tcMar>
            <w:vAlign w:val="center"/>
          </w:tcPr>
          <w:p w14:paraId="4D3FCCC8"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708" w:type="dxa"/>
            <w:tcBorders>
              <w:top w:val="nil"/>
              <w:left w:val="nil"/>
              <w:bottom w:val="nil"/>
              <w:right w:val="nil"/>
              <w:tl2br w:val="nil"/>
              <w:tr2bl w:val="nil"/>
            </w:tcBorders>
            <w:shd w:val="clear" w:color="auto" w:fill="auto"/>
            <w:tcMar>
              <w:left w:w="60" w:type="dxa"/>
              <w:right w:w="60" w:type="dxa"/>
            </w:tcMar>
            <w:vAlign w:val="center"/>
          </w:tcPr>
          <w:p w14:paraId="239FFDB5"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802" w:type="dxa"/>
            <w:tcBorders>
              <w:top w:val="nil"/>
              <w:left w:val="nil"/>
              <w:bottom w:val="nil"/>
              <w:right w:val="nil"/>
              <w:tl2br w:val="nil"/>
              <w:tr2bl w:val="nil"/>
            </w:tcBorders>
            <w:shd w:val="clear" w:color="auto" w:fill="auto"/>
            <w:tcMar>
              <w:left w:w="60" w:type="dxa"/>
              <w:right w:w="60" w:type="dxa"/>
            </w:tcMar>
            <w:vAlign w:val="center"/>
          </w:tcPr>
          <w:p w14:paraId="4BD4D58E"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109" w:type="dxa"/>
            <w:tcBorders>
              <w:top w:val="nil"/>
              <w:left w:val="nil"/>
              <w:bottom w:val="nil"/>
              <w:right w:val="nil"/>
              <w:tl2br w:val="nil"/>
              <w:tr2bl w:val="nil"/>
            </w:tcBorders>
            <w:shd w:val="clear" w:color="auto" w:fill="auto"/>
            <w:tcMar>
              <w:left w:w="60" w:type="dxa"/>
              <w:right w:w="60" w:type="dxa"/>
            </w:tcMar>
            <w:vAlign w:val="center"/>
          </w:tcPr>
          <w:p w14:paraId="3F118965"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983" w:type="dxa"/>
            <w:tcBorders>
              <w:top w:val="nil"/>
              <w:left w:val="nil"/>
              <w:bottom w:val="nil"/>
              <w:right w:val="nil"/>
              <w:tl2br w:val="nil"/>
              <w:tr2bl w:val="nil"/>
            </w:tcBorders>
            <w:shd w:val="clear" w:color="auto" w:fill="auto"/>
            <w:tcMar>
              <w:left w:w="60" w:type="dxa"/>
              <w:right w:w="60" w:type="dxa"/>
            </w:tcMar>
            <w:vAlign w:val="center"/>
          </w:tcPr>
          <w:p w14:paraId="1ED0B53F" w14:textId="77777777" w:rsidR="00FD1E19" w:rsidRDefault="00FD1E19" w:rsidP="00BE7E4A">
            <w:pPr>
              <w:pStyle w:val="DMETW37225BIPNEX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24</w:t>
            </w:r>
          </w:p>
        </w:tc>
      </w:tr>
      <w:tr w:rsidR="00FD1E19" w14:paraId="72FE961D" w14:textId="77777777" w:rsidTr="00BE7E4A">
        <w:trPr>
          <w:trHeight w:val="255"/>
        </w:trPr>
        <w:tc>
          <w:tcPr>
            <w:tcW w:w="2917" w:type="dxa"/>
            <w:tcBorders>
              <w:top w:val="nil"/>
              <w:left w:val="nil"/>
              <w:bottom w:val="nil"/>
              <w:right w:val="nil"/>
              <w:tl2br w:val="nil"/>
              <w:tr2bl w:val="nil"/>
            </w:tcBorders>
            <w:shd w:val="clear" w:color="auto" w:fill="auto"/>
            <w:tcMar>
              <w:left w:w="60" w:type="dxa"/>
              <w:right w:w="60" w:type="dxa"/>
            </w:tcMar>
            <w:vAlign w:val="center"/>
          </w:tcPr>
          <w:p w14:paraId="0DFA1297" w14:textId="77777777" w:rsidR="00FD1E19" w:rsidRDefault="00FD1E19" w:rsidP="00BE7E4A">
            <w:pPr>
              <w:pStyle w:val="DMETW37225BIPNEXREV"/>
              <w:rPr>
                <w:rFonts w:ascii="Verdana" w:eastAsia="Verdana" w:hAnsi="Verdana" w:cs="Verdana"/>
                <w:i/>
                <w:noProof/>
                <w:color w:val="000000"/>
                <w:sz w:val="18"/>
              </w:rPr>
            </w:pPr>
            <w:r>
              <w:rPr>
                <w:rFonts w:ascii="Verdana" w:eastAsia="Verdana" w:hAnsi="Verdana" w:cs="Verdana"/>
                <w:i/>
                <w:noProof/>
                <w:color w:val="000000"/>
                <w:sz w:val="18"/>
              </w:rPr>
              <w:t>Co-financing revenue</w:t>
            </w:r>
          </w:p>
        </w:tc>
        <w:tc>
          <w:tcPr>
            <w:tcW w:w="1583" w:type="dxa"/>
            <w:tcBorders>
              <w:top w:val="nil"/>
              <w:left w:val="nil"/>
              <w:bottom w:val="nil"/>
              <w:right w:val="nil"/>
              <w:tl2br w:val="nil"/>
              <w:tr2bl w:val="nil"/>
            </w:tcBorders>
            <w:shd w:val="clear" w:color="auto" w:fill="auto"/>
            <w:tcMar>
              <w:left w:w="60" w:type="dxa"/>
              <w:right w:w="60" w:type="dxa"/>
            </w:tcMar>
            <w:vAlign w:val="center"/>
          </w:tcPr>
          <w:p w14:paraId="4DA7E201" w14:textId="77777777" w:rsidR="00FD1E19" w:rsidRDefault="00FD1E19" w:rsidP="00BE7E4A">
            <w:pPr>
              <w:pStyle w:val="DMETW37225BIPNEXREV"/>
              <w:jc w:val="center"/>
              <w:rPr>
                <w:rFonts w:ascii="Verdana" w:eastAsia="Verdana" w:hAnsi="Verdana" w:cs="Verdana"/>
                <w:noProof/>
                <w:color w:val="000000"/>
                <w:sz w:val="18"/>
              </w:rPr>
            </w:pPr>
            <w:r>
              <w:rPr>
                <w:rFonts w:ascii="Verdana" w:eastAsia="Verdana" w:hAnsi="Verdana" w:cs="Verdana"/>
                <w:noProof/>
                <w:color w:val="000000"/>
                <w:sz w:val="18"/>
              </w:rPr>
              <w:t>3.1.1</w:t>
            </w:r>
          </w:p>
        </w:tc>
        <w:tc>
          <w:tcPr>
            <w:tcW w:w="1656" w:type="dxa"/>
            <w:tcBorders>
              <w:top w:val="nil"/>
              <w:left w:val="nil"/>
              <w:bottom w:val="nil"/>
              <w:right w:val="nil"/>
              <w:tl2br w:val="nil"/>
              <w:tr2bl w:val="nil"/>
            </w:tcBorders>
            <w:shd w:val="clear" w:color="auto" w:fill="auto"/>
            <w:tcMar>
              <w:left w:w="60" w:type="dxa"/>
              <w:right w:w="60" w:type="dxa"/>
            </w:tcMar>
            <w:vAlign w:val="center"/>
          </w:tcPr>
          <w:p w14:paraId="3C960E37"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08" w:type="dxa"/>
            <w:tcBorders>
              <w:top w:val="nil"/>
              <w:left w:val="nil"/>
              <w:bottom w:val="nil"/>
              <w:right w:val="nil"/>
              <w:tl2br w:val="nil"/>
              <w:tr2bl w:val="nil"/>
            </w:tcBorders>
            <w:shd w:val="clear" w:color="auto" w:fill="auto"/>
            <w:tcMar>
              <w:left w:w="60" w:type="dxa"/>
              <w:right w:w="60" w:type="dxa"/>
            </w:tcMar>
            <w:vAlign w:val="center"/>
          </w:tcPr>
          <w:p w14:paraId="63AC2341"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802" w:type="dxa"/>
            <w:tcBorders>
              <w:top w:val="nil"/>
              <w:left w:val="nil"/>
              <w:bottom w:val="nil"/>
              <w:right w:val="nil"/>
              <w:tl2br w:val="nil"/>
              <w:tr2bl w:val="nil"/>
            </w:tcBorders>
            <w:shd w:val="clear" w:color="auto" w:fill="auto"/>
            <w:tcMar>
              <w:left w:w="60" w:type="dxa"/>
              <w:right w:w="60" w:type="dxa"/>
            </w:tcMar>
            <w:vAlign w:val="center"/>
          </w:tcPr>
          <w:p w14:paraId="5DD15532"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109" w:type="dxa"/>
            <w:tcBorders>
              <w:top w:val="nil"/>
              <w:left w:val="nil"/>
              <w:bottom w:val="nil"/>
              <w:right w:val="nil"/>
              <w:tl2br w:val="nil"/>
              <w:tr2bl w:val="nil"/>
            </w:tcBorders>
            <w:shd w:val="clear" w:color="auto" w:fill="auto"/>
            <w:tcMar>
              <w:left w:w="60" w:type="dxa"/>
              <w:right w:w="60" w:type="dxa"/>
            </w:tcMar>
            <w:vAlign w:val="center"/>
          </w:tcPr>
          <w:p w14:paraId="42BE3E2C" w14:textId="77777777" w:rsidR="00FD1E19" w:rsidRDefault="00FD1E19" w:rsidP="00BE7E4A">
            <w:pPr>
              <w:pStyle w:val="DMETW37225BIPNEXRE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83" w:type="dxa"/>
            <w:tcBorders>
              <w:top w:val="nil"/>
              <w:left w:val="nil"/>
              <w:bottom w:val="nil"/>
              <w:right w:val="nil"/>
              <w:tl2br w:val="nil"/>
              <w:tr2bl w:val="nil"/>
            </w:tcBorders>
            <w:shd w:val="clear" w:color="auto" w:fill="auto"/>
            <w:tcMar>
              <w:left w:w="60" w:type="dxa"/>
              <w:right w:w="60" w:type="dxa"/>
            </w:tcMar>
            <w:vAlign w:val="center"/>
          </w:tcPr>
          <w:p w14:paraId="1764041D" w14:textId="77777777" w:rsidR="00FD1E19" w:rsidRDefault="00FD1E19" w:rsidP="00BE7E4A">
            <w:pPr>
              <w:pStyle w:val="DMETW37225BIPNEX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w:t>
            </w:r>
          </w:p>
        </w:tc>
      </w:tr>
      <w:tr w:rsidR="00FD1E19" w14:paraId="684B3CC5" w14:textId="77777777" w:rsidTr="00BE7E4A">
        <w:trPr>
          <w:trHeight w:val="255"/>
        </w:trPr>
        <w:tc>
          <w:tcPr>
            <w:tcW w:w="2917" w:type="dxa"/>
            <w:tcBorders>
              <w:top w:val="nil"/>
              <w:left w:val="nil"/>
              <w:bottom w:val="nil"/>
              <w:right w:val="nil"/>
              <w:tl2br w:val="nil"/>
              <w:tr2bl w:val="nil"/>
            </w:tcBorders>
            <w:shd w:val="solid" w:color="CCE1EA" w:fill="FFFFFF"/>
            <w:tcMar>
              <w:left w:w="60" w:type="dxa"/>
              <w:right w:w="60" w:type="dxa"/>
            </w:tcMar>
            <w:vAlign w:val="center"/>
          </w:tcPr>
          <w:p w14:paraId="2BD1BE9D" w14:textId="77777777" w:rsidR="00FD1E19" w:rsidRDefault="00FD1E19" w:rsidP="00BE7E4A">
            <w:pPr>
              <w:pStyle w:val="DMETW37225BIPNEXREV"/>
              <w:rPr>
                <w:rFonts w:ascii="Verdana" w:eastAsia="Verdana" w:hAnsi="Verdana" w:cs="Verdana"/>
                <w:b/>
                <w:noProof/>
                <w:color w:val="000000"/>
                <w:sz w:val="18"/>
              </w:rPr>
            </w:pPr>
            <w:r>
              <w:rPr>
                <w:rFonts w:ascii="Verdana" w:eastAsia="Verdana" w:hAnsi="Verdana" w:cs="Verdana"/>
                <w:b/>
                <w:noProof/>
                <w:color w:val="000000"/>
                <w:sz w:val="18"/>
              </w:rPr>
              <w:t>Total</w:t>
            </w:r>
          </w:p>
        </w:tc>
        <w:tc>
          <w:tcPr>
            <w:tcW w:w="1583" w:type="dxa"/>
            <w:tcBorders>
              <w:top w:val="nil"/>
              <w:left w:val="nil"/>
              <w:bottom w:val="nil"/>
              <w:right w:val="nil"/>
              <w:tl2br w:val="nil"/>
              <w:tr2bl w:val="nil"/>
            </w:tcBorders>
            <w:shd w:val="solid" w:color="CCE1EA" w:fill="FFFFFF"/>
            <w:tcMar>
              <w:left w:w="60" w:type="dxa"/>
              <w:right w:w="60" w:type="dxa"/>
            </w:tcMar>
            <w:vAlign w:val="center"/>
          </w:tcPr>
          <w:p w14:paraId="288A4C0D" w14:textId="77777777" w:rsidR="00FD1E19" w:rsidRDefault="00FD1E19" w:rsidP="00BE7E4A">
            <w:pPr>
              <w:pStyle w:val="DMETW37225BIPNEXREV"/>
              <w:jc w:val="right"/>
              <w:rPr>
                <w:rFonts w:ascii="Verdana" w:eastAsia="Verdana" w:hAnsi="Verdana" w:cs="Verdana"/>
                <w:b/>
                <w:noProof/>
                <w:color w:val="000000"/>
                <w:sz w:val="18"/>
              </w:rPr>
            </w:pPr>
          </w:p>
        </w:tc>
        <w:tc>
          <w:tcPr>
            <w:tcW w:w="1656" w:type="dxa"/>
            <w:tcBorders>
              <w:top w:val="nil"/>
              <w:left w:val="nil"/>
              <w:bottom w:val="nil"/>
              <w:right w:val="nil"/>
              <w:tl2br w:val="nil"/>
              <w:tr2bl w:val="nil"/>
            </w:tcBorders>
            <w:shd w:val="solid" w:color="CCE1EA" w:fill="FFFFFF"/>
            <w:tcMar>
              <w:left w:w="60" w:type="dxa"/>
              <w:right w:w="60" w:type="dxa"/>
            </w:tcMar>
            <w:vAlign w:val="center"/>
          </w:tcPr>
          <w:p w14:paraId="5C945F58" w14:textId="77777777" w:rsidR="00FD1E19" w:rsidRDefault="00FD1E19" w:rsidP="00BE7E4A">
            <w:pPr>
              <w:pStyle w:val="DMETW37225BIPNEXREV"/>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708" w:type="dxa"/>
            <w:tcBorders>
              <w:top w:val="nil"/>
              <w:left w:val="nil"/>
              <w:bottom w:val="nil"/>
              <w:right w:val="nil"/>
              <w:tl2br w:val="nil"/>
              <w:tr2bl w:val="nil"/>
            </w:tcBorders>
            <w:shd w:val="solid" w:color="CCE1EA" w:fill="FFFFFF"/>
            <w:tcMar>
              <w:left w:w="60" w:type="dxa"/>
              <w:right w:w="60" w:type="dxa"/>
            </w:tcMar>
            <w:vAlign w:val="center"/>
          </w:tcPr>
          <w:p w14:paraId="431A9DE4" w14:textId="77777777" w:rsidR="00FD1E19" w:rsidRDefault="00FD1E19" w:rsidP="00BE7E4A">
            <w:pPr>
              <w:pStyle w:val="DMETW37225BIPNEXREV"/>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802" w:type="dxa"/>
            <w:tcBorders>
              <w:top w:val="nil"/>
              <w:left w:val="nil"/>
              <w:bottom w:val="nil"/>
              <w:right w:val="nil"/>
              <w:tl2br w:val="nil"/>
              <w:tr2bl w:val="nil"/>
            </w:tcBorders>
            <w:shd w:val="solid" w:color="CCE1EA" w:fill="FFFFFF"/>
            <w:tcMar>
              <w:left w:w="60" w:type="dxa"/>
              <w:right w:w="60" w:type="dxa"/>
            </w:tcMar>
            <w:vAlign w:val="center"/>
          </w:tcPr>
          <w:p w14:paraId="6F281562" w14:textId="77777777" w:rsidR="00FD1E19" w:rsidRDefault="00FD1E19" w:rsidP="00BE7E4A">
            <w:pPr>
              <w:pStyle w:val="DMETW37225BIPNEXREV"/>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1109" w:type="dxa"/>
            <w:tcBorders>
              <w:top w:val="nil"/>
              <w:left w:val="nil"/>
              <w:bottom w:val="nil"/>
              <w:right w:val="nil"/>
              <w:tl2br w:val="nil"/>
              <w:tr2bl w:val="nil"/>
            </w:tcBorders>
            <w:shd w:val="solid" w:color="CCE1EA" w:fill="FFFFFF"/>
            <w:tcMar>
              <w:left w:w="60" w:type="dxa"/>
              <w:right w:w="60" w:type="dxa"/>
            </w:tcMar>
            <w:vAlign w:val="center"/>
          </w:tcPr>
          <w:p w14:paraId="6FC93D78" w14:textId="77777777" w:rsidR="00FD1E19" w:rsidRDefault="00FD1E19" w:rsidP="00BE7E4A">
            <w:pPr>
              <w:pStyle w:val="DMETW37225BIPNEXREV"/>
              <w:jc w:val="right"/>
              <w:rPr>
                <w:rFonts w:ascii="Verdana" w:eastAsia="Verdana" w:hAnsi="Verdana" w:cs="Verdana"/>
                <w:b/>
                <w:noProof/>
                <w:color w:val="000000"/>
                <w:sz w:val="18"/>
              </w:rPr>
            </w:pPr>
            <w:r>
              <w:rPr>
                <w:rFonts w:ascii="Verdana" w:eastAsia="Verdana" w:hAnsi="Verdana" w:cs="Verdana"/>
                <w:b/>
                <w:noProof/>
                <w:color w:val="000000"/>
                <w:sz w:val="18"/>
              </w:rPr>
              <w:t xml:space="preserve">  12</w:t>
            </w:r>
          </w:p>
        </w:tc>
        <w:tc>
          <w:tcPr>
            <w:tcW w:w="983" w:type="dxa"/>
            <w:tcBorders>
              <w:top w:val="nil"/>
              <w:left w:val="nil"/>
              <w:bottom w:val="nil"/>
              <w:right w:val="nil"/>
              <w:tl2br w:val="nil"/>
              <w:tr2bl w:val="nil"/>
            </w:tcBorders>
            <w:shd w:val="solid" w:color="CCE1EA" w:fill="FFFFFF"/>
            <w:tcMar>
              <w:left w:w="60" w:type="dxa"/>
              <w:right w:w="60" w:type="dxa"/>
            </w:tcMar>
            <w:vAlign w:val="center"/>
          </w:tcPr>
          <w:p w14:paraId="164821F4" w14:textId="77777777" w:rsidR="00FD1E19" w:rsidRDefault="00FD1E19" w:rsidP="00BE7E4A">
            <w:pPr>
              <w:pStyle w:val="DMETW37225BIPNEXREV"/>
              <w:jc w:val="right"/>
              <w:rPr>
                <w:rFonts w:ascii="Verdana" w:eastAsia="Verdana" w:hAnsi="Verdana" w:cs="Verdana"/>
                <w:b/>
                <w:noProof/>
                <w:color w:val="000000"/>
                <w:sz w:val="18"/>
              </w:rPr>
            </w:pPr>
            <w:r>
              <w:rPr>
                <w:rFonts w:ascii="Verdana" w:eastAsia="Verdana" w:hAnsi="Verdana" w:cs="Verdana"/>
                <w:b/>
                <w:noProof/>
                <w:color w:val="000000"/>
                <w:sz w:val="18"/>
              </w:rPr>
              <w:t xml:space="preserve">  41</w:t>
            </w:r>
          </w:p>
        </w:tc>
      </w:tr>
    </w:tbl>
    <w:p w14:paraId="29673513" w14:textId="77777777" w:rsidR="00FD1E19" w:rsidRDefault="00FD1E19" w:rsidP="00FD1E19">
      <w:pPr>
        <w:pStyle w:val="Textstand-alone"/>
        <w:spacing w:before="0" w:after="0"/>
      </w:pPr>
    </w:p>
    <w:p w14:paraId="776BD5C4" w14:textId="77777777" w:rsidR="00FD1E19" w:rsidRDefault="00FD1E19" w:rsidP="00FD1E19">
      <w:pPr>
        <w:pStyle w:val="Textstand-alone"/>
        <w:spacing w:before="0" w:after="0"/>
      </w:pPr>
    </w:p>
    <w:p w14:paraId="7EF4C56C" w14:textId="77777777" w:rsidR="00FD1E19" w:rsidRPr="00F64D38" w:rsidRDefault="00FD1E19" w:rsidP="00FD1E19">
      <w:pPr>
        <w:pStyle w:val="Textstand-alone"/>
        <w:spacing w:before="0" w:after="0"/>
      </w:pPr>
      <w:r w:rsidRPr="00F64D38">
        <w:t>Non-exchange revenue can be broken down by management mode as follows:</w:t>
      </w:r>
    </w:p>
    <w:p w14:paraId="0F46BEF1" w14:textId="77777777" w:rsidR="00FD1E19" w:rsidRPr="00F64D38" w:rsidRDefault="00FD1E19" w:rsidP="00FD1E19">
      <w:pPr>
        <w:pStyle w:val="Textstand-alone"/>
        <w:spacing w:before="0" w:after="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94"/>
        <w:gridCol w:w="2075"/>
        <w:gridCol w:w="1789"/>
      </w:tblGrid>
      <w:tr w:rsidR="00FD1E19" w14:paraId="553FF6F5"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2817DD06" w14:textId="77777777" w:rsidR="00FD1E19" w:rsidRDefault="00FD1E19" w:rsidP="00BE7E4A">
            <w:pPr>
              <w:pStyle w:val="DMETW37225BIPNEXREVBMM"/>
              <w:rPr>
                <w:rFonts w:ascii="Verdana" w:eastAsia="Verdana" w:hAnsi="Verdana" w:cs="Verdana"/>
                <w:noProof/>
                <w:color w:val="000000"/>
                <w:sz w:val="18"/>
                <w:lang w:bidi="en-GB"/>
              </w:rPr>
            </w:pPr>
            <w:bookmarkStart w:id="107" w:name="DOC_TBL00046_1_1"/>
            <w:bookmarkEnd w:id="107"/>
          </w:p>
        </w:tc>
        <w:tc>
          <w:tcPr>
            <w:tcW w:w="2075" w:type="dxa"/>
            <w:tcBorders>
              <w:top w:val="nil"/>
              <w:left w:val="nil"/>
              <w:bottom w:val="nil"/>
              <w:right w:val="nil"/>
              <w:tl2br w:val="nil"/>
              <w:tr2bl w:val="nil"/>
            </w:tcBorders>
            <w:shd w:val="clear" w:color="auto" w:fill="auto"/>
            <w:tcMar>
              <w:left w:w="60" w:type="dxa"/>
              <w:right w:w="60" w:type="dxa"/>
            </w:tcMar>
            <w:vAlign w:val="center"/>
          </w:tcPr>
          <w:p w14:paraId="3686EEDF" w14:textId="77777777" w:rsidR="00FD1E19" w:rsidRDefault="00FD1E19" w:rsidP="00BE7E4A">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shd w:val="clear" w:color="auto" w:fill="auto"/>
            <w:tcMar>
              <w:left w:w="60" w:type="dxa"/>
              <w:right w:w="60" w:type="dxa"/>
            </w:tcMar>
            <w:vAlign w:val="center"/>
          </w:tcPr>
          <w:p w14:paraId="7186A39F" w14:textId="77777777" w:rsidR="00FD1E19" w:rsidRDefault="00FD1E19" w:rsidP="00BE7E4A">
            <w:pPr>
              <w:pStyle w:val="DMETW37225BIPNEXREVBMM"/>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16A603D5" w14:textId="77777777" w:rsidTr="00BE7E4A">
        <w:trPr>
          <w:trHeight w:hRule="exact" w:val="255"/>
        </w:trPr>
        <w:tc>
          <w:tcPr>
            <w:tcW w:w="5894" w:type="dxa"/>
            <w:tcBorders>
              <w:top w:val="nil"/>
              <w:left w:val="nil"/>
              <w:bottom w:val="nil"/>
              <w:right w:val="nil"/>
              <w:tl2br w:val="nil"/>
              <w:tr2bl w:val="nil"/>
            </w:tcBorders>
            <w:shd w:val="solid" w:color="016794" w:fill="FFFFFF"/>
            <w:tcMar>
              <w:left w:w="60" w:type="dxa"/>
              <w:right w:w="60" w:type="dxa"/>
            </w:tcMar>
            <w:vAlign w:val="center"/>
          </w:tcPr>
          <w:p w14:paraId="11F1F9EF" w14:textId="77777777" w:rsidR="00FD1E19" w:rsidRDefault="00FD1E19" w:rsidP="00BE7E4A">
            <w:pPr>
              <w:pStyle w:val="DMETW37225BIPNEXREVBMM"/>
              <w:rPr>
                <w:rFonts w:ascii="Verdana" w:eastAsia="Verdana" w:hAnsi="Verdana" w:cs="Verdana"/>
                <w:noProof/>
                <w:color w:val="FFFFFF"/>
                <w:sz w:val="18"/>
              </w:rPr>
            </w:pPr>
          </w:p>
        </w:tc>
        <w:tc>
          <w:tcPr>
            <w:tcW w:w="2075" w:type="dxa"/>
            <w:tcBorders>
              <w:top w:val="nil"/>
              <w:left w:val="nil"/>
              <w:bottom w:val="nil"/>
              <w:right w:val="nil"/>
              <w:tl2br w:val="nil"/>
              <w:tr2bl w:val="nil"/>
            </w:tcBorders>
            <w:shd w:val="solid" w:color="016794" w:fill="FFFFFF"/>
            <w:tcMar>
              <w:left w:w="60" w:type="dxa"/>
              <w:right w:w="60" w:type="dxa"/>
            </w:tcMar>
            <w:vAlign w:val="center"/>
          </w:tcPr>
          <w:p w14:paraId="0B0E1301" w14:textId="77777777" w:rsidR="00FD1E19" w:rsidRDefault="00FD1E19" w:rsidP="00BE7E4A">
            <w:pPr>
              <w:pStyle w:val="DMETW37225BIPNEXREVBMM"/>
              <w:jc w:val="right"/>
              <w:rPr>
                <w:rFonts w:ascii="Verdana" w:eastAsia="Verdana" w:hAnsi="Verdana" w:cs="Verdana"/>
                <w:noProof/>
                <w:color w:val="FFFFFF"/>
                <w:sz w:val="18"/>
              </w:rPr>
            </w:pPr>
            <w:r>
              <w:rPr>
                <w:rFonts w:ascii="Verdana" w:eastAsia="Verdana" w:hAnsi="Verdana" w:cs="Verdana"/>
                <w:noProof/>
                <w:color w:val="FFFFFF"/>
                <w:sz w:val="18"/>
              </w:rPr>
              <w:t>2025</w:t>
            </w:r>
          </w:p>
        </w:tc>
        <w:tc>
          <w:tcPr>
            <w:tcW w:w="1789" w:type="dxa"/>
            <w:tcBorders>
              <w:top w:val="nil"/>
              <w:left w:val="nil"/>
              <w:bottom w:val="nil"/>
              <w:right w:val="nil"/>
              <w:tl2br w:val="nil"/>
              <w:tr2bl w:val="nil"/>
            </w:tcBorders>
            <w:shd w:val="solid" w:color="016794" w:fill="FFFFFF"/>
            <w:tcMar>
              <w:left w:w="60" w:type="dxa"/>
              <w:right w:w="60" w:type="dxa"/>
            </w:tcMar>
            <w:vAlign w:val="center"/>
          </w:tcPr>
          <w:p w14:paraId="35FBC449" w14:textId="77777777" w:rsidR="00FD1E19" w:rsidRDefault="00FD1E19" w:rsidP="00BE7E4A">
            <w:pPr>
              <w:pStyle w:val="DMETW37225BIPNEXREVBMM"/>
              <w:jc w:val="right"/>
              <w:rPr>
                <w:rFonts w:ascii="Verdana" w:eastAsia="Verdana" w:hAnsi="Verdana" w:cs="Verdana"/>
                <w:noProof/>
                <w:color w:val="FFFFFF"/>
                <w:sz w:val="18"/>
                <w:lang w:bidi="en-GB"/>
              </w:rPr>
            </w:pPr>
            <w:r>
              <w:rPr>
                <w:rFonts w:ascii="Verdana" w:eastAsia="Verdana" w:hAnsi="Verdana" w:cs="Verdana"/>
                <w:noProof/>
                <w:color w:val="FFFFFF"/>
                <w:sz w:val="18"/>
              </w:rPr>
              <w:t>2024</w:t>
            </w:r>
          </w:p>
        </w:tc>
      </w:tr>
      <w:tr w:rsidR="00FD1E19" w14:paraId="6493257C"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79EDB7A6" w14:textId="77777777" w:rsidR="00FD1E19" w:rsidRDefault="00FD1E19" w:rsidP="00BE7E4A">
            <w:pPr>
              <w:pStyle w:val="DMETW37225BIPNEXREVBMM"/>
              <w:rPr>
                <w:rFonts w:ascii="Verdana" w:eastAsia="Verdana" w:hAnsi="Verdana" w:cs="Verdana"/>
                <w:b/>
                <w:noProof/>
                <w:color w:val="000000"/>
                <w:sz w:val="18"/>
              </w:rPr>
            </w:pPr>
            <w:r>
              <w:rPr>
                <w:rFonts w:ascii="Verdana" w:eastAsia="Verdana" w:hAnsi="Verdana" w:cs="Verdana"/>
                <w:b/>
                <w:noProof/>
                <w:color w:val="000000"/>
                <w:sz w:val="18"/>
              </w:rPr>
              <w:t>Direct Management</w:t>
            </w:r>
          </w:p>
        </w:tc>
        <w:tc>
          <w:tcPr>
            <w:tcW w:w="2075" w:type="dxa"/>
            <w:tcBorders>
              <w:top w:val="nil"/>
              <w:left w:val="nil"/>
              <w:bottom w:val="nil"/>
              <w:right w:val="nil"/>
              <w:tl2br w:val="nil"/>
              <w:tr2bl w:val="nil"/>
            </w:tcBorders>
            <w:shd w:val="clear" w:color="auto" w:fill="auto"/>
            <w:tcMar>
              <w:left w:w="60" w:type="dxa"/>
              <w:right w:w="60" w:type="dxa"/>
            </w:tcMar>
            <w:vAlign w:val="center"/>
          </w:tcPr>
          <w:p w14:paraId="2FAB6121" w14:textId="77777777" w:rsidR="00FD1E19" w:rsidRDefault="00FD1E19" w:rsidP="00BE7E4A">
            <w:pPr>
              <w:pStyle w:val="DMETW37225BIPNEXREVBMM"/>
              <w:jc w:val="right"/>
              <w:rPr>
                <w:rFonts w:ascii="Verdana" w:eastAsia="Verdana" w:hAnsi="Verdana" w:cs="Verdana"/>
                <w:b/>
                <w:i/>
                <w:noProof/>
                <w:color w:val="000000"/>
                <w:sz w:val="18"/>
              </w:rPr>
            </w:pPr>
          </w:p>
        </w:tc>
        <w:tc>
          <w:tcPr>
            <w:tcW w:w="1789" w:type="dxa"/>
            <w:tcBorders>
              <w:top w:val="nil"/>
              <w:left w:val="nil"/>
              <w:bottom w:val="nil"/>
              <w:right w:val="nil"/>
              <w:tl2br w:val="nil"/>
              <w:tr2bl w:val="nil"/>
            </w:tcBorders>
            <w:shd w:val="clear" w:color="auto" w:fill="auto"/>
            <w:tcMar>
              <w:left w:w="60" w:type="dxa"/>
              <w:right w:w="60" w:type="dxa"/>
            </w:tcMar>
            <w:vAlign w:val="center"/>
          </w:tcPr>
          <w:p w14:paraId="5CB9F259" w14:textId="77777777" w:rsidR="00FD1E19" w:rsidRDefault="00FD1E19" w:rsidP="00BE7E4A">
            <w:pPr>
              <w:pStyle w:val="DMETW37225BIPNEXREVBMM"/>
              <w:jc w:val="right"/>
              <w:rPr>
                <w:rFonts w:ascii="Verdana" w:eastAsia="Verdana" w:hAnsi="Verdana" w:cs="Verdana"/>
                <w:b/>
                <w:i/>
                <w:noProof/>
                <w:color w:val="000000"/>
                <w:sz w:val="18"/>
                <w:lang w:bidi="en-GB"/>
              </w:rPr>
            </w:pPr>
          </w:p>
        </w:tc>
      </w:tr>
      <w:tr w:rsidR="00FD1E19" w14:paraId="50536956"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7C11E820"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Implemented by:</w:t>
            </w:r>
          </w:p>
        </w:tc>
        <w:tc>
          <w:tcPr>
            <w:tcW w:w="2075" w:type="dxa"/>
            <w:tcBorders>
              <w:top w:val="nil"/>
              <w:left w:val="nil"/>
              <w:bottom w:val="nil"/>
              <w:right w:val="nil"/>
              <w:tl2br w:val="nil"/>
              <w:tr2bl w:val="nil"/>
            </w:tcBorders>
            <w:shd w:val="clear" w:color="auto" w:fill="auto"/>
            <w:tcMar>
              <w:left w:w="60" w:type="dxa"/>
              <w:right w:w="60" w:type="dxa"/>
            </w:tcMar>
            <w:vAlign w:val="center"/>
          </w:tcPr>
          <w:p w14:paraId="56030AE9" w14:textId="77777777" w:rsidR="00FD1E19" w:rsidRDefault="00FD1E19" w:rsidP="00BE7E4A">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shd w:val="clear" w:color="auto" w:fill="auto"/>
            <w:tcMar>
              <w:left w:w="60" w:type="dxa"/>
              <w:right w:w="60" w:type="dxa"/>
            </w:tcMar>
            <w:vAlign w:val="center"/>
          </w:tcPr>
          <w:p w14:paraId="4DC66D14" w14:textId="77777777" w:rsidR="00FD1E19" w:rsidRDefault="00FD1E19" w:rsidP="00BE7E4A">
            <w:pPr>
              <w:pStyle w:val="DMETW37225BIPNEXREVBMM"/>
              <w:jc w:val="right"/>
              <w:rPr>
                <w:rFonts w:ascii="Verdana" w:eastAsia="Verdana" w:hAnsi="Verdana" w:cs="Verdana"/>
                <w:i/>
                <w:noProof/>
                <w:color w:val="000000"/>
                <w:sz w:val="18"/>
                <w:lang w:bidi="en-GB"/>
              </w:rPr>
            </w:pPr>
          </w:p>
        </w:tc>
      </w:tr>
      <w:tr w:rsidR="00FD1E19" w14:paraId="18BAE592"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2AFCF69D"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Commission</w:t>
            </w:r>
          </w:p>
        </w:tc>
        <w:tc>
          <w:tcPr>
            <w:tcW w:w="2075" w:type="dxa"/>
            <w:tcBorders>
              <w:top w:val="nil"/>
              <w:left w:val="nil"/>
              <w:bottom w:val="nil"/>
              <w:right w:val="nil"/>
              <w:tl2br w:val="nil"/>
              <w:tr2bl w:val="nil"/>
            </w:tcBorders>
            <w:shd w:val="clear" w:color="auto" w:fill="auto"/>
            <w:tcMar>
              <w:left w:w="60" w:type="dxa"/>
              <w:right w:w="60" w:type="dxa"/>
            </w:tcMar>
            <w:vAlign w:val="center"/>
          </w:tcPr>
          <w:p w14:paraId="458DADDE" w14:textId="77777777" w:rsidR="00FD1E19" w:rsidRDefault="00FD1E19" w:rsidP="00BE7E4A">
            <w:pPr>
              <w:pStyle w:val="DMETW37225BIPNEXREVBMM"/>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9" w:type="dxa"/>
            <w:tcBorders>
              <w:top w:val="nil"/>
              <w:left w:val="nil"/>
              <w:bottom w:val="nil"/>
              <w:right w:val="nil"/>
              <w:tl2br w:val="nil"/>
              <w:tr2bl w:val="nil"/>
            </w:tcBorders>
            <w:shd w:val="clear" w:color="auto" w:fill="auto"/>
            <w:tcMar>
              <w:left w:w="60" w:type="dxa"/>
              <w:right w:w="60" w:type="dxa"/>
            </w:tcMar>
            <w:vAlign w:val="center"/>
          </w:tcPr>
          <w:p w14:paraId="6753E667" w14:textId="77777777" w:rsidR="00FD1E19" w:rsidRDefault="00FD1E19" w:rsidP="00BE7E4A">
            <w:pPr>
              <w:pStyle w:val="DMETW37225BIPNEXREV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28BA4910"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5505D7F2"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Executive agencies</w:t>
            </w:r>
          </w:p>
        </w:tc>
        <w:tc>
          <w:tcPr>
            <w:tcW w:w="2075" w:type="dxa"/>
            <w:tcBorders>
              <w:top w:val="nil"/>
              <w:left w:val="nil"/>
              <w:bottom w:val="nil"/>
              <w:right w:val="nil"/>
              <w:tl2br w:val="nil"/>
              <w:tr2bl w:val="nil"/>
            </w:tcBorders>
            <w:shd w:val="clear" w:color="auto" w:fill="auto"/>
            <w:tcMar>
              <w:left w:w="60" w:type="dxa"/>
              <w:right w:w="60" w:type="dxa"/>
            </w:tcMar>
            <w:vAlign w:val="center"/>
          </w:tcPr>
          <w:p w14:paraId="5C3A4ACF" w14:textId="77777777" w:rsidR="00FD1E19" w:rsidRDefault="00FD1E19" w:rsidP="00BE7E4A">
            <w:pPr>
              <w:pStyle w:val="DMETW37225BIPNEXREVBMM"/>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9" w:type="dxa"/>
            <w:tcBorders>
              <w:top w:val="nil"/>
              <w:left w:val="nil"/>
              <w:bottom w:val="nil"/>
              <w:right w:val="nil"/>
              <w:tl2br w:val="nil"/>
              <w:tr2bl w:val="nil"/>
            </w:tcBorders>
            <w:shd w:val="clear" w:color="auto" w:fill="auto"/>
            <w:tcMar>
              <w:left w:w="60" w:type="dxa"/>
              <w:right w:w="60" w:type="dxa"/>
            </w:tcMar>
            <w:vAlign w:val="center"/>
          </w:tcPr>
          <w:p w14:paraId="4354D69E" w14:textId="77777777" w:rsidR="00FD1E19" w:rsidRDefault="00FD1E19" w:rsidP="00BE7E4A">
            <w:pPr>
              <w:pStyle w:val="DMETW37225BIPNEXREV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226D4852" w14:textId="77777777" w:rsidTr="00BE7E4A">
        <w:trPr>
          <w:trHeight w:hRule="exact" w:val="255"/>
        </w:trPr>
        <w:tc>
          <w:tcPr>
            <w:tcW w:w="5894" w:type="dxa"/>
            <w:tcBorders>
              <w:top w:val="nil"/>
              <w:left w:val="nil"/>
              <w:bottom w:val="single" w:sz="4" w:space="0" w:color="016794"/>
              <w:right w:val="nil"/>
              <w:tl2br w:val="nil"/>
              <w:tr2bl w:val="nil"/>
            </w:tcBorders>
            <w:shd w:val="clear" w:color="auto" w:fill="auto"/>
            <w:tcMar>
              <w:left w:w="60" w:type="dxa"/>
              <w:right w:w="60" w:type="dxa"/>
            </w:tcMar>
            <w:vAlign w:val="center"/>
          </w:tcPr>
          <w:p w14:paraId="0D91A03D"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EU delegations</w:t>
            </w:r>
          </w:p>
        </w:tc>
        <w:tc>
          <w:tcPr>
            <w:tcW w:w="2075" w:type="dxa"/>
            <w:tcBorders>
              <w:top w:val="nil"/>
              <w:left w:val="nil"/>
              <w:bottom w:val="single" w:sz="4" w:space="0" w:color="016794"/>
              <w:right w:val="nil"/>
              <w:tl2br w:val="nil"/>
              <w:tr2bl w:val="nil"/>
            </w:tcBorders>
            <w:shd w:val="clear" w:color="auto" w:fill="auto"/>
            <w:tcMar>
              <w:left w:w="60" w:type="dxa"/>
              <w:right w:w="60" w:type="dxa"/>
            </w:tcMar>
            <w:vAlign w:val="center"/>
          </w:tcPr>
          <w:p w14:paraId="26BD0B32" w14:textId="77777777" w:rsidR="00FD1E19" w:rsidRDefault="00FD1E19" w:rsidP="00BE7E4A">
            <w:pPr>
              <w:pStyle w:val="DMETW37225BIPNEXREVBMM"/>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789" w:type="dxa"/>
            <w:tcBorders>
              <w:top w:val="nil"/>
              <w:left w:val="nil"/>
              <w:bottom w:val="single" w:sz="4" w:space="0" w:color="016794"/>
              <w:right w:val="nil"/>
              <w:tl2br w:val="nil"/>
              <w:tr2bl w:val="nil"/>
            </w:tcBorders>
            <w:shd w:val="clear" w:color="auto" w:fill="auto"/>
            <w:tcMar>
              <w:left w:w="60" w:type="dxa"/>
              <w:right w:w="60" w:type="dxa"/>
            </w:tcMar>
            <w:vAlign w:val="center"/>
          </w:tcPr>
          <w:p w14:paraId="3D633822" w14:textId="77777777" w:rsidR="00FD1E19" w:rsidRDefault="00FD1E19" w:rsidP="00BE7E4A">
            <w:pPr>
              <w:pStyle w:val="DMETW37225BIPNEXREV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FD1E19" w14:paraId="05528F7B" w14:textId="77777777" w:rsidTr="00BE7E4A">
        <w:trPr>
          <w:trHeight w:hRule="exact" w:val="255"/>
        </w:trPr>
        <w:tc>
          <w:tcPr>
            <w:tcW w:w="589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57C2EB4" w14:textId="77777777" w:rsidR="00FD1E19" w:rsidRDefault="00FD1E19" w:rsidP="00BE7E4A">
            <w:pPr>
              <w:pStyle w:val="DMETW37225BIPNEXREVBMM"/>
              <w:rPr>
                <w:rFonts w:ascii="Verdana" w:eastAsia="Verdana" w:hAnsi="Verdana" w:cs="Verdana"/>
                <w:i/>
                <w:noProof/>
                <w:color w:val="000000"/>
                <w:sz w:val="18"/>
              </w:rPr>
            </w:pPr>
          </w:p>
        </w:tc>
        <w:tc>
          <w:tcPr>
            <w:tcW w:w="207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818A315" w14:textId="77777777" w:rsidR="00FD1E19" w:rsidRDefault="00FD1E19" w:rsidP="00BE7E4A">
            <w:pPr>
              <w:pStyle w:val="DMETW37225BIPNEXREVBMM"/>
              <w:jc w:val="right"/>
              <w:rPr>
                <w:rFonts w:ascii="Verdana" w:eastAsia="Verdana" w:hAnsi="Verdana" w:cs="Verdana"/>
                <w:b/>
                <w:noProof/>
                <w:color w:val="000000"/>
                <w:sz w:val="18"/>
              </w:rPr>
            </w:pPr>
            <w:r>
              <w:rPr>
                <w:rFonts w:ascii="Verdana" w:eastAsia="Verdana" w:hAnsi="Verdana" w:cs="Verdana"/>
                <w:b/>
                <w:noProof/>
                <w:color w:val="000000"/>
                <w:sz w:val="18"/>
              </w:rPr>
              <w:t xml:space="preserve"> 6</w:t>
            </w:r>
          </w:p>
        </w:tc>
        <w:tc>
          <w:tcPr>
            <w:tcW w:w="178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435217E" w14:textId="77777777" w:rsidR="00FD1E19" w:rsidRDefault="00FD1E19" w:rsidP="00BE7E4A">
            <w:pPr>
              <w:pStyle w:val="DMETW37225BIPNEXREVBMM"/>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7</w:t>
            </w:r>
          </w:p>
        </w:tc>
      </w:tr>
      <w:tr w:rsidR="00FD1E19" w14:paraId="2456544C" w14:textId="77777777" w:rsidTr="00BE7E4A">
        <w:trPr>
          <w:trHeight w:hRule="exact" w:val="255"/>
        </w:trPr>
        <w:tc>
          <w:tcPr>
            <w:tcW w:w="5894" w:type="dxa"/>
            <w:tcBorders>
              <w:top w:val="single" w:sz="4" w:space="0" w:color="016794"/>
              <w:left w:val="nil"/>
              <w:bottom w:val="nil"/>
              <w:right w:val="nil"/>
              <w:tl2br w:val="nil"/>
              <w:tr2bl w:val="nil"/>
            </w:tcBorders>
            <w:shd w:val="clear" w:color="auto" w:fill="auto"/>
            <w:tcMar>
              <w:left w:w="60" w:type="dxa"/>
              <w:right w:w="60" w:type="dxa"/>
            </w:tcMar>
            <w:vAlign w:val="center"/>
          </w:tcPr>
          <w:p w14:paraId="4B5717B5" w14:textId="77777777" w:rsidR="00FD1E19" w:rsidRDefault="00FD1E19" w:rsidP="00BE7E4A">
            <w:pPr>
              <w:pStyle w:val="DMETW37225BIPNEXREVBMM"/>
              <w:rPr>
                <w:rFonts w:ascii="Verdana" w:eastAsia="Verdana" w:hAnsi="Verdana" w:cs="Verdana"/>
                <w:b/>
                <w:noProof/>
                <w:color w:val="000000"/>
                <w:sz w:val="18"/>
              </w:rPr>
            </w:pPr>
            <w:r>
              <w:rPr>
                <w:rFonts w:ascii="Verdana" w:eastAsia="Verdana" w:hAnsi="Verdana" w:cs="Verdana"/>
                <w:b/>
                <w:noProof/>
                <w:color w:val="000000"/>
                <w:sz w:val="18"/>
              </w:rPr>
              <w:t>Indirect Management</w:t>
            </w:r>
          </w:p>
        </w:tc>
        <w:tc>
          <w:tcPr>
            <w:tcW w:w="2075" w:type="dxa"/>
            <w:tcBorders>
              <w:top w:val="single" w:sz="4" w:space="0" w:color="016794"/>
              <w:left w:val="nil"/>
              <w:bottom w:val="nil"/>
              <w:right w:val="nil"/>
              <w:tl2br w:val="nil"/>
              <w:tr2bl w:val="nil"/>
            </w:tcBorders>
            <w:shd w:val="clear" w:color="auto" w:fill="auto"/>
            <w:tcMar>
              <w:left w:w="60" w:type="dxa"/>
              <w:right w:w="60" w:type="dxa"/>
            </w:tcMar>
            <w:vAlign w:val="center"/>
          </w:tcPr>
          <w:p w14:paraId="6735532B" w14:textId="77777777" w:rsidR="00FD1E19" w:rsidRDefault="00FD1E19" w:rsidP="00BE7E4A">
            <w:pPr>
              <w:pStyle w:val="DMETW37225BIPNEXREVBMM"/>
              <w:jc w:val="right"/>
              <w:rPr>
                <w:rFonts w:ascii="Verdana" w:eastAsia="Verdana" w:hAnsi="Verdana" w:cs="Verdana"/>
                <w:b/>
                <w:noProof/>
                <w:color w:val="000000"/>
                <w:sz w:val="18"/>
              </w:rPr>
            </w:pPr>
          </w:p>
        </w:tc>
        <w:tc>
          <w:tcPr>
            <w:tcW w:w="1789" w:type="dxa"/>
            <w:tcBorders>
              <w:top w:val="single" w:sz="4" w:space="0" w:color="016794"/>
              <w:left w:val="nil"/>
              <w:bottom w:val="nil"/>
              <w:right w:val="nil"/>
              <w:tl2br w:val="nil"/>
              <w:tr2bl w:val="nil"/>
            </w:tcBorders>
            <w:shd w:val="clear" w:color="auto" w:fill="auto"/>
            <w:tcMar>
              <w:left w:w="60" w:type="dxa"/>
              <w:right w:w="60" w:type="dxa"/>
            </w:tcMar>
            <w:vAlign w:val="center"/>
          </w:tcPr>
          <w:p w14:paraId="03C47F5A" w14:textId="77777777" w:rsidR="00FD1E19" w:rsidRDefault="00FD1E19" w:rsidP="00BE7E4A">
            <w:pPr>
              <w:pStyle w:val="DMETW37225BIPNEXREVBMM"/>
              <w:jc w:val="right"/>
              <w:rPr>
                <w:rFonts w:ascii="Verdana" w:eastAsia="Verdana" w:hAnsi="Verdana" w:cs="Verdana"/>
                <w:b/>
                <w:noProof/>
                <w:color w:val="000000"/>
                <w:sz w:val="18"/>
                <w:lang w:bidi="en-GB"/>
              </w:rPr>
            </w:pPr>
          </w:p>
        </w:tc>
      </w:tr>
      <w:tr w:rsidR="00FD1E19" w14:paraId="0531883C"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1EECAEB8"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Implemented by :</w:t>
            </w:r>
          </w:p>
        </w:tc>
        <w:tc>
          <w:tcPr>
            <w:tcW w:w="2075" w:type="dxa"/>
            <w:tcBorders>
              <w:top w:val="nil"/>
              <w:left w:val="nil"/>
              <w:bottom w:val="nil"/>
              <w:right w:val="nil"/>
              <w:tl2br w:val="nil"/>
              <w:tr2bl w:val="nil"/>
            </w:tcBorders>
            <w:shd w:val="clear" w:color="auto" w:fill="auto"/>
            <w:tcMar>
              <w:left w:w="60" w:type="dxa"/>
              <w:right w:w="60" w:type="dxa"/>
            </w:tcMar>
            <w:vAlign w:val="center"/>
          </w:tcPr>
          <w:p w14:paraId="78F78AC7" w14:textId="77777777" w:rsidR="00FD1E19" w:rsidRDefault="00FD1E19" w:rsidP="00BE7E4A">
            <w:pPr>
              <w:pStyle w:val="DMETW37225BIPNEXREVBMM"/>
              <w:jc w:val="right"/>
              <w:rPr>
                <w:rFonts w:ascii="Verdana" w:eastAsia="Verdana" w:hAnsi="Verdana" w:cs="Verdana"/>
                <w:i/>
                <w:noProof/>
                <w:color w:val="000000"/>
                <w:sz w:val="18"/>
              </w:rPr>
            </w:pPr>
          </w:p>
        </w:tc>
        <w:tc>
          <w:tcPr>
            <w:tcW w:w="1789" w:type="dxa"/>
            <w:tcBorders>
              <w:top w:val="nil"/>
              <w:left w:val="nil"/>
              <w:bottom w:val="nil"/>
              <w:right w:val="nil"/>
              <w:tl2br w:val="nil"/>
              <w:tr2bl w:val="nil"/>
            </w:tcBorders>
            <w:shd w:val="clear" w:color="auto" w:fill="auto"/>
            <w:tcMar>
              <w:left w:w="60" w:type="dxa"/>
              <w:right w:w="60" w:type="dxa"/>
            </w:tcMar>
            <w:vAlign w:val="center"/>
          </w:tcPr>
          <w:p w14:paraId="4B93EE80" w14:textId="77777777" w:rsidR="00FD1E19" w:rsidRDefault="00FD1E19" w:rsidP="00BE7E4A">
            <w:pPr>
              <w:pStyle w:val="DMETW37225BIPNEXREVBMM"/>
              <w:jc w:val="right"/>
              <w:rPr>
                <w:rFonts w:ascii="Verdana" w:eastAsia="Verdana" w:hAnsi="Verdana" w:cs="Verdana"/>
                <w:i/>
                <w:noProof/>
                <w:color w:val="000000"/>
                <w:sz w:val="18"/>
                <w:lang w:bidi="en-GB"/>
              </w:rPr>
            </w:pPr>
          </w:p>
        </w:tc>
      </w:tr>
      <w:tr w:rsidR="00FD1E19" w14:paraId="50E0816F"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58441035"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Third countries</w:t>
            </w:r>
          </w:p>
        </w:tc>
        <w:tc>
          <w:tcPr>
            <w:tcW w:w="2075" w:type="dxa"/>
            <w:tcBorders>
              <w:top w:val="nil"/>
              <w:left w:val="nil"/>
              <w:bottom w:val="nil"/>
              <w:right w:val="nil"/>
              <w:tl2br w:val="nil"/>
              <w:tr2bl w:val="nil"/>
            </w:tcBorders>
            <w:shd w:val="clear" w:color="auto" w:fill="auto"/>
            <w:tcMar>
              <w:left w:w="60" w:type="dxa"/>
              <w:right w:w="60" w:type="dxa"/>
            </w:tcMar>
            <w:vAlign w:val="center"/>
          </w:tcPr>
          <w:p w14:paraId="462E93C0" w14:textId="77777777" w:rsidR="00FD1E19" w:rsidRDefault="00FD1E19" w:rsidP="00BE7E4A">
            <w:pPr>
              <w:pStyle w:val="DMETW37225BIPNEXREVBMM"/>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789" w:type="dxa"/>
            <w:tcBorders>
              <w:top w:val="nil"/>
              <w:left w:val="nil"/>
              <w:bottom w:val="nil"/>
              <w:right w:val="nil"/>
              <w:tl2br w:val="nil"/>
              <w:tr2bl w:val="nil"/>
            </w:tcBorders>
            <w:shd w:val="clear" w:color="auto" w:fill="auto"/>
            <w:tcMar>
              <w:left w:w="60" w:type="dxa"/>
              <w:right w:w="60" w:type="dxa"/>
            </w:tcMar>
            <w:vAlign w:val="center"/>
          </w:tcPr>
          <w:p w14:paraId="03E70612" w14:textId="77777777" w:rsidR="00FD1E19" w:rsidRDefault="00FD1E19" w:rsidP="00BE7E4A">
            <w:pPr>
              <w:pStyle w:val="DMETW37225BIPNEXREV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31</w:t>
            </w:r>
          </w:p>
        </w:tc>
      </w:tr>
      <w:tr w:rsidR="00FD1E19" w14:paraId="79EA1E73" w14:textId="77777777" w:rsidTr="00BE7E4A">
        <w:trPr>
          <w:trHeight w:hRule="exact" w:val="255"/>
        </w:trPr>
        <w:tc>
          <w:tcPr>
            <w:tcW w:w="5894" w:type="dxa"/>
            <w:tcBorders>
              <w:top w:val="nil"/>
              <w:left w:val="nil"/>
              <w:bottom w:val="nil"/>
              <w:right w:val="nil"/>
              <w:tl2br w:val="nil"/>
              <w:tr2bl w:val="nil"/>
            </w:tcBorders>
            <w:shd w:val="clear" w:color="auto" w:fill="auto"/>
            <w:tcMar>
              <w:left w:w="60" w:type="dxa"/>
              <w:right w:w="60" w:type="dxa"/>
            </w:tcMar>
            <w:vAlign w:val="center"/>
          </w:tcPr>
          <w:p w14:paraId="4FD24F32"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International organisations</w:t>
            </w:r>
          </w:p>
        </w:tc>
        <w:tc>
          <w:tcPr>
            <w:tcW w:w="2075" w:type="dxa"/>
            <w:tcBorders>
              <w:top w:val="nil"/>
              <w:left w:val="nil"/>
              <w:bottom w:val="nil"/>
              <w:right w:val="nil"/>
              <w:tl2br w:val="nil"/>
              <w:tr2bl w:val="nil"/>
            </w:tcBorders>
            <w:shd w:val="clear" w:color="auto" w:fill="auto"/>
            <w:tcMar>
              <w:left w:w="60" w:type="dxa"/>
              <w:right w:w="60" w:type="dxa"/>
            </w:tcMar>
            <w:vAlign w:val="center"/>
          </w:tcPr>
          <w:p w14:paraId="52352321" w14:textId="77777777" w:rsidR="00FD1E19" w:rsidRDefault="00FD1E19" w:rsidP="00BE7E4A">
            <w:pPr>
              <w:pStyle w:val="DMETW37225BIPNEXREVBMM"/>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9" w:type="dxa"/>
            <w:tcBorders>
              <w:top w:val="nil"/>
              <w:left w:val="nil"/>
              <w:bottom w:val="nil"/>
              <w:right w:val="nil"/>
              <w:tl2br w:val="nil"/>
              <w:tr2bl w:val="nil"/>
            </w:tcBorders>
            <w:shd w:val="clear" w:color="auto" w:fill="auto"/>
            <w:tcMar>
              <w:left w:w="60" w:type="dxa"/>
              <w:right w:w="60" w:type="dxa"/>
            </w:tcMar>
            <w:vAlign w:val="center"/>
          </w:tcPr>
          <w:p w14:paraId="5B918D64" w14:textId="77777777" w:rsidR="00FD1E19" w:rsidRDefault="00FD1E19" w:rsidP="00BE7E4A">
            <w:pPr>
              <w:pStyle w:val="DMETW37225BIPNEXREV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7C1D70DB" w14:textId="77777777" w:rsidTr="00BE7E4A">
        <w:trPr>
          <w:trHeight w:hRule="exact" w:val="255"/>
        </w:trPr>
        <w:tc>
          <w:tcPr>
            <w:tcW w:w="5894" w:type="dxa"/>
            <w:tcBorders>
              <w:top w:val="nil"/>
              <w:left w:val="nil"/>
              <w:bottom w:val="single" w:sz="4" w:space="0" w:color="016794"/>
              <w:right w:val="nil"/>
              <w:tl2br w:val="nil"/>
              <w:tr2bl w:val="nil"/>
            </w:tcBorders>
            <w:shd w:val="clear" w:color="auto" w:fill="auto"/>
            <w:tcMar>
              <w:left w:w="60" w:type="dxa"/>
              <w:right w:w="60" w:type="dxa"/>
            </w:tcMar>
            <w:vAlign w:val="center"/>
          </w:tcPr>
          <w:p w14:paraId="259F1BEA" w14:textId="77777777" w:rsidR="00FD1E19" w:rsidRDefault="00FD1E19" w:rsidP="00BE7E4A">
            <w:pPr>
              <w:pStyle w:val="DMETW37225BIPNEXREVBMM"/>
              <w:rPr>
                <w:rFonts w:ascii="Verdana" w:eastAsia="Verdana" w:hAnsi="Verdana" w:cs="Verdana"/>
                <w:i/>
                <w:noProof/>
                <w:color w:val="000000"/>
                <w:sz w:val="18"/>
              </w:rPr>
            </w:pPr>
            <w:r>
              <w:rPr>
                <w:rFonts w:ascii="Verdana" w:eastAsia="Verdana" w:hAnsi="Verdana" w:cs="Verdana"/>
                <w:i/>
                <w:noProof/>
                <w:color w:val="000000"/>
                <w:sz w:val="18"/>
              </w:rPr>
              <w:t>Private law bodies with a public service mission</w:t>
            </w:r>
          </w:p>
        </w:tc>
        <w:tc>
          <w:tcPr>
            <w:tcW w:w="2075" w:type="dxa"/>
            <w:tcBorders>
              <w:top w:val="nil"/>
              <w:left w:val="nil"/>
              <w:bottom w:val="single" w:sz="4" w:space="0" w:color="016794"/>
              <w:right w:val="nil"/>
              <w:tl2br w:val="nil"/>
              <w:tr2bl w:val="nil"/>
            </w:tcBorders>
            <w:shd w:val="clear" w:color="auto" w:fill="auto"/>
            <w:tcMar>
              <w:left w:w="60" w:type="dxa"/>
              <w:right w:w="60" w:type="dxa"/>
            </w:tcMar>
            <w:vAlign w:val="center"/>
          </w:tcPr>
          <w:p w14:paraId="63FE967B" w14:textId="77777777" w:rsidR="00FD1E19" w:rsidRDefault="00FD1E19" w:rsidP="00BE7E4A">
            <w:pPr>
              <w:pStyle w:val="DMETW37225BIPNEXREVBMM"/>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789" w:type="dxa"/>
            <w:tcBorders>
              <w:top w:val="nil"/>
              <w:left w:val="nil"/>
              <w:bottom w:val="single" w:sz="4" w:space="0" w:color="016794"/>
              <w:right w:val="nil"/>
              <w:tl2br w:val="nil"/>
              <w:tr2bl w:val="nil"/>
            </w:tcBorders>
            <w:shd w:val="clear" w:color="auto" w:fill="auto"/>
            <w:tcMar>
              <w:left w:w="60" w:type="dxa"/>
              <w:right w:w="60" w:type="dxa"/>
            </w:tcMar>
            <w:vAlign w:val="center"/>
          </w:tcPr>
          <w:p w14:paraId="38DFC88C" w14:textId="77777777" w:rsidR="00FD1E19" w:rsidRDefault="00FD1E19" w:rsidP="00BE7E4A">
            <w:pPr>
              <w:pStyle w:val="DMETW37225BIPNEXREVBMM"/>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722E3588" w14:textId="77777777" w:rsidTr="00BE7E4A">
        <w:trPr>
          <w:trHeight w:hRule="exact" w:val="223"/>
        </w:trPr>
        <w:tc>
          <w:tcPr>
            <w:tcW w:w="5894" w:type="dxa"/>
            <w:tcBorders>
              <w:top w:val="single" w:sz="4" w:space="0" w:color="016794"/>
              <w:left w:val="nil"/>
              <w:bottom w:val="nil"/>
              <w:right w:val="nil"/>
              <w:tl2br w:val="nil"/>
              <w:tr2bl w:val="nil"/>
            </w:tcBorders>
            <w:shd w:val="clear" w:color="auto" w:fill="auto"/>
            <w:tcMar>
              <w:left w:w="60" w:type="dxa"/>
              <w:right w:w="60" w:type="dxa"/>
            </w:tcMar>
            <w:vAlign w:val="center"/>
          </w:tcPr>
          <w:p w14:paraId="107F8523" w14:textId="77777777" w:rsidR="00FD1E19" w:rsidRDefault="00FD1E19" w:rsidP="00BE7E4A">
            <w:pPr>
              <w:pStyle w:val="DMETW37225BIPNEXREVBMM"/>
              <w:rPr>
                <w:rFonts w:ascii="Verdana" w:eastAsia="Verdana" w:hAnsi="Verdana" w:cs="Verdana"/>
                <w:b/>
                <w:noProof/>
                <w:color w:val="000000"/>
                <w:sz w:val="18"/>
              </w:rPr>
            </w:pPr>
          </w:p>
        </w:tc>
        <w:tc>
          <w:tcPr>
            <w:tcW w:w="2075" w:type="dxa"/>
            <w:tcBorders>
              <w:top w:val="single" w:sz="4" w:space="0" w:color="016794"/>
              <w:left w:val="nil"/>
              <w:bottom w:val="nil"/>
              <w:right w:val="nil"/>
              <w:tl2br w:val="nil"/>
              <w:tr2bl w:val="nil"/>
            </w:tcBorders>
            <w:shd w:val="clear" w:color="auto" w:fill="auto"/>
            <w:tcMar>
              <w:left w:w="60" w:type="dxa"/>
              <w:right w:w="60" w:type="dxa"/>
            </w:tcMar>
            <w:vAlign w:val="center"/>
          </w:tcPr>
          <w:p w14:paraId="072341B2" w14:textId="77777777" w:rsidR="00FD1E19" w:rsidRDefault="00FD1E19" w:rsidP="00BE7E4A">
            <w:pPr>
              <w:pStyle w:val="DMETW37225BIPNEXREVBMM"/>
              <w:jc w:val="right"/>
              <w:rPr>
                <w:rFonts w:ascii="Verdana" w:eastAsia="Verdana" w:hAnsi="Verdana" w:cs="Verdana"/>
                <w:b/>
                <w:noProof/>
                <w:color w:val="000000"/>
                <w:sz w:val="18"/>
              </w:rPr>
            </w:pPr>
            <w:r>
              <w:rPr>
                <w:rFonts w:ascii="Verdana" w:eastAsia="Verdana" w:hAnsi="Verdana" w:cs="Verdana"/>
                <w:b/>
                <w:noProof/>
                <w:color w:val="000000"/>
                <w:sz w:val="18"/>
              </w:rPr>
              <w:t xml:space="preserve"> 6</w:t>
            </w:r>
          </w:p>
        </w:tc>
        <w:tc>
          <w:tcPr>
            <w:tcW w:w="1789" w:type="dxa"/>
            <w:tcBorders>
              <w:top w:val="single" w:sz="4" w:space="0" w:color="016794"/>
              <w:left w:val="nil"/>
              <w:bottom w:val="nil"/>
              <w:right w:val="nil"/>
              <w:tl2br w:val="nil"/>
              <w:tr2bl w:val="nil"/>
            </w:tcBorders>
            <w:shd w:val="clear" w:color="auto" w:fill="auto"/>
            <w:tcMar>
              <w:left w:w="60" w:type="dxa"/>
              <w:right w:w="60" w:type="dxa"/>
            </w:tcMar>
            <w:vAlign w:val="center"/>
          </w:tcPr>
          <w:p w14:paraId="6E9C030E" w14:textId="77777777" w:rsidR="00FD1E19" w:rsidRDefault="00FD1E19" w:rsidP="00BE7E4A">
            <w:pPr>
              <w:pStyle w:val="DMETW37225BIPNEXREVBMM"/>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34</w:t>
            </w:r>
          </w:p>
        </w:tc>
      </w:tr>
      <w:tr w:rsidR="00FD1E19" w14:paraId="4D47FEE8" w14:textId="77777777" w:rsidTr="00BE7E4A">
        <w:trPr>
          <w:trHeight w:hRule="exact" w:val="225"/>
        </w:trPr>
        <w:tc>
          <w:tcPr>
            <w:tcW w:w="5894" w:type="dxa"/>
            <w:tcBorders>
              <w:top w:val="nil"/>
              <w:left w:val="nil"/>
              <w:bottom w:val="nil"/>
              <w:right w:val="nil"/>
              <w:tl2br w:val="nil"/>
              <w:tr2bl w:val="nil"/>
            </w:tcBorders>
            <w:shd w:val="solid" w:color="CCE1EA" w:fill="FFFFFF"/>
            <w:tcMar>
              <w:left w:w="60" w:type="dxa"/>
              <w:right w:w="60" w:type="dxa"/>
            </w:tcMar>
            <w:vAlign w:val="center"/>
          </w:tcPr>
          <w:p w14:paraId="71C88F93" w14:textId="77777777" w:rsidR="00FD1E19" w:rsidRDefault="00FD1E19" w:rsidP="00BE7E4A">
            <w:pPr>
              <w:pStyle w:val="DMETW37225BIPNEXREVBMM"/>
              <w:rPr>
                <w:rFonts w:ascii="Verdana" w:eastAsia="Verdana" w:hAnsi="Verdana" w:cs="Verdana"/>
                <w:b/>
                <w:noProof/>
                <w:color w:val="000000"/>
                <w:sz w:val="18"/>
              </w:rPr>
            </w:pPr>
            <w:r>
              <w:rPr>
                <w:rFonts w:ascii="Verdana" w:eastAsia="Verdana" w:hAnsi="Verdana" w:cs="Verdana"/>
                <w:b/>
                <w:noProof/>
                <w:color w:val="000000"/>
                <w:sz w:val="18"/>
              </w:rPr>
              <w:t>Total</w:t>
            </w:r>
          </w:p>
        </w:tc>
        <w:tc>
          <w:tcPr>
            <w:tcW w:w="2075" w:type="dxa"/>
            <w:tcBorders>
              <w:top w:val="nil"/>
              <w:left w:val="nil"/>
              <w:bottom w:val="nil"/>
              <w:right w:val="nil"/>
              <w:tl2br w:val="nil"/>
              <w:tr2bl w:val="nil"/>
            </w:tcBorders>
            <w:shd w:val="solid" w:color="CCE1EA" w:fill="FFFFFF"/>
            <w:tcMar>
              <w:left w:w="60" w:type="dxa"/>
              <w:right w:w="60" w:type="dxa"/>
            </w:tcMar>
            <w:vAlign w:val="center"/>
          </w:tcPr>
          <w:p w14:paraId="3638ED45" w14:textId="77777777" w:rsidR="00FD1E19" w:rsidRDefault="00FD1E19" w:rsidP="00BE7E4A">
            <w:pPr>
              <w:pStyle w:val="DMETW37225BIPNEXREVBMM"/>
              <w:jc w:val="right"/>
              <w:rPr>
                <w:rFonts w:ascii="Verdana" w:eastAsia="Verdana" w:hAnsi="Verdana" w:cs="Verdana"/>
                <w:b/>
                <w:noProof/>
                <w:color w:val="000000"/>
                <w:sz w:val="18"/>
              </w:rPr>
            </w:pPr>
            <w:r>
              <w:rPr>
                <w:rFonts w:ascii="Verdana" w:eastAsia="Verdana" w:hAnsi="Verdana" w:cs="Verdana"/>
                <w:b/>
                <w:noProof/>
                <w:color w:val="000000"/>
                <w:sz w:val="18"/>
              </w:rPr>
              <w:t xml:space="preserve">  12</w:t>
            </w:r>
          </w:p>
        </w:tc>
        <w:tc>
          <w:tcPr>
            <w:tcW w:w="1789" w:type="dxa"/>
            <w:tcBorders>
              <w:top w:val="nil"/>
              <w:left w:val="nil"/>
              <w:bottom w:val="nil"/>
              <w:right w:val="nil"/>
              <w:tl2br w:val="nil"/>
              <w:tr2bl w:val="nil"/>
            </w:tcBorders>
            <w:shd w:val="solid" w:color="CCE1EA" w:fill="FFFFFF"/>
            <w:tcMar>
              <w:left w:w="60" w:type="dxa"/>
              <w:right w:w="60" w:type="dxa"/>
            </w:tcMar>
            <w:vAlign w:val="center"/>
          </w:tcPr>
          <w:p w14:paraId="40F33513" w14:textId="77777777" w:rsidR="00FD1E19" w:rsidRDefault="00FD1E19" w:rsidP="00BE7E4A">
            <w:pPr>
              <w:pStyle w:val="DMETW37225BIPNEXREVBMM"/>
              <w:jc w:val="right"/>
              <w:rPr>
                <w:rFonts w:ascii="Verdana" w:eastAsia="Verdana" w:hAnsi="Verdana" w:cs="Verdana"/>
                <w:b/>
                <w:noProof/>
                <w:color w:val="000000"/>
                <w:sz w:val="18"/>
              </w:rPr>
            </w:pPr>
            <w:r>
              <w:rPr>
                <w:rFonts w:ascii="Verdana" w:eastAsia="Verdana" w:hAnsi="Verdana" w:cs="Verdana"/>
                <w:b/>
                <w:noProof/>
                <w:color w:val="000000"/>
                <w:sz w:val="18"/>
              </w:rPr>
              <w:t xml:space="preserve">  41</w:t>
            </w:r>
          </w:p>
        </w:tc>
      </w:tr>
    </w:tbl>
    <w:p w14:paraId="5E0ADE6D" w14:textId="77777777" w:rsidR="00FD1E19" w:rsidRPr="00F64D38" w:rsidRDefault="00FD1E19" w:rsidP="00FD1E19">
      <w:pPr>
        <w:pStyle w:val="HEADER3Part2"/>
        <w:rPr>
          <w:noProof/>
        </w:rPr>
      </w:pPr>
      <w:r w:rsidRPr="00F64D38">
        <w:rPr>
          <w:noProof/>
        </w:rPr>
        <w:t>Co-financing revenue</w:t>
      </w:r>
    </w:p>
    <w:p w14:paraId="6203D4C3" w14:textId="77777777" w:rsidR="00FD1E19" w:rsidRDefault="00FD1E19" w:rsidP="00FD1E19">
      <w:pPr>
        <w:pStyle w:val="Textstand-alone"/>
      </w:pPr>
      <w:r w:rsidRPr="00F64D38">
        <w:t>The co</w:t>
      </w:r>
      <w:r w:rsidRPr="00F64D38">
        <w:noBreakHyphen/>
        <w:t xml:space="preserve">financing contributions received fulfil the criteria of revenues from non-exchange transactions under conditions and as such should not affect the statement of financial performance when received. The contributions remain under liabilities (see </w:t>
      </w:r>
      <w:r>
        <w:t>N</w:t>
      </w:r>
      <w:r w:rsidRPr="00F64D38">
        <w:t xml:space="preserve">ote </w:t>
      </w:r>
      <w:r>
        <w:rPr>
          <w:b/>
        </w:rPr>
        <w:t>2.7.2.1</w:t>
      </w:r>
      <w:r w:rsidRPr="00F64D38">
        <w:t xml:space="preserve">) until the conditions attached to the donated funds are met, i.e. eligible expenses are incurred (see </w:t>
      </w:r>
      <w:r>
        <w:t>N</w:t>
      </w:r>
      <w:r w:rsidRPr="00F64D38">
        <w:t xml:space="preserve">ote </w:t>
      </w:r>
      <w:r w:rsidRPr="00F64D38">
        <w:rPr>
          <w:b/>
        </w:rPr>
        <w:t>3.</w:t>
      </w:r>
      <w:r>
        <w:rPr>
          <w:b/>
        </w:rPr>
        <w:t>5</w:t>
      </w:r>
      <w:r w:rsidRPr="00F64D38">
        <w:t>). The corresponding amount is then recognised in the statement of financial performance as non-exchange revenue from co</w:t>
      </w:r>
      <w:r w:rsidRPr="00F64D38">
        <w:noBreakHyphen/>
        <w:t>financing. Consequently, the effect on the economic result of the year is zero.</w:t>
      </w:r>
    </w:p>
    <w:p w14:paraId="48061C86" w14:textId="77777777" w:rsidR="00FD1E19" w:rsidRDefault="00FD1E19" w:rsidP="00FD1E19">
      <w:pPr>
        <w:pStyle w:val="HEADER2Part2"/>
        <w:keepNext/>
        <w:keepLines/>
        <w:ind w:left="3402" w:hanging="3402"/>
        <w:jc w:val="both"/>
        <w:rPr>
          <w:noProof/>
        </w:rPr>
      </w:pPr>
      <w:r w:rsidRPr="00F64D38">
        <w:rPr>
          <w:noProof/>
        </w:rPr>
        <w:t>REVENUE FROM EXCHANGE TRANSACTIONS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2850"/>
        <w:gridCol w:w="709"/>
        <w:gridCol w:w="799"/>
        <w:gridCol w:w="1424"/>
        <w:gridCol w:w="954"/>
      </w:tblGrid>
      <w:tr w:rsidR="00FD1E19" w14:paraId="4CA114F6" w14:textId="77777777" w:rsidTr="00BE7E4A">
        <w:trPr>
          <w:trHeight w:val="255"/>
        </w:trPr>
        <w:tc>
          <w:tcPr>
            <w:tcW w:w="3022" w:type="dxa"/>
            <w:gridSpan w:val="6"/>
            <w:tcBorders>
              <w:top w:val="nil"/>
              <w:left w:val="nil"/>
              <w:bottom w:val="nil"/>
              <w:right w:val="nil"/>
              <w:tl2br w:val="nil"/>
              <w:tr2bl w:val="nil"/>
            </w:tcBorders>
            <w:shd w:val="clear" w:color="auto" w:fill="auto"/>
            <w:tcMar>
              <w:left w:w="60" w:type="dxa"/>
              <w:right w:w="60" w:type="dxa"/>
            </w:tcMar>
            <w:vAlign w:val="center"/>
          </w:tcPr>
          <w:p w14:paraId="2D8118CC" w14:textId="77777777" w:rsidR="00FD1E19" w:rsidRDefault="00FD1E19" w:rsidP="00BE7E4A">
            <w:pPr>
              <w:pStyle w:val="DMETW37225BIPEXREV"/>
              <w:jc w:val="right"/>
              <w:rPr>
                <w:rFonts w:ascii="Verdana" w:eastAsia="Verdana" w:hAnsi="Verdana" w:cs="Verdana"/>
                <w:i/>
                <w:noProof/>
                <w:color w:val="000000"/>
                <w:sz w:val="16"/>
                <w:lang w:bidi="en-GB"/>
              </w:rPr>
            </w:pPr>
            <w:bookmarkStart w:id="108" w:name="DOC_TBL00037_1_1"/>
            <w:bookmarkEnd w:id="108"/>
            <w:r>
              <w:rPr>
                <w:rFonts w:ascii="Verdana" w:eastAsia="Verdana" w:hAnsi="Verdana" w:cs="Verdana"/>
                <w:i/>
                <w:noProof/>
                <w:color w:val="000000"/>
                <w:sz w:val="16"/>
                <w:lang w:bidi="en-GB"/>
              </w:rPr>
              <w:t>EUR million</w:t>
            </w:r>
          </w:p>
        </w:tc>
      </w:tr>
      <w:tr w:rsidR="00FD1E19" w14:paraId="1D8104B9" w14:textId="77777777" w:rsidTr="00BE7E4A">
        <w:trPr>
          <w:trHeight w:val="255"/>
        </w:trPr>
        <w:tc>
          <w:tcPr>
            <w:tcW w:w="3022" w:type="dxa"/>
            <w:tcBorders>
              <w:top w:val="nil"/>
              <w:left w:val="nil"/>
              <w:bottom w:val="nil"/>
              <w:right w:val="nil"/>
              <w:tl2br w:val="nil"/>
              <w:tr2bl w:val="nil"/>
            </w:tcBorders>
            <w:shd w:val="solid" w:color="016794" w:fill="FFFFFF"/>
            <w:tcMar>
              <w:left w:w="60" w:type="dxa"/>
              <w:right w:w="60" w:type="dxa"/>
            </w:tcMar>
            <w:vAlign w:val="center"/>
          </w:tcPr>
          <w:p w14:paraId="5AAE0CD0" w14:textId="77777777" w:rsidR="00FD1E19" w:rsidRDefault="00FD1E19" w:rsidP="00BE7E4A">
            <w:pPr>
              <w:pStyle w:val="DMETW37225BIPEXREV"/>
              <w:jc w:val="right"/>
              <w:rPr>
                <w:rFonts w:ascii="Verdana" w:eastAsia="Verdana" w:hAnsi="Verdana" w:cs="Verdana"/>
                <w:noProof/>
                <w:color w:val="FFFFFF"/>
              </w:rPr>
            </w:pPr>
          </w:p>
        </w:tc>
        <w:tc>
          <w:tcPr>
            <w:tcW w:w="2850" w:type="dxa"/>
            <w:tcBorders>
              <w:top w:val="nil"/>
              <w:left w:val="nil"/>
              <w:bottom w:val="nil"/>
              <w:right w:val="nil"/>
              <w:tl2br w:val="nil"/>
              <w:tr2bl w:val="nil"/>
            </w:tcBorders>
            <w:shd w:val="solid" w:color="016794" w:fill="FFFFFF"/>
            <w:tcMar>
              <w:left w:w="60" w:type="dxa"/>
              <w:right w:w="60" w:type="dxa"/>
            </w:tcMar>
            <w:vAlign w:val="center"/>
          </w:tcPr>
          <w:p w14:paraId="622E7388" w14:textId="77777777" w:rsidR="00FD1E19" w:rsidRDefault="00FD1E19" w:rsidP="00BE7E4A">
            <w:pPr>
              <w:pStyle w:val="DMETW37225BIPEXREV"/>
              <w:jc w:val="right"/>
              <w:rPr>
                <w:rFonts w:ascii="Verdana" w:eastAsia="Verdana" w:hAnsi="Verdana" w:cs="Verdana"/>
                <w:noProof/>
                <w:color w:val="FFFFFF"/>
              </w:rPr>
            </w:pPr>
            <w:r>
              <w:rPr>
                <w:rFonts w:ascii="Verdana" w:eastAsia="Verdana" w:hAnsi="Verdana" w:cs="Verdana"/>
                <w:noProof/>
                <w:color w:val="FFFFFF"/>
              </w:rPr>
              <w:t>Ninth EDF</w:t>
            </w:r>
          </w:p>
        </w:tc>
        <w:tc>
          <w:tcPr>
            <w:tcW w:w="709" w:type="dxa"/>
            <w:tcBorders>
              <w:top w:val="nil"/>
              <w:left w:val="nil"/>
              <w:bottom w:val="nil"/>
              <w:right w:val="nil"/>
              <w:tl2br w:val="nil"/>
              <w:tr2bl w:val="nil"/>
            </w:tcBorders>
            <w:shd w:val="solid" w:color="016794" w:fill="FFFFFF"/>
            <w:tcMar>
              <w:left w:w="60" w:type="dxa"/>
              <w:right w:w="60" w:type="dxa"/>
            </w:tcMar>
            <w:vAlign w:val="center"/>
          </w:tcPr>
          <w:p w14:paraId="2B131ECB" w14:textId="77777777" w:rsidR="00FD1E19" w:rsidRDefault="00FD1E19" w:rsidP="00BE7E4A">
            <w:pPr>
              <w:pStyle w:val="DMETW37225BIPEXREV"/>
              <w:jc w:val="right"/>
              <w:rPr>
                <w:rFonts w:ascii="Verdana" w:eastAsia="Verdana" w:hAnsi="Verdana" w:cs="Verdana"/>
                <w:noProof/>
                <w:color w:val="FFFFFF"/>
              </w:rPr>
            </w:pPr>
            <w:r>
              <w:rPr>
                <w:rFonts w:ascii="Verdana" w:eastAsia="Verdana" w:hAnsi="Verdana" w:cs="Verdana"/>
                <w:noProof/>
                <w:color w:val="FFFFFF"/>
              </w:rPr>
              <w:t>10th EDF</w:t>
            </w:r>
          </w:p>
        </w:tc>
        <w:tc>
          <w:tcPr>
            <w:tcW w:w="799" w:type="dxa"/>
            <w:tcBorders>
              <w:top w:val="nil"/>
              <w:left w:val="nil"/>
              <w:bottom w:val="nil"/>
              <w:right w:val="nil"/>
              <w:tl2br w:val="nil"/>
              <w:tr2bl w:val="nil"/>
            </w:tcBorders>
            <w:shd w:val="solid" w:color="016794" w:fill="FFFFFF"/>
            <w:tcMar>
              <w:left w:w="60" w:type="dxa"/>
              <w:right w:w="60" w:type="dxa"/>
            </w:tcMar>
            <w:vAlign w:val="center"/>
          </w:tcPr>
          <w:p w14:paraId="17912B4A" w14:textId="77777777" w:rsidR="00FD1E19" w:rsidRDefault="00FD1E19" w:rsidP="00BE7E4A">
            <w:pPr>
              <w:pStyle w:val="DMETW37225BIPEXREV"/>
              <w:jc w:val="right"/>
              <w:rPr>
                <w:rFonts w:ascii="Verdana" w:eastAsia="Verdana" w:hAnsi="Verdana" w:cs="Verdana"/>
                <w:noProof/>
                <w:color w:val="FFFFFF"/>
              </w:rPr>
            </w:pPr>
            <w:r>
              <w:rPr>
                <w:rFonts w:ascii="Verdana" w:eastAsia="Verdana" w:hAnsi="Verdana" w:cs="Verdana"/>
                <w:noProof/>
                <w:color w:val="FFFFFF"/>
              </w:rPr>
              <w:t>11th EDF</w:t>
            </w:r>
          </w:p>
        </w:tc>
        <w:tc>
          <w:tcPr>
            <w:tcW w:w="1424" w:type="dxa"/>
            <w:tcBorders>
              <w:top w:val="nil"/>
              <w:left w:val="nil"/>
              <w:bottom w:val="nil"/>
              <w:right w:val="nil"/>
              <w:tl2br w:val="nil"/>
              <w:tr2bl w:val="nil"/>
            </w:tcBorders>
            <w:shd w:val="solid" w:color="016794" w:fill="FFFFFF"/>
            <w:tcMar>
              <w:left w:w="60" w:type="dxa"/>
              <w:right w:w="60" w:type="dxa"/>
            </w:tcMar>
            <w:vAlign w:val="center"/>
          </w:tcPr>
          <w:p w14:paraId="37366BAF" w14:textId="77777777" w:rsidR="00FD1E19" w:rsidRDefault="00FD1E19" w:rsidP="00BE7E4A">
            <w:pPr>
              <w:pStyle w:val="DMETW37225BIPEXREV"/>
              <w:jc w:val="right"/>
              <w:rPr>
                <w:rFonts w:ascii="Verdana" w:eastAsia="Verdana" w:hAnsi="Verdana" w:cs="Verdana"/>
                <w:noProof/>
                <w:color w:val="FFFFFF"/>
              </w:rPr>
            </w:pPr>
            <w:r>
              <w:rPr>
                <w:rFonts w:ascii="Verdana" w:eastAsia="Verdana" w:hAnsi="Verdana" w:cs="Verdana"/>
                <w:noProof/>
                <w:color w:val="FFFFFF"/>
              </w:rPr>
              <w:t>2025</w:t>
            </w:r>
          </w:p>
        </w:tc>
        <w:tc>
          <w:tcPr>
            <w:tcW w:w="954" w:type="dxa"/>
            <w:tcBorders>
              <w:top w:val="nil"/>
              <w:left w:val="nil"/>
              <w:bottom w:val="nil"/>
              <w:right w:val="nil"/>
              <w:tl2br w:val="nil"/>
              <w:tr2bl w:val="nil"/>
            </w:tcBorders>
            <w:shd w:val="solid" w:color="016794" w:fill="FFFFFF"/>
            <w:tcMar>
              <w:left w:w="60" w:type="dxa"/>
              <w:right w:w="60" w:type="dxa"/>
            </w:tcMar>
            <w:vAlign w:val="center"/>
          </w:tcPr>
          <w:p w14:paraId="3DCDDC16" w14:textId="77777777" w:rsidR="00FD1E19" w:rsidRDefault="00FD1E19" w:rsidP="00BE7E4A">
            <w:pPr>
              <w:pStyle w:val="DMETW37225BIPEXREV"/>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5F11D812" w14:textId="77777777" w:rsidTr="00BE7E4A">
        <w:trPr>
          <w:trHeight w:val="255"/>
        </w:trPr>
        <w:tc>
          <w:tcPr>
            <w:tcW w:w="3022" w:type="dxa"/>
            <w:tcBorders>
              <w:top w:val="nil"/>
              <w:left w:val="nil"/>
              <w:bottom w:val="nil"/>
              <w:right w:val="nil"/>
              <w:tl2br w:val="nil"/>
              <w:tr2bl w:val="nil"/>
            </w:tcBorders>
            <w:shd w:val="clear" w:color="auto" w:fill="auto"/>
            <w:tcMar>
              <w:left w:w="60" w:type="dxa"/>
              <w:right w:w="60" w:type="dxa"/>
            </w:tcMar>
            <w:vAlign w:val="center"/>
          </w:tcPr>
          <w:p w14:paraId="799EE0AE" w14:textId="77777777" w:rsidR="00FD1E19" w:rsidRDefault="00FD1E19" w:rsidP="00BE7E4A">
            <w:pPr>
              <w:pStyle w:val="DMETW37225BIPEXREV"/>
              <w:rPr>
                <w:rFonts w:ascii="Verdana" w:eastAsia="Verdana" w:hAnsi="Verdana" w:cs="Verdana"/>
                <w:i/>
                <w:noProof/>
                <w:color w:val="000000"/>
                <w:sz w:val="18"/>
              </w:rPr>
            </w:pPr>
            <w:r>
              <w:rPr>
                <w:rFonts w:ascii="Verdana" w:eastAsia="Verdana" w:hAnsi="Verdana" w:cs="Verdana"/>
                <w:i/>
                <w:noProof/>
                <w:color w:val="000000"/>
                <w:sz w:val="18"/>
              </w:rPr>
              <w:t>Financial revenue</w:t>
            </w:r>
          </w:p>
        </w:tc>
        <w:tc>
          <w:tcPr>
            <w:tcW w:w="2850" w:type="dxa"/>
            <w:tcBorders>
              <w:top w:val="nil"/>
              <w:left w:val="nil"/>
              <w:bottom w:val="nil"/>
              <w:right w:val="nil"/>
              <w:tl2br w:val="nil"/>
              <w:tr2bl w:val="nil"/>
            </w:tcBorders>
            <w:shd w:val="clear" w:color="auto" w:fill="auto"/>
            <w:tcMar>
              <w:left w:w="60" w:type="dxa"/>
              <w:right w:w="60" w:type="dxa"/>
            </w:tcMar>
            <w:vAlign w:val="center"/>
          </w:tcPr>
          <w:p w14:paraId="5F1E6B3F"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09" w:type="dxa"/>
            <w:tcBorders>
              <w:top w:val="nil"/>
              <w:left w:val="nil"/>
              <w:bottom w:val="nil"/>
              <w:right w:val="nil"/>
              <w:tl2br w:val="nil"/>
              <w:tr2bl w:val="nil"/>
            </w:tcBorders>
            <w:shd w:val="clear" w:color="auto" w:fill="auto"/>
            <w:tcMar>
              <w:left w:w="60" w:type="dxa"/>
              <w:right w:w="60" w:type="dxa"/>
            </w:tcMar>
            <w:vAlign w:val="center"/>
          </w:tcPr>
          <w:p w14:paraId="2D05296D"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99" w:type="dxa"/>
            <w:tcBorders>
              <w:top w:val="nil"/>
              <w:left w:val="nil"/>
              <w:bottom w:val="nil"/>
              <w:right w:val="nil"/>
              <w:tl2br w:val="nil"/>
              <w:tr2bl w:val="nil"/>
            </w:tcBorders>
            <w:shd w:val="clear" w:color="auto" w:fill="auto"/>
            <w:tcMar>
              <w:left w:w="60" w:type="dxa"/>
              <w:right w:w="60" w:type="dxa"/>
            </w:tcMar>
            <w:vAlign w:val="center"/>
          </w:tcPr>
          <w:p w14:paraId="3A1316C3"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424" w:type="dxa"/>
            <w:tcBorders>
              <w:top w:val="nil"/>
              <w:left w:val="nil"/>
              <w:bottom w:val="nil"/>
              <w:right w:val="nil"/>
              <w:tl2br w:val="nil"/>
              <w:tr2bl w:val="nil"/>
            </w:tcBorders>
            <w:shd w:val="clear" w:color="auto" w:fill="auto"/>
            <w:tcMar>
              <w:left w:w="60" w:type="dxa"/>
              <w:right w:w="60" w:type="dxa"/>
            </w:tcMar>
            <w:vAlign w:val="center"/>
          </w:tcPr>
          <w:p w14:paraId="095CFA5B"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954" w:type="dxa"/>
            <w:tcBorders>
              <w:top w:val="nil"/>
              <w:left w:val="nil"/>
              <w:bottom w:val="nil"/>
              <w:right w:val="nil"/>
              <w:tl2br w:val="nil"/>
              <w:tr2bl w:val="nil"/>
            </w:tcBorders>
            <w:shd w:val="clear" w:color="auto" w:fill="auto"/>
            <w:tcMar>
              <w:left w:w="60" w:type="dxa"/>
              <w:right w:w="60" w:type="dxa"/>
            </w:tcMar>
            <w:vAlign w:val="center"/>
          </w:tcPr>
          <w:p w14:paraId="4EFD1B6C" w14:textId="77777777" w:rsidR="00FD1E19" w:rsidRDefault="00FD1E19" w:rsidP="00BE7E4A">
            <w:pPr>
              <w:pStyle w:val="DMETW37225BIPEX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r w:rsidR="00FD1E19" w14:paraId="3C94C3F7" w14:textId="77777777" w:rsidTr="00BE7E4A">
        <w:trPr>
          <w:trHeight w:val="255"/>
        </w:trPr>
        <w:tc>
          <w:tcPr>
            <w:tcW w:w="3022" w:type="dxa"/>
            <w:tcBorders>
              <w:top w:val="nil"/>
              <w:left w:val="nil"/>
              <w:bottom w:val="nil"/>
              <w:right w:val="nil"/>
              <w:tl2br w:val="nil"/>
              <w:tr2bl w:val="nil"/>
            </w:tcBorders>
            <w:shd w:val="clear" w:color="auto" w:fill="auto"/>
            <w:tcMar>
              <w:left w:w="60" w:type="dxa"/>
              <w:right w:w="60" w:type="dxa"/>
            </w:tcMar>
            <w:vAlign w:val="center"/>
          </w:tcPr>
          <w:p w14:paraId="4A9B2293" w14:textId="77777777" w:rsidR="00FD1E19" w:rsidRDefault="00FD1E19" w:rsidP="00BE7E4A">
            <w:pPr>
              <w:pStyle w:val="DMETW37225BIPEXREV"/>
              <w:rPr>
                <w:rFonts w:ascii="Verdana" w:eastAsia="Verdana" w:hAnsi="Verdana" w:cs="Verdana"/>
                <w:i/>
                <w:noProof/>
                <w:color w:val="000000"/>
                <w:sz w:val="18"/>
              </w:rPr>
            </w:pPr>
            <w:r>
              <w:rPr>
                <w:rFonts w:ascii="Verdana" w:eastAsia="Verdana" w:hAnsi="Verdana" w:cs="Verdana"/>
                <w:i/>
                <w:noProof/>
                <w:color w:val="000000"/>
                <w:sz w:val="18"/>
              </w:rPr>
              <w:t>Other revenue</w:t>
            </w:r>
          </w:p>
        </w:tc>
        <w:tc>
          <w:tcPr>
            <w:tcW w:w="2850" w:type="dxa"/>
            <w:tcBorders>
              <w:top w:val="nil"/>
              <w:left w:val="nil"/>
              <w:bottom w:val="nil"/>
              <w:right w:val="nil"/>
              <w:tl2br w:val="nil"/>
              <w:tr2bl w:val="nil"/>
            </w:tcBorders>
            <w:shd w:val="clear" w:color="auto" w:fill="auto"/>
            <w:tcMar>
              <w:left w:w="60" w:type="dxa"/>
              <w:right w:w="60" w:type="dxa"/>
            </w:tcMar>
            <w:vAlign w:val="center"/>
          </w:tcPr>
          <w:p w14:paraId="3C8A3ACB"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709" w:type="dxa"/>
            <w:tcBorders>
              <w:top w:val="nil"/>
              <w:left w:val="nil"/>
              <w:bottom w:val="nil"/>
              <w:right w:val="nil"/>
              <w:tl2br w:val="nil"/>
              <w:tr2bl w:val="nil"/>
            </w:tcBorders>
            <w:shd w:val="clear" w:color="auto" w:fill="auto"/>
            <w:tcMar>
              <w:left w:w="60" w:type="dxa"/>
              <w:right w:w="60" w:type="dxa"/>
            </w:tcMar>
            <w:vAlign w:val="center"/>
          </w:tcPr>
          <w:p w14:paraId="1DFE4BF9"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799" w:type="dxa"/>
            <w:tcBorders>
              <w:top w:val="nil"/>
              <w:left w:val="nil"/>
              <w:bottom w:val="nil"/>
              <w:right w:val="nil"/>
              <w:tl2br w:val="nil"/>
              <w:tr2bl w:val="nil"/>
            </w:tcBorders>
            <w:shd w:val="clear" w:color="auto" w:fill="auto"/>
            <w:tcMar>
              <w:left w:w="60" w:type="dxa"/>
              <w:right w:w="60" w:type="dxa"/>
            </w:tcMar>
            <w:vAlign w:val="center"/>
          </w:tcPr>
          <w:p w14:paraId="3FB55B36"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 xml:space="preserve"> 19</w:t>
            </w:r>
          </w:p>
        </w:tc>
        <w:tc>
          <w:tcPr>
            <w:tcW w:w="1424" w:type="dxa"/>
            <w:tcBorders>
              <w:top w:val="nil"/>
              <w:left w:val="nil"/>
              <w:bottom w:val="nil"/>
              <w:right w:val="nil"/>
              <w:tl2br w:val="nil"/>
              <w:tr2bl w:val="nil"/>
            </w:tcBorders>
            <w:shd w:val="clear" w:color="auto" w:fill="auto"/>
            <w:tcMar>
              <w:left w:w="60" w:type="dxa"/>
              <w:right w:w="60" w:type="dxa"/>
            </w:tcMar>
            <w:vAlign w:val="center"/>
          </w:tcPr>
          <w:p w14:paraId="2B78F299" w14:textId="77777777" w:rsidR="00FD1E19" w:rsidRDefault="00FD1E19" w:rsidP="00BE7E4A">
            <w:pPr>
              <w:pStyle w:val="DMETW37225BIPEXREV"/>
              <w:jc w:val="right"/>
              <w:rPr>
                <w:rFonts w:ascii="Verdana" w:eastAsia="Verdana" w:hAnsi="Verdana" w:cs="Verdana"/>
                <w:i/>
                <w:noProof/>
                <w:color w:val="000000"/>
                <w:sz w:val="18"/>
              </w:rPr>
            </w:pPr>
            <w:r>
              <w:rPr>
                <w:rFonts w:ascii="Verdana" w:eastAsia="Verdana" w:hAnsi="Verdana" w:cs="Verdana"/>
                <w:i/>
                <w:noProof/>
                <w:color w:val="000000"/>
                <w:sz w:val="18"/>
              </w:rPr>
              <w:t xml:space="preserve"> 20</w:t>
            </w:r>
          </w:p>
        </w:tc>
        <w:tc>
          <w:tcPr>
            <w:tcW w:w="954" w:type="dxa"/>
            <w:tcBorders>
              <w:top w:val="nil"/>
              <w:left w:val="nil"/>
              <w:bottom w:val="nil"/>
              <w:right w:val="nil"/>
              <w:tl2br w:val="nil"/>
              <w:tr2bl w:val="nil"/>
            </w:tcBorders>
            <w:shd w:val="clear" w:color="auto" w:fill="auto"/>
            <w:tcMar>
              <w:left w:w="60" w:type="dxa"/>
              <w:right w:w="60" w:type="dxa"/>
            </w:tcMar>
            <w:vAlign w:val="center"/>
          </w:tcPr>
          <w:p w14:paraId="59FF921A" w14:textId="77777777" w:rsidR="00FD1E19" w:rsidRDefault="00FD1E19" w:rsidP="00BE7E4A">
            <w:pPr>
              <w:pStyle w:val="DMETW37225BIPEXREV"/>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71</w:t>
            </w:r>
          </w:p>
        </w:tc>
      </w:tr>
      <w:tr w:rsidR="00FD1E19" w14:paraId="40694201" w14:textId="77777777" w:rsidTr="00BE7E4A">
        <w:trPr>
          <w:trHeight w:val="255"/>
        </w:trPr>
        <w:tc>
          <w:tcPr>
            <w:tcW w:w="3022" w:type="dxa"/>
            <w:tcBorders>
              <w:top w:val="nil"/>
              <w:left w:val="nil"/>
              <w:bottom w:val="nil"/>
              <w:right w:val="nil"/>
              <w:tl2br w:val="nil"/>
              <w:tr2bl w:val="nil"/>
            </w:tcBorders>
            <w:shd w:val="solid" w:color="CCE1EA" w:fill="FFFFFF"/>
            <w:tcMar>
              <w:left w:w="60" w:type="dxa"/>
              <w:right w:w="60" w:type="dxa"/>
            </w:tcMar>
            <w:vAlign w:val="center"/>
          </w:tcPr>
          <w:p w14:paraId="322EB060" w14:textId="77777777" w:rsidR="00FD1E19" w:rsidRDefault="00FD1E19" w:rsidP="00BE7E4A">
            <w:pPr>
              <w:pStyle w:val="DMETW37225BIPEXREV"/>
              <w:rPr>
                <w:rFonts w:ascii="Verdana" w:eastAsia="Verdana" w:hAnsi="Verdana" w:cs="Verdana"/>
                <w:b/>
                <w:noProof/>
                <w:color w:val="000000"/>
                <w:sz w:val="18"/>
              </w:rPr>
            </w:pPr>
            <w:r>
              <w:rPr>
                <w:rFonts w:ascii="Verdana" w:eastAsia="Verdana" w:hAnsi="Verdana" w:cs="Verdana"/>
                <w:b/>
                <w:noProof/>
                <w:color w:val="000000"/>
                <w:sz w:val="18"/>
              </w:rPr>
              <w:t>Total</w:t>
            </w:r>
          </w:p>
        </w:tc>
        <w:tc>
          <w:tcPr>
            <w:tcW w:w="2850" w:type="dxa"/>
            <w:tcBorders>
              <w:top w:val="nil"/>
              <w:left w:val="nil"/>
              <w:bottom w:val="nil"/>
              <w:right w:val="nil"/>
              <w:tl2br w:val="nil"/>
              <w:tr2bl w:val="nil"/>
            </w:tcBorders>
            <w:shd w:val="solid" w:color="CCE1EA" w:fill="FFFFFF"/>
            <w:tcMar>
              <w:left w:w="60" w:type="dxa"/>
              <w:right w:w="60" w:type="dxa"/>
            </w:tcMar>
            <w:vAlign w:val="center"/>
          </w:tcPr>
          <w:p w14:paraId="44311DF4" w14:textId="77777777" w:rsidR="00FD1E19" w:rsidRPr="0078388E" w:rsidRDefault="00FD1E19" w:rsidP="00BE7E4A">
            <w:pPr>
              <w:pStyle w:val="DMETW37225BIPEXREV"/>
              <w:jc w:val="right"/>
              <w:rPr>
                <w:rFonts w:ascii="Verdana" w:eastAsia="Verdana" w:hAnsi="Verdana" w:cs="Verdana"/>
                <w:b/>
                <w:bCs/>
                <w:noProof/>
                <w:color w:val="000000"/>
                <w:sz w:val="18"/>
              </w:rPr>
            </w:pPr>
            <w:r w:rsidRPr="0078388E">
              <w:rPr>
                <w:rFonts w:ascii="Verdana" w:eastAsia="Verdana" w:hAnsi="Verdana" w:cs="Verdana"/>
                <w:b/>
                <w:bCs/>
                <w:noProof/>
                <w:color w:val="000000"/>
                <w:sz w:val="18"/>
              </w:rPr>
              <w:t xml:space="preserve">  </w:t>
            </w:r>
            <w:r w:rsidRPr="0078388E">
              <w:rPr>
                <w:rFonts w:ascii="Verdana" w:eastAsia="Verdana" w:hAnsi="Verdana" w:cs="Verdana"/>
                <w:b/>
                <w:bCs/>
                <w:i/>
                <w:noProof/>
                <w:color w:val="000000"/>
                <w:sz w:val="18"/>
              </w:rPr>
              <w:t>–</w:t>
            </w:r>
          </w:p>
        </w:tc>
        <w:tc>
          <w:tcPr>
            <w:tcW w:w="709" w:type="dxa"/>
            <w:tcBorders>
              <w:top w:val="nil"/>
              <w:left w:val="nil"/>
              <w:bottom w:val="nil"/>
              <w:right w:val="nil"/>
              <w:tl2br w:val="nil"/>
              <w:tr2bl w:val="nil"/>
            </w:tcBorders>
            <w:shd w:val="solid" w:color="CCE1EA" w:fill="FFFFFF"/>
            <w:tcMar>
              <w:left w:w="60" w:type="dxa"/>
              <w:right w:w="60" w:type="dxa"/>
            </w:tcMar>
            <w:vAlign w:val="center"/>
          </w:tcPr>
          <w:p w14:paraId="2B56F3A2" w14:textId="77777777" w:rsidR="00FD1E19" w:rsidRDefault="00FD1E19" w:rsidP="00BE7E4A">
            <w:pPr>
              <w:pStyle w:val="DMETW37225BIPEXREV"/>
              <w:jc w:val="right"/>
              <w:rPr>
                <w:rFonts w:ascii="Verdana" w:eastAsia="Verdana" w:hAnsi="Verdana" w:cs="Verdana"/>
                <w:b/>
                <w:noProof/>
                <w:color w:val="000000"/>
                <w:sz w:val="18"/>
              </w:rPr>
            </w:pPr>
            <w:r>
              <w:rPr>
                <w:rFonts w:ascii="Verdana" w:eastAsia="Verdana" w:hAnsi="Verdana" w:cs="Verdana"/>
                <w:b/>
                <w:noProof/>
                <w:color w:val="000000"/>
                <w:sz w:val="18"/>
              </w:rPr>
              <w:t xml:space="preserve">  2</w:t>
            </w:r>
          </w:p>
        </w:tc>
        <w:tc>
          <w:tcPr>
            <w:tcW w:w="799" w:type="dxa"/>
            <w:tcBorders>
              <w:top w:val="nil"/>
              <w:left w:val="nil"/>
              <w:bottom w:val="nil"/>
              <w:right w:val="nil"/>
              <w:tl2br w:val="nil"/>
              <w:tr2bl w:val="nil"/>
            </w:tcBorders>
            <w:shd w:val="solid" w:color="CCE1EA" w:fill="FFFFFF"/>
            <w:tcMar>
              <w:left w:w="60" w:type="dxa"/>
              <w:right w:w="60" w:type="dxa"/>
            </w:tcMar>
            <w:vAlign w:val="center"/>
          </w:tcPr>
          <w:p w14:paraId="41CD4719" w14:textId="77777777" w:rsidR="00FD1E19" w:rsidRDefault="00FD1E19" w:rsidP="00BE7E4A">
            <w:pPr>
              <w:pStyle w:val="DMETW37225BIPEXREV"/>
              <w:jc w:val="right"/>
              <w:rPr>
                <w:rFonts w:ascii="Verdana" w:eastAsia="Verdana" w:hAnsi="Verdana" w:cs="Verdana"/>
                <w:b/>
                <w:noProof/>
                <w:color w:val="000000"/>
                <w:sz w:val="18"/>
              </w:rPr>
            </w:pPr>
            <w:r>
              <w:rPr>
                <w:rFonts w:ascii="Verdana" w:eastAsia="Verdana" w:hAnsi="Verdana" w:cs="Verdana"/>
                <w:b/>
                <w:noProof/>
                <w:color w:val="000000"/>
                <w:sz w:val="18"/>
              </w:rPr>
              <w:t xml:space="preserve">  26</w:t>
            </w:r>
          </w:p>
        </w:tc>
        <w:tc>
          <w:tcPr>
            <w:tcW w:w="1424" w:type="dxa"/>
            <w:tcBorders>
              <w:top w:val="nil"/>
              <w:left w:val="nil"/>
              <w:bottom w:val="nil"/>
              <w:right w:val="nil"/>
              <w:tl2br w:val="nil"/>
              <w:tr2bl w:val="nil"/>
            </w:tcBorders>
            <w:shd w:val="solid" w:color="CCE1EA" w:fill="FFFFFF"/>
            <w:tcMar>
              <w:left w:w="60" w:type="dxa"/>
              <w:right w:w="60" w:type="dxa"/>
            </w:tcMar>
            <w:vAlign w:val="center"/>
          </w:tcPr>
          <w:p w14:paraId="7B2D5B3A" w14:textId="77777777" w:rsidR="00FD1E19" w:rsidRDefault="00FD1E19" w:rsidP="00BE7E4A">
            <w:pPr>
              <w:pStyle w:val="DMETW37225BIPEXREV"/>
              <w:jc w:val="right"/>
              <w:rPr>
                <w:rFonts w:ascii="Verdana" w:eastAsia="Verdana" w:hAnsi="Verdana" w:cs="Verdana"/>
                <w:b/>
                <w:noProof/>
                <w:color w:val="000000"/>
                <w:sz w:val="18"/>
              </w:rPr>
            </w:pPr>
            <w:r>
              <w:rPr>
                <w:rFonts w:ascii="Verdana" w:eastAsia="Verdana" w:hAnsi="Verdana" w:cs="Verdana"/>
                <w:b/>
                <w:noProof/>
                <w:color w:val="000000"/>
                <w:sz w:val="18"/>
              </w:rPr>
              <w:t xml:space="preserve">  28</w:t>
            </w:r>
          </w:p>
        </w:tc>
        <w:tc>
          <w:tcPr>
            <w:tcW w:w="954" w:type="dxa"/>
            <w:tcBorders>
              <w:top w:val="nil"/>
              <w:left w:val="nil"/>
              <w:bottom w:val="nil"/>
              <w:right w:val="nil"/>
              <w:tl2br w:val="nil"/>
              <w:tr2bl w:val="nil"/>
            </w:tcBorders>
            <w:shd w:val="solid" w:color="CCE1EA" w:fill="FFFFFF"/>
            <w:tcMar>
              <w:left w:w="60" w:type="dxa"/>
              <w:right w:w="60" w:type="dxa"/>
            </w:tcMar>
            <w:vAlign w:val="center"/>
          </w:tcPr>
          <w:p w14:paraId="1611B569" w14:textId="77777777" w:rsidR="00FD1E19" w:rsidRDefault="00FD1E19" w:rsidP="00BE7E4A">
            <w:pPr>
              <w:pStyle w:val="DMETW37225BIPEXREV"/>
              <w:jc w:val="right"/>
              <w:rPr>
                <w:rFonts w:ascii="Verdana" w:eastAsia="Verdana" w:hAnsi="Verdana" w:cs="Verdana"/>
                <w:b/>
                <w:noProof/>
                <w:color w:val="000000"/>
                <w:sz w:val="18"/>
              </w:rPr>
            </w:pPr>
            <w:r>
              <w:rPr>
                <w:rFonts w:ascii="Verdana" w:eastAsia="Verdana" w:hAnsi="Verdana" w:cs="Verdana"/>
                <w:b/>
                <w:noProof/>
                <w:color w:val="000000"/>
                <w:sz w:val="18"/>
              </w:rPr>
              <w:t xml:space="preserve">  90</w:t>
            </w:r>
          </w:p>
        </w:tc>
      </w:tr>
    </w:tbl>
    <w:p w14:paraId="2115F76F" w14:textId="77777777" w:rsidR="00FD1E19" w:rsidRPr="009011C6" w:rsidRDefault="00FD1E19" w:rsidP="00FD1E19">
      <w:pPr>
        <w:pStyle w:val="Textstand-alone"/>
      </w:pPr>
      <w:bookmarkStart w:id="109" w:name="_Hlk135727486"/>
      <w:r w:rsidRPr="009011C6">
        <w:t xml:space="preserve">The EUR </w:t>
      </w:r>
      <w:r>
        <w:t>8</w:t>
      </w:r>
      <w:r w:rsidRPr="009011C6">
        <w:t xml:space="preserve"> million under the heading </w:t>
      </w:r>
      <w:r>
        <w:t>‘F</w:t>
      </w:r>
      <w:r w:rsidRPr="009011C6">
        <w:t>inancial revenue</w:t>
      </w:r>
      <w:r>
        <w:t>’</w:t>
      </w:r>
      <w:r w:rsidRPr="009011C6">
        <w:t xml:space="preserve"> mainly consists of accrued interest on unpaid recovery orders, interest on pre-financing</w:t>
      </w:r>
      <w:r>
        <w:t>, interest generated on balances held with central and commerical banks</w:t>
      </w:r>
      <w:r w:rsidRPr="009011C6">
        <w:t xml:space="preserve"> and revenue from financial instruments. </w:t>
      </w:r>
    </w:p>
    <w:p w14:paraId="62C21359" w14:textId="77777777" w:rsidR="00FD1E19" w:rsidRPr="009011C6" w:rsidRDefault="00FD1E19" w:rsidP="00FD1E19">
      <w:pPr>
        <w:pStyle w:val="Textstand-alone"/>
      </w:pPr>
      <w:r>
        <w:t>‘</w:t>
      </w:r>
      <w:r w:rsidRPr="009011C6">
        <w:t>Other revenue</w:t>
      </w:r>
      <w:r>
        <w:t>’</w:t>
      </w:r>
      <w:r w:rsidRPr="009011C6">
        <w:t xml:space="preserve"> relates mainly to foreign exchange gains. The corresponding foreign exchange losses are recorded under </w:t>
      </w:r>
      <w:r>
        <w:t>‘O</w:t>
      </w:r>
      <w:r w:rsidRPr="009011C6">
        <w:t xml:space="preserve">ther </w:t>
      </w:r>
      <w:r>
        <w:t>e</w:t>
      </w:r>
      <w:r w:rsidRPr="009011C6">
        <w:t>xpenses</w:t>
      </w:r>
      <w:r>
        <w:t>’</w:t>
      </w:r>
      <w:r w:rsidRPr="009011C6">
        <w:t xml:space="preserve"> (see </w:t>
      </w:r>
      <w:r>
        <w:t>N</w:t>
      </w:r>
      <w:r w:rsidRPr="009011C6">
        <w:t xml:space="preserve">ote </w:t>
      </w:r>
      <w:r>
        <w:rPr>
          <w:b/>
        </w:rPr>
        <w:t>3.7</w:t>
      </w:r>
      <w:r w:rsidRPr="009011C6">
        <w:t xml:space="preserve">). </w:t>
      </w:r>
    </w:p>
    <w:bookmarkEnd w:id="109"/>
    <w:p w14:paraId="4A6D15BF" w14:textId="77777777" w:rsidR="00FD1E19" w:rsidRDefault="00FD1E19" w:rsidP="00FD1E19">
      <w:pPr>
        <w:pStyle w:val="HEADERTABLE"/>
        <w:rPr>
          <w:noProof/>
        </w:rPr>
      </w:pPr>
      <w:r w:rsidRPr="00F64D38">
        <w:rPr>
          <w:noProof/>
        </w:rPr>
        <w:t>EXPENSES</w:t>
      </w:r>
    </w:p>
    <w:p w14:paraId="55E8271D" w14:textId="77777777" w:rsidR="00FD1E19" w:rsidRDefault="00FD1E19" w:rsidP="00FD1E19">
      <w:pPr>
        <w:pStyle w:val="HEADER2Part2"/>
        <w:ind w:left="3402" w:hanging="3402"/>
        <w:jc w:val="both"/>
        <w:rPr>
          <w:noProof/>
        </w:rPr>
      </w:pPr>
      <w:r>
        <w:rPr>
          <w:noProof/>
        </w:rPr>
        <w:t>EXPENSES IMPLEMENTED BY OTHER ENTITIES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1"/>
        <w:gridCol w:w="1260"/>
        <w:gridCol w:w="851"/>
        <w:gridCol w:w="992"/>
        <w:gridCol w:w="1442"/>
        <w:gridCol w:w="1372"/>
      </w:tblGrid>
      <w:tr w:rsidR="00FD1E19" w14:paraId="6F031B9B" w14:textId="77777777" w:rsidTr="00BE7E4A">
        <w:trPr>
          <w:trHeight w:val="255"/>
        </w:trPr>
        <w:tc>
          <w:tcPr>
            <w:tcW w:w="3841" w:type="dxa"/>
            <w:gridSpan w:val="6"/>
            <w:tcBorders>
              <w:top w:val="nil"/>
              <w:left w:val="nil"/>
              <w:bottom w:val="nil"/>
              <w:right w:val="nil"/>
              <w:tl2br w:val="nil"/>
              <w:tr2bl w:val="nil"/>
            </w:tcBorders>
            <w:shd w:val="clear" w:color="auto" w:fill="auto"/>
            <w:tcMar>
              <w:left w:w="60" w:type="dxa"/>
              <w:right w:w="60" w:type="dxa"/>
            </w:tcMar>
            <w:vAlign w:val="center"/>
          </w:tcPr>
          <w:p w14:paraId="46315E80" w14:textId="77777777" w:rsidR="00FD1E19" w:rsidRDefault="00FD1E19" w:rsidP="00BE7E4A">
            <w:pPr>
              <w:pStyle w:val="DMETW37225BIPdelegatedexp"/>
              <w:jc w:val="right"/>
              <w:rPr>
                <w:rFonts w:ascii="Verdana" w:eastAsia="Verdana" w:hAnsi="Verdana" w:cs="Verdana"/>
                <w:i/>
                <w:noProof/>
                <w:color w:val="000000"/>
                <w:sz w:val="16"/>
                <w:lang w:bidi="en-GB"/>
              </w:rPr>
            </w:pPr>
            <w:bookmarkStart w:id="110" w:name="DOC_TBL00019_1_1"/>
            <w:bookmarkEnd w:id="110"/>
            <w:r>
              <w:rPr>
                <w:rFonts w:ascii="Verdana" w:eastAsia="Verdana" w:hAnsi="Verdana" w:cs="Verdana"/>
                <w:i/>
                <w:noProof/>
                <w:color w:val="000000"/>
                <w:sz w:val="16"/>
                <w:lang w:bidi="en-GB"/>
              </w:rPr>
              <w:t>EUR million</w:t>
            </w:r>
          </w:p>
        </w:tc>
      </w:tr>
      <w:tr w:rsidR="00FD1E19" w14:paraId="4449952C" w14:textId="77777777" w:rsidTr="00BE7E4A">
        <w:trPr>
          <w:trHeight w:val="255"/>
        </w:trPr>
        <w:tc>
          <w:tcPr>
            <w:tcW w:w="3841" w:type="dxa"/>
            <w:tcBorders>
              <w:top w:val="nil"/>
              <w:left w:val="nil"/>
              <w:bottom w:val="nil"/>
              <w:right w:val="nil"/>
              <w:tl2br w:val="nil"/>
              <w:tr2bl w:val="nil"/>
            </w:tcBorders>
            <w:shd w:val="solid" w:color="016794" w:fill="FFFFFF"/>
            <w:tcMar>
              <w:left w:w="60" w:type="dxa"/>
              <w:right w:w="60" w:type="dxa"/>
            </w:tcMar>
            <w:vAlign w:val="center"/>
          </w:tcPr>
          <w:p w14:paraId="6546F19B" w14:textId="77777777" w:rsidR="00FD1E19" w:rsidRDefault="00FD1E19" w:rsidP="00BE7E4A">
            <w:pPr>
              <w:pStyle w:val="DMETW37225BIPdelegatedexp"/>
              <w:jc w:val="right"/>
              <w:rPr>
                <w:rFonts w:ascii="Verdana" w:eastAsia="Verdana" w:hAnsi="Verdana" w:cs="Verdana"/>
                <w:noProof/>
                <w:color w:val="FFFFFF"/>
              </w:rPr>
            </w:pPr>
          </w:p>
        </w:tc>
        <w:tc>
          <w:tcPr>
            <w:tcW w:w="1260" w:type="dxa"/>
            <w:tcBorders>
              <w:top w:val="nil"/>
              <w:left w:val="nil"/>
              <w:bottom w:val="nil"/>
              <w:right w:val="nil"/>
              <w:tl2br w:val="nil"/>
              <w:tr2bl w:val="nil"/>
            </w:tcBorders>
            <w:shd w:val="solid" w:color="016794" w:fill="FFFFFF"/>
            <w:tcMar>
              <w:left w:w="60" w:type="dxa"/>
              <w:right w:w="60" w:type="dxa"/>
            </w:tcMar>
            <w:vAlign w:val="center"/>
          </w:tcPr>
          <w:p w14:paraId="6DAFC184" w14:textId="77777777" w:rsidR="00FD1E19" w:rsidRDefault="00FD1E19" w:rsidP="00BE7E4A">
            <w:pPr>
              <w:pStyle w:val="DMETW37225BIPdelegatedexp"/>
              <w:jc w:val="right"/>
              <w:rPr>
                <w:rFonts w:ascii="Verdana" w:eastAsia="Verdana" w:hAnsi="Verdana" w:cs="Verdana"/>
                <w:noProof/>
                <w:color w:val="FFFFFF"/>
              </w:rPr>
            </w:pPr>
            <w:r>
              <w:rPr>
                <w:rFonts w:ascii="Verdana" w:eastAsia="Verdana" w:hAnsi="Verdana" w:cs="Verdana"/>
                <w:noProof/>
                <w:color w:val="FFFFFF"/>
              </w:rPr>
              <w:t>Ninth EDF</w:t>
            </w:r>
          </w:p>
        </w:tc>
        <w:tc>
          <w:tcPr>
            <w:tcW w:w="851" w:type="dxa"/>
            <w:tcBorders>
              <w:top w:val="nil"/>
              <w:left w:val="nil"/>
              <w:bottom w:val="nil"/>
              <w:right w:val="nil"/>
              <w:tl2br w:val="nil"/>
              <w:tr2bl w:val="nil"/>
            </w:tcBorders>
            <w:shd w:val="solid" w:color="016794" w:fill="FFFFFF"/>
            <w:tcMar>
              <w:left w:w="60" w:type="dxa"/>
              <w:right w:w="60" w:type="dxa"/>
            </w:tcMar>
            <w:vAlign w:val="center"/>
          </w:tcPr>
          <w:p w14:paraId="0A9FC89D" w14:textId="77777777" w:rsidR="00FD1E19" w:rsidRDefault="00FD1E19" w:rsidP="00BE7E4A">
            <w:pPr>
              <w:pStyle w:val="DMETW37225BIPdelegatedexp"/>
              <w:jc w:val="right"/>
              <w:rPr>
                <w:rFonts w:ascii="Verdana" w:eastAsia="Verdana" w:hAnsi="Verdana" w:cs="Verdana"/>
                <w:noProof/>
                <w:color w:val="FFFFFF"/>
              </w:rPr>
            </w:pPr>
            <w:r>
              <w:rPr>
                <w:rFonts w:ascii="Verdana" w:eastAsia="Verdana" w:hAnsi="Verdana" w:cs="Verdana"/>
                <w:noProof/>
                <w:color w:val="FFFFFF"/>
              </w:rPr>
              <w:t>10th EDF</w:t>
            </w:r>
          </w:p>
        </w:tc>
        <w:tc>
          <w:tcPr>
            <w:tcW w:w="992" w:type="dxa"/>
            <w:tcBorders>
              <w:top w:val="nil"/>
              <w:left w:val="nil"/>
              <w:bottom w:val="nil"/>
              <w:right w:val="nil"/>
              <w:tl2br w:val="nil"/>
              <w:tr2bl w:val="nil"/>
            </w:tcBorders>
            <w:shd w:val="solid" w:color="016794" w:fill="FFFFFF"/>
            <w:tcMar>
              <w:left w:w="60" w:type="dxa"/>
              <w:right w:w="60" w:type="dxa"/>
            </w:tcMar>
            <w:vAlign w:val="center"/>
          </w:tcPr>
          <w:p w14:paraId="2EDFD2A1" w14:textId="77777777" w:rsidR="00FD1E19" w:rsidRDefault="00FD1E19" w:rsidP="00BE7E4A">
            <w:pPr>
              <w:pStyle w:val="DMETW37225BIPdelegatedexp"/>
              <w:jc w:val="right"/>
              <w:rPr>
                <w:rFonts w:ascii="Verdana" w:eastAsia="Verdana" w:hAnsi="Verdana" w:cs="Verdana"/>
                <w:noProof/>
                <w:color w:val="FFFFFF"/>
              </w:rPr>
            </w:pPr>
            <w:r>
              <w:rPr>
                <w:rFonts w:ascii="Verdana" w:eastAsia="Verdana" w:hAnsi="Verdana" w:cs="Verdana"/>
                <w:noProof/>
                <w:color w:val="FFFFFF"/>
              </w:rPr>
              <w:t>11th EDF</w:t>
            </w:r>
          </w:p>
        </w:tc>
        <w:tc>
          <w:tcPr>
            <w:tcW w:w="1442" w:type="dxa"/>
            <w:tcBorders>
              <w:top w:val="nil"/>
              <w:left w:val="nil"/>
              <w:bottom w:val="nil"/>
              <w:right w:val="nil"/>
              <w:tl2br w:val="nil"/>
              <w:tr2bl w:val="nil"/>
            </w:tcBorders>
            <w:shd w:val="solid" w:color="016794" w:fill="FFFFFF"/>
            <w:tcMar>
              <w:left w:w="60" w:type="dxa"/>
              <w:right w:w="60" w:type="dxa"/>
            </w:tcMar>
            <w:vAlign w:val="center"/>
          </w:tcPr>
          <w:p w14:paraId="5BA028AD" w14:textId="77777777" w:rsidR="00FD1E19" w:rsidRDefault="00FD1E19" w:rsidP="00BE7E4A">
            <w:pPr>
              <w:pStyle w:val="DMETW37225BIPdelegatedexp"/>
              <w:jc w:val="right"/>
              <w:rPr>
                <w:rFonts w:ascii="Verdana" w:eastAsia="Verdana" w:hAnsi="Verdana" w:cs="Verdana"/>
                <w:noProof/>
                <w:color w:val="FFFFFF"/>
              </w:rPr>
            </w:pPr>
            <w:r>
              <w:rPr>
                <w:rFonts w:ascii="Verdana" w:eastAsia="Verdana" w:hAnsi="Verdana" w:cs="Verdana"/>
                <w:noProof/>
                <w:color w:val="FFFFFF"/>
              </w:rPr>
              <w:t>2025</w:t>
            </w:r>
          </w:p>
        </w:tc>
        <w:tc>
          <w:tcPr>
            <w:tcW w:w="1372" w:type="dxa"/>
            <w:tcBorders>
              <w:top w:val="nil"/>
              <w:left w:val="nil"/>
              <w:bottom w:val="nil"/>
              <w:right w:val="nil"/>
              <w:tl2br w:val="nil"/>
              <w:tr2bl w:val="nil"/>
            </w:tcBorders>
            <w:shd w:val="solid" w:color="016794" w:fill="FFFFFF"/>
            <w:tcMar>
              <w:left w:w="60" w:type="dxa"/>
              <w:right w:w="60" w:type="dxa"/>
            </w:tcMar>
            <w:vAlign w:val="center"/>
          </w:tcPr>
          <w:p w14:paraId="2A456BE9" w14:textId="77777777" w:rsidR="00FD1E19" w:rsidRDefault="00FD1E19" w:rsidP="00BE7E4A">
            <w:pPr>
              <w:pStyle w:val="DMETW37225BIPdelegatedexp"/>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4A082678" w14:textId="77777777" w:rsidTr="00BE7E4A">
        <w:trPr>
          <w:trHeight w:val="255"/>
        </w:trPr>
        <w:tc>
          <w:tcPr>
            <w:tcW w:w="3841" w:type="dxa"/>
            <w:tcBorders>
              <w:top w:val="nil"/>
              <w:left w:val="nil"/>
              <w:bottom w:val="nil"/>
              <w:right w:val="nil"/>
              <w:tl2br w:val="nil"/>
              <w:tr2bl w:val="nil"/>
            </w:tcBorders>
            <w:shd w:val="clear" w:color="auto" w:fill="auto"/>
            <w:tcMar>
              <w:left w:w="60" w:type="dxa"/>
              <w:right w:w="60" w:type="dxa"/>
            </w:tcMar>
            <w:vAlign w:val="center"/>
          </w:tcPr>
          <w:p w14:paraId="55EC966B" w14:textId="77777777" w:rsidR="00FD1E19" w:rsidRDefault="00FD1E19" w:rsidP="00BE7E4A">
            <w:pPr>
              <w:pStyle w:val="DMETW37225BIPdelegatedexp"/>
              <w:rPr>
                <w:rFonts w:ascii="Verdana" w:eastAsia="Verdana" w:hAnsi="Verdana" w:cs="Verdana"/>
                <w:i/>
                <w:noProof/>
                <w:color w:val="000000"/>
                <w:sz w:val="18"/>
              </w:rPr>
            </w:pPr>
            <w:r>
              <w:rPr>
                <w:rFonts w:ascii="Verdana" w:eastAsia="Verdana" w:hAnsi="Verdana" w:cs="Verdana"/>
                <w:i/>
                <w:noProof/>
                <w:color w:val="000000"/>
                <w:sz w:val="18"/>
              </w:rPr>
              <w:t>Technical assistance expenses</w:t>
            </w:r>
          </w:p>
        </w:tc>
        <w:tc>
          <w:tcPr>
            <w:tcW w:w="1260" w:type="dxa"/>
            <w:tcBorders>
              <w:top w:val="nil"/>
              <w:left w:val="nil"/>
              <w:bottom w:val="nil"/>
              <w:right w:val="nil"/>
              <w:tl2br w:val="nil"/>
              <w:tr2bl w:val="nil"/>
            </w:tcBorders>
            <w:shd w:val="clear" w:color="auto" w:fill="auto"/>
            <w:tcMar>
              <w:left w:w="60" w:type="dxa"/>
              <w:right w:w="60" w:type="dxa"/>
            </w:tcMar>
            <w:vAlign w:val="center"/>
          </w:tcPr>
          <w:p w14:paraId="7053741D" w14:textId="77777777" w:rsidR="00FD1E19" w:rsidRDefault="00FD1E19" w:rsidP="00BE7E4A">
            <w:pPr>
              <w:pStyle w:val="DMETW37225BIPdelegated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4C9A764B" w14:textId="77777777" w:rsidR="00FD1E19" w:rsidRDefault="00FD1E19" w:rsidP="00BE7E4A">
            <w:pPr>
              <w:pStyle w:val="DMETW37225BIPdelegated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92" w:type="dxa"/>
            <w:tcBorders>
              <w:top w:val="nil"/>
              <w:left w:val="nil"/>
              <w:bottom w:val="nil"/>
              <w:right w:val="nil"/>
              <w:tl2br w:val="nil"/>
              <w:tr2bl w:val="nil"/>
            </w:tcBorders>
            <w:shd w:val="clear" w:color="auto" w:fill="auto"/>
            <w:tcMar>
              <w:left w:w="60" w:type="dxa"/>
              <w:right w:w="60" w:type="dxa"/>
            </w:tcMar>
            <w:vAlign w:val="center"/>
          </w:tcPr>
          <w:p w14:paraId="5CB8FB87" w14:textId="77777777" w:rsidR="00FD1E19" w:rsidRDefault="00FD1E19" w:rsidP="00BE7E4A">
            <w:pPr>
              <w:pStyle w:val="DMETW37225BIPdelegatedexp"/>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442" w:type="dxa"/>
            <w:tcBorders>
              <w:top w:val="nil"/>
              <w:left w:val="nil"/>
              <w:bottom w:val="nil"/>
              <w:right w:val="nil"/>
              <w:tl2br w:val="nil"/>
              <w:tr2bl w:val="nil"/>
            </w:tcBorders>
            <w:shd w:val="clear" w:color="auto" w:fill="auto"/>
            <w:tcMar>
              <w:left w:w="60" w:type="dxa"/>
              <w:right w:w="60" w:type="dxa"/>
            </w:tcMar>
            <w:vAlign w:val="center"/>
          </w:tcPr>
          <w:p w14:paraId="3F96538B" w14:textId="77777777" w:rsidR="00FD1E19" w:rsidRDefault="00FD1E19" w:rsidP="00BE7E4A">
            <w:pPr>
              <w:pStyle w:val="DMETW37225BIPdelegatedexp"/>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372" w:type="dxa"/>
            <w:tcBorders>
              <w:top w:val="nil"/>
              <w:left w:val="nil"/>
              <w:bottom w:val="nil"/>
              <w:right w:val="nil"/>
              <w:tl2br w:val="nil"/>
              <w:tr2bl w:val="nil"/>
            </w:tcBorders>
            <w:shd w:val="clear" w:color="auto" w:fill="auto"/>
            <w:tcMar>
              <w:left w:w="60" w:type="dxa"/>
              <w:right w:w="60" w:type="dxa"/>
            </w:tcMar>
            <w:vAlign w:val="center"/>
          </w:tcPr>
          <w:p w14:paraId="050FCBC0" w14:textId="77777777" w:rsidR="00FD1E19" w:rsidRDefault="00FD1E19" w:rsidP="00BE7E4A">
            <w:pPr>
              <w:pStyle w:val="DMETW37225BIPdelegatedexp"/>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r>
    </w:tbl>
    <w:p w14:paraId="35B89965" w14:textId="77777777" w:rsidR="00FD1E19" w:rsidRDefault="00FD1E19" w:rsidP="00FD1E19">
      <w:pPr>
        <w:pStyle w:val="Textstand-alone"/>
      </w:pPr>
      <w:r>
        <w:t>The amount of EUR 4 million relate to technical assistance incurred by several financial instruments.</w:t>
      </w:r>
    </w:p>
    <w:p w14:paraId="05E17C54" w14:textId="77777777" w:rsidR="00FD1E19" w:rsidRPr="00F64D38" w:rsidRDefault="00FD1E19" w:rsidP="00FD1E19">
      <w:pPr>
        <w:pStyle w:val="HEADER2Part2"/>
        <w:ind w:left="3402" w:hanging="3402"/>
        <w:jc w:val="both"/>
        <w:rPr>
          <w:noProof/>
        </w:rPr>
      </w:pPr>
      <w:r w:rsidRPr="00F64D38">
        <w:rPr>
          <w:noProof/>
        </w:rPr>
        <w:t>AID INSTRUMENTS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8"/>
        <w:gridCol w:w="1125"/>
        <w:gridCol w:w="933"/>
        <w:gridCol w:w="1052"/>
        <w:gridCol w:w="1417"/>
        <w:gridCol w:w="1193"/>
      </w:tblGrid>
      <w:tr w:rsidR="00FD1E19" w14:paraId="51022999" w14:textId="77777777" w:rsidTr="00BE7E4A">
        <w:trPr>
          <w:cantSplit/>
          <w:trHeight w:hRule="exact" w:val="255"/>
        </w:trPr>
        <w:tc>
          <w:tcPr>
            <w:tcW w:w="9758" w:type="dxa"/>
            <w:gridSpan w:val="6"/>
            <w:tcBorders>
              <w:top w:val="nil"/>
              <w:left w:val="nil"/>
              <w:bottom w:val="nil"/>
              <w:right w:val="nil"/>
              <w:tl2br w:val="nil"/>
              <w:tr2bl w:val="nil"/>
            </w:tcBorders>
            <w:shd w:val="clear" w:color="auto" w:fill="auto"/>
            <w:tcMar>
              <w:left w:w="60" w:type="dxa"/>
              <w:right w:w="60" w:type="dxa"/>
            </w:tcMar>
            <w:vAlign w:val="center"/>
          </w:tcPr>
          <w:p w14:paraId="366B64AE" w14:textId="77777777" w:rsidR="00FD1E19" w:rsidRDefault="00FD1E19" w:rsidP="00BE7E4A">
            <w:pPr>
              <w:pStyle w:val="DMETW37225BIPOPEAID"/>
              <w:jc w:val="right"/>
              <w:rPr>
                <w:rFonts w:ascii="Verdana" w:eastAsia="Verdana" w:hAnsi="Verdana" w:cs="Verdana"/>
                <w:i/>
                <w:noProof/>
                <w:color w:val="000000"/>
                <w:sz w:val="16"/>
                <w:lang w:bidi="en-GB"/>
              </w:rPr>
            </w:pPr>
            <w:bookmarkStart w:id="111" w:name="DOC_TBL00038_1_1"/>
            <w:bookmarkEnd w:id="111"/>
            <w:r>
              <w:rPr>
                <w:rFonts w:ascii="Verdana" w:eastAsia="Verdana" w:hAnsi="Verdana" w:cs="Verdana"/>
                <w:i/>
                <w:noProof/>
                <w:color w:val="000000"/>
                <w:sz w:val="16"/>
                <w:lang w:bidi="en-GB"/>
              </w:rPr>
              <w:t>EUR million</w:t>
            </w:r>
          </w:p>
        </w:tc>
      </w:tr>
      <w:tr w:rsidR="00FD1E19" w14:paraId="068AF96B" w14:textId="77777777" w:rsidTr="00BE7E4A">
        <w:trPr>
          <w:cantSplit/>
          <w:trHeight w:hRule="exact" w:val="591"/>
        </w:trPr>
        <w:tc>
          <w:tcPr>
            <w:tcW w:w="4038" w:type="dxa"/>
            <w:tcBorders>
              <w:top w:val="nil"/>
              <w:left w:val="nil"/>
              <w:bottom w:val="nil"/>
              <w:right w:val="nil"/>
              <w:tl2br w:val="nil"/>
              <w:tr2bl w:val="nil"/>
            </w:tcBorders>
            <w:shd w:val="solid" w:color="016794" w:fill="FFFFFF"/>
            <w:tcMar>
              <w:left w:w="60" w:type="dxa"/>
              <w:right w:w="60" w:type="dxa"/>
            </w:tcMar>
            <w:vAlign w:val="center"/>
          </w:tcPr>
          <w:p w14:paraId="5B02A9DF" w14:textId="77777777" w:rsidR="00FD1E19" w:rsidRDefault="00FD1E19" w:rsidP="00BE7E4A">
            <w:pPr>
              <w:pStyle w:val="DMETW37225BIPOPEAID"/>
              <w:jc w:val="right"/>
              <w:rPr>
                <w:rFonts w:ascii="Verdana" w:eastAsia="Verdana" w:hAnsi="Verdana" w:cs="Verdana"/>
                <w:noProof/>
                <w:color w:val="FFFFFF"/>
              </w:rPr>
            </w:pPr>
          </w:p>
        </w:tc>
        <w:tc>
          <w:tcPr>
            <w:tcW w:w="1125" w:type="dxa"/>
            <w:tcBorders>
              <w:top w:val="nil"/>
              <w:left w:val="nil"/>
              <w:bottom w:val="nil"/>
              <w:right w:val="nil"/>
              <w:tl2br w:val="nil"/>
              <w:tr2bl w:val="nil"/>
            </w:tcBorders>
            <w:shd w:val="solid" w:color="016794" w:fill="FFFFFF"/>
            <w:tcMar>
              <w:left w:w="60" w:type="dxa"/>
              <w:right w:w="60" w:type="dxa"/>
            </w:tcMar>
            <w:vAlign w:val="center"/>
          </w:tcPr>
          <w:p w14:paraId="103BC14E" w14:textId="77777777" w:rsidR="00FD1E19" w:rsidRDefault="00FD1E19" w:rsidP="00BE7E4A">
            <w:pPr>
              <w:pStyle w:val="DMETW37225BIPOPEAID"/>
              <w:jc w:val="right"/>
              <w:rPr>
                <w:rFonts w:ascii="Verdana" w:eastAsia="Verdana" w:hAnsi="Verdana" w:cs="Verdana"/>
                <w:noProof/>
                <w:color w:val="FFFFFF"/>
              </w:rPr>
            </w:pPr>
            <w:r>
              <w:rPr>
                <w:rFonts w:ascii="Verdana" w:eastAsia="Verdana" w:hAnsi="Verdana" w:cs="Verdana"/>
                <w:noProof/>
                <w:color w:val="FFFFFF"/>
              </w:rPr>
              <w:t>Ninth EDF</w:t>
            </w:r>
          </w:p>
        </w:tc>
        <w:tc>
          <w:tcPr>
            <w:tcW w:w="933" w:type="dxa"/>
            <w:tcBorders>
              <w:top w:val="nil"/>
              <w:left w:val="nil"/>
              <w:bottom w:val="nil"/>
              <w:right w:val="nil"/>
              <w:tl2br w:val="nil"/>
              <w:tr2bl w:val="nil"/>
            </w:tcBorders>
            <w:shd w:val="solid" w:color="016794" w:fill="FFFFFF"/>
            <w:tcMar>
              <w:left w:w="60" w:type="dxa"/>
              <w:right w:w="60" w:type="dxa"/>
            </w:tcMar>
            <w:vAlign w:val="center"/>
          </w:tcPr>
          <w:p w14:paraId="5F739963" w14:textId="77777777" w:rsidR="00FD1E19" w:rsidRDefault="00FD1E19" w:rsidP="00BE7E4A">
            <w:pPr>
              <w:pStyle w:val="DMETW37225BIPOPEAID"/>
              <w:jc w:val="right"/>
              <w:rPr>
                <w:rFonts w:ascii="Verdana" w:eastAsia="Verdana" w:hAnsi="Verdana" w:cs="Verdana"/>
                <w:noProof/>
                <w:color w:val="FFFFFF"/>
              </w:rPr>
            </w:pPr>
            <w:r>
              <w:rPr>
                <w:rFonts w:ascii="Verdana" w:eastAsia="Verdana" w:hAnsi="Verdana" w:cs="Verdana"/>
                <w:noProof/>
                <w:color w:val="FFFFFF"/>
              </w:rPr>
              <w:t>10th EDF</w:t>
            </w:r>
          </w:p>
        </w:tc>
        <w:tc>
          <w:tcPr>
            <w:tcW w:w="1052" w:type="dxa"/>
            <w:tcBorders>
              <w:top w:val="nil"/>
              <w:left w:val="nil"/>
              <w:bottom w:val="nil"/>
              <w:right w:val="nil"/>
              <w:tl2br w:val="nil"/>
              <w:tr2bl w:val="nil"/>
            </w:tcBorders>
            <w:shd w:val="solid" w:color="016794" w:fill="FFFFFF"/>
            <w:tcMar>
              <w:left w:w="60" w:type="dxa"/>
              <w:right w:w="60" w:type="dxa"/>
            </w:tcMar>
            <w:vAlign w:val="center"/>
          </w:tcPr>
          <w:p w14:paraId="70D052D0" w14:textId="77777777" w:rsidR="00FD1E19" w:rsidRDefault="00FD1E19" w:rsidP="00BE7E4A">
            <w:pPr>
              <w:pStyle w:val="DMETW37225BIPOPEAID"/>
              <w:jc w:val="right"/>
              <w:rPr>
                <w:rFonts w:ascii="Verdana" w:eastAsia="Verdana" w:hAnsi="Verdana" w:cs="Verdana"/>
                <w:noProof/>
                <w:color w:val="FFFFFF"/>
              </w:rPr>
            </w:pPr>
            <w:r>
              <w:rPr>
                <w:rFonts w:ascii="Verdana" w:eastAsia="Verdana" w:hAnsi="Verdana" w:cs="Verdana"/>
                <w:noProof/>
                <w:color w:val="FFFFFF"/>
              </w:rPr>
              <w:t>11th EDF</w:t>
            </w:r>
          </w:p>
        </w:tc>
        <w:tc>
          <w:tcPr>
            <w:tcW w:w="1417" w:type="dxa"/>
            <w:tcBorders>
              <w:top w:val="nil"/>
              <w:left w:val="nil"/>
              <w:bottom w:val="nil"/>
              <w:right w:val="nil"/>
              <w:tl2br w:val="nil"/>
              <w:tr2bl w:val="nil"/>
            </w:tcBorders>
            <w:shd w:val="solid" w:color="016794" w:fill="FFFFFF"/>
            <w:tcMar>
              <w:left w:w="60" w:type="dxa"/>
              <w:right w:w="60" w:type="dxa"/>
            </w:tcMar>
            <w:vAlign w:val="center"/>
          </w:tcPr>
          <w:p w14:paraId="0305EC54" w14:textId="77777777" w:rsidR="00FD1E19" w:rsidRDefault="00FD1E19" w:rsidP="00BE7E4A">
            <w:pPr>
              <w:pStyle w:val="DMETW37225BIPOPEAID"/>
              <w:jc w:val="right"/>
              <w:rPr>
                <w:rFonts w:ascii="Verdana" w:eastAsia="Verdana" w:hAnsi="Verdana" w:cs="Verdana"/>
                <w:noProof/>
                <w:color w:val="FFFFFF"/>
              </w:rPr>
            </w:pPr>
            <w:r>
              <w:rPr>
                <w:rFonts w:ascii="Verdana" w:eastAsia="Verdana" w:hAnsi="Verdana" w:cs="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center"/>
          </w:tcPr>
          <w:p w14:paraId="1548023F" w14:textId="77777777" w:rsidR="00FD1E19" w:rsidRDefault="00FD1E19" w:rsidP="00BE7E4A">
            <w:pPr>
              <w:pStyle w:val="DMETW37225BIPOPEAID"/>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32B6D096" w14:textId="77777777" w:rsidTr="00BE7E4A">
        <w:trPr>
          <w:cantSplit/>
          <w:trHeight w:hRule="exact" w:val="255"/>
        </w:trPr>
        <w:tc>
          <w:tcPr>
            <w:tcW w:w="4038" w:type="dxa"/>
            <w:tcBorders>
              <w:top w:val="nil"/>
              <w:left w:val="nil"/>
              <w:bottom w:val="nil"/>
              <w:right w:val="nil"/>
              <w:tl2br w:val="nil"/>
              <w:tr2bl w:val="nil"/>
            </w:tcBorders>
            <w:shd w:val="clear" w:color="auto" w:fill="auto"/>
            <w:tcMar>
              <w:left w:w="60" w:type="dxa"/>
              <w:right w:w="60" w:type="dxa"/>
            </w:tcMar>
            <w:vAlign w:val="center"/>
          </w:tcPr>
          <w:p w14:paraId="1C8F2FC7" w14:textId="77777777" w:rsidR="00FD1E19" w:rsidRDefault="00FD1E19" w:rsidP="00BE7E4A">
            <w:pPr>
              <w:pStyle w:val="DMETW37225BIPOPEAID"/>
              <w:rPr>
                <w:rFonts w:ascii="Verdana" w:eastAsia="Verdana" w:hAnsi="Verdana" w:cs="Verdana"/>
                <w:i/>
                <w:noProof/>
                <w:color w:val="000000"/>
                <w:sz w:val="18"/>
              </w:rPr>
            </w:pPr>
            <w:r>
              <w:rPr>
                <w:rFonts w:ascii="Verdana" w:eastAsia="Verdana" w:hAnsi="Verdana" w:cs="Verdana"/>
                <w:i/>
                <w:noProof/>
                <w:color w:val="000000"/>
                <w:sz w:val="18"/>
              </w:rPr>
              <w:t>Programmable aid</w:t>
            </w:r>
          </w:p>
        </w:tc>
        <w:tc>
          <w:tcPr>
            <w:tcW w:w="1125" w:type="dxa"/>
            <w:tcBorders>
              <w:top w:val="nil"/>
              <w:left w:val="nil"/>
              <w:bottom w:val="nil"/>
              <w:right w:val="nil"/>
              <w:tl2br w:val="nil"/>
              <w:tr2bl w:val="nil"/>
            </w:tcBorders>
            <w:shd w:val="clear" w:color="auto" w:fill="auto"/>
            <w:tcMar>
              <w:left w:w="60" w:type="dxa"/>
              <w:right w:w="60" w:type="dxa"/>
            </w:tcMar>
            <w:vAlign w:val="center"/>
          </w:tcPr>
          <w:p w14:paraId="3C2897B8"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933" w:type="dxa"/>
            <w:tcBorders>
              <w:top w:val="nil"/>
              <w:left w:val="nil"/>
              <w:bottom w:val="nil"/>
              <w:right w:val="nil"/>
              <w:tl2br w:val="nil"/>
              <w:tr2bl w:val="nil"/>
            </w:tcBorders>
            <w:shd w:val="clear" w:color="auto" w:fill="auto"/>
            <w:tcMar>
              <w:left w:w="60" w:type="dxa"/>
              <w:right w:w="60" w:type="dxa"/>
            </w:tcMar>
            <w:vAlign w:val="center"/>
          </w:tcPr>
          <w:p w14:paraId="7C51510C"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052" w:type="dxa"/>
            <w:tcBorders>
              <w:top w:val="nil"/>
              <w:left w:val="nil"/>
              <w:bottom w:val="nil"/>
              <w:right w:val="nil"/>
              <w:tl2br w:val="nil"/>
              <w:tr2bl w:val="nil"/>
            </w:tcBorders>
            <w:shd w:val="clear" w:color="auto" w:fill="auto"/>
            <w:tcMar>
              <w:left w:w="60" w:type="dxa"/>
              <w:right w:w="60" w:type="dxa"/>
            </w:tcMar>
            <w:vAlign w:val="center"/>
          </w:tcPr>
          <w:p w14:paraId="569F2614"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459</w:t>
            </w:r>
          </w:p>
        </w:tc>
        <w:tc>
          <w:tcPr>
            <w:tcW w:w="1417" w:type="dxa"/>
            <w:tcBorders>
              <w:top w:val="nil"/>
              <w:left w:val="nil"/>
              <w:bottom w:val="nil"/>
              <w:right w:val="nil"/>
              <w:tl2br w:val="nil"/>
              <w:tr2bl w:val="nil"/>
            </w:tcBorders>
            <w:shd w:val="clear" w:color="auto" w:fill="auto"/>
            <w:tcMar>
              <w:left w:w="60" w:type="dxa"/>
              <w:right w:w="60" w:type="dxa"/>
            </w:tcMar>
            <w:vAlign w:val="center"/>
          </w:tcPr>
          <w:p w14:paraId="3284BCAF"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467</w:t>
            </w:r>
          </w:p>
        </w:tc>
        <w:tc>
          <w:tcPr>
            <w:tcW w:w="1193" w:type="dxa"/>
            <w:tcBorders>
              <w:top w:val="nil"/>
              <w:left w:val="nil"/>
              <w:bottom w:val="nil"/>
              <w:right w:val="nil"/>
              <w:tl2br w:val="nil"/>
              <w:tr2bl w:val="nil"/>
            </w:tcBorders>
            <w:shd w:val="clear" w:color="auto" w:fill="auto"/>
            <w:tcMar>
              <w:left w:w="60" w:type="dxa"/>
              <w:right w:w="60" w:type="dxa"/>
            </w:tcMar>
            <w:vAlign w:val="center"/>
          </w:tcPr>
          <w:p w14:paraId="2947633C" w14:textId="77777777" w:rsidR="00FD1E19" w:rsidRDefault="00FD1E19" w:rsidP="00BE7E4A">
            <w:pPr>
              <w:pStyle w:val="DMETW37225BIPOPEAI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630</w:t>
            </w:r>
          </w:p>
        </w:tc>
      </w:tr>
      <w:tr w:rsidR="00FD1E19" w14:paraId="671167AB" w14:textId="77777777" w:rsidTr="00BE7E4A">
        <w:trPr>
          <w:cantSplit/>
          <w:trHeight w:hRule="exact" w:val="255"/>
        </w:trPr>
        <w:tc>
          <w:tcPr>
            <w:tcW w:w="4038" w:type="dxa"/>
            <w:tcBorders>
              <w:top w:val="nil"/>
              <w:left w:val="nil"/>
              <w:bottom w:val="nil"/>
              <w:right w:val="nil"/>
              <w:tl2br w:val="nil"/>
              <w:tr2bl w:val="nil"/>
            </w:tcBorders>
            <w:shd w:val="clear" w:color="auto" w:fill="auto"/>
            <w:tcMar>
              <w:left w:w="60" w:type="dxa"/>
              <w:right w:w="60" w:type="dxa"/>
            </w:tcMar>
            <w:vAlign w:val="center"/>
          </w:tcPr>
          <w:p w14:paraId="2A6CD187" w14:textId="77777777" w:rsidR="00FD1E19" w:rsidRDefault="00FD1E19" w:rsidP="00BE7E4A">
            <w:pPr>
              <w:pStyle w:val="DMETW37225BIPOPEAID"/>
              <w:rPr>
                <w:rFonts w:ascii="Verdana" w:eastAsia="Verdana" w:hAnsi="Verdana" w:cs="Verdana"/>
                <w:i/>
                <w:noProof/>
                <w:color w:val="000000"/>
                <w:sz w:val="18"/>
              </w:rPr>
            </w:pPr>
            <w:r>
              <w:rPr>
                <w:rFonts w:ascii="Verdana" w:eastAsia="Verdana" w:hAnsi="Verdana" w:cs="Verdana"/>
                <w:i/>
                <w:noProof/>
                <w:color w:val="000000"/>
                <w:sz w:val="18"/>
              </w:rPr>
              <w:t>Intra-ACP projects</w:t>
            </w:r>
          </w:p>
        </w:tc>
        <w:tc>
          <w:tcPr>
            <w:tcW w:w="1125" w:type="dxa"/>
            <w:tcBorders>
              <w:top w:val="nil"/>
              <w:left w:val="nil"/>
              <w:bottom w:val="nil"/>
              <w:right w:val="nil"/>
              <w:tl2br w:val="nil"/>
              <w:tr2bl w:val="nil"/>
            </w:tcBorders>
            <w:shd w:val="clear" w:color="auto" w:fill="auto"/>
            <w:tcMar>
              <w:left w:w="60" w:type="dxa"/>
              <w:right w:w="60" w:type="dxa"/>
            </w:tcMar>
            <w:vAlign w:val="center"/>
          </w:tcPr>
          <w:p w14:paraId="2BAEE303"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3" w:type="dxa"/>
            <w:tcBorders>
              <w:top w:val="nil"/>
              <w:left w:val="nil"/>
              <w:bottom w:val="nil"/>
              <w:right w:val="nil"/>
              <w:tl2br w:val="nil"/>
              <w:tr2bl w:val="nil"/>
            </w:tcBorders>
            <w:shd w:val="clear" w:color="auto" w:fill="auto"/>
            <w:tcMar>
              <w:left w:w="60" w:type="dxa"/>
              <w:right w:w="60" w:type="dxa"/>
            </w:tcMar>
            <w:vAlign w:val="center"/>
          </w:tcPr>
          <w:p w14:paraId="6F47C20E"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85</w:t>
            </w:r>
          </w:p>
        </w:tc>
        <w:tc>
          <w:tcPr>
            <w:tcW w:w="1052" w:type="dxa"/>
            <w:tcBorders>
              <w:top w:val="nil"/>
              <w:left w:val="nil"/>
              <w:bottom w:val="nil"/>
              <w:right w:val="nil"/>
              <w:tl2br w:val="nil"/>
              <w:tr2bl w:val="nil"/>
            </w:tcBorders>
            <w:shd w:val="clear" w:color="auto" w:fill="auto"/>
            <w:tcMar>
              <w:left w:w="60" w:type="dxa"/>
              <w:right w:w="60" w:type="dxa"/>
            </w:tcMar>
            <w:vAlign w:val="center"/>
          </w:tcPr>
          <w:p w14:paraId="2EEC765E"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331</w:t>
            </w:r>
          </w:p>
        </w:tc>
        <w:tc>
          <w:tcPr>
            <w:tcW w:w="1417" w:type="dxa"/>
            <w:tcBorders>
              <w:top w:val="nil"/>
              <w:left w:val="nil"/>
              <w:bottom w:val="nil"/>
              <w:right w:val="nil"/>
              <w:tl2br w:val="nil"/>
              <w:tr2bl w:val="nil"/>
            </w:tcBorders>
            <w:shd w:val="clear" w:color="auto" w:fill="auto"/>
            <w:tcMar>
              <w:left w:w="60" w:type="dxa"/>
              <w:right w:w="60" w:type="dxa"/>
            </w:tcMar>
            <w:vAlign w:val="center"/>
          </w:tcPr>
          <w:p w14:paraId="4085C18D"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416</w:t>
            </w:r>
          </w:p>
        </w:tc>
        <w:tc>
          <w:tcPr>
            <w:tcW w:w="1193" w:type="dxa"/>
            <w:tcBorders>
              <w:top w:val="nil"/>
              <w:left w:val="nil"/>
              <w:bottom w:val="nil"/>
              <w:right w:val="nil"/>
              <w:tl2br w:val="nil"/>
              <w:tr2bl w:val="nil"/>
            </w:tcBorders>
            <w:shd w:val="clear" w:color="auto" w:fill="auto"/>
            <w:tcMar>
              <w:left w:w="60" w:type="dxa"/>
              <w:right w:w="60" w:type="dxa"/>
            </w:tcMar>
            <w:vAlign w:val="center"/>
          </w:tcPr>
          <w:p w14:paraId="665F0A0C" w14:textId="77777777" w:rsidR="00FD1E19" w:rsidRDefault="00FD1E19" w:rsidP="00BE7E4A">
            <w:pPr>
              <w:pStyle w:val="DMETW37225BIPOPEAI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497</w:t>
            </w:r>
          </w:p>
        </w:tc>
      </w:tr>
      <w:tr w:rsidR="00FD1E19" w14:paraId="0DDA95C3" w14:textId="77777777" w:rsidTr="00BE7E4A">
        <w:trPr>
          <w:cantSplit/>
          <w:trHeight w:hRule="exact" w:val="255"/>
        </w:trPr>
        <w:tc>
          <w:tcPr>
            <w:tcW w:w="4038" w:type="dxa"/>
            <w:tcBorders>
              <w:top w:val="nil"/>
              <w:left w:val="nil"/>
              <w:bottom w:val="nil"/>
              <w:right w:val="nil"/>
              <w:tl2br w:val="nil"/>
              <w:tr2bl w:val="nil"/>
            </w:tcBorders>
            <w:shd w:val="clear" w:color="auto" w:fill="auto"/>
            <w:tcMar>
              <w:left w:w="60" w:type="dxa"/>
              <w:right w:w="60" w:type="dxa"/>
            </w:tcMar>
            <w:vAlign w:val="center"/>
          </w:tcPr>
          <w:p w14:paraId="21C2E7E2" w14:textId="77777777" w:rsidR="00FD1E19" w:rsidRDefault="00FD1E19" w:rsidP="00BE7E4A">
            <w:pPr>
              <w:pStyle w:val="DMETW37225BIPOPEAID"/>
              <w:rPr>
                <w:rFonts w:ascii="Verdana" w:eastAsia="Verdana" w:hAnsi="Verdana" w:cs="Verdana"/>
                <w:i/>
                <w:noProof/>
                <w:color w:val="000000"/>
                <w:sz w:val="18"/>
              </w:rPr>
            </w:pPr>
            <w:r>
              <w:rPr>
                <w:rFonts w:ascii="Verdana" w:eastAsia="Verdana" w:hAnsi="Verdana" w:cs="Verdana"/>
                <w:i/>
                <w:noProof/>
                <w:color w:val="000000"/>
                <w:sz w:val="18"/>
              </w:rPr>
              <w:t>Emergency aid</w:t>
            </w:r>
          </w:p>
        </w:tc>
        <w:tc>
          <w:tcPr>
            <w:tcW w:w="1125" w:type="dxa"/>
            <w:tcBorders>
              <w:top w:val="nil"/>
              <w:left w:val="nil"/>
              <w:bottom w:val="nil"/>
              <w:right w:val="nil"/>
              <w:tl2br w:val="nil"/>
              <w:tr2bl w:val="nil"/>
            </w:tcBorders>
            <w:shd w:val="clear" w:color="auto" w:fill="auto"/>
            <w:tcMar>
              <w:left w:w="60" w:type="dxa"/>
              <w:right w:w="60" w:type="dxa"/>
            </w:tcMar>
            <w:vAlign w:val="center"/>
          </w:tcPr>
          <w:p w14:paraId="4D469DFF"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3" w:type="dxa"/>
            <w:tcBorders>
              <w:top w:val="nil"/>
              <w:left w:val="nil"/>
              <w:bottom w:val="nil"/>
              <w:right w:val="nil"/>
              <w:tl2br w:val="nil"/>
              <w:tr2bl w:val="nil"/>
            </w:tcBorders>
            <w:shd w:val="clear" w:color="auto" w:fill="auto"/>
            <w:tcMar>
              <w:left w:w="60" w:type="dxa"/>
              <w:right w:w="60" w:type="dxa"/>
            </w:tcMar>
            <w:vAlign w:val="center"/>
          </w:tcPr>
          <w:p w14:paraId="292811C3"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052" w:type="dxa"/>
            <w:tcBorders>
              <w:top w:val="nil"/>
              <w:left w:val="nil"/>
              <w:bottom w:val="nil"/>
              <w:right w:val="nil"/>
              <w:tl2br w:val="nil"/>
              <w:tr2bl w:val="nil"/>
            </w:tcBorders>
            <w:shd w:val="clear" w:color="auto" w:fill="auto"/>
            <w:tcMar>
              <w:left w:w="60" w:type="dxa"/>
              <w:right w:w="60" w:type="dxa"/>
            </w:tcMar>
            <w:vAlign w:val="center"/>
          </w:tcPr>
          <w:p w14:paraId="013E1C51"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48</w:t>
            </w:r>
          </w:p>
        </w:tc>
        <w:tc>
          <w:tcPr>
            <w:tcW w:w="1417" w:type="dxa"/>
            <w:tcBorders>
              <w:top w:val="nil"/>
              <w:left w:val="nil"/>
              <w:bottom w:val="nil"/>
              <w:right w:val="nil"/>
              <w:tl2br w:val="nil"/>
              <w:tr2bl w:val="nil"/>
            </w:tcBorders>
            <w:shd w:val="clear" w:color="auto" w:fill="auto"/>
            <w:tcMar>
              <w:left w:w="60" w:type="dxa"/>
              <w:right w:w="60" w:type="dxa"/>
            </w:tcMar>
            <w:vAlign w:val="center"/>
          </w:tcPr>
          <w:p w14:paraId="46D104ED"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50</w:t>
            </w:r>
          </w:p>
        </w:tc>
        <w:tc>
          <w:tcPr>
            <w:tcW w:w="1193" w:type="dxa"/>
            <w:tcBorders>
              <w:top w:val="nil"/>
              <w:left w:val="nil"/>
              <w:bottom w:val="nil"/>
              <w:right w:val="nil"/>
              <w:tl2br w:val="nil"/>
              <w:tr2bl w:val="nil"/>
            </w:tcBorders>
            <w:shd w:val="clear" w:color="auto" w:fill="auto"/>
            <w:tcMar>
              <w:left w:w="60" w:type="dxa"/>
              <w:right w:w="60" w:type="dxa"/>
            </w:tcMar>
            <w:vAlign w:val="center"/>
          </w:tcPr>
          <w:p w14:paraId="5BB6C619" w14:textId="77777777" w:rsidR="00FD1E19" w:rsidRDefault="00FD1E19" w:rsidP="00BE7E4A">
            <w:pPr>
              <w:pStyle w:val="DMETW37225BIPOPEAI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w:t>
            </w:r>
          </w:p>
        </w:tc>
      </w:tr>
      <w:tr w:rsidR="00FD1E19" w14:paraId="3C9FD18A" w14:textId="77777777" w:rsidTr="00BE7E4A">
        <w:trPr>
          <w:cantSplit/>
          <w:trHeight w:hRule="exact" w:val="255"/>
        </w:trPr>
        <w:tc>
          <w:tcPr>
            <w:tcW w:w="4038" w:type="dxa"/>
            <w:tcBorders>
              <w:top w:val="nil"/>
              <w:left w:val="nil"/>
              <w:bottom w:val="nil"/>
              <w:right w:val="nil"/>
              <w:tl2br w:val="nil"/>
              <w:tr2bl w:val="nil"/>
            </w:tcBorders>
            <w:shd w:val="clear" w:color="auto" w:fill="auto"/>
            <w:tcMar>
              <w:left w:w="60" w:type="dxa"/>
              <w:right w:w="60" w:type="dxa"/>
            </w:tcMar>
            <w:vAlign w:val="center"/>
          </w:tcPr>
          <w:p w14:paraId="15B003CD" w14:textId="77777777" w:rsidR="00FD1E19" w:rsidRDefault="00FD1E19" w:rsidP="00BE7E4A">
            <w:pPr>
              <w:pStyle w:val="DMETW37225BIPOPEAID"/>
              <w:rPr>
                <w:rFonts w:ascii="Verdana" w:eastAsia="Verdana" w:hAnsi="Verdana" w:cs="Verdana"/>
                <w:i/>
                <w:noProof/>
                <w:color w:val="000000"/>
                <w:sz w:val="18"/>
              </w:rPr>
            </w:pPr>
            <w:r>
              <w:rPr>
                <w:rFonts w:ascii="Verdana" w:eastAsia="Verdana" w:hAnsi="Verdana" w:cs="Verdana"/>
                <w:i/>
                <w:noProof/>
                <w:color w:val="000000"/>
                <w:sz w:val="18"/>
              </w:rPr>
              <w:t xml:space="preserve">Other Aid programmes </w:t>
            </w:r>
          </w:p>
        </w:tc>
        <w:tc>
          <w:tcPr>
            <w:tcW w:w="1125" w:type="dxa"/>
            <w:tcBorders>
              <w:top w:val="nil"/>
              <w:left w:val="nil"/>
              <w:bottom w:val="nil"/>
              <w:right w:val="nil"/>
              <w:tl2br w:val="nil"/>
              <w:tr2bl w:val="nil"/>
            </w:tcBorders>
            <w:shd w:val="clear" w:color="auto" w:fill="auto"/>
            <w:tcMar>
              <w:left w:w="60" w:type="dxa"/>
              <w:right w:w="60" w:type="dxa"/>
            </w:tcMar>
            <w:vAlign w:val="center"/>
          </w:tcPr>
          <w:p w14:paraId="1C8E9E86"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933" w:type="dxa"/>
            <w:tcBorders>
              <w:top w:val="nil"/>
              <w:left w:val="nil"/>
              <w:bottom w:val="nil"/>
              <w:right w:val="nil"/>
              <w:tl2br w:val="nil"/>
              <w:tr2bl w:val="nil"/>
            </w:tcBorders>
            <w:shd w:val="clear" w:color="auto" w:fill="auto"/>
            <w:tcMar>
              <w:left w:w="60" w:type="dxa"/>
              <w:right w:w="60" w:type="dxa"/>
            </w:tcMar>
            <w:vAlign w:val="center"/>
          </w:tcPr>
          <w:p w14:paraId="2664465C"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2" w:type="dxa"/>
            <w:tcBorders>
              <w:top w:val="nil"/>
              <w:left w:val="nil"/>
              <w:bottom w:val="nil"/>
              <w:right w:val="nil"/>
              <w:tl2br w:val="nil"/>
              <w:tr2bl w:val="nil"/>
            </w:tcBorders>
            <w:shd w:val="clear" w:color="auto" w:fill="auto"/>
            <w:tcMar>
              <w:left w:w="60" w:type="dxa"/>
              <w:right w:w="60" w:type="dxa"/>
            </w:tcMar>
            <w:vAlign w:val="center"/>
          </w:tcPr>
          <w:p w14:paraId="6FEBFC6E"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417" w:type="dxa"/>
            <w:tcBorders>
              <w:top w:val="nil"/>
              <w:left w:val="nil"/>
              <w:bottom w:val="nil"/>
              <w:right w:val="nil"/>
              <w:tl2br w:val="nil"/>
              <w:tr2bl w:val="nil"/>
            </w:tcBorders>
            <w:shd w:val="clear" w:color="auto" w:fill="auto"/>
            <w:tcMar>
              <w:left w:w="60" w:type="dxa"/>
              <w:right w:w="60" w:type="dxa"/>
            </w:tcMar>
            <w:vAlign w:val="center"/>
          </w:tcPr>
          <w:p w14:paraId="4B3FECF7"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193" w:type="dxa"/>
            <w:tcBorders>
              <w:top w:val="nil"/>
              <w:left w:val="nil"/>
              <w:bottom w:val="nil"/>
              <w:right w:val="nil"/>
              <w:tl2br w:val="nil"/>
              <w:tr2bl w:val="nil"/>
            </w:tcBorders>
            <w:shd w:val="clear" w:color="auto" w:fill="auto"/>
            <w:tcMar>
              <w:left w:w="60" w:type="dxa"/>
              <w:right w:w="60" w:type="dxa"/>
            </w:tcMar>
            <w:vAlign w:val="center"/>
          </w:tcPr>
          <w:p w14:paraId="6E7293DF" w14:textId="77777777" w:rsidR="00FD1E19" w:rsidRDefault="00FD1E19" w:rsidP="00BE7E4A">
            <w:pPr>
              <w:pStyle w:val="DMETW37225BIPOPEAID"/>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539A8B03" w14:textId="77777777" w:rsidTr="00BE7E4A">
        <w:trPr>
          <w:cantSplit/>
          <w:trHeight w:hRule="exact" w:val="255"/>
        </w:trPr>
        <w:tc>
          <w:tcPr>
            <w:tcW w:w="4038" w:type="dxa"/>
            <w:tcBorders>
              <w:top w:val="nil"/>
              <w:left w:val="nil"/>
              <w:bottom w:val="nil"/>
              <w:right w:val="nil"/>
              <w:tl2br w:val="nil"/>
              <w:tr2bl w:val="nil"/>
            </w:tcBorders>
            <w:shd w:val="clear" w:color="auto" w:fill="auto"/>
            <w:tcMar>
              <w:left w:w="60" w:type="dxa"/>
              <w:right w:w="60" w:type="dxa"/>
            </w:tcMar>
            <w:vAlign w:val="center"/>
          </w:tcPr>
          <w:p w14:paraId="5A367AF7" w14:textId="77777777" w:rsidR="00FD1E19" w:rsidRDefault="00FD1E19" w:rsidP="00BE7E4A">
            <w:pPr>
              <w:pStyle w:val="DMETW37225BIPOPEAID"/>
              <w:rPr>
                <w:rFonts w:ascii="Verdana" w:eastAsia="Verdana" w:hAnsi="Verdana" w:cs="Verdana"/>
                <w:i/>
                <w:noProof/>
                <w:color w:val="000000"/>
                <w:sz w:val="18"/>
              </w:rPr>
            </w:pPr>
            <w:r>
              <w:rPr>
                <w:rFonts w:ascii="Verdana" w:eastAsia="Verdana" w:hAnsi="Verdana" w:cs="Verdana"/>
                <w:i/>
                <w:noProof/>
                <w:color w:val="000000"/>
                <w:sz w:val="18"/>
              </w:rPr>
              <w:t>Institutional support</w:t>
            </w:r>
          </w:p>
        </w:tc>
        <w:tc>
          <w:tcPr>
            <w:tcW w:w="1125" w:type="dxa"/>
            <w:tcBorders>
              <w:top w:val="nil"/>
              <w:left w:val="nil"/>
              <w:bottom w:val="nil"/>
              <w:right w:val="nil"/>
              <w:tl2br w:val="nil"/>
              <w:tr2bl w:val="nil"/>
            </w:tcBorders>
            <w:shd w:val="clear" w:color="auto" w:fill="auto"/>
            <w:tcMar>
              <w:left w:w="60" w:type="dxa"/>
              <w:right w:w="60" w:type="dxa"/>
            </w:tcMar>
            <w:vAlign w:val="center"/>
          </w:tcPr>
          <w:p w14:paraId="77183BC8"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3" w:type="dxa"/>
            <w:tcBorders>
              <w:top w:val="nil"/>
              <w:left w:val="nil"/>
              <w:bottom w:val="nil"/>
              <w:right w:val="nil"/>
              <w:tl2br w:val="nil"/>
              <w:tr2bl w:val="nil"/>
            </w:tcBorders>
            <w:shd w:val="clear" w:color="auto" w:fill="auto"/>
            <w:tcMar>
              <w:left w:w="60" w:type="dxa"/>
              <w:right w:w="60" w:type="dxa"/>
            </w:tcMar>
            <w:vAlign w:val="center"/>
          </w:tcPr>
          <w:p w14:paraId="77BA50A1"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052" w:type="dxa"/>
            <w:tcBorders>
              <w:top w:val="nil"/>
              <w:left w:val="nil"/>
              <w:bottom w:val="nil"/>
              <w:right w:val="nil"/>
              <w:tl2br w:val="nil"/>
              <w:tr2bl w:val="nil"/>
            </w:tcBorders>
            <w:shd w:val="clear" w:color="auto" w:fill="auto"/>
            <w:tcMar>
              <w:left w:w="60" w:type="dxa"/>
              <w:right w:w="60" w:type="dxa"/>
            </w:tcMar>
            <w:vAlign w:val="center"/>
          </w:tcPr>
          <w:p w14:paraId="41B41CC3"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14</w:t>
            </w:r>
          </w:p>
        </w:tc>
        <w:tc>
          <w:tcPr>
            <w:tcW w:w="1417" w:type="dxa"/>
            <w:tcBorders>
              <w:top w:val="nil"/>
              <w:left w:val="nil"/>
              <w:bottom w:val="nil"/>
              <w:right w:val="nil"/>
              <w:tl2br w:val="nil"/>
              <w:tr2bl w:val="nil"/>
            </w:tcBorders>
            <w:shd w:val="clear" w:color="auto" w:fill="auto"/>
            <w:tcMar>
              <w:left w:w="60" w:type="dxa"/>
              <w:right w:w="60" w:type="dxa"/>
            </w:tcMar>
            <w:vAlign w:val="center"/>
          </w:tcPr>
          <w:p w14:paraId="35C02A73"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193" w:type="dxa"/>
            <w:tcBorders>
              <w:top w:val="nil"/>
              <w:left w:val="nil"/>
              <w:bottom w:val="nil"/>
              <w:right w:val="nil"/>
              <w:tl2br w:val="nil"/>
              <w:tr2bl w:val="nil"/>
            </w:tcBorders>
            <w:shd w:val="clear" w:color="auto" w:fill="auto"/>
            <w:tcMar>
              <w:left w:w="60" w:type="dxa"/>
              <w:right w:w="60" w:type="dxa"/>
            </w:tcMar>
            <w:vAlign w:val="center"/>
          </w:tcPr>
          <w:p w14:paraId="28294DCD" w14:textId="77777777" w:rsidR="00FD1E19" w:rsidRDefault="00FD1E19" w:rsidP="00BE7E4A">
            <w:pPr>
              <w:pStyle w:val="DMETW37225BIPOPEAI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FD1E19" w14:paraId="38FD6EA5" w14:textId="77777777" w:rsidTr="00BE7E4A">
        <w:trPr>
          <w:cantSplit/>
          <w:trHeight w:hRule="exact" w:val="230"/>
        </w:trPr>
        <w:tc>
          <w:tcPr>
            <w:tcW w:w="4038" w:type="dxa"/>
            <w:tcBorders>
              <w:top w:val="nil"/>
              <w:left w:val="nil"/>
              <w:bottom w:val="nil"/>
              <w:right w:val="nil"/>
              <w:tl2br w:val="nil"/>
              <w:tr2bl w:val="nil"/>
            </w:tcBorders>
            <w:shd w:val="clear" w:color="auto" w:fill="auto"/>
            <w:tcMar>
              <w:left w:w="60" w:type="dxa"/>
              <w:right w:w="60" w:type="dxa"/>
            </w:tcMar>
            <w:vAlign w:val="center"/>
          </w:tcPr>
          <w:p w14:paraId="6AD3CE40" w14:textId="77777777" w:rsidR="00FD1E19" w:rsidRDefault="00FD1E19" w:rsidP="00BE7E4A">
            <w:pPr>
              <w:pStyle w:val="DMETW37225BIPOPEAID"/>
              <w:rPr>
                <w:rFonts w:ascii="Verdana" w:eastAsia="Verdana" w:hAnsi="Verdana" w:cs="Verdana"/>
                <w:i/>
                <w:noProof/>
                <w:color w:val="000000"/>
                <w:sz w:val="18"/>
              </w:rPr>
            </w:pPr>
            <w:r>
              <w:rPr>
                <w:rFonts w:ascii="Verdana" w:eastAsia="Verdana" w:hAnsi="Verdana" w:cs="Verdana"/>
                <w:i/>
                <w:noProof/>
                <w:color w:val="000000"/>
                <w:sz w:val="18"/>
              </w:rPr>
              <w:t>Contributions to Trust Funds</w:t>
            </w:r>
          </w:p>
        </w:tc>
        <w:tc>
          <w:tcPr>
            <w:tcW w:w="1125" w:type="dxa"/>
            <w:tcBorders>
              <w:top w:val="nil"/>
              <w:left w:val="nil"/>
              <w:bottom w:val="nil"/>
              <w:right w:val="nil"/>
              <w:tl2br w:val="nil"/>
              <w:tr2bl w:val="nil"/>
            </w:tcBorders>
            <w:shd w:val="clear" w:color="auto" w:fill="auto"/>
            <w:tcMar>
              <w:left w:w="60" w:type="dxa"/>
              <w:right w:w="60" w:type="dxa"/>
            </w:tcMar>
            <w:vAlign w:val="center"/>
          </w:tcPr>
          <w:p w14:paraId="5A9C571F"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3" w:type="dxa"/>
            <w:tcBorders>
              <w:top w:val="nil"/>
              <w:left w:val="nil"/>
              <w:bottom w:val="nil"/>
              <w:right w:val="nil"/>
              <w:tl2br w:val="nil"/>
              <w:tr2bl w:val="nil"/>
            </w:tcBorders>
            <w:shd w:val="clear" w:color="auto" w:fill="auto"/>
            <w:tcMar>
              <w:left w:w="60" w:type="dxa"/>
              <w:right w:w="60" w:type="dxa"/>
            </w:tcMar>
            <w:vAlign w:val="center"/>
          </w:tcPr>
          <w:p w14:paraId="3AC7336D"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2" w:type="dxa"/>
            <w:tcBorders>
              <w:top w:val="nil"/>
              <w:left w:val="nil"/>
              <w:bottom w:val="nil"/>
              <w:right w:val="nil"/>
              <w:tl2br w:val="nil"/>
              <w:tr2bl w:val="nil"/>
            </w:tcBorders>
            <w:shd w:val="clear" w:color="auto" w:fill="auto"/>
            <w:tcMar>
              <w:left w:w="60" w:type="dxa"/>
              <w:right w:w="60" w:type="dxa"/>
            </w:tcMar>
            <w:vAlign w:val="center"/>
          </w:tcPr>
          <w:p w14:paraId="070CBD69"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101</w:t>
            </w:r>
          </w:p>
        </w:tc>
        <w:tc>
          <w:tcPr>
            <w:tcW w:w="1417" w:type="dxa"/>
            <w:tcBorders>
              <w:top w:val="nil"/>
              <w:left w:val="nil"/>
              <w:bottom w:val="nil"/>
              <w:right w:val="nil"/>
              <w:tl2br w:val="nil"/>
              <w:tr2bl w:val="nil"/>
            </w:tcBorders>
            <w:shd w:val="clear" w:color="auto" w:fill="auto"/>
            <w:tcMar>
              <w:left w:w="60" w:type="dxa"/>
              <w:right w:w="60" w:type="dxa"/>
            </w:tcMar>
            <w:vAlign w:val="center"/>
          </w:tcPr>
          <w:p w14:paraId="0ECB0C56" w14:textId="77777777" w:rsidR="00FD1E19" w:rsidRDefault="00FD1E19" w:rsidP="00BE7E4A">
            <w:pPr>
              <w:pStyle w:val="DMETW37225BIPOPEAID"/>
              <w:jc w:val="right"/>
              <w:rPr>
                <w:rFonts w:ascii="Verdana" w:eastAsia="Verdana" w:hAnsi="Verdana" w:cs="Verdana"/>
                <w:i/>
                <w:noProof/>
                <w:color w:val="000000"/>
                <w:sz w:val="18"/>
              </w:rPr>
            </w:pPr>
            <w:r>
              <w:rPr>
                <w:rFonts w:ascii="Verdana" w:eastAsia="Verdana" w:hAnsi="Verdana" w:cs="Verdana"/>
                <w:i/>
                <w:noProof/>
                <w:color w:val="000000"/>
                <w:sz w:val="18"/>
              </w:rPr>
              <w:t xml:space="preserve"> 101</w:t>
            </w:r>
          </w:p>
        </w:tc>
        <w:tc>
          <w:tcPr>
            <w:tcW w:w="1193" w:type="dxa"/>
            <w:tcBorders>
              <w:top w:val="nil"/>
              <w:left w:val="nil"/>
              <w:bottom w:val="nil"/>
              <w:right w:val="nil"/>
              <w:tl2br w:val="nil"/>
              <w:tr2bl w:val="nil"/>
            </w:tcBorders>
            <w:shd w:val="clear" w:color="auto" w:fill="auto"/>
            <w:tcMar>
              <w:left w:w="60" w:type="dxa"/>
              <w:right w:w="60" w:type="dxa"/>
            </w:tcMar>
            <w:vAlign w:val="center"/>
          </w:tcPr>
          <w:p w14:paraId="1EA4F2A5" w14:textId="77777777" w:rsidR="00FD1E19" w:rsidRDefault="00FD1E19" w:rsidP="00BE7E4A">
            <w:pPr>
              <w:pStyle w:val="DMETW37225BIPOPEAID"/>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118</w:t>
            </w:r>
          </w:p>
        </w:tc>
      </w:tr>
      <w:tr w:rsidR="00FD1E19" w14:paraId="6A6155CE" w14:textId="77777777" w:rsidTr="00BE7E4A">
        <w:trPr>
          <w:trHeight w:hRule="exact" w:val="230"/>
        </w:trPr>
        <w:tc>
          <w:tcPr>
            <w:tcW w:w="4038" w:type="dxa"/>
            <w:tcBorders>
              <w:top w:val="nil"/>
              <w:left w:val="nil"/>
              <w:bottom w:val="nil"/>
              <w:right w:val="nil"/>
              <w:tl2br w:val="nil"/>
              <w:tr2bl w:val="nil"/>
            </w:tcBorders>
            <w:shd w:val="solid" w:color="CCE1EA" w:fill="FFFFFF"/>
            <w:tcMar>
              <w:left w:w="60" w:type="dxa"/>
              <w:right w:w="60" w:type="dxa"/>
            </w:tcMar>
            <w:vAlign w:val="center"/>
          </w:tcPr>
          <w:p w14:paraId="6D8A8D73" w14:textId="77777777" w:rsidR="00FD1E19" w:rsidRDefault="00FD1E19" w:rsidP="00BE7E4A">
            <w:pPr>
              <w:pStyle w:val="DMETW37225BIPOPEAID"/>
              <w:rPr>
                <w:rFonts w:ascii="Verdana" w:eastAsia="Verdana" w:hAnsi="Verdana" w:cs="Verdana"/>
                <w:b/>
                <w:noProof/>
                <w:color w:val="000000"/>
                <w:sz w:val="18"/>
              </w:rPr>
            </w:pPr>
            <w:r>
              <w:rPr>
                <w:rFonts w:ascii="Verdana" w:eastAsia="Verdana" w:hAnsi="Verdana" w:cs="Verdana"/>
                <w:b/>
                <w:noProof/>
                <w:color w:val="000000"/>
                <w:sz w:val="18"/>
              </w:rPr>
              <w:t>Total</w:t>
            </w:r>
          </w:p>
        </w:tc>
        <w:tc>
          <w:tcPr>
            <w:tcW w:w="1125" w:type="dxa"/>
            <w:tcBorders>
              <w:top w:val="nil"/>
              <w:left w:val="nil"/>
              <w:bottom w:val="nil"/>
              <w:right w:val="nil"/>
              <w:tl2br w:val="nil"/>
              <w:tr2bl w:val="nil"/>
            </w:tcBorders>
            <w:shd w:val="solid" w:color="CCE1EA" w:fill="FFFFFF"/>
            <w:tcMar>
              <w:left w:w="60" w:type="dxa"/>
              <w:right w:w="60" w:type="dxa"/>
            </w:tcMar>
            <w:vAlign w:val="center"/>
          </w:tcPr>
          <w:p w14:paraId="776168FD" w14:textId="77777777" w:rsidR="00FD1E19" w:rsidRDefault="00FD1E19" w:rsidP="00BE7E4A">
            <w:pPr>
              <w:pStyle w:val="DMETW37225BIPOPEAID"/>
              <w:jc w:val="right"/>
              <w:rPr>
                <w:rFonts w:ascii="Verdana" w:eastAsia="Verdana" w:hAnsi="Verdana" w:cs="Verdana"/>
                <w:b/>
                <w:noProof/>
                <w:color w:val="000000"/>
                <w:sz w:val="18"/>
              </w:rPr>
            </w:pPr>
            <w:r>
              <w:rPr>
                <w:rFonts w:ascii="Verdana" w:eastAsia="Verdana" w:hAnsi="Verdana" w:cs="Verdana"/>
                <w:b/>
                <w:noProof/>
                <w:color w:val="000000"/>
                <w:sz w:val="18"/>
              </w:rPr>
              <w:t xml:space="preserve">  8</w:t>
            </w:r>
          </w:p>
        </w:tc>
        <w:tc>
          <w:tcPr>
            <w:tcW w:w="933" w:type="dxa"/>
            <w:tcBorders>
              <w:top w:val="nil"/>
              <w:left w:val="nil"/>
              <w:bottom w:val="nil"/>
              <w:right w:val="nil"/>
              <w:tl2br w:val="nil"/>
              <w:tr2bl w:val="nil"/>
            </w:tcBorders>
            <w:shd w:val="solid" w:color="CCE1EA" w:fill="FFFFFF"/>
            <w:tcMar>
              <w:left w:w="60" w:type="dxa"/>
              <w:right w:w="60" w:type="dxa"/>
            </w:tcMar>
            <w:vAlign w:val="center"/>
          </w:tcPr>
          <w:p w14:paraId="6F05A79F" w14:textId="77777777" w:rsidR="00FD1E19" w:rsidRDefault="00FD1E19" w:rsidP="00BE7E4A">
            <w:pPr>
              <w:pStyle w:val="DMETW37225BIPOPEAID"/>
              <w:jc w:val="right"/>
              <w:rPr>
                <w:rFonts w:ascii="Verdana" w:eastAsia="Verdana" w:hAnsi="Verdana" w:cs="Verdana"/>
                <w:b/>
                <w:noProof/>
                <w:color w:val="000000"/>
                <w:sz w:val="18"/>
              </w:rPr>
            </w:pPr>
            <w:r>
              <w:rPr>
                <w:rFonts w:ascii="Verdana" w:eastAsia="Verdana" w:hAnsi="Verdana" w:cs="Verdana"/>
                <w:b/>
                <w:noProof/>
                <w:color w:val="000000"/>
                <w:sz w:val="18"/>
              </w:rPr>
              <w:t xml:space="preserve">  83</w:t>
            </w:r>
          </w:p>
        </w:tc>
        <w:tc>
          <w:tcPr>
            <w:tcW w:w="1052" w:type="dxa"/>
            <w:tcBorders>
              <w:top w:val="nil"/>
              <w:left w:val="nil"/>
              <w:bottom w:val="nil"/>
              <w:right w:val="nil"/>
              <w:tl2br w:val="nil"/>
              <w:tr2bl w:val="nil"/>
            </w:tcBorders>
            <w:shd w:val="solid" w:color="CCE1EA" w:fill="FFFFFF"/>
            <w:tcMar>
              <w:left w:w="60" w:type="dxa"/>
              <w:right w:w="60" w:type="dxa"/>
            </w:tcMar>
            <w:vAlign w:val="center"/>
          </w:tcPr>
          <w:p w14:paraId="46FC6663" w14:textId="77777777" w:rsidR="00FD1E19" w:rsidRDefault="00FD1E19" w:rsidP="00BE7E4A">
            <w:pPr>
              <w:pStyle w:val="DMETW37225BIPOPEAID"/>
              <w:jc w:val="right"/>
              <w:rPr>
                <w:rFonts w:ascii="Verdana" w:eastAsia="Verdana" w:hAnsi="Verdana" w:cs="Verdana"/>
                <w:b/>
                <w:noProof/>
                <w:color w:val="000000"/>
                <w:sz w:val="18"/>
              </w:rPr>
            </w:pPr>
            <w:r>
              <w:rPr>
                <w:rFonts w:ascii="Verdana" w:eastAsia="Verdana" w:hAnsi="Verdana" w:cs="Verdana"/>
                <w:b/>
                <w:noProof/>
                <w:color w:val="000000"/>
                <w:sz w:val="18"/>
              </w:rPr>
              <w:t xml:space="preserve">  953</w:t>
            </w:r>
          </w:p>
        </w:tc>
        <w:tc>
          <w:tcPr>
            <w:tcW w:w="1417" w:type="dxa"/>
            <w:tcBorders>
              <w:top w:val="nil"/>
              <w:left w:val="nil"/>
              <w:bottom w:val="nil"/>
              <w:right w:val="nil"/>
              <w:tl2br w:val="nil"/>
              <w:tr2bl w:val="nil"/>
            </w:tcBorders>
            <w:shd w:val="solid" w:color="CCE1EA" w:fill="FFFFFF"/>
            <w:tcMar>
              <w:left w:w="60" w:type="dxa"/>
              <w:right w:w="60" w:type="dxa"/>
            </w:tcMar>
            <w:vAlign w:val="center"/>
          </w:tcPr>
          <w:p w14:paraId="5BF0C5E5" w14:textId="77777777" w:rsidR="00FD1E19" w:rsidRDefault="00FD1E19" w:rsidP="00BE7E4A">
            <w:pPr>
              <w:pStyle w:val="DMETW37225BIPOPEAID"/>
              <w:jc w:val="right"/>
              <w:rPr>
                <w:rFonts w:ascii="Verdana" w:eastAsia="Verdana" w:hAnsi="Verdana" w:cs="Verdana"/>
                <w:b/>
                <w:noProof/>
                <w:color w:val="000000"/>
                <w:sz w:val="18"/>
              </w:rPr>
            </w:pPr>
            <w:r>
              <w:rPr>
                <w:rFonts w:ascii="Verdana" w:eastAsia="Verdana" w:hAnsi="Verdana" w:cs="Verdana"/>
                <w:b/>
                <w:noProof/>
                <w:color w:val="000000"/>
                <w:sz w:val="18"/>
              </w:rPr>
              <w:t xml:space="preserve"> 1 043</w:t>
            </w:r>
          </w:p>
        </w:tc>
        <w:tc>
          <w:tcPr>
            <w:tcW w:w="1193" w:type="dxa"/>
            <w:tcBorders>
              <w:top w:val="nil"/>
              <w:left w:val="nil"/>
              <w:bottom w:val="nil"/>
              <w:right w:val="nil"/>
              <w:tl2br w:val="nil"/>
              <w:tr2bl w:val="nil"/>
            </w:tcBorders>
            <w:shd w:val="solid" w:color="CCE1EA" w:fill="FFFFFF"/>
            <w:tcMar>
              <w:left w:w="60" w:type="dxa"/>
              <w:right w:w="60" w:type="dxa"/>
            </w:tcMar>
            <w:vAlign w:val="center"/>
          </w:tcPr>
          <w:p w14:paraId="3EE4CB8A" w14:textId="77777777" w:rsidR="00FD1E19" w:rsidRDefault="00FD1E19" w:rsidP="00BE7E4A">
            <w:pPr>
              <w:pStyle w:val="DMETW37225BIPOPEAID"/>
              <w:jc w:val="right"/>
              <w:rPr>
                <w:rFonts w:ascii="Verdana" w:eastAsia="Verdana" w:hAnsi="Verdana" w:cs="Verdana"/>
                <w:b/>
                <w:noProof/>
                <w:color w:val="000000"/>
                <w:sz w:val="18"/>
              </w:rPr>
            </w:pPr>
            <w:r>
              <w:rPr>
                <w:rFonts w:ascii="Verdana" w:eastAsia="Verdana" w:hAnsi="Verdana" w:cs="Verdana"/>
                <w:b/>
                <w:noProof/>
                <w:color w:val="000000"/>
                <w:sz w:val="18"/>
              </w:rPr>
              <w:t xml:space="preserve"> 1 237</w:t>
            </w:r>
          </w:p>
        </w:tc>
      </w:tr>
    </w:tbl>
    <w:p w14:paraId="3325B686" w14:textId="77777777" w:rsidR="00FD1E19" w:rsidRDefault="00FD1E19" w:rsidP="00FD1E19">
      <w:pPr>
        <w:pStyle w:val="Textstand-alone"/>
        <w:spacing w:after="0"/>
        <w:rPr>
          <w:lang w:val="en-IE"/>
        </w:rPr>
      </w:pPr>
      <w:bookmarkStart w:id="112" w:name="_Ref35550660"/>
      <w:r w:rsidRPr="00296275">
        <w:rPr>
          <w:lang w:val="en-IE"/>
        </w:rPr>
        <w:t xml:space="preserve">EDF operational expenditure covers various aid instruments and takes different forms depending on how payments are made and managed. </w:t>
      </w:r>
    </w:p>
    <w:p w14:paraId="48D801BB" w14:textId="77777777" w:rsidR="00FD1E19" w:rsidRPr="00296275" w:rsidRDefault="00FD1E19" w:rsidP="00FD1E19">
      <w:pPr>
        <w:pStyle w:val="Textstand-alone"/>
        <w:spacing w:after="0"/>
        <w:rPr>
          <w:lang w:val="en-IE"/>
        </w:rPr>
      </w:pPr>
      <w:r w:rsidRPr="00296275">
        <w:rPr>
          <w:lang w:val="en-IE"/>
        </w:rPr>
        <w:t>In 2025, operational expenditure decreased by EUR 19</w:t>
      </w:r>
      <w:r>
        <w:rPr>
          <w:lang w:val="en-IE"/>
        </w:rPr>
        <w:t>4</w:t>
      </w:r>
      <w:r w:rsidRPr="00296275">
        <w:rPr>
          <w:lang w:val="en-IE"/>
        </w:rPr>
        <w:t xml:space="preserve"> million, primarily due to a reduction in expenses under the 11th EDF, which fell from EUR 1 145 million in 2024 to EUR 953 million in 2025. This decrease reflects the lifecycle of the EDFs as they progressively move towards closure</w:t>
      </w:r>
      <w:r>
        <w:rPr>
          <w:lang w:val="en-IE"/>
        </w:rPr>
        <w:t xml:space="preserve">. </w:t>
      </w:r>
      <w:r w:rsidRPr="00296275">
        <w:rPr>
          <w:lang w:val="en-IE"/>
        </w:rPr>
        <w:t>The 11th EDF reached its final stage following the entry into force of the sunset clause on 31 December 2020, which set a cut-off date for new commitments. While no new financing decisions can be adopted, the implementation of ongoing projects continues until their completion, resulting in gradually declining expenditure.</w:t>
      </w:r>
    </w:p>
    <w:p w14:paraId="21C72E9D" w14:textId="77777777" w:rsidR="00FD1E19" w:rsidRDefault="00FD1E19" w:rsidP="00FD1E19">
      <w:pPr>
        <w:pStyle w:val="Textstand-alone"/>
        <w:spacing w:after="0"/>
        <w:rPr>
          <w:lang w:val="en-IE"/>
        </w:rPr>
      </w:pPr>
      <w:r w:rsidRPr="00296275">
        <w:rPr>
          <w:lang w:val="en-IE"/>
        </w:rPr>
        <w:t>Similarly, expenses under the 10th EDF reflect the advanced stage of implementation and the progressive closure of programmes. The closure of the 10th EDF is progressing well, with the majority of contracts already closed and the remaining contracts undergoing the final operational and financial closure steps, including evaluations, audits and recoveries.</w:t>
      </w:r>
      <w:r>
        <w:rPr>
          <w:lang w:val="en-IE"/>
        </w:rPr>
        <w:t xml:space="preserve"> </w:t>
      </w:r>
      <w:r w:rsidRPr="00296275">
        <w:rPr>
          <w:lang w:val="en-IE"/>
        </w:rPr>
        <w:t xml:space="preserve">The negative amounts under the </w:t>
      </w:r>
      <w:r>
        <w:rPr>
          <w:lang w:val="en-IE"/>
        </w:rPr>
        <w:t>10</w:t>
      </w:r>
      <w:r w:rsidRPr="00296275">
        <w:rPr>
          <w:lang w:val="en-IE"/>
        </w:rPr>
        <w:t xml:space="preserve">th EDF relating to institutional support arise from the reversal of 2024 accruals, which exceeded the actual expenses incurred in 2025. They relate to the contract ‘Institutional Support to the ACP Secretariat’, initially scheduled to end in December 2024 and extended until 15 September 2025. </w:t>
      </w:r>
      <w:r w:rsidRPr="002C60C2">
        <w:rPr>
          <w:lang w:val="en-IE"/>
        </w:rPr>
        <w:t>Due to delays related to the renovation and sale of the ACP House, the planned activities could not be fully implemented, resulting in a decommitment of EUR 10.7 million</w:t>
      </w:r>
      <w:r>
        <w:rPr>
          <w:lang w:val="en-IE"/>
        </w:rPr>
        <w:t xml:space="preserve">. </w:t>
      </w:r>
    </w:p>
    <w:p w14:paraId="7154020B" w14:textId="77777777" w:rsidR="00FD1E19" w:rsidRPr="00F25352" w:rsidRDefault="00FD1E19" w:rsidP="00FD1E19">
      <w:pPr>
        <w:pStyle w:val="Textstand-alone"/>
      </w:pPr>
      <w:r w:rsidRPr="00F25352">
        <w:t>In 2025, expenses for Intra-ACP projects were impacted by a EUR 23 million gain as a result of the reversal of a 2024 accrual related to one project reflecting updated implementation information received from the implementing partner.</w:t>
      </w:r>
    </w:p>
    <w:p w14:paraId="3EDF4500" w14:textId="77777777" w:rsidR="00FD1E19" w:rsidRPr="00296275" w:rsidRDefault="00FD1E19" w:rsidP="00FD1E19">
      <w:pPr>
        <w:pStyle w:val="Textstand-alone"/>
        <w:spacing w:after="0"/>
        <w:rPr>
          <w:lang w:val="en-IE"/>
        </w:rPr>
      </w:pPr>
      <w:r w:rsidRPr="00296275">
        <w:rPr>
          <w:lang w:val="en-IE"/>
        </w:rPr>
        <w:t>The 9th EDF is currently in the final stage of closure, with only a limited number of contracts still ongoing.</w:t>
      </w:r>
    </w:p>
    <w:p w14:paraId="1666E526" w14:textId="77777777" w:rsidR="00FD1E19" w:rsidRPr="00296275" w:rsidRDefault="00FD1E19" w:rsidP="00FD1E19">
      <w:pPr>
        <w:pStyle w:val="Textstand-alone"/>
        <w:spacing w:after="0"/>
        <w:rPr>
          <w:lang w:val="en-IE"/>
        </w:rPr>
      </w:pPr>
      <w:r w:rsidRPr="00296275">
        <w:rPr>
          <w:lang w:val="en-IE"/>
        </w:rPr>
        <w:t>Overall, 578 contracts were closed between February 2025 and January 2026 across the three open EDFs, contributing to the reduction in operational expenditure.</w:t>
      </w:r>
    </w:p>
    <w:p w14:paraId="0471959C" w14:textId="77777777" w:rsidR="00FD1E19" w:rsidRDefault="00FD1E19" w:rsidP="00FD1E19">
      <w:pPr>
        <w:pStyle w:val="HEADER2Part2"/>
        <w:keepNext/>
        <w:keepLines/>
        <w:ind w:left="3402" w:hanging="3402"/>
        <w:jc w:val="both"/>
        <w:rPr>
          <w:noProof/>
        </w:rPr>
      </w:pPr>
      <w:r w:rsidRPr="00F64D38">
        <w:rPr>
          <w:noProof/>
        </w:rPr>
        <w:t>CO-FINANCING EXPENSES</w:t>
      </w:r>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9"/>
        <w:gridCol w:w="3124"/>
        <w:gridCol w:w="851"/>
        <w:gridCol w:w="850"/>
        <w:gridCol w:w="1701"/>
        <w:gridCol w:w="1193"/>
      </w:tblGrid>
      <w:tr w:rsidR="00FD1E19" w14:paraId="5634FA63" w14:textId="77777777" w:rsidTr="00BE7E4A">
        <w:trPr>
          <w:trHeight w:val="255"/>
        </w:trPr>
        <w:tc>
          <w:tcPr>
            <w:tcW w:w="2039" w:type="dxa"/>
            <w:gridSpan w:val="6"/>
            <w:tcBorders>
              <w:top w:val="nil"/>
              <w:left w:val="nil"/>
              <w:bottom w:val="nil"/>
              <w:right w:val="nil"/>
              <w:tl2br w:val="nil"/>
              <w:tr2bl w:val="nil"/>
            </w:tcBorders>
            <w:shd w:val="clear" w:color="auto" w:fill="auto"/>
            <w:tcMar>
              <w:left w:w="60" w:type="dxa"/>
              <w:right w:w="60" w:type="dxa"/>
            </w:tcMar>
            <w:vAlign w:val="center"/>
          </w:tcPr>
          <w:p w14:paraId="14853AFF" w14:textId="77777777" w:rsidR="00FD1E19" w:rsidRDefault="00FD1E19" w:rsidP="00BE7E4A">
            <w:pPr>
              <w:pStyle w:val="DMETW37225BIPOPECOFI"/>
              <w:jc w:val="right"/>
              <w:rPr>
                <w:rFonts w:ascii="Verdana" w:eastAsia="Verdana" w:hAnsi="Verdana" w:cs="Verdana"/>
                <w:i/>
                <w:noProof/>
                <w:color w:val="000000"/>
                <w:sz w:val="16"/>
                <w:lang w:bidi="en-GB"/>
              </w:rPr>
            </w:pPr>
            <w:bookmarkStart w:id="113" w:name="DOC_TBL00039_1_1"/>
            <w:bookmarkEnd w:id="113"/>
            <w:r>
              <w:rPr>
                <w:rFonts w:ascii="Verdana" w:eastAsia="Verdana" w:hAnsi="Verdana" w:cs="Verdana"/>
                <w:i/>
                <w:noProof/>
                <w:color w:val="000000"/>
                <w:sz w:val="16"/>
                <w:lang w:bidi="en-GB"/>
              </w:rPr>
              <w:t>EUR million</w:t>
            </w:r>
          </w:p>
        </w:tc>
      </w:tr>
      <w:tr w:rsidR="00FD1E19" w14:paraId="3B2D458E" w14:textId="77777777" w:rsidTr="00BE7E4A">
        <w:trPr>
          <w:trHeight w:val="255"/>
        </w:trPr>
        <w:tc>
          <w:tcPr>
            <w:tcW w:w="2039" w:type="dxa"/>
            <w:tcBorders>
              <w:top w:val="nil"/>
              <w:left w:val="nil"/>
              <w:bottom w:val="nil"/>
              <w:right w:val="nil"/>
              <w:tl2br w:val="nil"/>
              <w:tr2bl w:val="nil"/>
            </w:tcBorders>
            <w:shd w:val="solid" w:color="016794" w:fill="FFFFFF"/>
            <w:tcMar>
              <w:left w:w="60" w:type="dxa"/>
              <w:right w:w="60" w:type="dxa"/>
            </w:tcMar>
            <w:vAlign w:val="center"/>
          </w:tcPr>
          <w:p w14:paraId="4976992E" w14:textId="77777777" w:rsidR="00FD1E19" w:rsidRDefault="00FD1E19" w:rsidP="00BE7E4A">
            <w:pPr>
              <w:pStyle w:val="DMETW37225BIPOPECOFI"/>
              <w:jc w:val="right"/>
              <w:rPr>
                <w:rFonts w:ascii="Verdana" w:eastAsia="Verdana" w:hAnsi="Verdana" w:cs="Verdana"/>
                <w:noProof/>
                <w:color w:val="FFFFFF"/>
              </w:rPr>
            </w:pPr>
          </w:p>
        </w:tc>
        <w:tc>
          <w:tcPr>
            <w:tcW w:w="3124" w:type="dxa"/>
            <w:tcBorders>
              <w:top w:val="nil"/>
              <w:left w:val="nil"/>
              <w:bottom w:val="nil"/>
              <w:right w:val="nil"/>
              <w:tl2br w:val="nil"/>
              <w:tr2bl w:val="nil"/>
            </w:tcBorders>
            <w:shd w:val="solid" w:color="016794" w:fill="FFFFFF"/>
            <w:tcMar>
              <w:left w:w="60" w:type="dxa"/>
              <w:right w:w="60" w:type="dxa"/>
            </w:tcMar>
            <w:vAlign w:val="center"/>
          </w:tcPr>
          <w:p w14:paraId="65DF6528" w14:textId="77777777" w:rsidR="00FD1E19" w:rsidRDefault="00FD1E19" w:rsidP="00BE7E4A">
            <w:pPr>
              <w:pStyle w:val="DMETW37225BIPOPECOFI"/>
              <w:jc w:val="right"/>
              <w:rPr>
                <w:rFonts w:ascii="Verdana" w:eastAsia="Verdana" w:hAnsi="Verdana" w:cs="Verdana"/>
                <w:noProof/>
                <w:color w:val="FFFFFF"/>
              </w:rPr>
            </w:pPr>
            <w:r>
              <w:rPr>
                <w:rFonts w:ascii="Verdana" w:eastAsia="Verdana" w:hAnsi="Verdana" w:cs="Verdana"/>
                <w:noProof/>
                <w:color w:val="FFFFFF"/>
              </w:rPr>
              <w:t>Ninth EDF</w:t>
            </w:r>
          </w:p>
        </w:tc>
        <w:tc>
          <w:tcPr>
            <w:tcW w:w="851" w:type="dxa"/>
            <w:tcBorders>
              <w:top w:val="nil"/>
              <w:left w:val="nil"/>
              <w:bottom w:val="nil"/>
              <w:right w:val="nil"/>
              <w:tl2br w:val="nil"/>
              <w:tr2bl w:val="nil"/>
            </w:tcBorders>
            <w:shd w:val="solid" w:color="016794" w:fill="FFFFFF"/>
            <w:tcMar>
              <w:left w:w="60" w:type="dxa"/>
              <w:right w:w="60" w:type="dxa"/>
            </w:tcMar>
            <w:vAlign w:val="center"/>
          </w:tcPr>
          <w:p w14:paraId="46389B81" w14:textId="77777777" w:rsidR="00FD1E19" w:rsidRDefault="00FD1E19" w:rsidP="00BE7E4A">
            <w:pPr>
              <w:pStyle w:val="DMETW37225BIPOPECOFI"/>
              <w:jc w:val="right"/>
              <w:rPr>
                <w:rFonts w:ascii="Verdana" w:eastAsia="Verdana" w:hAnsi="Verdana" w:cs="Verdana"/>
                <w:noProof/>
                <w:color w:val="FFFFFF"/>
              </w:rPr>
            </w:pPr>
            <w:r>
              <w:rPr>
                <w:rFonts w:ascii="Verdana" w:eastAsia="Verdana" w:hAnsi="Verdana" w:cs="Verdana"/>
                <w:noProof/>
                <w:color w:val="FFFFFF"/>
              </w:rPr>
              <w:t>10th EDF</w:t>
            </w:r>
          </w:p>
        </w:tc>
        <w:tc>
          <w:tcPr>
            <w:tcW w:w="850" w:type="dxa"/>
            <w:tcBorders>
              <w:top w:val="nil"/>
              <w:left w:val="nil"/>
              <w:bottom w:val="nil"/>
              <w:right w:val="nil"/>
              <w:tl2br w:val="nil"/>
              <w:tr2bl w:val="nil"/>
            </w:tcBorders>
            <w:shd w:val="solid" w:color="016794" w:fill="FFFFFF"/>
            <w:tcMar>
              <w:left w:w="60" w:type="dxa"/>
              <w:right w:w="60" w:type="dxa"/>
            </w:tcMar>
            <w:vAlign w:val="center"/>
          </w:tcPr>
          <w:p w14:paraId="04B273E4" w14:textId="77777777" w:rsidR="00FD1E19" w:rsidRDefault="00FD1E19" w:rsidP="00BE7E4A">
            <w:pPr>
              <w:pStyle w:val="DMETW37225BIPOPECOFI"/>
              <w:jc w:val="right"/>
              <w:rPr>
                <w:rFonts w:ascii="Verdana" w:eastAsia="Verdana" w:hAnsi="Verdana" w:cs="Verdana"/>
                <w:noProof/>
                <w:color w:val="FFFFFF"/>
              </w:rPr>
            </w:pPr>
            <w:r>
              <w:rPr>
                <w:rFonts w:ascii="Verdana" w:eastAsia="Verdana" w:hAnsi="Verdana" w:cs="Verdana"/>
                <w:noProof/>
                <w:color w:val="FFFFFF"/>
              </w:rPr>
              <w:t>11th EDF</w:t>
            </w:r>
          </w:p>
        </w:tc>
        <w:tc>
          <w:tcPr>
            <w:tcW w:w="1701" w:type="dxa"/>
            <w:tcBorders>
              <w:top w:val="nil"/>
              <w:left w:val="nil"/>
              <w:bottom w:val="nil"/>
              <w:right w:val="nil"/>
              <w:tl2br w:val="nil"/>
              <w:tr2bl w:val="nil"/>
            </w:tcBorders>
            <w:shd w:val="solid" w:color="016794" w:fill="FFFFFF"/>
            <w:tcMar>
              <w:left w:w="60" w:type="dxa"/>
              <w:right w:w="60" w:type="dxa"/>
            </w:tcMar>
            <w:vAlign w:val="center"/>
          </w:tcPr>
          <w:p w14:paraId="4D14A501" w14:textId="77777777" w:rsidR="00FD1E19" w:rsidRDefault="00FD1E19" w:rsidP="00BE7E4A">
            <w:pPr>
              <w:pStyle w:val="DMETW37225BIPOPECOFI"/>
              <w:jc w:val="right"/>
              <w:rPr>
                <w:rFonts w:ascii="Verdana" w:eastAsia="Verdana" w:hAnsi="Verdana" w:cs="Verdana"/>
                <w:noProof/>
                <w:color w:val="FFFFFF"/>
              </w:rPr>
            </w:pPr>
            <w:r>
              <w:rPr>
                <w:rFonts w:ascii="Verdana" w:eastAsia="Verdana" w:hAnsi="Verdana" w:cs="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center"/>
          </w:tcPr>
          <w:p w14:paraId="2C0AF387" w14:textId="77777777" w:rsidR="00FD1E19" w:rsidRDefault="00FD1E19" w:rsidP="00BE7E4A">
            <w:pPr>
              <w:pStyle w:val="DMETW37225BIPOPECOFI"/>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76C429DB" w14:textId="77777777" w:rsidTr="00BE7E4A">
        <w:trPr>
          <w:trHeight w:val="255"/>
        </w:trPr>
        <w:tc>
          <w:tcPr>
            <w:tcW w:w="2039" w:type="dxa"/>
            <w:tcBorders>
              <w:top w:val="nil"/>
              <w:left w:val="nil"/>
              <w:bottom w:val="nil"/>
              <w:right w:val="nil"/>
              <w:tl2br w:val="nil"/>
              <w:tr2bl w:val="nil"/>
            </w:tcBorders>
            <w:shd w:val="clear" w:color="auto" w:fill="auto"/>
            <w:tcMar>
              <w:left w:w="60" w:type="dxa"/>
              <w:right w:w="60" w:type="dxa"/>
            </w:tcMar>
            <w:vAlign w:val="center"/>
          </w:tcPr>
          <w:p w14:paraId="52D22550" w14:textId="77777777" w:rsidR="00FD1E19" w:rsidRDefault="00FD1E19" w:rsidP="00BE7E4A">
            <w:pPr>
              <w:pStyle w:val="DMETW37225BIPOPECOFI"/>
              <w:rPr>
                <w:rFonts w:ascii="Verdana" w:eastAsia="Verdana" w:hAnsi="Verdana" w:cs="Verdana"/>
                <w:i/>
                <w:noProof/>
                <w:color w:val="000000"/>
                <w:sz w:val="18"/>
              </w:rPr>
            </w:pPr>
            <w:r>
              <w:rPr>
                <w:rFonts w:ascii="Verdana" w:eastAsia="Verdana" w:hAnsi="Verdana" w:cs="Verdana"/>
                <w:i/>
                <w:noProof/>
                <w:color w:val="000000"/>
                <w:sz w:val="18"/>
              </w:rPr>
              <w:t>Co-financing</w:t>
            </w:r>
          </w:p>
        </w:tc>
        <w:tc>
          <w:tcPr>
            <w:tcW w:w="3124" w:type="dxa"/>
            <w:tcBorders>
              <w:top w:val="nil"/>
              <w:left w:val="nil"/>
              <w:bottom w:val="nil"/>
              <w:right w:val="nil"/>
              <w:tl2br w:val="nil"/>
              <w:tr2bl w:val="nil"/>
            </w:tcBorders>
            <w:shd w:val="clear" w:color="auto" w:fill="auto"/>
            <w:tcMar>
              <w:left w:w="60" w:type="dxa"/>
              <w:right w:w="60" w:type="dxa"/>
            </w:tcMar>
            <w:vAlign w:val="center"/>
          </w:tcPr>
          <w:p w14:paraId="62EE47E6" w14:textId="77777777" w:rsidR="00FD1E19" w:rsidRDefault="00FD1E19" w:rsidP="00BE7E4A">
            <w:pPr>
              <w:pStyle w:val="DMETW37225BIPOPECOFI"/>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851" w:type="dxa"/>
            <w:tcBorders>
              <w:top w:val="nil"/>
              <w:left w:val="nil"/>
              <w:bottom w:val="nil"/>
              <w:right w:val="nil"/>
              <w:tl2br w:val="nil"/>
              <w:tr2bl w:val="nil"/>
            </w:tcBorders>
            <w:shd w:val="clear" w:color="auto" w:fill="auto"/>
            <w:tcMar>
              <w:left w:w="60" w:type="dxa"/>
              <w:right w:w="60" w:type="dxa"/>
            </w:tcMar>
            <w:vAlign w:val="center"/>
          </w:tcPr>
          <w:p w14:paraId="6A493A96" w14:textId="77777777" w:rsidR="00FD1E19" w:rsidRDefault="00FD1E19" w:rsidP="00BE7E4A">
            <w:pPr>
              <w:pStyle w:val="DMETW37225BIPOPECOFI"/>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850" w:type="dxa"/>
            <w:tcBorders>
              <w:top w:val="nil"/>
              <w:left w:val="nil"/>
              <w:bottom w:val="nil"/>
              <w:right w:val="nil"/>
              <w:tl2br w:val="nil"/>
              <w:tr2bl w:val="nil"/>
            </w:tcBorders>
            <w:shd w:val="clear" w:color="auto" w:fill="auto"/>
            <w:tcMar>
              <w:left w:w="60" w:type="dxa"/>
              <w:right w:w="60" w:type="dxa"/>
            </w:tcMar>
            <w:vAlign w:val="center"/>
          </w:tcPr>
          <w:p w14:paraId="16598C3F" w14:textId="77777777" w:rsidR="00FD1E19" w:rsidRDefault="00FD1E19" w:rsidP="00BE7E4A">
            <w:pPr>
              <w:pStyle w:val="DMETW37225BIPOPECOFI"/>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701" w:type="dxa"/>
            <w:tcBorders>
              <w:top w:val="nil"/>
              <w:left w:val="nil"/>
              <w:bottom w:val="nil"/>
              <w:right w:val="nil"/>
              <w:tl2br w:val="nil"/>
              <w:tr2bl w:val="nil"/>
            </w:tcBorders>
            <w:shd w:val="clear" w:color="auto" w:fill="auto"/>
            <w:tcMar>
              <w:left w:w="60" w:type="dxa"/>
              <w:right w:w="60" w:type="dxa"/>
            </w:tcMar>
            <w:vAlign w:val="center"/>
          </w:tcPr>
          <w:p w14:paraId="04661B1E" w14:textId="77777777" w:rsidR="00FD1E19" w:rsidRDefault="00FD1E19" w:rsidP="00BE7E4A">
            <w:pPr>
              <w:pStyle w:val="DMETW37225BIPOPECOFI"/>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93" w:type="dxa"/>
            <w:tcBorders>
              <w:top w:val="nil"/>
              <w:left w:val="nil"/>
              <w:bottom w:val="nil"/>
              <w:right w:val="nil"/>
              <w:tl2br w:val="nil"/>
              <w:tr2bl w:val="nil"/>
            </w:tcBorders>
            <w:shd w:val="clear" w:color="auto" w:fill="auto"/>
            <w:tcMar>
              <w:left w:w="60" w:type="dxa"/>
              <w:right w:w="60" w:type="dxa"/>
            </w:tcMar>
            <w:vAlign w:val="center"/>
          </w:tcPr>
          <w:p w14:paraId="5C2AF349" w14:textId="77777777" w:rsidR="00FD1E19" w:rsidRDefault="00FD1E19" w:rsidP="00BE7E4A">
            <w:pPr>
              <w:pStyle w:val="DMETW37225BIPOPECOFI"/>
              <w:jc w:val="right"/>
              <w:rPr>
                <w:rFonts w:ascii="Verdana" w:eastAsia="Verdana" w:hAnsi="Verdana" w:cs="Verdana"/>
                <w:i/>
                <w:noProof/>
                <w:color w:val="000000"/>
                <w:sz w:val="18"/>
              </w:rPr>
            </w:pPr>
            <w:r>
              <w:rPr>
                <w:rFonts w:ascii="Verdana" w:eastAsia="Verdana" w:hAnsi="Verdana" w:cs="Verdana"/>
                <w:i/>
                <w:noProof/>
                <w:color w:val="000000"/>
                <w:sz w:val="18"/>
              </w:rPr>
              <w:t xml:space="preserve"> 17</w:t>
            </w:r>
          </w:p>
        </w:tc>
      </w:tr>
    </w:tbl>
    <w:p w14:paraId="5E86BDCD" w14:textId="77777777" w:rsidR="00FD1E19" w:rsidRPr="00D4795A" w:rsidRDefault="00FD1E19" w:rsidP="00FD1E19">
      <w:pPr>
        <w:pStyle w:val="Textstand-alone"/>
      </w:pPr>
      <w:bookmarkStart w:id="114" w:name="_Hlk135727441"/>
      <w:r w:rsidRPr="00D4795A">
        <w:t>Included under this heading are the expenses incurred on co-financing projects in 202</w:t>
      </w:r>
      <w:r>
        <w:t>5</w:t>
      </w:r>
      <w:r w:rsidRPr="00D4795A">
        <w:t xml:space="preserve">. It should be noted that the expenses incurred include estimated amounts related to the cut-off exercise (and consequently reversals of the estimated amounts related to last year). </w:t>
      </w:r>
    </w:p>
    <w:p w14:paraId="722C5C6D" w14:textId="77777777" w:rsidR="00FD1E19" w:rsidRPr="00D4795A" w:rsidRDefault="00FD1E19" w:rsidP="00FD1E19">
      <w:pPr>
        <w:pStyle w:val="Textstand-alone"/>
      </w:pPr>
      <w:r w:rsidRPr="00D4795A">
        <w:t xml:space="preserve">In line with the accounting rules on co-financing, the incurred amounts did not have any impact on the EDF’s result </w:t>
      </w:r>
      <w:r>
        <w:t>for</w:t>
      </w:r>
      <w:r w:rsidRPr="00D4795A">
        <w:t xml:space="preserve"> the year because they were recognised both in the co</w:t>
      </w:r>
      <w:r w:rsidRPr="00D4795A">
        <w:noBreakHyphen/>
        <w:t xml:space="preserve">financing expenses and in the co-financing revenue (see also </w:t>
      </w:r>
      <w:r>
        <w:t>N</w:t>
      </w:r>
      <w:r w:rsidRPr="00D4795A">
        <w:t xml:space="preserve">ote </w:t>
      </w:r>
      <w:r w:rsidRPr="00D4795A">
        <w:rPr>
          <w:b/>
        </w:rPr>
        <w:t>3.1.1</w:t>
      </w:r>
      <w:r w:rsidRPr="00D4795A">
        <w:t xml:space="preserve">).   </w:t>
      </w:r>
    </w:p>
    <w:bookmarkEnd w:id="114"/>
    <w:p w14:paraId="2AE2C493" w14:textId="77777777" w:rsidR="00FD1E19" w:rsidRPr="00F64D38" w:rsidRDefault="00FD1E19" w:rsidP="00FD1E19">
      <w:pPr>
        <w:pStyle w:val="HEADER5"/>
        <w:rPr>
          <w:noProof/>
        </w:rPr>
      </w:pPr>
      <w:r w:rsidRPr="00F64D38">
        <w:rPr>
          <w:noProof/>
        </w:rPr>
        <w:t>AID INSTRUMENTS AND CO-FINANCING EXPENSES BY MANAGEMENT TYPE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4"/>
        <w:gridCol w:w="1497"/>
        <w:gridCol w:w="2247"/>
      </w:tblGrid>
      <w:tr w:rsidR="00FD1E19" w14:paraId="2601C41C"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589C025C" w14:textId="77777777" w:rsidR="00FD1E19" w:rsidRDefault="00FD1E19" w:rsidP="00BE7E4A">
            <w:pPr>
              <w:pStyle w:val="DMETW37225BIPOPEBMM"/>
              <w:rPr>
                <w:rFonts w:ascii="Verdana" w:eastAsia="Verdana" w:hAnsi="Verdana" w:cs="Verdana"/>
                <w:noProof/>
                <w:color w:val="000000"/>
                <w:sz w:val="18"/>
                <w:lang w:bidi="en-GB"/>
              </w:rPr>
            </w:pPr>
            <w:bookmarkStart w:id="115" w:name="DOC_TBL00040_1_1"/>
            <w:bookmarkEnd w:id="115"/>
          </w:p>
        </w:tc>
        <w:tc>
          <w:tcPr>
            <w:tcW w:w="1497" w:type="dxa"/>
            <w:gridSpan w:val="2"/>
            <w:tcBorders>
              <w:top w:val="nil"/>
              <w:left w:val="nil"/>
              <w:bottom w:val="nil"/>
              <w:right w:val="nil"/>
              <w:tl2br w:val="nil"/>
              <w:tr2bl w:val="nil"/>
            </w:tcBorders>
            <w:shd w:val="clear" w:color="auto" w:fill="auto"/>
            <w:tcMar>
              <w:left w:w="60" w:type="dxa"/>
              <w:right w:w="60" w:type="dxa"/>
            </w:tcMar>
            <w:vAlign w:val="center"/>
          </w:tcPr>
          <w:p w14:paraId="74135DC8" w14:textId="77777777" w:rsidR="00FD1E19" w:rsidRDefault="00FD1E19" w:rsidP="00BE7E4A">
            <w:pPr>
              <w:pStyle w:val="DMETW37225BIPOPEBMM"/>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7068A494" w14:textId="77777777" w:rsidTr="00BE7E4A">
        <w:trPr>
          <w:trHeight w:val="255"/>
        </w:trPr>
        <w:tc>
          <w:tcPr>
            <w:tcW w:w="6014" w:type="dxa"/>
            <w:tcBorders>
              <w:top w:val="nil"/>
              <w:left w:val="nil"/>
              <w:bottom w:val="nil"/>
              <w:right w:val="nil"/>
              <w:tl2br w:val="nil"/>
              <w:tr2bl w:val="nil"/>
            </w:tcBorders>
            <w:shd w:val="solid" w:color="016794" w:fill="FFFFFF"/>
            <w:tcMar>
              <w:left w:w="60" w:type="dxa"/>
              <w:right w:w="60" w:type="dxa"/>
            </w:tcMar>
            <w:vAlign w:val="center"/>
          </w:tcPr>
          <w:p w14:paraId="2CCD22CA" w14:textId="77777777" w:rsidR="00FD1E19" w:rsidRDefault="00FD1E19" w:rsidP="00BE7E4A">
            <w:pPr>
              <w:pStyle w:val="DMETW37225BIPOPEBMM"/>
              <w:rPr>
                <w:rFonts w:ascii="Verdana" w:eastAsia="Verdana" w:hAnsi="Verdana" w:cs="Verdana"/>
                <w:noProof/>
                <w:color w:val="FFFFFF"/>
                <w:sz w:val="18"/>
              </w:rPr>
            </w:pPr>
          </w:p>
        </w:tc>
        <w:tc>
          <w:tcPr>
            <w:tcW w:w="1497" w:type="dxa"/>
            <w:tcBorders>
              <w:top w:val="nil"/>
              <w:left w:val="nil"/>
              <w:bottom w:val="nil"/>
              <w:right w:val="nil"/>
              <w:tl2br w:val="nil"/>
              <w:tr2bl w:val="nil"/>
            </w:tcBorders>
            <w:shd w:val="solid" w:color="016794" w:fill="FFFFFF"/>
            <w:tcMar>
              <w:left w:w="60" w:type="dxa"/>
              <w:right w:w="60" w:type="dxa"/>
            </w:tcMar>
            <w:vAlign w:val="center"/>
          </w:tcPr>
          <w:p w14:paraId="54BC7733" w14:textId="77777777" w:rsidR="00FD1E19" w:rsidRDefault="00FD1E19" w:rsidP="00BE7E4A">
            <w:pPr>
              <w:pStyle w:val="DMETW37225BIPOPEBMM"/>
              <w:jc w:val="right"/>
              <w:rPr>
                <w:rFonts w:ascii="Verdana" w:eastAsia="Verdana" w:hAnsi="Verdana" w:cs="Verdana"/>
                <w:noProof/>
                <w:color w:val="FFFFFF"/>
              </w:rPr>
            </w:pPr>
            <w:r>
              <w:rPr>
                <w:rFonts w:ascii="Verdana" w:eastAsia="Verdana" w:hAnsi="Verdana" w:cs="Verdana"/>
                <w:noProof/>
                <w:color w:val="FFFFFF"/>
              </w:rPr>
              <w:t>2025</w:t>
            </w:r>
          </w:p>
        </w:tc>
        <w:tc>
          <w:tcPr>
            <w:tcW w:w="2247" w:type="dxa"/>
            <w:tcBorders>
              <w:top w:val="nil"/>
              <w:left w:val="nil"/>
              <w:bottom w:val="nil"/>
              <w:right w:val="nil"/>
              <w:tl2br w:val="nil"/>
              <w:tr2bl w:val="nil"/>
            </w:tcBorders>
            <w:shd w:val="solid" w:color="016794" w:fill="FFFFFF"/>
            <w:tcMar>
              <w:left w:w="60" w:type="dxa"/>
              <w:right w:w="60" w:type="dxa"/>
            </w:tcMar>
            <w:vAlign w:val="center"/>
          </w:tcPr>
          <w:p w14:paraId="5D35B4DF" w14:textId="77777777" w:rsidR="00FD1E19" w:rsidRDefault="00FD1E19" w:rsidP="00BE7E4A">
            <w:pPr>
              <w:pStyle w:val="DMETW37225BIPOPEBMM"/>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6E6F3467"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797EAC3C" w14:textId="77777777" w:rsidR="00FD1E19" w:rsidRDefault="00FD1E19" w:rsidP="00BE7E4A">
            <w:pPr>
              <w:pStyle w:val="DMETW37225BIPOPEBMM"/>
              <w:rPr>
                <w:rFonts w:ascii="Verdana" w:eastAsia="Verdana" w:hAnsi="Verdana" w:cs="Verdana"/>
                <w:b/>
                <w:noProof/>
                <w:color w:val="000000"/>
                <w:sz w:val="18"/>
              </w:rPr>
            </w:pPr>
            <w:r>
              <w:rPr>
                <w:rFonts w:ascii="Verdana" w:eastAsia="Verdana" w:hAnsi="Verdana" w:cs="Verdana"/>
                <w:b/>
                <w:noProof/>
                <w:color w:val="000000"/>
                <w:sz w:val="18"/>
              </w:rPr>
              <w:t>Direct Management</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0BA27E59" w14:textId="77777777" w:rsidR="00FD1E19" w:rsidRDefault="00FD1E19" w:rsidP="00BE7E4A">
            <w:pPr>
              <w:pStyle w:val="DMETW37225BIPOPEBMM"/>
              <w:jc w:val="right"/>
              <w:rPr>
                <w:rFonts w:ascii="Verdana" w:eastAsia="Verdana" w:hAnsi="Verdana" w:cs="Verdana"/>
                <w:b/>
                <w:i/>
                <w:noProof/>
                <w:color w:val="000000"/>
                <w:sz w:val="18"/>
              </w:rPr>
            </w:pPr>
          </w:p>
        </w:tc>
        <w:tc>
          <w:tcPr>
            <w:tcW w:w="2247" w:type="dxa"/>
            <w:tcBorders>
              <w:top w:val="nil"/>
              <w:left w:val="nil"/>
              <w:bottom w:val="nil"/>
              <w:right w:val="nil"/>
              <w:tl2br w:val="nil"/>
              <w:tr2bl w:val="nil"/>
            </w:tcBorders>
            <w:shd w:val="clear" w:color="auto" w:fill="auto"/>
            <w:tcMar>
              <w:left w:w="60" w:type="dxa"/>
              <w:right w:w="60" w:type="dxa"/>
            </w:tcMar>
            <w:vAlign w:val="center"/>
          </w:tcPr>
          <w:p w14:paraId="73D5DC3E" w14:textId="77777777" w:rsidR="00FD1E19" w:rsidRDefault="00FD1E19" w:rsidP="00BE7E4A">
            <w:pPr>
              <w:pStyle w:val="DMETW37225BIPOPEBMM"/>
              <w:jc w:val="right"/>
              <w:rPr>
                <w:rFonts w:ascii="Verdana" w:eastAsia="Verdana" w:hAnsi="Verdana" w:cs="Verdana"/>
                <w:b/>
                <w:i/>
                <w:noProof/>
                <w:color w:val="000000"/>
                <w:sz w:val="18"/>
                <w:lang w:bidi="en-GB"/>
              </w:rPr>
            </w:pPr>
          </w:p>
        </w:tc>
      </w:tr>
      <w:tr w:rsidR="00FD1E19" w14:paraId="4D312800"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3B3A3340"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Implemented by:</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42CD0461" w14:textId="77777777" w:rsidR="00FD1E19" w:rsidRDefault="00FD1E19" w:rsidP="00BE7E4A">
            <w:pPr>
              <w:pStyle w:val="DMETW37225BIPOPEBMM"/>
              <w:jc w:val="right"/>
              <w:rPr>
                <w:rFonts w:ascii="Verdana" w:eastAsia="Verdana" w:hAnsi="Verdana" w:cs="Verdana"/>
                <w:i/>
                <w:noProof/>
                <w:color w:val="000000"/>
                <w:sz w:val="18"/>
              </w:rPr>
            </w:pPr>
          </w:p>
        </w:tc>
        <w:tc>
          <w:tcPr>
            <w:tcW w:w="2247" w:type="dxa"/>
            <w:tcBorders>
              <w:top w:val="nil"/>
              <w:left w:val="nil"/>
              <w:bottom w:val="nil"/>
              <w:right w:val="nil"/>
              <w:tl2br w:val="nil"/>
              <w:tr2bl w:val="nil"/>
            </w:tcBorders>
            <w:shd w:val="clear" w:color="auto" w:fill="auto"/>
            <w:tcMar>
              <w:left w:w="60" w:type="dxa"/>
              <w:right w:w="60" w:type="dxa"/>
            </w:tcMar>
            <w:vAlign w:val="center"/>
          </w:tcPr>
          <w:p w14:paraId="4E2DC6D1" w14:textId="77777777" w:rsidR="00FD1E19" w:rsidRDefault="00FD1E19" w:rsidP="00BE7E4A">
            <w:pPr>
              <w:pStyle w:val="DMETW37225BIPOPEBMM"/>
              <w:jc w:val="right"/>
              <w:rPr>
                <w:rFonts w:ascii="Verdana" w:eastAsia="Verdana" w:hAnsi="Verdana" w:cs="Verdana"/>
                <w:i/>
                <w:noProof/>
                <w:color w:val="000000"/>
                <w:sz w:val="18"/>
                <w:lang w:bidi="en-GB"/>
              </w:rPr>
            </w:pPr>
          </w:p>
        </w:tc>
      </w:tr>
      <w:tr w:rsidR="00FD1E19" w14:paraId="4CAAEBB1"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71D86D4D"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Commission</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16E612FE"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32</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13736308"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w:t>
            </w:r>
          </w:p>
        </w:tc>
      </w:tr>
      <w:tr w:rsidR="00FD1E19" w14:paraId="7626292E"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5420D192"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EU executive agencies</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0A14B9F0"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582DF53E"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40F28C55"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3106CBDD"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Trust Funds</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6CC7A464"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41FA78A1"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118</w:t>
            </w:r>
          </w:p>
        </w:tc>
      </w:tr>
      <w:tr w:rsidR="00FD1E19" w14:paraId="017A43C3" w14:textId="77777777" w:rsidTr="00BE7E4A">
        <w:trPr>
          <w:trHeight w:val="255"/>
        </w:trPr>
        <w:tc>
          <w:tcPr>
            <w:tcW w:w="6014" w:type="dxa"/>
            <w:tcBorders>
              <w:top w:val="nil"/>
              <w:left w:val="nil"/>
              <w:bottom w:val="single" w:sz="4" w:space="0" w:color="016794"/>
              <w:right w:val="nil"/>
              <w:tl2br w:val="nil"/>
              <w:tr2bl w:val="nil"/>
            </w:tcBorders>
            <w:shd w:val="clear" w:color="auto" w:fill="auto"/>
            <w:tcMar>
              <w:left w:w="60" w:type="dxa"/>
              <w:right w:w="60" w:type="dxa"/>
            </w:tcMar>
            <w:vAlign w:val="center"/>
          </w:tcPr>
          <w:p w14:paraId="33FE7C89"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EU delegations</w:t>
            </w:r>
          </w:p>
        </w:tc>
        <w:tc>
          <w:tcPr>
            <w:tcW w:w="1497" w:type="dxa"/>
            <w:tcBorders>
              <w:top w:val="nil"/>
              <w:left w:val="nil"/>
              <w:bottom w:val="single" w:sz="4" w:space="0" w:color="016794"/>
              <w:right w:val="nil"/>
              <w:tl2br w:val="nil"/>
              <w:tr2bl w:val="nil"/>
            </w:tcBorders>
            <w:shd w:val="clear" w:color="auto" w:fill="auto"/>
            <w:tcMar>
              <w:left w:w="60" w:type="dxa"/>
              <w:right w:w="60" w:type="dxa"/>
            </w:tcMar>
            <w:vAlign w:val="center"/>
          </w:tcPr>
          <w:p w14:paraId="44FC5D93"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103</w:t>
            </w:r>
          </w:p>
        </w:tc>
        <w:tc>
          <w:tcPr>
            <w:tcW w:w="2247" w:type="dxa"/>
            <w:tcBorders>
              <w:top w:val="nil"/>
              <w:left w:val="nil"/>
              <w:bottom w:val="single" w:sz="4" w:space="0" w:color="016794"/>
              <w:right w:val="nil"/>
              <w:tl2br w:val="nil"/>
              <w:tr2bl w:val="nil"/>
            </w:tcBorders>
            <w:shd w:val="clear" w:color="auto" w:fill="auto"/>
            <w:tcMar>
              <w:left w:w="60" w:type="dxa"/>
              <w:right w:w="60" w:type="dxa"/>
            </w:tcMar>
            <w:vAlign w:val="center"/>
          </w:tcPr>
          <w:p w14:paraId="209EA706"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148</w:t>
            </w:r>
          </w:p>
        </w:tc>
      </w:tr>
      <w:tr w:rsidR="00FD1E19" w14:paraId="61F3A7A3" w14:textId="77777777" w:rsidTr="00BE7E4A">
        <w:trPr>
          <w:trHeight w:val="255"/>
        </w:trPr>
        <w:tc>
          <w:tcPr>
            <w:tcW w:w="601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A863441" w14:textId="77777777" w:rsidR="00FD1E19" w:rsidRDefault="00FD1E19" w:rsidP="00BE7E4A">
            <w:pPr>
              <w:pStyle w:val="DMETW37225BIPOPEBMM"/>
              <w:jc w:val="right"/>
              <w:rPr>
                <w:rFonts w:ascii="Verdana" w:eastAsia="Verdana" w:hAnsi="Verdana" w:cs="Verdana"/>
                <w:b/>
                <w:noProof/>
                <w:color w:val="000000"/>
                <w:sz w:val="18"/>
              </w:rPr>
            </w:pPr>
          </w:p>
        </w:tc>
        <w:tc>
          <w:tcPr>
            <w:tcW w:w="149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98F8619" w14:textId="77777777" w:rsidR="00FD1E19" w:rsidRDefault="00FD1E19" w:rsidP="00BE7E4A">
            <w:pPr>
              <w:pStyle w:val="DMETW37225BIPOPEBMM"/>
              <w:jc w:val="right"/>
              <w:rPr>
                <w:rFonts w:ascii="Verdana" w:eastAsia="Verdana" w:hAnsi="Verdana" w:cs="Verdana"/>
                <w:b/>
                <w:noProof/>
                <w:color w:val="000000"/>
                <w:sz w:val="18"/>
              </w:rPr>
            </w:pPr>
            <w:r>
              <w:rPr>
                <w:rFonts w:ascii="Verdana" w:eastAsia="Verdana" w:hAnsi="Verdana" w:cs="Verdana"/>
                <w:b/>
                <w:noProof/>
                <w:color w:val="000000"/>
                <w:sz w:val="18"/>
              </w:rPr>
              <w:t xml:space="preserve"> 137</w:t>
            </w:r>
          </w:p>
        </w:tc>
        <w:tc>
          <w:tcPr>
            <w:tcW w:w="224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2181BEA" w14:textId="77777777" w:rsidR="00FD1E19" w:rsidRDefault="00FD1E19" w:rsidP="00BE7E4A">
            <w:pPr>
              <w:pStyle w:val="DMETW37225BIPOPEBMM"/>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286</w:t>
            </w:r>
          </w:p>
        </w:tc>
      </w:tr>
      <w:tr w:rsidR="00FD1E19" w14:paraId="5D08E931" w14:textId="77777777" w:rsidTr="00BE7E4A">
        <w:trPr>
          <w:trHeight w:val="255"/>
        </w:trPr>
        <w:tc>
          <w:tcPr>
            <w:tcW w:w="6014" w:type="dxa"/>
            <w:tcBorders>
              <w:top w:val="single" w:sz="4" w:space="0" w:color="016794"/>
              <w:left w:val="nil"/>
              <w:bottom w:val="nil"/>
              <w:right w:val="nil"/>
              <w:tl2br w:val="nil"/>
              <w:tr2bl w:val="nil"/>
            </w:tcBorders>
            <w:shd w:val="clear" w:color="auto" w:fill="auto"/>
            <w:tcMar>
              <w:left w:w="60" w:type="dxa"/>
              <w:right w:w="60" w:type="dxa"/>
            </w:tcMar>
            <w:vAlign w:val="center"/>
          </w:tcPr>
          <w:p w14:paraId="5B730AEE" w14:textId="77777777" w:rsidR="00FD1E19" w:rsidRDefault="00FD1E19" w:rsidP="00BE7E4A">
            <w:pPr>
              <w:pStyle w:val="DMETW37225BIPOPEBMM"/>
              <w:rPr>
                <w:rFonts w:ascii="Verdana" w:eastAsia="Verdana" w:hAnsi="Verdana" w:cs="Verdana"/>
                <w:b/>
                <w:noProof/>
                <w:color w:val="000000"/>
                <w:sz w:val="18"/>
              </w:rPr>
            </w:pPr>
            <w:r>
              <w:rPr>
                <w:rFonts w:ascii="Verdana" w:eastAsia="Verdana" w:hAnsi="Verdana" w:cs="Verdana"/>
                <w:b/>
                <w:noProof/>
                <w:color w:val="000000"/>
                <w:sz w:val="18"/>
              </w:rPr>
              <w:t>Indirect Management</w:t>
            </w:r>
          </w:p>
        </w:tc>
        <w:tc>
          <w:tcPr>
            <w:tcW w:w="1497" w:type="dxa"/>
            <w:tcBorders>
              <w:top w:val="single" w:sz="4" w:space="0" w:color="016794"/>
              <w:left w:val="nil"/>
              <w:bottom w:val="nil"/>
              <w:right w:val="nil"/>
              <w:tl2br w:val="nil"/>
              <w:tr2bl w:val="nil"/>
            </w:tcBorders>
            <w:shd w:val="clear" w:color="auto" w:fill="auto"/>
            <w:tcMar>
              <w:left w:w="60" w:type="dxa"/>
              <w:right w:w="60" w:type="dxa"/>
            </w:tcMar>
            <w:vAlign w:val="center"/>
          </w:tcPr>
          <w:p w14:paraId="677729D2" w14:textId="77777777" w:rsidR="00FD1E19" w:rsidRDefault="00FD1E19" w:rsidP="00BE7E4A">
            <w:pPr>
              <w:pStyle w:val="DMETW37225BIPOPEBMM"/>
              <w:rPr>
                <w:rFonts w:ascii="Verdana" w:eastAsia="Verdana" w:hAnsi="Verdana" w:cs="Verdana"/>
                <w:b/>
                <w:noProof/>
                <w:color w:val="000000"/>
                <w:sz w:val="18"/>
              </w:rPr>
            </w:pPr>
          </w:p>
        </w:tc>
        <w:tc>
          <w:tcPr>
            <w:tcW w:w="2247" w:type="dxa"/>
            <w:tcBorders>
              <w:top w:val="single" w:sz="4" w:space="0" w:color="016794"/>
              <w:left w:val="nil"/>
              <w:bottom w:val="nil"/>
              <w:right w:val="nil"/>
              <w:tl2br w:val="nil"/>
              <w:tr2bl w:val="nil"/>
            </w:tcBorders>
            <w:shd w:val="clear" w:color="auto" w:fill="auto"/>
            <w:tcMar>
              <w:left w:w="60" w:type="dxa"/>
              <w:right w:w="60" w:type="dxa"/>
            </w:tcMar>
            <w:vAlign w:val="center"/>
          </w:tcPr>
          <w:p w14:paraId="618C4391" w14:textId="77777777" w:rsidR="00FD1E19" w:rsidRDefault="00FD1E19" w:rsidP="00BE7E4A">
            <w:pPr>
              <w:pStyle w:val="DMETW37225BIPOPEBMM"/>
              <w:rPr>
                <w:rFonts w:ascii="Verdana" w:eastAsia="Verdana" w:hAnsi="Verdana" w:cs="Verdana"/>
                <w:b/>
                <w:noProof/>
                <w:color w:val="000000"/>
                <w:sz w:val="18"/>
                <w:lang w:bidi="en-GB"/>
              </w:rPr>
            </w:pPr>
          </w:p>
        </w:tc>
      </w:tr>
      <w:tr w:rsidR="00FD1E19" w14:paraId="70649D06"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39E6DCA2"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Implemented by:</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68AB18E7" w14:textId="77777777" w:rsidR="00FD1E19" w:rsidRDefault="00FD1E19" w:rsidP="00BE7E4A">
            <w:pPr>
              <w:pStyle w:val="DMETW37225BIPOPEBMM"/>
              <w:rPr>
                <w:rFonts w:ascii="Verdana" w:eastAsia="Verdana" w:hAnsi="Verdana" w:cs="Verdana"/>
                <w:noProof/>
                <w:color w:val="000000"/>
                <w:sz w:val="18"/>
              </w:rPr>
            </w:pPr>
          </w:p>
        </w:tc>
        <w:tc>
          <w:tcPr>
            <w:tcW w:w="2247" w:type="dxa"/>
            <w:tcBorders>
              <w:top w:val="nil"/>
              <w:left w:val="nil"/>
              <w:bottom w:val="nil"/>
              <w:right w:val="nil"/>
              <w:tl2br w:val="nil"/>
              <w:tr2bl w:val="nil"/>
            </w:tcBorders>
            <w:shd w:val="clear" w:color="auto" w:fill="auto"/>
            <w:tcMar>
              <w:left w:w="60" w:type="dxa"/>
              <w:right w:w="60" w:type="dxa"/>
            </w:tcMar>
            <w:vAlign w:val="center"/>
          </w:tcPr>
          <w:p w14:paraId="06E73EE5" w14:textId="77777777" w:rsidR="00FD1E19" w:rsidRDefault="00FD1E19" w:rsidP="00BE7E4A">
            <w:pPr>
              <w:pStyle w:val="DMETW37225BIPOPEBMM"/>
              <w:rPr>
                <w:rFonts w:ascii="Verdana" w:eastAsia="Verdana" w:hAnsi="Verdana" w:cs="Verdana"/>
                <w:noProof/>
                <w:color w:val="000000"/>
                <w:sz w:val="18"/>
                <w:lang w:bidi="en-GB"/>
              </w:rPr>
            </w:pPr>
          </w:p>
        </w:tc>
      </w:tr>
      <w:tr w:rsidR="00FD1E19" w14:paraId="4F48D899"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5EE8D41B"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EIB and EIF</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251E036D"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130</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0B762A7E"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84</w:t>
            </w:r>
          </w:p>
        </w:tc>
      </w:tr>
      <w:tr w:rsidR="00FD1E19" w14:paraId="28B5EEBE"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38AA4198"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International organisations</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76A34027"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354</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6FE1137F"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287</w:t>
            </w:r>
          </w:p>
        </w:tc>
      </w:tr>
      <w:tr w:rsidR="00FD1E19" w14:paraId="1CCE4B0E"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6694AF63"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Private-law bodies with a public service mission</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711943ED"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88</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714FC891"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156</w:t>
            </w:r>
          </w:p>
        </w:tc>
      </w:tr>
      <w:tr w:rsidR="00FD1E19" w14:paraId="5ABC5841"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31220C9D"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Public-law bodies</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024AA32E"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55</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0462BB69"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126</w:t>
            </w:r>
          </w:p>
        </w:tc>
      </w:tr>
      <w:tr w:rsidR="00FD1E19" w14:paraId="50E841A8" w14:textId="77777777" w:rsidTr="00BE7E4A">
        <w:trPr>
          <w:trHeight w:val="255"/>
        </w:trPr>
        <w:tc>
          <w:tcPr>
            <w:tcW w:w="6014" w:type="dxa"/>
            <w:tcBorders>
              <w:top w:val="nil"/>
              <w:left w:val="nil"/>
              <w:bottom w:val="nil"/>
              <w:right w:val="nil"/>
              <w:tl2br w:val="nil"/>
              <w:tr2bl w:val="nil"/>
            </w:tcBorders>
            <w:shd w:val="clear" w:color="auto" w:fill="auto"/>
            <w:tcMar>
              <w:left w:w="60" w:type="dxa"/>
              <w:right w:w="60" w:type="dxa"/>
            </w:tcMar>
            <w:vAlign w:val="center"/>
          </w:tcPr>
          <w:p w14:paraId="06928D6C"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Third countries</w:t>
            </w:r>
          </w:p>
        </w:tc>
        <w:tc>
          <w:tcPr>
            <w:tcW w:w="1497" w:type="dxa"/>
            <w:tcBorders>
              <w:top w:val="nil"/>
              <w:left w:val="nil"/>
              <w:bottom w:val="nil"/>
              <w:right w:val="nil"/>
              <w:tl2br w:val="nil"/>
              <w:tr2bl w:val="nil"/>
            </w:tcBorders>
            <w:shd w:val="clear" w:color="auto" w:fill="auto"/>
            <w:tcMar>
              <w:left w:w="60" w:type="dxa"/>
              <w:right w:w="60" w:type="dxa"/>
            </w:tcMar>
            <w:vAlign w:val="center"/>
          </w:tcPr>
          <w:p w14:paraId="3F482E4B"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278</w:t>
            </w:r>
          </w:p>
        </w:tc>
        <w:tc>
          <w:tcPr>
            <w:tcW w:w="2247" w:type="dxa"/>
            <w:tcBorders>
              <w:top w:val="nil"/>
              <w:left w:val="nil"/>
              <w:bottom w:val="nil"/>
              <w:right w:val="nil"/>
              <w:tl2br w:val="nil"/>
              <w:tr2bl w:val="nil"/>
            </w:tcBorders>
            <w:shd w:val="clear" w:color="auto" w:fill="auto"/>
            <w:tcMar>
              <w:left w:w="60" w:type="dxa"/>
              <w:right w:w="60" w:type="dxa"/>
            </w:tcMar>
            <w:vAlign w:val="center"/>
          </w:tcPr>
          <w:p w14:paraId="4F24C6B7"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314</w:t>
            </w:r>
          </w:p>
        </w:tc>
      </w:tr>
      <w:tr w:rsidR="00FD1E19" w14:paraId="1A0CA333" w14:textId="77777777" w:rsidTr="00BE7E4A">
        <w:trPr>
          <w:trHeight w:val="255"/>
        </w:trPr>
        <w:tc>
          <w:tcPr>
            <w:tcW w:w="6014" w:type="dxa"/>
            <w:tcBorders>
              <w:top w:val="nil"/>
              <w:left w:val="nil"/>
              <w:bottom w:val="single" w:sz="4" w:space="0" w:color="016794"/>
              <w:right w:val="nil"/>
              <w:tl2br w:val="nil"/>
              <w:tr2bl w:val="nil"/>
            </w:tcBorders>
            <w:shd w:val="clear" w:color="auto" w:fill="auto"/>
            <w:tcMar>
              <w:left w:w="60" w:type="dxa"/>
              <w:right w:w="60" w:type="dxa"/>
            </w:tcMar>
            <w:vAlign w:val="center"/>
          </w:tcPr>
          <w:p w14:paraId="792BA870" w14:textId="77777777" w:rsidR="00FD1E19" w:rsidRDefault="00FD1E19" w:rsidP="00BE7E4A">
            <w:pPr>
              <w:pStyle w:val="DMETW37225BIPOPEBMM"/>
              <w:rPr>
                <w:rFonts w:ascii="Verdana" w:eastAsia="Verdana" w:hAnsi="Verdana" w:cs="Verdana"/>
                <w:i/>
                <w:noProof/>
                <w:color w:val="000000"/>
                <w:sz w:val="18"/>
              </w:rPr>
            </w:pPr>
            <w:r>
              <w:rPr>
                <w:rFonts w:ascii="Verdana" w:eastAsia="Verdana" w:hAnsi="Verdana" w:cs="Verdana"/>
                <w:i/>
                <w:noProof/>
                <w:color w:val="000000"/>
                <w:sz w:val="18"/>
              </w:rPr>
              <w:t>EU bodies with Public Private Partnership</w:t>
            </w:r>
          </w:p>
        </w:tc>
        <w:tc>
          <w:tcPr>
            <w:tcW w:w="1497" w:type="dxa"/>
            <w:tcBorders>
              <w:top w:val="nil"/>
              <w:left w:val="nil"/>
              <w:bottom w:val="single" w:sz="4" w:space="0" w:color="016794"/>
              <w:right w:val="nil"/>
              <w:tl2br w:val="nil"/>
              <w:tr2bl w:val="nil"/>
            </w:tcBorders>
            <w:shd w:val="clear" w:color="auto" w:fill="auto"/>
            <w:tcMar>
              <w:left w:w="60" w:type="dxa"/>
              <w:right w:w="60" w:type="dxa"/>
            </w:tcMar>
            <w:vAlign w:val="center"/>
          </w:tcPr>
          <w:p w14:paraId="1AE9CBCC" w14:textId="77777777" w:rsidR="00FD1E19" w:rsidRDefault="00FD1E19" w:rsidP="00BE7E4A">
            <w:pPr>
              <w:pStyle w:val="DMETW37225BIPOPEBMM"/>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2247" w:type="dxa"/>
            <w:tcBorders>
              <w:top w:val="nil"/>
              <w:left w:val="nil"/>
              <w:bottom w:val="single" w:sz="4" w:space="0" w:color="016794"/>
              <w:right w:val="nil"/>
              <w:tl2br w:val="nil"/>
              <w:tr2bl w:val="nil"/>
            </w:tcBorders>
            <w:shd w:val="clear" w:color="auto" w:fill="auto"/>
            <w:tcMar>
              <w:left w:w="60" w:type="dxa"/>
              <w:right w:w="60" w:type="dxa"/>
            </w:tcMar>
            <w:vAlign w:val="center"/>
          </w:tcPr>
          <w:p w14:paraId="163C155F" w14:textId="77777777" w:rsidR="00FD1E19" w:rsidRDefault="00FD1E19" w:rsidP="00BE7E4A">
            <w:pPr>
              <w:pStyle w:val="DMETW37225BIPOPEBMM"/>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13B8E6EB" w14:textId="77777777" w:rsidTr="00BE7E4A">
        <w:trPr>
          <w:trHeight w:val="255"/>
        </w:trPr>
        <w:tc>
          <w:tcPr>
            <w:tcW w:w="601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1DD8C27" w14:textId="77777777" w:rsidR="00FD1E19" w:rsidRDefault="00FD1E19" w:rsidP="00BE7E4A">
            <w:pPr>
              <w:pStyle w:val="DMETW37225BIPOPEBMM"/>
              <w:rPr>
                <w:rFonts w:ascii="Verdana" w:eastAsia="Verdana" w:hAnsi="Verdana" w:cs="Verdana"/>
                <w:b/>
                <w:noProof/>
                <w:color w:val="000000"/>
                <w:sz w:val="18"/>
              </w:rPr>
            </w:pPr>
          </w:p>
        </w:tc>
        <w:tc>
          <w:tcPr>
            <w:tcW w:w="149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B56AFF3" w14:textId="77777777" w:rsidR="00FD1E19" w:rsidRDefault="00FD1E19" w:rsidP="00BE7E4A">
            <w:pPr>
              <w:pStyle w:val="DMETW37225BIPOPEBMM"/>
              <w:jc w:val="right"/>
              <w:rPr>
                <w:rFonts w:ascii="Verdana" w:eastAsia="Verdana" w:hAnsi="Verdana" w:cs="Verdana"/>
                <w:b/>
                <w:noProof/>
                <w:color w:val="000000"/>
                <w:sz w:val="18"/>
              </w:rPr>
            </w:pPr>
            <w:r>
              <w:rPr>
                <w:rFonts w:ascii="Verdana" w:eastAsia="Verdana" w:hAnsi="Verdana" w:cs="Verdana"/>
                <w:b/>
                <w:noProof/>
                <w:color w:val="000000"/>
                <w:sz w:val="18"/>
              </w:rPr>
              <w:t xml:space="preserve"> 906</w:t>
            </w:r>
          </w:p>
        </w:tc>
        <w:tc>
          <w:tcPr>
            <w:tcW w:w="224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7A8D9D1" w14:textId="77777777" w:rsidR="00FD1E19" w:rsidRDefault="00FD1E19" w:rsidP="00BE7E4A">
            <w:pPr>
              <w:pStyle w:val="DMETW37225BIPOPEBMM"/>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967</w:t>
            </w:r>
          </w:p>
        </w:tc>
      </w:tr>
      <w:tr w:rsidR="00FD1E19" w14:paraId="156A8C6A" w14:textId="77777777" w:rsidTr="00BE7E4A">
        <w:trPr>
          <w:trHeight w:val="255"/>
        </w:trPr>
        <w:tc>
          <w:tcPr>
            <w:tcW w:w="601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77F7D7E" w14:textId="77777777" w:rsidR="00FD1E19" w:rsidRDefault="00FD1E19" w:rsidP="00BE7E4A">
            <w:pPr>
              <w:pStyle w:val="DMETW37225BIPOPEBMM"/>
              <w:rPr>
                <w:rFonts w:ascii="Verdana" w:eastAsia="Verdana" w:hAnsi="Verdana" w:cs="Verdana"/>
                <w:b/>
                <w:noProof/>
                <w:color w:val="000000"/>
                <w:sz w:val="18"/>
              </w:rPr>
            </w:pPr>
            <w:r>
              <w:rPr>
                <w:rFonts w:ascii="Verdana" w:eastAsia="Verdana" w:hAnsi="Verdana" w:cs="Verdana"/>
                <w:b/>
                <w:noProof/>
                <w:color w:val="000000"/>
                <w:sz w:val="18"/>
              </w:rPr>
              <w:t>Total</w:t>
            </w:r>
          </w:p>
        </w:tc>
        <w:tc>
          <w:tcPr>
            <w:tcW w:w="149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0FE267D" w14:textId="77777777" w:rsidR="00FD1E19" w:rsidRDefault="00FD1E19" w:rsidP="00BE7E4A">
            <w:pPr>
              <w:pStyle w:val="DMETW37225BIPOPEBMM"/>
              <w:jc w:val="right"/>
              <w:rPr>
                <w:rFonts w:ascii="Verdana" w:eastAsia="Verdana" w:hAnsi="Verdana" w:cs="Verdana"/>
                <w:b/>
                <w:noProof/>
                <w:color w:val="000000"/>
                <w:sz w:val="18"/>
              </w:rPr>
            </w:pPr>
            <w:r>
              <w:rPr>
                <w:rFonts w:ascii="Verdana" w:eastAsia="Verdana" w:hAnsi="Verdana" w:cs="Verdana"/>
                <w:b/>
                <w:noProof/>
                <w:color w:val="000000"/>
                <w:sz w:val="18"/>
              </w:rPr>
              <w:t>1 044</w:t>
            </w:r>
          </w:p>
        </w:tc>
        <w:tc>
          <w:tcPr>
            <w:tcW w:w="224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117497A" w14:textId="77777777" w:rsidR="00FD1E19" w:rsidRDefault="00FD1E19" w:rsidP="00BE7E4A">
            <w:pPr>
              <w:pStyle w:val="DMETW37225BIPOPEBMM"/>
              <w:jc w:val="right"/>
              <w:rPr>
                <w:rFonts w:ascii="Verdana" w:eastAsia="Verdana" w:hAnsi="Verdana" w:cs="Verdana"/>
                <w:b/>
                <w:noProof/>
                <w:color w:val="000000"/>
                <w:sz w:val="18"/>
              </w:rPr>
            </w:pPr>
            <w:r>
              <w:rPr>
                <w:rFonts w:ascii="Verdana" w:eastAsia="Verdana" w:hAnsi="Verdana" w:cs="Verdana"/>
                <w:b/>
                <w:noProof/>
                <w:color w:val="000000"/>
                <w:sz w:val="18"/>
              </w:rPr>
              <w:t>1 254</w:t>
            </w:r>
          </w:p>
        </w:tc>
      </w:tr>
    </w:tbl>
    <w:p w14:paraId="33996FBD" w14:textId="77777777" w:rsidR="00FD1E19" w:rsidRDefault="00FD1E19" w:rsidP="00FD1E19">
      <w:pPr>
        <w:pStyle w:val="HEADER2Part2"/>
        <w:keepNext/>
        <w:keepLines/>
        <w:ind w:left="3402" w:hanging="3402"/>
        <w:jc w:val="both"/>
        <w:rPr>
          <w:noProof/>
        </w:rPr>
      </w:pPr>
      <w:r w:rsidRPr="00F64D38">
        <w:rPr>
          <w:noProof/>
        </w:rPr>
        <w:t>FINANCE COSTS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1"/>
        <w:gridCol w:w="1007"/>
        <w:gridCol w:w="1008"/>
        <w:gridCol w:w="1008"/>
        <w:gridCol w:w="1008"/>
        <w:gridCol w:w="1256"/>
      </w:tblGrid>
      <w:tr w:rsidR="00FD1E19" w14:paraId="7DDD0762" w14:textId="77777777" w:rsidTr="00BE7E4A">
        <w:trPr>
          <w:trHeight w:val="255"/>
        </w:trPr>
        <w:tc>
          <w:tcPr>
            <w:tcW w:w="4471" w:type="dxa"/>
            <w:tcBorders>
              <w:top w:val="nil"/>
              <w:left w:val="nil"/>
              <w:bottom w:val="nil"/>
              <w:right w:val="nil"/>
              <w:tl2br w:val="nil"/>
              <w:tr2bl w:val="nil"/>
            </w:tcBorders>
            <w:shd w:val="clear" w:color="auto" w:fill="auto"/>
            <w:tcMar>
              <w:left w:w="60" w:type="dxa"/>
              <w:right w:w="60" w:type="dxa"/>
            </w:tcMar>
            <w:vAlign w:val="center"/>
          </w:tcPr>
          <w:p w14:paraId="2060661A" w14:textId="77777777" w:rsidR="00FD1E19" w:rsidRDefault="00FD1E19" w:rsidP="00BE7E4A">
            <w:pPr>
              <w:pStyle w:val="DMETW37225BIPFINCOST"/>
              <w:keepNext/>
              <w:keepLines/>
              <w:rPr>
                <w:rFonts w:ascii="Verdana" w:eastAsia="Verdana" w:hAnsi="Verdana" w:cs="Verdana"/>
                <w:noProof/>
                <w:color w:val="000000"/>
                <w:sz w:val="18"/>
                <w:lang w:bidi="en-GB"/>
              </w:rPr>
            </w:pPr>
            <w:bookmarkStart w:id="116" w:name="DOC_TBL00028_1_1"/>
            <w:bookmarkEnd w:id="116"/>
          </w:p>
        </w:tc>
        <w:tc>
          <w:tcPr>
            <w:tcW w:w="1007" w:type="dxa"/>
            <w:tcBorders>
              <w:top w:val="nil"/>
              <w:left w:val="nil"/>
              <w:bottom w:val="nil"/>
              <w:right w:val="nil"/>
              <w:tl2br w:val="nil"/>
              <w:tr2bl w:val="nil"/>
            </w:tcBorders>
            <w:shd w:val="clear" w:color="auto" w:fill="auto"/>
            <w:tcMar>
              <w:left w:w="60" w:type="dxa"/>
              <w:right w:w="60" w:type="dxa"/>
            </w:tcMar>
            <w:vAlign w:val="center"/>
          </w:tcPr>
          <w:p w14:paraId="2D39AF04" w14:textId="77777777" w:rsidR="00FD1E19" w:rsidRDefault="00FD1E19" w:rsidP="00BE7E4A">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shd w:val="clear" w:color="auto" w:fill="auto"/>
            <w:tcMar>
              <w:left w:w="60" w:type="dxa"/>
              <w:right w:w="60" w:type="dxa"/>
            </w:tcMar>
            <w:vAlign w:val="center"/>
          </w:tcPr>
          <w:p w14:paraId="18FBEF71" w14:textId="77777777" w:rsidR="00FD1E19" w:rsidRDefault="00FD1E19" w:rsidP="00BE7E4A">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shd w:val="clear" w:color="auto" w:fill="auto"/>
            <w:tcMar>
              <w:left w:w="60" w:type="dxa"/>
              <w:right w:w="60" w:type="dxa"/>
            </w:tcMar>
            <w:vAlign w:val="center"/>
          </w:tcPr>
          <w:p w14:paraId="141D845E" w14:textId="77777777" w:rsidR="00FD1E19" w:rsidRDefault="00FD1E19" w:rsidP="00BE7E4A">
            <w:pPr>
              <w:pStyle w:val="DMETW37225BIPFINCOST"/>
              <w:keepNext/>
              <w:keepLines/>
              <w:rPr>
                <w:rFonts w:ascii="Verdana" w:eastAsia="Verdana" w:hAnsi="Verdana" w:cs="Verdana"/>
                <w:i/>
                <w:noProof/>
                <w:color w:val="000000"/>
                <w:sz w:val="16"/>
              </w:rPr>
            </w:pPr>
          </w:p>
        </w:tc>
        <w:tc>
          <w:tcPr>
            <w:tcW w:w="1008" w:type="dxa"/>
            <w:tcBorders>
              <w:top w:val="nil"/>
              <w:left w:val="nil"/>
              <w:bottom w:val="nil"/>
              <w:right w:val="nil"/>
              <w:tl2br w:val="nil"/>
              <w:tr2bl w:val="nil"/>
            </w:tcBorders>
            <w:shd w:val="clear" w:color="auto" w:fill="auto"/>
            <w:tcMar>
              <w:left w:w="60" w:type="dxa"/>
              <w:right w:w="60" w:type="dxa"/>
            </w:tcMar>
            <w:vAlign w:val="center"/>
          </w:tcPr>
          <w:p w14:paraId="4B6BB41C" w14:textId="77777777" w:rsidR="00FD1E19" w:rsidRDefault="00FD1E19" w:rsidP="00BE7E4A">
            <w:pPr>
              <w:pStyle w:val="DMETW37225BIPFINCOST"/>
              <w:keepNext/>
              <w:keepLines/>
              <w:rPr>
                <w:rFonts w:ascii="Verdana" w:eastAsia="Verdana" w:hAnsi="Verdana" w:cs="Verdana"/>
                <w:i/>
                <w:noProof/>
                <w:color w:val="000000"/>
                <w:sz w:val="16"/>
              </w:rPr>
            </w:pPr>
          </w:p>
        </w:tc>
        <w:tc>
          <w:tcPr>
            <w:tcW w:w="1256" w:type="dxa"/>
            <w:tcBorders>
              <w:top w:val="nil"/>
              <w:left w:val="nil"/>
              <w:bottom w:val="nil"/>
              <w:right w:val="nil"/>
              <w:tl2br w:val="nil"/>
              <w:tr2bl w:val="nil"/>
            </w:tcBorders>
            <w:shd w:val="clear" w:color="auto" w:fill="auto"/>
            <w:tcMar>
              <w:left w:w="60" w:type="dxa"/>
              <w:right w:w="60" w:type="dxa"/>
            </w:tcMar>
            <w:vAlign w:val="center"/>
          </w:tcPr>
          <w:p w14:paraId="7DE96538" w14:textId="77777777" w:rsidR="00FD1E19" w:rsidRDefault="00FD1E19" w:rsidP="00BE7E4A">
            <w:pPr>
              <w:pStyle w:val="DMETW37225BIPFINCOST"/>
              <w:keepNext/>
              <w:keepLine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6CB63EA3" w14:textId="77777777" w:rsidTr="00BE7E4A">
        <w:trPr>
          <w:trHeight w:val="255"/>
        </w:trPr>
        <w:tc>
          <w:tcPr>
            <w:tcW w:w="4471" w:type="dxa"/>
            <w:tcBorders>
              <w:top w:val="nil"/>
              <w:left w:val="nil"/>
              <w:bottom w:val="nil"/>
              <w:right w:val="nil"/>
              <w:tl2br w:val="nil"/>
              <w:tr2bl w:val="nil"/>
            </w:tcBorders>
            <w:shd w:val="solid" w:color="016794" w:fill="FFFFFF"/>
            <w:tcMar>
              <w:left w:w="60" w:type="dxa"/>
              <w:right w:w="60" w:type="dxa"/>
            </w:tcMar>
            <w:vAlign w:val="center"/>
          </w:tcPr>
          <w:p w14:paraId="23712620" w14:textId="77777777" w:rsidR="00FD1E19" w:rsidRDefault="00FD1E19" w:rsidP="00BE7E4A">
            <w:pPr>
              <w:pStyle w:val="DMETW37225BIPFINCOST"/>
              <w:keepNext/>
              <w:keepLines/>
              <w:jc w:val="right"/>
              <w:rPr>
                <w:rFonts w:ascii="Verdana" w:eastAsia="Verdana" w:hAnsi="Verdana" w:cs="Verdana"/>
                <w:noProof/>
                <w:color w:val="FFFFFF"/>
              </w:rPr>
            </w:pPr>
          </w:p>
        </w:tc>
        <w:tc>
          <w:tcPr>
            <w:tcW w:w="1007" w:type="dxa"/>
            <w:tcBorders>
              <w:top w:val="nil"/>
              <w:left w:val="nil"/>
              <w:bottom w:val="nil"/>
              <w:right w:val="nil"/>
              <w:tl2br w:val="nil"/>
              <w:tr2bl w:val="nil"/>
            </w:tcBorders>
            <w:shd w:val="solid" w:color="016794" w:fill="FFFFFF"/>
            <w:tcMar>
              <w:left w:w="60" w:type="dxa"/>
              <w:right w:w="60" w:type="dxa"/>
            </w:tcMar>
            <w:vAlign w:val="center"/>
          </w:tcPr>
          <w:p w14:paraId="46D06647" w14:textId="77777777" w:rsidR="00FD1E19" w:rsidRDefault="00FD1E19" w:rsidP="00BE7E4A">
            <w:pPr>
              <w:pStyle w:val="DMETW37225BIPFINCOST"/>
              <w:keepNext/>
              <w:keepLines/>
              <w:jc w:val="right"/>
              <w:rPr>
                <w:rFonts w:ascii="Verdana" w:eastAsia="Verdana" w:hAnsi="Verdana" w:cs="Verdana"/>
                <w:noProof/>
                <w:color w:val="FFFFFF"/>
              </w:rPr>
            </w:pPr>
            <w:r>
              <w:rPr>
                <w:rFonts w:ascii="Verdana" w:eastAsia="Verdana" w:hAnsi="Verdana" w:cs="Verdana"/>
                <w:noProof/>
                <w:color w:val="FFFFFF"/>
              </w:rPr>
              <w:t>Ninth EDF</w:t>
            </w:r>
          </w:p>
        </w:tc>
        <w:tc>
          <w:tcPr>
            <w:tcW w:w="1008" w:type="dxa"/>
            <w:tcBorders>
              <w:top w:val="nil"/>
              <w:left w:val="nil"/>
              <w:bottom w:val="nil"/>
              <w:right w:val="nil"/>
              <w:tl2br w:val="nil"/>
              <w:tr2bl w:val="nil"/>
            </w:tcBorders>
            <w:shd w:val="solid" w:color="016794" w:fill="FFFFFF"/>
            <w:tcMar>
              <w:left w:w="60" w:type="dxa"/>
              <w:right w:w="60" w:type="dxa"/>
            </w:tcMar>
            <w:vAlign w:val="center"/>
          </w:tcPr>
          <w:p w14:paraId="43F084AA" w14:textId="77777777" w:rsidR="00FD1E19" w:rsidRDefault="00FD1E19" w:rsidP="00BE7E4A">
            <w:pPr>
              <w:pStyle w:val="DMETW37225BIPFINCOST"/>
              <w:keepNext/>
              <w:keepLines/>
              <w:jc w:val="right"/>
              <w:rPr>
                <w:rFonts w:ascii="Verdana" w:eastAsia="Verdana" w:hAnsi="Verdana" w:cs="Verdana"/>
                <w:noProof/>
                <w:color w:val="FFFFFF"/>
              </w:rPr>
            </w:pPr>
            <w:r>
              <w:rPr>
                <w:rFonts w:ascii="Verdana" w:eastAsia="Verdana" w:hAnsi="Verdana" w:cs="Verdana"/>
                <w:noProof/>
                <w:color w:val="FFFFFF"/>
              </w:rPr>
              <w:t>10th EDF</w:t>
            </w:r>
          </w:p>
        </w:tc>
        <w:tc>
          <w:tcPr>
            <w:tcW w:w="1008" w:type="dxa"/>
            <w:tcBorders>
              <w:top w:val="nil"/>
              <w:left w:val="nil"/>
              <w:bottom w:val="nil"/>
              <w:right w:val="nil"/>
              <w:tl2br w:val="nil"/>
              <w:tr2bl w:val="nil"/>
            </w:tcBorders>
            <w:shd w:val="solid" w:color="016794" w:fill="FFFFFF"/>
            <w:tcMar>
              <w:left w:w="60" w:type="dxa"/>
              <w:right w:w="60" w:type="dxa"/>
            </w:tcMar>
            <w:vAlign w:val="center"/>
          </w:tcPr>
          <w:p w14:paraId="7D1E438C" w14:textId="77777777" w:rsidR="00FD1E19" w:rsidRDefault="00FD1E19" w:rsidP="00BE7E4A">
            <w:pPr>
              <w:pStyle w:val="DMETW37225BIPFINCOST"/>
              <w:keepNext/>
              <w:keepLines/>
              <w:jc w:val="right"/>
              <w:rPr>
                <w:rFonts w:ascii="Verdana" w:eastAsia="Verdana" w:hAnsi="Verdana" w:cs="Verdana"/>
                <w:noProof/>
                <w:color w:val="FFFFFF"/>
              </w:rPr>
            </w:pPr>
            <w:r>
              <w:rPr>
                <w:rFonts w:ascii="Verdana" w:eastAsia="Verdana" w:hAnsi="Verdana" w:cs="Verdana"/>
                <w:noProof/>
                <w:color w:val="FFFFFF"/>
              </w:rPr>
              <w:t>11th EDF</w:t>
            </w:r>
          </w:p>
        </w:tc>
        <w:tc>
          <w:tcPr>
            <w:tcW w:w="1008" w:type="dxa"/>
            <w:tcBorders>
              <w:top w:val="nil"/>
              <w:left w:val="nil"/>
              <w:bottom w:val="nil"/>
              <w:right w:val="nil"/>
              <w:tl2br w:val="nil"/>
              <w:tr2bl w:val="nil"/>
            </w:tcBorders>
            <w:shd w:val="solid" w:color="016794" w:fill="FFFFFF"/>
            <w:tcMar>
              <w:left w:w="60" w:type="dxa"/>
              <w:right w:w="60" w:type="dxa"/>
            </w:tcMar>
            <w:vAlign w:val="center"/>
          </w:tcPr>
          <w:p w14:paraId="0D12513E" w14:textId="77777777" w:rsidR="00FD1E19" w:rsidRDefault="00FD1E19" w:rsidP="00BE7E4A">
            <w:pPr>
              <w:pStyle w:val="DMETW37225BIPFINCOST"/>
              <w:keepNext/>
              <w:keepLines/>
              <w:jc w:val="right"/>
              <w:rPr>
                <w:rFonts w:ascii="Verdana" w:eastAsia="Verdana" w:hAnsi="Verdana" w:cs="Verdana"/>
                <w:noProof/>
                <w:color w:val="FFFFFF"/>
              </w:rPr>
            </w:pPr>
            <w:r>
              <w:rPr>
                <w:rFonts w:ascii="Verdana" w:eastAsia="Verdana" w:hAnsi="Verdana" w:cs="Verdana"/>
                <w:noProof/>
                <w:color w:val="FFFFFF"/>
              </w:rPr>
              <w:t>2025</w:t>
            </w:r>
          </w:p>
        </w:tc>
        <w:tc>
          <w:tcPr>
            <w:tcW w:w="1256" w:type="dxa"/>
            <w:tcBorders>
              <w:top w:val="nil"/>
              <w:left w:val="nil"/>
              <w:bottom w:val="nil"/>
              <w:right w:val="nil"/>
              <w:tl2br w:val="nil"/>
              <w:tr2bl w:val="nil"/>
            </w:tcBorders>
            <w:shd w:val="solid" w:color="016794" w:fill="FFFFFF"/>
            <w:tcMar>
              <w:left w:w="60" w:type="dxa"/>
              <w:right w:w="60" w:type="dxa"/>
            </w:tcMar>
            <w:vAlign w:val="center"/>
          </w:tcPr>
          <w:p w14:paraId="12C362E9" w14:textId="77777777" w:rsidR="00FD1E19" w:rsidRDefault="00FD1E19" w:rsidP="00BE7E4A">
            <w:pPr>
              <w:pStyle w:val="DMETW37225BIPFINCOST"/>
              <w:keepNext/>
              <w:keepLines/>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516E603D" w14:textId="77777777" w:rsidTr="00BE7E4A">
        <w:trPr>
          <w:trHeight w:val="255"/>
        </w:trPr>
        <w:tc>
          <w:tcPr>
            <w:tcW w:w="4471" w:type="dxa"/>
            <w:tcBorders>
              <w:top w:val="nil"/>
              <w:left w:val="nil"/>
              <w:bottom w:val="nil"/>
              <w:right w:val="nil"/>
              <w:tl2br w:val="nil"/>
              <w:tr2bl w:val="nil"/>
            </w:tcBorders>
            <w:shd w:val="solid" w:color="FFFFFF" w:fill="FFFFFF"/>
            <w:tcMar>
              <w:left w:w="60" w:type="dxa"/>
              <w:right w:w="60" w:type="dxa"/>
            </w:tcMar>
            <w:vAlign w:val="center"/>
          </w:tcPr>
          <w:p w14:paraId="268DE3AF" w14:textId="77777777" w:rsidR="00FD1E19" w:rsidRDefault="00FD1E19" w:rsidP="00BE7E4A">
            <w:pPr>
              <w:pStyle w:val="DMETW37225BIPFINCOST"/>
              <w:keepNext/>
              <w:keepLines/>
              <w:rPr>
                <w:rFonts w:ascii="Verdana" w:eastAsia="Verdana" w:hAnsi="Verdana" w:cs="Verdana"/>
                <w:i/>
                <w:noProof/>
                <w:color w:val="000000"/>
                <w:sz w:val="18"/>
              </w:rPr>
            </w:pPr>
            <w:r>
              <w:rPr>
                <w:rFonts w:ascii="Verdana" w:eastAsia="Verdana" w:hAnsi="Verdana" w:cs="Verdana"/>
                <w:i/>
                <w:noProof/>
                <w:color w:val="000000"/>
                <w:sz w:val="18"/>
              </w:rPr>
              <w:t>Net impairment losses on loans and receivables</w:t>
            </w:r>
          </w:p>
        </w:tc>
        <w:tc>
          <w:tcPr>
            <w:tcW w:w="1007" w:type="dxa"/>
            <w:tcBorders>
              <w:top w:val="nil"/>
              <w:left w:val="nil"/>
              <w:bottom w:val="nil"/>
              <w:right w:val="nil"/>
              <w:tl2br w:val="nil"/>
              <w:tr2bl w:val="nil"/>
            </w:tcBorders>
            <w:shd w:val="solid" w:color="FFFFFF" w:fill="FFFFFF"/>
            <w:tcMar>
              <w:left w:w="60" w:type="dxa"/>
              <w:right w:w="60" w:type="dxa"/>
            </w:tcMar>
            <w:vAlign w:val="center"/>
          </w:tcPr>
          <w:p w14:paraId="2C647CC7"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2613ADB8"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5BFC3400"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7563BAC4"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256" w:type="dxa"/>
            <w:tcBorders>
              <w:top w:val="nil"/>
              <w:left w:val="nil"/>
              <w:bottom w:val="nil"/>
              <w:right w:val="nil"/>
              <w:tl2br w:val="nil"/>
              <w:tr2bl w:val="nil"/>
            </w:tcBorders>
            <w:shd w:val="solid" w:color="FFFFFF" w:fill="FFFFFF"/>
            <w:tcMar>
              <w:left w:w="60" w:type="dxa"/>
              <w:right w:w="60" w:type="dxa"/>
            </w:tcMar>
            <w:vAlign w:val="center"/>
          </w:tcPr>
          <w:p w14:paraId="0E00D815" w14:textId="77777777" w:rsidR="00FD1E19" w:rsidRDefault="00FD1E19" w:rsidP="00BE7E4A">
            <w:pPr>
              <w:pStyle w:val="DMETW37225BIPFINCOS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2DE29C17" w14:textId="77777777" w:rsidTr="00BE7E4A">
        <w:trPr>
          <w:trHeight w:val="255"/>
        </w:trPr>
        <w:tc>
          <w:tcPr>
            <w:tcW w:w="4471" w:type="dxa"/>
            <w:tcBorders>
              <w:top w:val="nil"/>
              <w:left w:val="nil"/>
              <w:bottom w:val="nil"/>
              <w:right w:val="nil"/>
              <w:tl2br w:val="nil"/>
              <w:tr2bl w:val="nil"/>
            </w:tcBorders>
            <w:shd w:val="solid" w:color="FFFFFF" w:fill="FFFFFF"/>
            <w:tcMar>
              <w:left w:w="60" w:type="dxa"/>
              <w:right w:w="60" w:type="dxa"/>
            </w:tcMar>
            <w:vAlign w:val="center"/>
          </w:tcPr>
          <w:p w14:paraId="126EF05C" w14:textId="77777777" w:rsidR="00FD1E19" w:rsidRDefault="00FD1E19" w:rsidP="00BE7E4A">
            <w:pPr>
              <w:pStyle w:val="DMETW37225BIPFINCOST"/>
              <w:keepNext/>
              <w:keepLines/>
              <w:rPr>
                <w:rFonts w:ascii="Verdana" w:eastAsia="Verdana" w:hAnsi="Verdana" w:cs="Verdana"/>
                <w:i/>
                <w:noProof/>
                <w:color w:val="000000"/>
                <w:sz w:val="18"/>
              </w:rPr>
            </w:pPr>
            <w:r>
              <w:rPr>
                <w:rFonts w:ascii="Verdana" w:eastAsia="Verdana" w:hAnsi="Verdana" w:cs="Verdana"/>
                <w:i/>
                <w:noProof/>
                <w:color w:val="000000"/>
                <w:sz w:val="18"/>
              </w:rPr>
              <w:t>Loss on financial assets or liabilities at FVSD</w:t>
            </w:r>
          </w:p>
        </w:tc>
        <w:tc>
          <w:tcPr>
            <w:tcW w:w="1007" w:type="dxa"/>
            <w:tcBorders>
              <w:top w:val="nil"/>
              <w:left w:val="nil"/>
              <w:bottom w:val="nil"/>
              <w:right w:val="nil"/>
              <w:tl2br w:val="nil"/>
              <w:tr2bl w:val="nil"/>
            </w:tcBorders>
            <w:shd w:val="solid" w:color="FFFFFF" w:fill="FFFFFF"/>
            <w:tcMar>
              <w:left w:w="60" w:type="dxa"/>
              <w:right w:w="60" w:type="dxa"/>
            </w:tcMar>
            <w:vAlign w:val="center"/>
          </w:tcPr>
          <w:p w14:paraId="4507B7FD"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542A3216"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71D05346"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6017AA1A"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33</w:t>
            </w:r>
          </w:p>
        </w:tc>
        <w:tc>
          <w:tcPr>
            <w:tcW w:w="1256" w:type="dxa"/>
            <w:tcBorders>
              <w:top w:val="nil"/>
              <w:left w:val="nil"/>
              <w:bottom w:val="nil"/>
              <w:right w:val="nil"/>
              <w:tl2br w:val="nil"/>
              <w:tr2bl w:val="nil"/>
            </w:tcBorders>
            <w:shd w:val="solid" w:color="FFFFFF" w:fill="FFFFFF"/>
            <w:tcMar>
              <w:left w:w="60" w:type="dxa"/>
              <w:right w:w="60" w:type="dxa"/>
            </w:tcMar>
            <w:vAlign w:val="center"/>
          </w:tcPr>
          <w:p w14:paraId="06E58316" w14:textId="77777777" w:rsidR="00FD1E19" w:rsidRDefault="00FD1E19" w:rsidP="00BE7E4A">
            <w:pPr>
              <w:pStyle w:val="DMETW37225BIPFINCOS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7B90165A" w14:textId="77777777" w:rsidTr="00BE7E4A">
        <w:trPr>
          <w:trHeight w:val="255"/>
        </w:trPr>
        <w:tc>
          <w:tcPr>
            <w:tcW w:w="4471" w:type="dxa"/>
            <w:tcBorders>
              <w:top w:val="nil"/>
              <w:left w:val="nil"/>
              <w:bottom w:val="nil"/>
              <w:right w:val="nil"/>
              <w:tl2br w:val="nil"/>
              <w:tr2bl w:val="nil"/>
            </w:tcBorders>
            <w:shd w:val="clear" w:color="auto" w:fill="auto"/>
            <w:tcMar>
              <w:left w:w="60" w:type="dxa"/>
              <w:right w:w="60" w:type="dxa"/>
            </w:tcMar>
            <w:vAlign w:val="bottom"/>
          </w:tcPr>
          <w:p w14:paraId="698AE190" w14:textId="77777777" w:rsidR="00FD1E19" w:rsidRDefault="00FD1E19" w:rsidP="00BE7E4A">
            <w:pPr>
              <w:pStyle w:val="DMETW37225BIPFINCOST"/>
              <w:keepNext/>
              <w:keepLines/>
              <w:rPr>
                <w:rFonts w:ascii="Verdana" w:eastAsia="Verdana" w:hAnsi="Verdana" w:cs="Verdana"/>
                <w:i/>
                <w:noProof/>
                <w:color w:val="000000"/>
                <w:sz w:val="18"/>
              </w:rPr>
            </w:pPr>
            <w:r>
              <w:rPr>
                <w:rFonts w:ascii="Verdana" w:eastAsia="Verdana" w:hAnsi="Verdana" w:cs="Verdana"/>
                <w:i/>
                <w:noProof/>
                <w:color w:val="000000"/>
                <w:sz w:val="18"/>
              </w:rPr>
              <w:t>Fee subsidy</w:t>
            </w:r>
          </w:p>
        </w:tc>
        <w:tc>
          <w:tcPr>
            <w:tcW w:w="1007" w:type="dxa"/>
            <w:tcBorders>
              <w:top w:val="nil"/>
              <w:left w:val="nil"/>
              <w:bottom w:val="nil"/>
              <w:right w:val="nil"/>
              <w:tl2br w:val="nil"/>
              <w:tr2bl w:val="nil"/>
            </w:tcBorders>
            <w:shd w:val="solid" w:color="FFFFFF" w:fill="FFFFFF"/>
            <w:tcMar>
              <w:left w:w="60" w:type="dxa"/>
              <w:right w:w="60" w:type="dxa"/>
            </w:tcMar>
            <w:vAlign w:val="center"/>
          </w:tcPr>
          <w:p w14:paraId="0FFC4EE5"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5D6B6B26"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7CFA8756"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008" w:type="dxa"/>
            <w:tcBorders>
              <w:top w:val="nil"/>
              <w:left w:val="nil"/>
              <w:bottom w:val="nil"/>
              <w:right w:val="nil"/>
              <w:tl2br w:val="nil"/>
              <w:tr2bl w:val="nil"/>
            </w:tcBorders>
            <w:shd w:val="solid" w:color="FFFFFF" w:fill="FFFFFF"/>
            <w:tcMar>
              <w:left w:w="60" w:type="dxa"/>
              <w:right w:w="60" w:type="dxa"/>
            </w:tcMar>
            <w:vAlign w:val="center"/>
          </w:tcPr>
          <w:p w14:paraId="3226FC15" w14:textId="77777777" w:rsidR="00FD1E19" w:rsidRDefault="00FD1E19" w:rsidP="00BE7E4A">
            <w:pPr>
              <w:pStyle w:val="DMETW37225BIPFINCOST"/>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256" w:type="dxa"/>
            <w:tcBorders>
              <w:top w:val="nil"/>
              <w:left w:val="nil"/>
              <w:bottom w:val="nil"/>
              <w:right w:val="nil"/>
              <w:tl2br w:val="nil"/>
              <w:tr2bl w:val="nil"/>
            </w:tcBorders>
            <w:shd w:val="solid" w:color="FFFFFF" w:fill="FFFFFF"/>
            <w:tcMar>
              <w:left w:w="60" w:type="dxa"/>
              <w:right w:w="60" w:type="dxa"/>
            </w:tcMar>
            <w:vAlign w:val="center"/>
          </w:tcPr>
          <w:p w14:paraId="1CA185A0" w14:textId="77777777" w:rsidR="00FD1E19" w:rsidRDefault="00FD1E19" w:rsidP="00BE7E4A">
            <w:pPr>
              <w:pStyle w:val="DMETW37225BIPFINCOST"/>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1E20F992" w14:textId="77777777" w:rsidTr="00BE7E4A">
        <w:trPr>
          <w:trHeight w:val="255"/>
        </w:trPr>
        <w:tc>
          <w:tcPr>
            <w:tcW w:w="4471" w:type="dxa"/>
            <w:tcBorders>
              <w:top w:val="nil"/>
              <w:left w:val="nil"/>
              <w:bottom w:val="nil"/>
              <w:right w:val="nil"/>
              <w:tl2br w:val="nil"/>
              <w:tr2bl w:val="nil"/>
            </w:tcBorders>
            <w:shd w:val="solid" w:color="CCE1EA" w:fill="FFFFFF"/>
            <w:tcMar>
              <w:left w:w="60" w:type="dxa"/>
              <w:right w:w="60" w:type="dxa"/>
            </w:tcMar>
            <w:vAlign w:val="center"/>
          </w:tcPr>
          <w:p w14:paraId="61B6629E" w14:textId="77777777" w:rsidR="00FD1E19" w:rsidRDefault="00FD1E19" w:rsidP="00BE7E4A">
            <w:pPr>
              <w:pStyle w:val="DMETW37225BIPFINCOST"/>
              <w:keepNext/>
              <w:keepLines/>
              <w:rPr>
                <w:rFonts w:ascii="Verdana" w:eastAsia="Verdana" w:hAnsi="Verdana" w:cs="Verdana"/>
                <w:b/>
                <w:noProof/>
                <w:color w:val="000000"/>
                <w:sz w:val="18"/>
              </w:rPr>
            </w:pPr>
            <w:r>
              <w:rPr>
                <w:rFonts w:ascii="Verdana" w:eastAsia="Verdana" w:hAnsi="Verdana" w:cs="Verdana"/>
                <w:b/>
                <w:noProof/>
                <w:color w:val="000000"/>
                <w:sz w:val="18"/>
              </w:rPr>
              <w:t>Total</w:t>
            </w:r>
          </w:p>
        </w:tc>
        <w:tc>
          <w:tcPr>
            <w:tcW w:w="1007" w:type="dxa"/>
            <w:tcBorders>
              <w:top w:val="nil"/>
              <w:left w:val="nil"/>
              <w:bottom w:val="nil"/>
              <w:right w:val="nil"/>
              <w:tl2br w:val="nil"/>
              <w:tr2bl w:val="nil"/>
            </w:tcBorders>
            <w:shd w:val="solid" w:color="CCE1EA" w:fill="FFFFFF"/>
            <w:tcMar>
              <w:left w:w="60" w:type="dxa"/>
              <w:right w:w="60" w:type="dxa"/>
            </w:tcMar>
            <w:vAlign w:val="center"/>
          </w:tcPr>
          <w:p w14:paraId="2CF24534" w14:textId="77777777" w:rsidR="00FD1E19" w:rsidRDefault="00FD1E19" w:rsidP="00BE7E4A">
            <w:pPr>
              <w:pStyle w:val="DMETW37225BIPFINCOS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(2)</w:t>
            </w:r>
          </w:p>
        </w:tc>
        <w:tc>
          <w:tcPr>
            <w:tcW w:w="1008" w:type="dxa"/>
            <w:tcBorders>
              <w:top w:val="nil"/>
              <w:left w:val="nil"/>
              <w:bottom w:val="nil"/>
              <w:right w:val="nil"/>
              <w:tl2br w:val="nil"/>
              <w:tr2bl w:val="nil"/>
            </w:tcBorders>
            <w:shd w:val="solid" w:color="CCE1EA" w:fill="FFFFFF"/>
            <w:tcMar>
              <w:left w:w="60" w:type="dxa"/>
              <w:right w:w="60" w:type="dxa"/>
            </w:tcMar>
            <w:vAlign w:val="center"/>
          </w:tcPr>
          <w:p w14:paraId="6555B4C1" w14:textId="77777777" w:rsidR="00FD1E19" w:rsidRDefault="00FD1E19" w:rsidP="00BE7E4A">
            <w:pPr>
              <w:pStyle w:val="DMETW37225BIPFINCOS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3</w:t>
            </w:r>
          </w:p>
        </w:tc>
        <w:tc>
          <w:tcPr>
            <w:tcW w:w="1008" w:type="dxa"/>
            <w:tcBorders>
              <w:top w:val="nil"/>
              <w:left w:val="nil"/>
              <w:bottom w:val="nil"/>
              <w:right w:val="nil"/>
              <w:tl2br w:val="nil"/>
              <w:tr2bl w:val="nil"/>
            </w:tcBorders>
            <w:shd w:val="solid" w:color="CCE1EA" w:fill="FFFFFF"/>
            <w:tcMar>
              <w:left w:w="60" w:type="dxa"/>
              <w:right w:w="60" w:type="dxa"/>
            </w:tcMar>
            <w:vAlign w:val="center"/>
          </w:tcPr>
          <w:p w14:paraId="24043A4A" w14:textId="77777777" w:rsidR="00FD1E19" w:rsidRDefault="00FD1E19" w:rsidP="00BE7E4A">
            <w:pPr>
              <w:pStyle w:val="DMETW37225BIPFINCOS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39</w:t>
            </w:r>
          </w:p>
        </w:tc>
        <w:tc>
          <w:tcPr>
            <w:tcW w:w="1008" w:type="dxa"/>
            <w:tcBorders>
              <w:top w:val="nil"/>
              <w:left w:val="nil"/>
              <w:bottom w:val="nil"/>
              <w:right w:val="nil"/>
              <w:tl2br w:val="nil"/>
              <w:tr2bl w:val="nil"/>
            </w:tcBorders>
            <w:shd w:val="solid" w:color="CCE1EA" w:fill="FFFFFF"/>
            <w:tcMar>
              <w:left w:w="60" w:type="dxa"/>
              <w:right w:w="60" w:type="dxa"/>
            </w:tcMar>
            <w:vAlign w:val="center"/>
          </w:tcPr>
          <w:p w14:paraId="513CEB1E" w14:textId="77777777" w:rsidR="00FD1E19" w:rsidRDefault="00FD1E19" w:rsidP="00BE7E4A">
            <w:pPr>
              <w:pStyle w:val="DMETW37225BIPFINCOS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40</w:t>
            </w:r>
          </w:p>
        </w:tc>
        <w:tc>
          <w:tcPr>
            <w:tcW w:w="1256" w:type="dxa"/>
            <w:tcBorders>
              <w:top w:val="nil"/>
              <w:left w:val="nil"/>
              <w:bottom w:val="nil"/>
              <w:right w:val="nil"/>
              <w:tl2br w:val="nil"/>
              <w:tr2bl w:val="nil"/>
            </w:tcBorders>
            <w:shd w:val="solid" w:color="CCE1EA" w:fill="FFFFFF"/>
            <w:tcMar>
              <w:left w:w="60" w:type="dxa"/>
              <w:right w:w="60" w:type="dxa"/>
            </w:tcMar>
            <w:vAlign w:val="center"/>
          </w:tcPr>
          <w:p w14:paraId="2914CD9E" w14:textId="77777777" w:rsidR="00FD1E19" w:rsidRDefault="00FD1E19" w:rsidP="00BE7E4A">
            <w:pPr>
              <w:pStyle w:val="DMETW37225BIPFINCOST"/>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3</w:t>
            </w:r>
          </w:p>
        </w:tc>
      </w:tr>
    </w:tbl>
    <w:p w14:paraId="72132157" w14:textId="77777777" w:rsidR="00FD1E19" w:rsidRDefault="00FD1E19" w:rsidP="00FD1E19">
      <w:pPr>
        <w:pStyle w:val="Textstand-alone"/>
        <w:keepNext/>
        <w:keepLines/>
      </w:pPr>
      <w:r>
        <w:t>Net impairment losses on loans and receivables comprise impairment losses on financial instruments and estimated expenses on irrecoverable amounts arising from ageing recovery orders (over 2 years), bankruptcies and waivers.</w:t>
      </w:r>
    </w:p>
    <w:p w14:paraId="62F2F57F" w14:textId="77777777" w:rsidR="00FD1E19" w:rsidRDefault="00FD1E19" w:rsidP="00FD1E19">
      <w:pPr>
        <w:pStyle w:val="Textstand-alone"/>
      </w:pPr>
      <w:r>
        <w:t xml:space="preserve">The EUR 33 million of financial expenses for financial assets at FVSD relates mainly to exchange differences, interest and fair value changes for several financial instruments. </w:t>
      </w:r>
    </w:p>
    <w:p w14:paraId="1DC102BF" w14:textId="77777777" w:rsidR="00FD1E19" w:rsidRDefault="00FD1E19" w:rsidP="00FD1E19">
      <w:pPr>
        <w:pStyle w:val="Textstand-alone"/>
      </w:pPr>
      <w:r>
        <w:t>The amount of EUR 4 million under the heading ‘Fee subsidy’ relates to expenses incurred under the Kulima financial instrument.</w:t>
      </w:r>
    </w:p>
    <w:p w14:paraId="10932BA9" w14:textId="77777777" w:rsidR="00FD1E19" w:rsidRDefault="00FD1E19" w:rsidP="00FD1E19">
      <w:pPr>
        <w:pStyle w:val="HEADER2Part2"/>
        <w:keepNext/>
        <w:keepLines/>
        <w:ind w:left="3402" w:hanging="3402"/>
        <w:jc w:val="both"/>
        <w:rPr>
          <w:noProof/>
        </w:rPr>
      </w:pPr>
      <w:r w:rsidRPr="00F64D38">
        <w:rPr>
          <w:noProof/>
        </w:rPr>
        <w:t>OTHER EXPENSES</w:t>
      </w:r>
    </w:p>
    <w:p w14:paraId="78FEB6CD" w14:textId="77777777" w:rsidR="00FD1E19" w:rsidRDefault="00FD1E19" w:rsidP="00FD1E19">
      <w:pPr>
        <w:pStyle w:val="Textstand-alone"/>
        <w:keepNext/>
        <w:keepLines/>
      </w:pPr>
      <w:bookmarkStart w:id="117" w:name="BIP_SEL003"/>
      <w:r>
        <w:t>Included under this heading are expenses of administrative nature such as external non IT services,  communications and publications, training costs etc.</w:t>
      </w:r>
      <w:bookmarkEnd w:id="1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72"/>
        <w:gridCol w:w="936"/>
        <w:gridCol w:w="937"/>
        <w:gridCol w:w="937"/>
        <w:gridCol w:w="1051"/>
        <w:gridCol w:w="1325"/>
      </w:tblGrid>
      <w:tr w:rsidR="00FD1E19" w14:paraId="4CC4E741" w14:textId="77777777" w:rsidTr="00BE7E4A">
        <w:trPr>
          <w:trHeight w:val="255"/>
        </w:trPr>
        <w:tc>
          <w:tcPr>
            <w:tcW w:w="9758" w:type="dxa"/>
            <w:gridSpan w:val="6"/>
            <w:tcBorders>
              <w:top w:val="nil"/>
              <w:left w:val="nil"/>
              <w:bottom w:val="nil"/>
              <w:right w:val="nil"/>
              <w:tl2br w:val="nil"/>
              <w:tr2bl w:val="nil"/>
            </w:tcBorders>
            <w:shd w:val="clear" w:color="auto" w:fill="auto"/>
            <w:tcMar>
              <w:left w:w="60" w:type="dxa"/>
              <w:right w:w="60" w:type="dxa"/>
            </w:tcMar>
            <w:vAlign w:val="center"/>
          </w:tcPr>
          <w:p w14:paraId="5EB7D074" w14:textId="77777777" w:rsidR="00FD1E19" w:rsidRDefault="00FD1E19" w:rsidP="00BE7E4A">
            <w:pPr>
              <w:pStyle w:val="DMETW37225BIPOTHEXP"/>
              <w:jc w:val="right"/>
              <w:rPr>
                <w:rFonts w:ascii="Verdana" w:eastAsia="Verdana" w:hAnsi="Verdana" w:cs="Verdana"/>
                <w:i/>
                <w:noProof/>
                <w:color w:val="000000"/>
                <w:sz w:val="16"/>
                <w:lang w:bidi="en-GB"/>
              </w:rPr>
            </w:pPr>
            <w:bookmarkStart w:id="118" w:name="DOC_TBL00042_1_1"/>
            <w:bookmarkEnd w:id="118"/>
            <w:r>
              <w:rPr>
                <w:rFonts w:ascii="Verdana" w:eastAsia="Verdana" w:hAnsi="Verdana" w:cs="Verdana"/>
                <w:i/>
                <w:noProof/>
                <w:color w:val="000000"/>
                <w:sz w:val="16"/>
                <w:lang w:bidi="en-GB"/>
              </w:rPr>
              <w:t>EUR million</w:t>
            </w:r>
          </w:p>
        </w:tc>
      </w:tr>
      <w:tr w:rsidR="00FD1E19" w14:paraId="4BD6FDBF" w14:textId="77777777" w:rsidTr="00BE7E4A">
        <w:trPr>
          <w:trHeight w:val="255"/>
        </w:trPr>
        <w:tc>
          <w:tcPr>
            <w:tcW w:w="4572" w:type="dxa"/>
            <w:tcBorders>
              <w:top w:val="nil"/>
              <w:left w:val="nil"/>
              <w:bottom w:val="nil"/>
              <w:right w:val="nil"/>
              <w:tl2br w:val="nil"/>
              <w:tr2bl w:val="nil"/>
            </w:tcBorders>
            <w:shd w:val="solid" w:color="016794" w:fill="FFFFFF"/>
            <w:tcMar>
              <w:left w:w="60" w:type="dxa"/>
              <w:right w:w="60" w:type="dxa"/>
            </w:tcMar>
            <w:vAlign w:val="center"/>
          </w:tcPr>
          <w:p w14:paraId="38E87EC8" w14:textId="77777777" w:rsidR="00FD1E19" w:rsidRDefault="00FD1E19" w:rsidP="00BE7E4A">
            <w:pPr>
              <w:pStyle w:val="DMETW37225BIPOTHEXP"/>
              <w:jc w:val="right"/>
              <w:rPr>
                <w:rFonts w:ascii="Verdana" w:eastAsia="Verdana" w:hAnsi="Verdana" w:cs="Verdana"/>
                <w:noProof/>
                <w:color w:val="FFFFFF"/>
              </w:rPr>
            </w:pPr>
          </w:p>
        </w:tc>
        <w:tc>
          <w:tcPr>
            <w:tcW w:w="936" w:type="dxa"/>
            <w:tcBorders>
              <w:top w:val="nil"/>
              <w:left w:val="nil"/>
              <w:bottom w:val="nil"/>
              <w:right w:val="nil"/>
              <w:tl2br w:val="nil"/>
              <w:tr2bl w:val="nil"/>
            </w:tcBorders>
            <w:shd w:val="solid" w:color="016794" w:fill="FFFFFF"/>
            <w:tcMar>
              <w:left w:w="60" w:type="dxa"/>
              <w:right w:w="60" w:type="dxa"/>
            </w:tcMar>
            <w:vAlign w:val="center"/>
          </w:tcPr>
          <w:p w14:paraId="4A549426" w14:textId="77777777" w:rsidR="00FD1E19" w:rsidRDefault="00FD1E19" w:rsidP="00BE7E4A">
            <w:pPr>
              <w:pStyle w:val="DMETW37225BIPOTHEXP"/>
              <w:jc w:val="right"/>
              <w:rPr>
                <w:rFonts w:ascii="Verdana" w:eastAsia="Verdana" w:hAnsi="Verdana" w:cs="Verdana"/>
                <w:noProof/>
                <w:color w:val="FFFFFF"/>
              </w:rPr>
            </w:pPr>
            <w:r>
              <w:rPr>
                <w:rFonts w:ascii="Verdana" w:eastAsia="Verdana" w:hAnsi="Verdana" w:cs="Verdana"/>
                <w:noProof/>
                <w:color w:val="FFFFFF"/>
              </w:rPr>
              <w:t>Ninth EDF</w:t>
            </w:r>
          </w:p>
        </w:tc>
        <w:tc>
          <w:tcPr>
            <w:tcW w:w="937" w:type="dxa"/>
            <w:tcBorders>
              <w:top w:val="nil"/>
              <w:left w:val="nil"/>
              <w:bottom w:val="nil"/>
              <w:right w:val="nil"/>
              <w:tl2br w:val="nil"/>
              <w:tr2bl w:val="nil"/>
            </w:tcBorders>
            <w:shd w:val="solid" w:color="016794" w:fill="FFFFFF"/>
            <w:tcMar>
              <w:left w:w="60" w:type="dxa"/>
              <w:right w:w="60" w:type="dxa"/>
            </w:tcMar>
            <w:vAlign w:val="center"/>
          </w:tcPr>
          <w:p w14:paraId="29C45950" w14:textId="77777777" w:rsidR="00FD1E19" w:rsidRDefault="00FD1E19" w:rsidP="00BE7E4A">
            <w:pPr>
              <w:pStyle w:val="DMETW37225BIPOTHEXP"/>
              <w:jc w:val="right"/>
              <w:rPr>
                <w:rFonts w:ascii="Verdana" w:eastAsia="Verdana" w:hAnsi="Verdana" w:cs="Verdana"/>
                <w:noProof/>
                <w:color w:val="FFFFFF"/>
              </w:rPr>
            </w:pPr>
            <w:r>
              <w:rPr>
                <w:rFonts w:ascii="Verdana" w:eastAsia="Verdana" w:hAnsi="Verdana" w:cs="Verdana"/>
                <w:noProof/>
                <w:color w:val="FFFFFF"/>
              </w:rPr>
              <w:t>10th EDF</w:t>
            </w:r>
          </w:p>
        </w:tc>
        <w:tc>
          <w:tcPr>
            <w:tcW w:w="937" w:type="dxa"/>
            <w:tcBorders>
              <w:top w:val="nil"/>
              <w:left w:val="nil"/>
              <w:bottom w:val="nil"/>
              <w:right w:val="nil"/>
              <w:tl2br w:val="nil"/>
              <w:tr2bl w:val="nil"/>
            </w:tcBorders>
            <w:shd w:val="solid" w:color="016794" w:fill="FFFFFF"/>
            <w:tcMar>
              <w:left w:w="60" w:type="dxa"/>
              <w:right w:w="60" w:type="dxa"/>
            </w:tcMar>
            <w:vAlign w:val="center"/>
          </w:tcPr>
          <w:p w14:paraId="6CA30DEE" w14:textId="77777777" w:rsidR="00FD1E19" w:rsidRDefault="00FD1E19" w:rsidP="00BE7E4A">
            <w:pPr>
              <w:pStyle w:val="DMETW37225BIPOTHEXP"/>
              <w:jc w:val="right"/>
              <w:rPr>
                <w:rFonts w:ascii="Verdana" w:eastAsia="Verdana" w:hAnsi="Verdana" w:cs="Verdana"/>
                <w:noProof/>
                <w:color w:val="FFFFFF"/>
              </w:rPr>
            </w:pPr>
            <w:r>
              <w:rPr>
                <w:rFonts w:ascii="Verdana" w:eastAsia="Verdana" w:hAnsi="Verdana" w:cs="Verdana"/>
                <w:noProof/>
                <w:color w:val="FFFFFF"/>
              </w:rPr>
              <w:t>11th EDF</w:t>
            </w:r>
          </w:p>
        </w:tc>
        <w:tc>
          <w:tcPr>
            <w:tcW w:w="1051" w:type="dxa"/>
            <w:tcBorders>
              <w:top w:val="nil"/>
              <w:left w:val="nil"/>
              <w:bottom w:val="nil"/>
              <w:right w:val="nil"/>
              <w:tl2br w:val="nil"/>
              <w:tr2bl w:val="nil"/>
            </w:tcBorders>
            <w:shd w:val="solid" w:color="016794" w:fill="FFFFFF"/>
            <w:tcMar>
              <w:left w:w="60" w:type="dxa"/>
              <w:right w:w="60" w:type="dxa"/>
            </w:tcMar>
            <w:vAlign w:val="center"/>
          </w:tcPr>
          <w:p w14:paraId="465A4252" w14:textId="77777777" w:rsidR="00FD1E19" w:rsidRDefault="00FD1E19" w:rsidP="00BE7E4A">
            <w:pPr>
              <w:pStyle w:val="DMETW37225BIPOTHEXP"/>
              <w:jc w:val="right"/>
              <w:rPr>
                <w:rFonts w:ascii="Verdana" w:eastAsia="Verdana" w:hAnsi="Verdana" w:cs="Verdana"/>
                <w:noProof/>
                <w:color w:val="FFFFFF"/>
              </w:rPr>
            </w:pPr>
            <w:r>
              <w:rPr>
                <w:rFonts w:ascii="Verdana" w:eastAsia="Verdana" w:hAnsi="Verdana" w:cs="Verdana"/>
                <w:noProof/>
                <w:color w:val="FFFFFF"/>
              </w:rPr>
              <w:t>2025</w:t>
            </w:r>
          </w:p>
        </w:tc>
        <w:tc>
          <w:tcPr>
            <w:tcW w:w="1325" w:type="dxa"/>
            <w:tcBorders>
              <w:top w:val="nil"/>
              <w:left w:val="nil"/>
              <w:bottom w:val="nil"/>
              <w:right w:val="nil"/>
              <w:tl2br w:val="nil"/>
              <w:tr2bl w:val="nil"/>
            </w:tcBorders>
            <w:shd w:val="solid" w:color="016794" w:fill="FFFFFF"/>
            <w:tcMar>
              <w:left w:w="60" w:type="dxa"/>
              <w:right w:w="60" w:type="dxa"/>
            </w:tcMar>
            <w:vAlign w:val="center"/>
          </w:tcPr>
          <w:p w14:paraId="0FAF1C22" w14:textId="77777777" w:rsidR="00FD1E19" w:rsidRDefault="00FD1E19" w:rsidP="00BE7E4A">
            <w:pPr>
              <w:pStyle w:val="DMETW37225BIPOTHEXP"/>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4D701E81" w14:textId="77777777" w:rsidTr="00BE7E4A">
        <w:trPr>
          <w:trHeight w:val="255"/>
        </w:trPr>
        <w:tc>
          <w:tcPr>
            <w:tcW w:w="4572" w:type="dxa"/>
            <w:tcBorders>
              <w:top w:val="nil"/>
              <w:left w:val="nil"/>
              <w:bottom w:val="nil"/>
              <w:right w:val="nil"/>
              <w:tl2br w:val="nil"/>
              <w:tr2bl w:val="nil"/>
            </w:tcBorders>
            <w:shd w:val="clear" w:color="auto" w:fill="auto"/>
            <w:tcMar>
              <w:left w:w="60" w:type="dxa"/>
              <w:right w:w="60" w:type="dxa"/>
            </w:tcMar>
            <w:vAlign w:val="center"/>
          </w:tcPr>
          <w:p w14:paraId="11D16779" w14:textId="77777777" w:rsidR="00FD1E19" w:rsidRDefault="00FD1E19" w:rsidP="00BE7E4A">
            <w:pPr>
              <w:pStyle w:val="DMETW37225BIPOTHEXP"/>
              <w:rPr>
                <w:rFonts w:ascii="Verdana" w:eastAsia="Verdana" w:hAnsi="Verdana" w:cs="Verdana"/>
                <w:i/>
                <w:noProof/>
                <w:color w:val="000000"/>
                <w:sz w:val="18"/>
              </w:rPr>
            </w:pPr>
            <w:r>
              <w:rPr>
                <w:rFonts w:ascii="Verdana" w:eastAsia="Verdana" w:hAnsi="Verdana" w:cs="Verdana"/>
                <w:i/>
                <w:noProof/>
                <w:color w:val="000000"/>
                <w:sz w:val="18"/>
              </w:rPr>
              <w:t>Administrative and IT expenses</w:t>
            </w:r>
          </w:p>
        </w:tc>
        <w:tc>
          <w:tcPr>
            <w:tcW w:w="936" w:type="dxa"/>
            <w:tcBorders>
              <w:top w:val="nil"/>
              <w:left w:val="nil"/>
              <w:bottom w:val="nil"/>
              <w:right w:val="nil"/>
              <w:tl2br w:val="nil"/>
              <w:tr2bl w:val="nil"/>
            </w:tcBorders>
            <w:shd w:val="clear" w:color="auto" w:fill="auto"/>
            <w:tcMar>
              <w:left w:w="60" w:type="dxa"/>
              <w:right w:w="60" w:type="dxa"/>
            </w:tcMar>
            <w:vAlign w:val="center"/>
          </w:tcPr>
          <w:p w14:paraId="297B53B1"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7B4672C2"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58AD64ED"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0F05BA08"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325" w:type="dxa"/>
            <w:tcBorders>
              <w:top w:val="nil"/>
              <w:left w:val="nil"/>
              <w:bottom w:val="nil"/>
              <w:right w:val="nil"/>
              <w:tl2br w:val="nil"/>
              <w:tr2bl w:val="nil"/>
            </w:tcBorders>
            <w:shd w:val="clear" w:color="auto" w:fill="auto"/>
            <w:tcMar>
              <w:left w:w="60" w:type="dxa"/>
              <w:right w:w="60" w:type="dxa"/>
            </w:tcMar>
            <w:vAlign w:val="center"/>
          </w:tcPr>
          <w:p w14:paraId="69BE87E4" w14:textId="77777777" w:rsidR="00FD1E19" w:rsidRDefault="00FD1E19" w:rsidP="00BE7E4A">
            <w:pPr>
              <w:pStyle w:val="DMETW37225BIPOTH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43</w:t>
            </w:r>
          </w:p>
        </w:tc>
      </w:tr>
      <w:tr w:rsidR="00FD1E19" w14:paraId="0F96FA36" w14:textId="77777777" w:rsidTr="00BE7E4A">
        <w:trPr>
          <w:trHeight w:val="255"/>
        </w:trPr>
        <w:tc>
          <w:tcPr>
            <w:tcW w:w="4572" w:type="dxa"/>
            <w:tcBorders>
              <w:top w:val="nil"/>
              <w:left w:val="nil"/>
              <w:bottom w:val="nil"/>
              <w:right w:val="nil"/>
              <w:tl2br w:val="nil"/>
              <w:tr2bl w:val="nil"/>
            </w:tcBorders>
            <w:shd w:val="clear" w:color="auto" w:fill="auto"/>
            <w:tcMar>
              <w:left w:w="60" w:type="dxa"/>
              <w:right w:w="60" w:type="dxa"/>
            </w:tcMar>
            <w:vAlign w:val="center"/>
          </w:tcPr>
          <w:p w14:paraId="614F0B2F" w14:textId="77777777" w:rsidR="00FD1E19" w:rsidRDefault="00FD1E19" w:rsidP="00BE7E4A">
            <w:pPr>
              <w:pStyle w:val="DMETW37225BIPOTHEXP"/>
              <w:rPr>
                <w:rFonts w:ascii="Verdana" w:eastAsia="Verdana" w:hAnsi="Verdana" w:cs="Verdana"/>
                <w:i/>
                <w:noProof/>
                <w:color w:val="000000"/>
                <w:sz w:val="18"/>
              </w:rPr>
            </w:pPr>
            <w:r>
              <w:rPr>
                <w:rFonts w:ascii="Verdana" w:eastAsia="Verdana" w:hAnsi="Verdana" w:cs="Verdana"/>
                <w:i/>
                <w:noProof/>
                <w:color w:val="000000"/>
                <w:sz w:val="18"/>
              </w:rPr>
              <w:t>Realised losses on trade debtors</w:t>
            </w:r>
          </w:p>
        </w:tc>
        <w:tc>
          <w:tcPr>
            <w:tcW w:w="936" w:type="dxa"/>
            <w:tcBorders>
              <w:top w:val="nil"/>
              <w:left w:val="nil"/>
              <w:bottom w:val="nil"/>
              <w:right w:val="nil"/>
              <w:tl2br w:val="nil"/>
              <w:tr2bl w:val="nil"/>
            </w:tcBorders>
            <w:shd w:val="clear" w:color="auto" w:fill="auto"/>
            <w:tcMar>
              <w:left w:w="60" w:type="dxa"/>
              <w:right w:w="60" w:type="dxa"/>
            </w:tcMar>
            <w:vAlign w:val="center"/>
          </w:tcPr>
          <w:p w14:paraId="306CFF7D"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60922A16"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6265795D"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69EDC9C9"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325" w:type="dxa"/>
            <w:tcBorders>
              <w:top w:val="nil"/>
              <w:left w:val="nil"/>
              <w:bottom w:val="nil"/>
              <w:right w:val="nil"/>
              <w:tl2br w:val="nil"/>
              <w:tr2bl w:val="nil"/>
            </w:tcBorders>
            <w:shd w:val="clear" w:color="auto" w:fill="auto"/>
            <w:tcMar>
              <w:left w:w="60" w:type="dxa"/>
              <w:right w:w="60" w:type="dxa"/>
            </w:tcMar>
            <w:vAlign w:val="center"/>
          </w:tcPr>
          <w:p w14:paraId="62631E87" w14:textId="77777777" w:rsidR="00FD1E19" w:rsidRDefault="00FD1E19" w:rsidP="00BE7E4A">
            <w:pPr>
              <w:pStyle w:val="DMETW37225BIPOTH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FD1E19" w14:paraId="38316BA3" w14:textId="77777777" w:rsidTr="00BE7E4A">
        <w:trPr>
          <w:trHeight w:val="255"/>
        </w:trPr>
        <w:tc>
          <w:tcPr>
            <w:tcW w:w="4572" w:type="dxa"/>
            <w:tcBorders>
              <w:top w:val="nil"/>
              <w:left w:val="nil"/>
              <w:bottom w:val="nil"/>
              <w:right w:val="nil"/>
              <w:tl2br w:val="nil"/>
              <w:tr2bl w:val="nil"/>
            </w:tcBorders>
            <w:shd w:val="clear" w:color="auto" w:fill="auto"/>
            <w:tcMar>
              <w:left w:w="60" w:type="dxa"/>
              <w:right w:w="60" w:type="dxa"/>
            </w:tcMar>
            <w:vAlign w:val="center"/>
          </w:tcPr>
          <w:p w14:paraId="2E09A2F0" w14:textId="77777777" w:rsidR="00FD1E19" w:rsidRDefault="00FD1E19" w:rsidP="00BE7E4A">
            <w:pPr>
              <w:pStyle w:val="DMETW37225BIPOTHEXP"/>
              <w:rPr>
                <w:rFonts w:ascii="Verdana" w:eastAsia="Verdana" w:hAnsi="Verdana" w:cs="Verdana"/>
                <w:i/>
                <w:noProof/>
                <w:color w:val="000000"/>
                <w:sz w:val="18"/>
              </w:rPr>
            </w:pPr>
            <w:r>
              <w:rPr>
                <w:rFonts w:ascii="Verdana" w:eastAsia="Verdana" w:hAnsi="Verdana" w:cs="Verdana"/>
                <w:i/>
                <w:noProof/>
                <w:color w:val="000000"/>
                <w:sz w:val="18"/>
              </w:rPr>
              <w:t>Exchange rate losses</w:t>
            </w:r>
          </w:p>
        </w:tc>
        <w:tc>
          <w:tcPr>
            <w:tcW w:w="936" w:type="dxa"/>
            <w:tcBorders>
              <w:top w:val="nil"/>
              <w:left w:val="nil"/>
              <w:bottom w:val="nil"/>
              <w:right w:val="nil"/>
              <w:tl2br w:val="nil"/>
              <w:tr2bl w:val="nil"/>
            </w:tcBorders>
            <w:shd w:val="clear" w:color="auto" w:fill="auto"/>
            <w:tcMar>
              <w:left w:w="60" w:type="dxa"/>
              <w:right w:w="60" w:type="dxa"/>
            </w:tcMar>
            <w:vAlign w:val="center"/>
          </w:tcPr>
          <w:p w14:paraId="42BCA94E"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5AB7E030"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5B207CE2"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0863D614"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34</w:t>
            </w:r>
          </w:p>
        </w:tc>
        <w:tc>
          <w:tcPr>
            <w:tcW w:w="1325" w:type="dxa"/>
            <w:tcBorders>
              <w:top w:val="nil"/>
              <w:left w:val="nil"/>
              <w:bottom w:val="nil"/>
              <w:right w:val="nil"/>
              <w:tl2br w:val="nil"/>
              <w:tr2bl w:val="nil"/>
            </w:tcBorders>
            <w:shd w:val="clear" w:color="auto" w:fill="auto"/>
            <w:tcMar>
              <w:left w:w="60" w:type="dxa"/>
              <w:right w:w="60" w:type="dxa"/>
            </w:tcMar>
            <w:vAlign w:val="center"/>
          </w:tcPr>
          <w:p w14:paraId="791866EC" w14:textId="77777777" w:rsidR="00FD1E19" w:rsidRDefault="00FD1E19" w:rsidP="00BE7E4A">
            <w:pPr>
              <w:pStyle w:val="DMETW37225BIPOTH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63</w:t>
            </w:r>
          </w:p>
        </w:tc>
      </w:tr>
      <w:tr w:rsidR="00FD1E19" w14:paraId="706F74C1" w14:textId="77777777" w:rsidTr="00BE7E4A">
        <w:trPr>
          <w:trHeight w:val="255"/>
        </w:trPr>
        <w:tc>
          <w:tcPr>
            <w:tcW w:w="4572" w:type="dxa"/>
            <w:tcBorders>
              <w:top w:val="nil"/>
              <w:left w:val="nil"/>
              <w:bottom w:val="nil"/>
              <w:right w:val="nil"/>
              <w:tl2br w:val="nil"/>
              <w:tr2bl w:val="nil"/>
            </w:tcBorders>
            <w:shd w:val="clear" w:color="auto" w:fill="auto"/>
            <w:tcMar>
              <w:left w:w="60" w:type="dxa"/>
              <w:right w:w="60" w:type="dxa"/>
            </w:tcMar>
            <w:vAlign w:val="center"/>
          </w:tcPr>
          <w:p w14:paraId="5AFB2873" w14:textId="77777777" w:rsidR="00FD1E19" w:rsidRDefault="00FD1E19" w:rsidP="00BE7E4A">
            <w:pPr>
              <w:pStyle w:val="DMETW37225BIPOTHEXP"/>
              <w:rPr>
                <w:rFonts w:ascii="Verdana" w:eastAsia="Verdana" w:hAnsi="Verdana" w:cs="Verdana"/>
                <w:i/>
                <w:noProof/>
                <w:color w:val="000000"/>
                <w:sz w:val="18"/>
              </w:rPr>
            </w:pPr>
            <w:r>
              <w:rPr>
                <w:rFonts w:ascii="Verdana" w:eastAsia="Verdana" w:hAnsi="Verdana" w:cs="Verdana"/>
                <w:i/>
                <w:noProof/>
                <w:color w:val="000000"/>
                <w:sz w:val="18"/>
              </w:rPr>
              <w:t>Exchange rate losses on financial instruments</w:t>
            </w:r>
          </w:p>
        </w:tc>
        <w:tc>
          <w:tcPr>
            <w:tcW w:w="936" w:type="dxa"/>
            <w:tcBorders>
              <w:top w:val="nil"/>
              <w:left w:val="nil"/>
              <w:bottom w:val="nil"/>
              <w:right w:val="nil"/>
              <w:tl2br w:val="nil"/>
              <w:tr2bl w:val="nil"/>
            </w:tcBorders>
            <w:shd w:val="clear" w:color="auto" w:fill="auto"/>
            <w:tcMar>
              <w:left w:w="60" w:type="dxa"/>
              <w:right w:w="60" w:type="dxa"/>
            </w:tcMar>
            <w:vAlign w:val="center"/>
          </w:tcPr>
          <w:p w14:paraId="704BB49E"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235D005F"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37" w:type="dxa"/>
            <w:tcBorders>
              <w:top w:val="nil"/>
              <w:left w:val="nil"/>
              <w:bottom w:val="nil"/>
              <w:right w:val="nil"/>
              <w:tl2br w:val="nil"/>
              <w:tr2bl w:val="nil"/>
            </w:tcBorders>
            <w:shd w:val="clear" w:color="auto" w:fill="auto"/>
            <w:tcMar>
              <w:left w:w="60" w:type="dxa"/>
              <w:right w:w="60" w:type="dxa"/>
            </w:tcMar>
            <w:vAlign w:val="center"/>
          </w:tcPr>
          <w:p w14:paraId="41E3F070"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608BCDCE" w14:textId="77777777" w:rsidR="00FD1E19" w:rsidRDefault="00FD1E19" w:rsidP="00BE7E4A">
            <w:pPr>
              <w:pStyle w:val="DMETW37225BIPOTHEXP"/>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325" w:type="dxa"/>
            <w:tcBorders>
              <w:top w:val="nil"/>
              <w:left w:val="nil"/>
              <w:bottom w:val="nil"/>
              <w:right w:val="nil"/>
              <w:tl2br w:val="nil"/>
              <w:tr2bl w:val="nil"/>
            </w:tcBorders>
            <w:shd w:val="clear" w:color="auto" w:fill="auto"/>
            <w:tcMar>
              <w:left w:w="60" w:type="dxa"/>
              <w:right w:w="60" w:type="dxa"/>
            </w:tcMar>
            <w:vAlign w:val="center"/>
          </w:tcPr>
          <w:p w14:paraId="6E633EDC" w14:textId="77777777" w:rsidR="00FD1E19" w:rsidRDefault="00FD1E19" w:rsidP="00BE7E4A">
            <w:pPr>
              <w:pStyle w:val="DMETW37225BIPOTHEX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w:t>
            </w:r>
          </w:p>
        </w:tc>
      </w:tr>
      <w:tr w:rsidR="00FD1E19" w14:paraId="498A913A" w14:textId="77777777" w:rsidTr="00BE7E4A">
        <w:trPr>
          <w:trHeight w:val="255"/>
        </w:trPr>
        <w:tc>
          <w:tcPr>
            <w:tcW w:w="4572" w:type="dxa"/>
            <w:tcBorders>
              <w:top w:val="nil"/>
              <w:left w:val="nil"/>
              <w:bottom w:val="nil"/>
              <w:right w:val="nil"/>
              <w:tl2br w:val="nil"/>
              <w:tr2bl w:val="nil"/>
            </w:tcBorders>
            <w:shd w:val="solid" w:color="CCE1EA" w:fill="FFFFFF"/>
            <w:tcMar>
              <w:left w:w="60" w:type="dxa"/>
              <w:right w:w="60" w:type="dxa"/>
            </w:tcMar>
            <w:vAlign w:val="center"/>
          </w:tcPr>
          <w:p w14:paraId="7EDF139C" w14:textId="77777777" w:rsidR="00FD1E19" w:rsidRDefault="00FD1E19" w:rsidP="00BE7E4A">
            <w:pPr>
              <w:pStyle w:val="DMETW37225BIPOTHEXP"/>
              <w:rPr>
                <w:rFonts w:ascii="Verdana" w:eastAsia="Verdana" w:hAnsi="Verdana" w:cs="Verdana"/>
                <w:b/>
                <w:noProof/>
                <w:color w:val="000000"/>
                <w:sz w:val="18"/>
              </w:rPr>
            </w:pPr>
            <w:r>
              <w:rPr>
                <w:rFonts w:ascii="Verdana" w:eastAsia="Verdana" w:hAnsi="Verdana" w:cs="Verdana"/>
                <w:b/>
                <w:noProof/>
                <w:color w:val="000000"/>
                <w:sz w:val="18"/>
              </w:rPr>
              <w:t>Total</w:t>
            </w:r>
          </w:p>
        </w:tc>
        <w:tc>
          <w:tcPr>
            <w:tcW w:w="936" w:type="dxa"/>
            <w:tcBorders>
              <w:top w:val="nil"/>
              <w:left w:val="nil"/>
              <w:bottom w:val="nil"/>
              <w:right w:val="nil"/>
              <w:tl2br w:val="nil"/>
              <w:tr2bl w:val="nil"/>
            </w:tcBorders>
            <w:shd w:val="solid" w:color="CCE1EA" w:fill="FFFFFF"/>
            <w:tcMar>
              <w:left w:w="60" w:type="dxa"/>
              <w:right w:w="60" w:type="dxa"/>
            </w:tcMar>
            <w:vAlign w:val="center"/>
          </w:tcPr>
          <w:p w14:paraId="4F003F7B" w14:textId="77777777" w:rsidR="00FD1E19" w:rsidRDefault="00FD1E19" w:rsidP="00BE7E4A">
            <w:pPr>
              <w:pStyle w:val="DMETW37225BIPOTHEXP"/>
              <w:jc w:val="right"/>
              <w:rPr>
                <w:rFonts w:ascii="Verdana" w:eastAsia="Verdana" w:hAnsi="Verdana" w:cs="Verdana"/>
                <w:b/>
                <w:noProof/>
                <w:color w:val="000000"/>
                <w:sz w:val="18"/>
              </w:rPr>
            </w:pPr>
            <w:r>
              <w:rPr>
                <w:rFonts w:ascii="Verdana" w:eastAsia="Verdana" w:hAnsi="Verdana" w:cs="Verdana"/>
                <w:b/>
                <w:noProof/>
                <w:color w:val="000000"/>
                <w:sz w:val="18"/>
              </w:rPr>
              <w:t xml:space="preserve">  1</w:t>
            </w:r>
          </w:p>
        </w:tc>
        <w:tc>
          <w:tcPr>
            <w:tcW w:w="937" w:type="dxa"/>
            <w:tcBorders>
              <w:top w:val="nil"/>
              <w:left w:val="nil"/>
              <w:bottom w:val="nil"/>
              <w:right w:val="nil"/>
              <w:tl2br w:val="nil"/>
              <w:tr2bl w:val="nil"/>
            </w:tcBorders>
            <w:shd w:val="solid" w:color="CCE1EA" w:fill="FFFFFF"/>
            <w:tcMar>
              <w:left w:w="60" w:type="dxa"/>
              <w:right w:w="60" w:type="dxa"/>
            </w:tcMar>
            <w:vAlign w:val="center"/>
          </w:tcPr>
          <w:p w14:paraId="57903C9B" w14:textId="77777777" w:rsidR="00FD1E19" w:rsidRDefault="00FD1E19" w:rsidP="00BE7E4A">
            <w:pPr>
              <w:pStyle w:val="DMETW37225BIPOTHEXP"/>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937" w:type="dxa"/>
            <w:tcBorders>
              <w:top w:val="nil"/>
              <w:left w:val="nil"/>
              <w:bottom w:val="nil"/>
              <w:right w:val="nil"/>
              <w:tl2br w:val="nil"/>
              <w:tr2bl w:val="nil"/>
            </w:tcBorders>
            <w:shd w:val="solid" w:color="CCE1EA" w:fill="FFFFFF"/>
            <w:tcMar>
              <w:left w:w="60" w:type="dxa"/>
              <w:right w:w="60" w:type="dxa"/>
            </w:tcMar>
            <w:vAlign w:val="center"/>
          </w:tcPr>
          <w:p w14:paraId="5371E7DD" w14:textId="77777777" w:rsidR="00FD1E19" w:rsidRDefault="00FD1E19" w:rsidP="00BE7E4A">
            <w:pPr>
              <w:pStyle w:val="DMETW37225BIPOTHEXP"/>
              <w:jc w:val="right"/>
              <w:rPr>
                <w:rFonts w:ascii="Verdana" w:eastAsia="Verdana" w:hAnsi="Verdana" w:cs="Verdana"/>
                <w:b/>
                <w:noProof/>
                <w:color w:val="000000"/>
                <w:sz w:val="18"/>
              </w:rPr>
            </w:pPr>
            <w:r>
              <w:rPr>
                <w:rFonts w:ascii="Verdana" w:eastAsia="Verdana" w:hAnsi="Verdana" w:cs="Verdana"/>
                <w:b/>
                <w:noProof/>
                <w:color w:val="000000"/>
                <w:sz w:val="18"/>
              </w:rPr>
              <w:t xml:space="preserve">  40</w:t>
            </w:r>
          </w:p>
        </w:tc>
        <w:tc>
          <w:tcPr>
            <w:tcW w:w="1051" w:type="dxa"/>
            <w:tcBorders>
              <w:top w:val="nil"/>
              <w:left w:val="nil"/>
              <w:bottom w:val="nil"/>
              <w:right w:val="nil"/>
              <w:tl2br w:val="nil"/>
              <w:tr2bl w:val="nil"/>
            </w:tcBorders>
            <w:shd w:val="solid" w:color="CCE1EA" w:fill="FFFFFF"/>
            <w:tcMar>
              <w:left w:w="60" w:type="dxa"/>
              <w:right w:w="60" w:type="dxa"/>
            </w:tcMar>
            <w:vAlign w:val="center"/>
          </w:tcPr>
          <w:p w14:paraId="53D8F628" w14:textId="77777777" w:rsidR="00FD1E19" w:rsidRDefault="00FD1E19" w:rsidP="00BE7E4A">
            <w:pPr>
              <w:pStyle w:val="DMETW37225BIPOTHEXP"/>
              <w:jc w:val="right"/>
              <w:rPr>
                <w:rFonts w:ascii="Verdana" w:eastAsia="Verdana" w:hAnsi="Verdana" w:cs="Verdana"/>
                <w:b/>
                <w:noProof/>
                <w:color w:val="000000"/>
                <w:sz w:val="18"/>
              </w:rPr>
            </w:pPr>
            <w:r>
              <w:rPr>
                <w:rFonts w:ascii="Verdana" w:eastAsia="Verdana" w:hAnsi="Verdana" w:cs="Verdana"/>
                <w:b/>
                <w:noProof/>
                <w:color w:val="000000"/>
                <w:sz w:val="18"/>
              </w:rPr>
              <w:t xml:space="preserve">  46</w:t>
            </w:r>
          </w:p>
        </w:tc>
        <w:tc>
          <w:tcPr>
            <w:tcW w:w="1325" w:type="dxa"/>
            <w:tcBorders>
              <w:top w:val="nil"/>
              <w:left w:val="nil"/>
              <w:bottom w:val="nil"/>
              <w:right w:val="nil"/>
              <w:tl2br w:val="nil"/>
              <w:tr2bl w:val="nil"/>
            </w:tcBorders>
            <w:shd w:val="solid" w:color="CCE1EA" w:fill="FFFFFF"/>
            <w:tcMar>
              <w:left w:w="60" w:type="dxa"/>
              <w:right w:w="60" w:type="dxa"/>
            </w:tcMar>
            <w:vAlign w:val="center"/>
          </w:tcPr>
          <w:p w14:paraId="45683373" w14:textId="77777777" w:rsidR="00FD1E19" w:rsidRDefault="00FD1E19" w:rsidP="00BE7E4A">
            <w:pPr>
              <w:pStyle w:val="DMETW37225BIPOTHEXP"/>
              <w:jc w:val="right"/>
              <w:rPr>
                <w:rFonts w:ascii="Verdana" w:eastAsia="Verdana" w:hAnsi="Verdana" w:cs="Verdana"/>
                <w:b/>
                <w:noProof/>
                <w:color w:val="000000"/>
                <w:sz w:val="18"/>
              </w:rPr>
            </w:pPr>
            <w:r>
              <w:rPr>
                <w:rFonts w:ascii="Verdana" w:eastAsia="Verdana" w:hAnsi="Verdana" w:cs="Verdana"/>
                <w:b/>
                <w:noProof/>
                <w:color w:val="000000"/>
                <w:sz w:val="18"/>
              </w:rPr>
              <w:t xml:space="preserve">  110</w:t>
            </w:r>
          </w:p>
        </w:tc>
      </w:tr>
    </w:tbl>
    <w:p w14:paraId="63F23EBA" w14:textId="77777777" w:rsidR="00FD1E19" w:rsidRDefault="00FD1E19" w:rsidP="00FD1E19">
      <w:pPr>
        <w:pStyle w:val="Textstand-alone"/>
      </w:pPr>
      <w:r w:rsidRPr="00D4795A">
        <w:t>The heading Administrative and IT expenses</w:t>
      </w:r>
      <w:r>
        <w:t>’</w:t>
      </w:r>
      <w:r w:rsidRPr="00D4795A">
        <w:t xml:space="preserve"> includes amounts that are based on the EDF internal agreement with the Commission to cover the administrative expenditure incurred by both the </w:t>
      </w:r>
      <w:r>
        <w:t>h</w:t>
      </w:r>
      <w:r w:rsidRPr="00D4795A">
        <w:t xml:space="preserve">eadquarters and the </w:t>
      </w:r>
      <w:r>
        <w:t>d</w:t>
      </w:r>
      <w:r w:rsidRPr="00D4795A">
        <w:t xml:space="preserve">elegations </w:t>
      </w:r>
      <w:r>
        <w:t>when</w:t>
      </w:r>
      <w:r w:rsidRPr="00D4795A">
        <w:t xml:space="preserve"> managing the EDF programmes. </w:t>
      </w:r>
    </w:p>
    <w:p w14:paraId="5F5D4B8C" w14:textId="77777777" w:rsidR="00FD1E19" w:rsidRPr="00402012" w:rsidRDefault="00FD1E19" w:rsidP="00FD1E19">
      <w:pPr>
        <w:pStyle w:val="Textstand-alone"/>
      </w:pPr>
      <w:r w:rsidRPr="00402012">
        <w:t xml:space="preserve">In 2025, the administrative expenses were impacted by the reversal of a 2024 accrual related to staff expense funded by the EDF. As a result, the reported </w:t>
      </w:r>
      <w:r>
        <w:t xml:space="preserve">staff </w:t>
      </w:r>
      <w:r w:rsidRPr="00402012">
        <w:t xml:space="preserve">expense amounts to </w:t>
      </w:r>
      <w:r>
        <w:t xml:space="preserve">EUR </w:t>
      </w:r>
      <w:r w:rsidRPr="00402012">
        <w:t xml:space="preserve">1.3 million instead of </w:t>
      </w:r>
      <w:r>
        <w:t xml:space="preserve">EUR </w:t>
      </w:r>
      <w:r w:rsidRPr="00402012">
        <w:t xml:space="preserve">36 </w:t>
      </w:r>
      <w:r>
        <w:t>million</w:t>
      </w:r>
      <w:r w:rsidRPr="00402012">
        <w:t xml:space="preserve"> actually incurred in 2025.</w:t>
      </w:r>
    </w:p>
    <w:p w14:paraId="19281BDE" w14:textId="77777777" w:rsidR="00FD1E19" w:rsidRPr="00402012" w:rsidRDefault="00FD1E19" w:rsidP="00FD1E19">
      <w:pPr>
        <w:pStyle w:val="Textstand-alone"/>
      </w:pPr>
    </w:p>
    <w:p w14:paraId="32C1DD9B" w14:textId="77777777" w:rsidR="00FD1E19" w:rsidRPr="00D4795A" w:rsidRDefault="00FD1E19" w:rsidP="00FD1E19">
      <w:pPr>
        <w:pStyle w:val="Textstand-alone"/>
      </w:pPr>
    </w:p>
    <w:p w14:paraId="525F4180" w14:textId="77777777" w:rsidR="00FD1E19" w:rsidRPr="00F64D38" w:rsidRDefault="00FD1E19" w:rsidP="00FD1E19">
      <w:pPr>
        <w:pStyle w:val="HEADER1Part2"/>
        <w:numPr>
          <w:ilvl w:val="0"/>
          <w:numId w:val="0"/>
        </w:numPr>
        <w:rPr>
          <w:noProof/>
        </w:rPr>
        <w:sectPr w:rsidR="00FD1E19" w:rsidRPr="00F64D38" w:rsidSect="00FD1E19">
          <w:headerReference w:type="default" r:id="rId75"/>
          <w:pgSz w:w="11906" w:h="16838" w:code="9"/>
          <w:pgMar w:top="1134" w:right="1134" w:bottom="1134" w:left="1134" w:header="709" w:footer="709" w:gutter="0"/>
          <w:cols w:space="708"/>
          <w:docGrid w:linePitch="360"/>
        </w:sectPr>
      </w:pPr>
    </w:p>
    <w:p w14:paraId="2B609C33" w14:textId="77777777" w:rsidR="00FD1E19" w:rsidRPr="00F64D38" w:rsidRDefault="00FD1E19" w:rsidP="00FD1E19">
      <w:pPr>
        <w:pStyle w:val="HEADER1Part2"/>
        <w:rPr>
          <w:noProof/>
        </w:rPr>
      </w:pPr>
      <w:r w:rsidRPr="00F64D38">
        <w:rPr>
          <w:noProof/>
        </w:rPr>
        <w:t>CONTINGENT ASSETS &amp; LIABILITIES AND OTHER SIGNIFICANT DISCLOSURES</w:t>
      </w:r>
    </w:p>
    <w:p w14:paraId="34551C0E" w14:textId="77777777" w:rsidR="00FD1E19" w:rsidRDefault="00FD1E19" w:rsidP="00FD1E19">
      <w:pPr>
        <w:pStyle w:val="HEADER2Part2"/>
        <w:ind w:left="3402" w:hanging="3402"/>
        <w:jc w:val="both"/>
        <w:rPr>
          <w:noProof/>
        </w:rPr>
      </w:pPr>
      <w:r w:rsidRPr="00F64D38">
        <w:rPr>
          <w:noProof/>
        </w:rPr>
        <w:t>CONTINGENT ASSETS</w:t>
      </w:r>
    </w:p>
    <w:p w14:paraId="40222286" w14:textId="77777777" w:rsidR="00FD1E19" w:rsidRPr="00F64D38" w:rsidRDefault="00FD1E19" w:rsidP="00FD1E19">
      <w:pPr>
        <w:pStyle w:val="Textstand-alone"/>
      </w:pPr>
      <w:bookmarkStart w:id="119" w:name="BIP_SEL012"/>
      <w:r>
        <w:t xml:space="preserve">Contingent assets are possible assets that arise from past events, and whose existence will only be confirmed by the occurrence or non-occurrence of one or more uncertain future events that are not wholly within the control of the entity. </w:t>
      </w:r>
      <w:bookmarkEnd w:id="1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1"/>
        <w:gridCol w:w="1013"/>
        <w:gridCol w:w="1013"/>
        <w:gridCol w:w="1013"/>
        <w:gridCol w:w="1594"/>
        <w:gridCol w:w="1594"/>
      </w:tblGrid>
      <w:tr w:rsidR="00FD1E19" w14:paraId="29592911" w14:textId="77777777" w:rsidTr="00BE7E4A">
        <w:trPr>
          <w:trHeight w:val="255"/>
        </w:trPr>
        <w:tc>
          <w:tcPr>
            <w:tcW w:w="3531" w:type="dxa"/>
            <w:tcBorders>
              <w:top w:val="nil"/>
              <w:left w:val="nil"/>
              <w:bottom w:val="nil"/>
              <w:right w:val="nil"/>
              <w:tl2br w:val="nil"/>
              <w:tr2bl w:val="nil"/>
            </w:tcBorders>
            <w:shd w:val="clear" w:color="auto" w:fill="auto"/>
            <w:tcMar>
              <w:left w:w="60" w:type="dxa"/>
              <w:right w:w="60" w:type="dxa"/>
            </w:tcMar>
            <w:vAlign w:val="center"/>
          </w:tcPr>
          <w:p w14:paraId="7893358F" w14:textId="77777777" w:rsidR="00FD1E19" w:rsidRDefault="00FD1E19" w:rsidP="00BE7E4A">
            <w:pPr>
              <w:pStyle w:val="DMETW37225BIPCONTGASSTS"/>
              <w:rPr>
                <w:rFonts w:ascii="Verdana" w:eastAsia="Verdana" w:hAnsi="Verdana" w:cs="Verdana"/>
                <w:noProof/>
                <w:color w:val="000000"/>
                <w:sz w:val="18"/>
                <w:lang w:bidi="en-GB"/>
              </w:rPr>
            </w:pPr>
            <w:bookmarkStart w:id="120" w:name="DOC_TBL00043_1_1"/>
            <w:bookmarkEnd w:id="120"/>
          </w:p>
        </w:tc>
        <w:tc>
          <w:tcPr>
            <w:tcW w:w="1013" w:type="dxa"/>
            <w:tcBorders>
              <w:top w:val="nil"/>
              <w:left w:val="nil"/>
              <w:bottom w:val="nil"/>
              <w:right w:val="nil"/>
              <w:tl2br w:val="nil"/>
              <w:tr2bl w:val="nil"/>
            </w:tcBorders>
            <w:shd w:val="clear" w:color="auto" w:fill="auto"/>
            <w:tcMar>
              <w:left w:w="60" w:type="dxa"/>
              <w:right w:w="60" w:type="dxa"/>
            </w:tcMar>
            <w:vAlign w:val="center"/>
          </w:tcPr>
          <w:p w14:paraId="427AA8B5" w14:textId="77777777" w:rsidR="00FD1E19" w:rsidRDefault="00FD1E19" w:rsidP="00BE7E4A">
            <w:pPr>
              <w:pStyle w:val="DMETW37225BIPCONTGASSTS"/>
              <w:jc w:val="right"/>
              <w:rPr>
                <w:rFonts w:ascii="Verdana" w:eastAsia="Verdana" w:hAnsi="Verdana" w:cs="Verdana"/>
                <w:i/>
                <w:noProof/>
                <w:color w:val="000000"/>
                <w:sz w:val="16"/>
              </w:rPr>
            </w:pPr>
          </w:p>
        </w:tc>
        <w:tc>
          <w:tcPr>
            <w:tcW w:w="1013" w:type="dxa"/>
            <w:tcBorders>
              <w:top w:val="nil"/>
              <w:left w:val="nil"/>
              <w:bottom w:val="nil"/>
              <w:right w:val="nil"/>
              <w:tl2br w:val="nil"/>
              <w:tr2bl w:val="nil"/>
            </w:tcBorders>
            <w:shd w:val="clear" w:color="auto" w:fill="auto"/>
            <w:tcMar>
              <w:left w:w="60" w:type="dxa"/>
              <w:right w:w="60" w:type="dxa"/>
            </w:tcMar>
            <w:vAlign w:val="center"/>
          </w:tcPr>
          <w:p w14:paraId="76A70809" w14:textId="77777777" w:rsidR="00FD1E19" w:rsidRDefault="00FD1E19" w:rsidP="00BE7E4A">
            <w:pPr>
              <w:pStyle w:val="DMETW37225BIPCONTGASSTS"/>
              <w:jc w:val="right"/>
              <w:rPr>
                <w:rFonts w:ascii="Verdana" w:eastAsia="Verdana" w:hAnsi="Verdana" w:cs="Verdana"/>
                <w:i/>
                <w:noProof/>
                <w:color w:val="000000"/>
                <w:sz w:val="16"/>
              </w:rPr>
            </w:pPr>
          </w:p>
        </w:tc>
        <w:tc>
          <w:tcPr>
            <w:tcW w:w="1013" w:type="dxa"/>
            <w:tcBorders>
              <w:top w:val="nil"/>
              <w:left w:val="nil"/>
              <w:bottom w:val="nil"/>
              <w:right w:val="nil"/>
              <w:tl2br w:val="nil"/>
              <w:tr2bl w:val="nil"/>
            </w:tcBorders>
            <w:shd w:val="clear" w:color="auto" w:fill="auto"/>
            <w:tcMar>
              <w:left w:w="60" w:type="dxa"/>
              <w:right w:w="60" w:type="dxa"/>
            </w:tcMar>
            <w:vAlign w:val="center"/>
          </w:tcPr>
          <w:p w14:paraId="00EC2AC6" w14:textId="77777777" w:rsidR="00FD1E19" w:rsidRDefault="00FD1E19" w:rsidP="00BE7E4A">
            <w:pPr>
              <w:pStyle w:val="DMETW37225BIPCONTGASSTS"/>
              <w:jc w:val="right"/>
              <w:rPr>
                <w:rFonts w:ascii="Verdana" w:eastAsia="Verdana" w:hAnsi="Verdana" w:cs="Verdana"/>
                <w:i/>
                <w:noProof/>
                <w:color w:val="000000"/>
                <w:sz w:val="16"/>
              </w:rPr>
            </w:pPr>
          </w:p>
        </w:tc>
        <w:tc>
          <w:tcPr>
            <w:tcW w:w="1594" w:type="dxa"/>
            <w:tcBorders>
              <w:top w:val="nil"/>
              <w:left w:val="nil"/>
              <w:bottom w:val="nil"/>
              <w:right w:val="nil"/>
              <w:tl2br w:val="nil"/>
              <w:tr2bl w:val="nil"/>
            </w:tcBorders>
            <w:shd w:val="clear" w:color="auto" w:fill="auto"/>
            <w:tcMar>
              <w:left w:w="60" w:type="dxa"/>
              <w:right w:w="60" w:type="dxa"/>
            </w:tcMar>
            <w:vAlign w:val="center"/>
          </w:tcPr>
          <w:p w14:paraId="7F3197D0" w14:textId="77777777" w:rsidR="00FD1E19" w:rsidRDefault="00FD1E19" w:rsidP="00BE7E4A">
            <w:pPr>
              <w:pStyle w:val="DMETW37225BIPCONTGASSTS"/>
              <w:jc w:val="right"/>
              <w:rPr>
                <w:rFonts w:ascii="Verdana" w:eastAsia="Verdana" w:hAnsi="Verdana" w:cs="Verdana"/>
                <w:i/>
                <w:noProof/>
                <w:color w:val="000000"/>
                <w:sz w:val="16"/>
              </w:rPr>
            </w:pPr>
          </w:p>
        </w:tc>
        <w:tc>
          <w:tcPr>
            <w:tcW w:w="1594" w:type="dxa"/>
            <w:tcBorders>
              <w:top w:val="nil"/>
              <w:left w:val="nil"/>
              <w:bottom w:val="nil"/>
              <w:right w:val="nil"/>
              <w:tl2br w:val="nil"/>
              <w:tr2bl w:val="nil"/>
            </w:tcBorders>
            <w:shd w:val="clear" w:color="auto" w:fill="auto"/>
            <w:tcMar>
              <w:left w:w="60" w:type="dxa"/>
              <w:right w:w="60" w:type="dxa"/>
            </w:tcMar>
            <w:vAlign w:val="center"/>
          </w:tcPr>
          <w:p w14:paraId="2C99F502" w14:textId="77777777" w:rsidR="00FD1E19" w:rsidRDefault="00FD1E19" w:rsidP="00BE7E4A">
            <w:pPr>
              <w:pStyle w:val="DMETW37225BIPCONTGASST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0E7617CE" w14:textId="77777777" w:rsidTr="00BE7E4A">
        <w:trPr>
          <w:trHeight w:val="255"/>
        </w:trPr>
        <w:tc>
          <w:tcPr>
            <w:tcW w:w="3531" w:type="dxa"/>
            <w:tcBorders>
              <w:top w:val="nil"/>
              <w:left w:val="nil"/>
              <w:bottom w:val="nil"/>
              <w:right w:val="nil"/>
              <w:tl2br w:val="nil"/>
              <w:tr2bl w:val="nil"/>
            </w:tcBorders>
            <w:shd w:val="solid" w:color="016794" w:fill="FFFFFF"/>
            <w:tcMar>
              <w:left w:w="60" w:type="dxa"/>
              <w:right w:w="60" w:type="dxa"/>
            </w:tcMar>
            <w:vAlign w:val="center"/>
          </w:tcPr>
          <w:p w14:paraId="5C8934C2" w14:textId="77777777" w:rsidR="00FD1E19" w:rsidRDefault="00FD1E19" w:rsidP="00BE7E4A">
            <w:pPr>
              <w:pStyle w:val="DMETW37225BIPCONTGASSTS"/>
              <w:jc w:val="right"/>
              <w:rPr>
                <w:rFonts w:ascii="Verdana" w:eastAsia="Verdana" w:hAnsi="Verdana" w:cs="Verdana"/>
                <w:noProof/>
                <w:color w:val="FFFFFF"/>
              </w:rPr>
            </w:pPr>
          </w:p>
        </w:tc>
        <w:tc>
          <w:tcPr>
            <w:tcW w:w="1013" w:type="dxa"/>
            <w:tcBorders>
              <w:top w:val="nil"/>
              <w:left w:val="nil"/>
              <w:bottom w:val="nil"/>
              <w:right w:val="nil"/>
              <w:tl2br w:val="nil"/>
              <w:tr2bl w:val="nil"/>
            </w:tcBorders>
            <w:shd w:val="solid" w:color="016794" w:fill="FFFFFF"/>
            <w:tcMar>
              <w:left w:w="60" w:type="dxa"/>
              <w:right w:w="60" w:type="dxa"/>
            </w:tcMar>
            <w:vAlign w:val="center"/>
          </w:tcPr>
          <w:p w14:paraId="16B9F08A" w14:textId="77777777" w:rsidR="00FD1E19" w:rsidRDefault="00FD1E19" w:rsidP="00BE7E4A">
            <w:pPr>
              <w:pStyle w:val="DMETW37225BIPCONTGASSTS"/>
              <w:jc w:val="right"/>
              <w:rPr>
                <w:rFonts w:ascii="Verdana" w:eastAsia="Verdana" w:hAnsi="Verdana" w:cs="Verdana"/>
                <w:noProof/>
                <w:color w:val="FFFFFF"/>
              </w:rPr>
            </w:pPr>
            <w:r>
              <w:rPr>
                <w:rFonts w:ascii="Verdana" w:eastAsia="Verdana" w:hAnsi="Verdana" w:cs="Verdana"/>
                <w:noProof/>
                <w:color w:val="FFFFFF"/>
              </w:rPr>
              <w:t>Ninth EDF</w:t>
            </w:r>
          </w:p>
        </w:tc>
        <w:tc>
          <w:tcPr>
            <w:tcW w:w="1013" w:type="dxa"/>
            <w:tcBorders>
              <w:top w:val="nil"/>
              <w:left w:val="nil"/>
              <w:bottom w:val="nil"/>
              <w:right w:val="nil"/>
              <w:tl2br w:val="nil"/>
              <w:tr2bl w:val="nil"/>
            </w:tcBorders>
            <w:shd w:val="solid" w:color="016794" w:fill="FFFFFF"/>
            <w:tcMar>
              <w:left w:w="60" w:type="dxa"/>
              <w:right w:w="60" w:type="dxa"/>
            </w:tcMar>
            <w:vAlign w:val="center"/>
          </w:tcPr>
          <w:p w14:paraId="764D8D7C" w14:textId="77777777" w:rsidR="00FD1E19" w:rsidRDefault="00FD1E19" w:rsidP="00BE7E4A">
            <w:pPr>
              <w:pStyle w:val="DMETW37225BIPCONTGASSTS"/>
              <w:jc w:val="right"/>
              <w:rPr>
                <w:rFonts w:ascii="Verdana" w:eastAsia="Verdana" w:hAnsi="Verdana" w:cs="Verdana"/>
                <w:noProof/>
                <w:color w:val="FFFFFF"/>
              </w:rPr>
            </w:pPr>
            <w:r>
              <w:rPr>
                <w:rFonts w:ascii="Verdana" w:eastAsia="Verdana" w:hAnsi="Verdana" w:cs="Verdana"/>
                <w:noProof/>
                <w:color w:val="FFFFFF"/>
              </w:rPr>
              <w:t>10th EDF</w:t>
            </w:r>
          </w:p>
        </w:tc>
        <w:tc>
          <w:tcPr>
            <w:tcW w:w="1013" w:type="dxa"/>
            <w:tcBorders>
              <w:top w:val="nil"/>
              <w:left w:val="nil"/>
              <w:bottom w:val="nil"/>
              <w:right w:val="nil"/>
              <w:tl2br w:val="nil"/>
              <w:tr2bl w:val="nil"/>
            </w:tcBorders>
            <w:shd w:val="solid" w:color="016794" w:fill="FFFFFF"/>
            <w:tcMar>
              <w:left w:w="60" w:type="dxa"/>
              <w:right w:w="60" w:type="dxa"/>
            </w:tcMar>
            <w:vAlign w:val="center"/>
          </w:tcPr>
          <w:p w14:paraId="1839C676" w14:textId="77777777" w:rsidR="00FD1E19" w:rsidRDefault="00FD1E19" w:rsidP="00BE7E4A">
            <w:pPr>
              <w:pStyle w:val="DMETW37225BIPCONTGASSTS"/>
              <w:jc w:val="right"/>
              <w:rPr>
                <w:rFonts w:ascii="Verdana" w:eastAsia="Verdana" w:hAnsi="Verdana" w:cs="Verdana"/>
                <w:noProof/>
                <w:color w:val="FFFFFF"/>
              </w:rPr>
            </w:pPr>
            <w:r>
              <w:rPr>
                <w:rFonts w:ascii="Verdana" w:eastAsia="Verdana" w:hAnsi="Verdana" w:cs="Verdana"/>
                <w:noProof/>
                <w:color w:val="FFFFFF"/>
              </w:rPr>
              <w:t>11th EDF</w:t>
            </w:r>
          </w:p>
        </w:tc>
        <w:tc>
          <w:tcPr>
            <w:tcW w:w="1594" w:type="dxa"/>
            <w:tcBorders>
              <w:top w:val="nil"/>
              <w:left w:val="nil"/>
              <w:bottom w:val="nil"/>
              <w:right w:val="nil"/>
              <w:tl2br w:val="nil"/>
              <w:tr2bl w:val="nil"/>
            </w:tcBorders>
            <w:shd w:val="solid" w:color="016794" w:fill="FFFFFF"/>
            <w:tcMar>
              <w:left w:w="60" w:type="dxa"/>
              <w:right w:w="60" w:type="dxa"/>
            </w:tcMar>
            <w:vAlign w:val="center"/>
          </w:tcPr>
          <w:p w14:paraId="7B7F4C71" w14:textId="77777777" w:rsidR="00FD1E19" w:rsidRDefault="00FD1E19" w:rsidP="00BE7E4A">
            <w:pPr>
              <w:pStyle w:val="DMETW37225BIPCONTGASSTS"/>
              <w:jc w:val="right"/>
              <w:rPr>
                <w:rFonts w:ascii="Verdana" w:eastAsia="Verdana" w:hAnsi="Verdana" w:cs="Verdana"/>
                <w:noProof/>
                <w:color w:val="FFFFFF"/>
              </w:rPr>
            </w:pPr>
            <w:r>
              <w:rPr>
                <w:rFonts w:ascii="Verdana" w:eastAsia="Verdana" w:hAnsi="Verdana" w:cs="Verdana"/>
                <w:noProof/>
                <w:color w:val="FFFFFF"/>
              </w:rPr>
              <w:t>31.12.2025</w:t>
            </w:r>
          </w:p>
        </w:tc>
        <w:tc>
          <w:tcPr>
            <w:tcW w:w="1594" w:type="dxa"/>
            <w:tcBorders>
              <w:top w:val="nil"/>
              <w:left w:val="nil"/>
              <w:bottom w:val="nil"/>
              <w:right w:val="nil"/>
              <w:tl2br w:val="nil"/>
              <w:tr2bl w:val="nil"/>
            </w:tcBorders>
            <w:shd w:val="solid" w:color="016794" w:fill="FFFFFF"/>
            <w:tcMar>
              <w:left w:w="60" w:type="dxa"/>
              <w:right w:w="60" w:type="dxa"/>
            </w:tcMar>
            <w:vAlign w:val="center"/>
          </w:tcPr>
          <w:p w14:paraId="5DA4985D" w14:textId="77777777" w:rsidR="00FD1E19" w:rsidRDefault="00FD1E19" w:rsidP="00BE7E4A">
            <w:pPr>
              <w:pStyle w:val="DMETW37225BIPCONTGASST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1C850AAA" w14:textId="77777777" w:rsidTr="00BE7E4A">
        <w:trPr>
          <w:trHeight w:val="255"/>
        </w:trPr>
        <w:tc>
          <w:tcPr>
            <w:tcW w:w="3531" w:type="dxa"/>
            <w:tcBorders>
              <w:top w:val="nil"/>
              <w:left w:val="nil"/>
              <w:bottom w:val="nil"/>
              <w:right w:val="nil"/>
              <w:tl2br w:val="nil"/>
              <w:tr2bl w:val="nil"/>
            </w:tcBorders>
            <w:shd w:val="clear" w:color="auto" w:fill="auto"/>
            <w:tcMar>
              <w:left w:w="60" w:type="dxa"/>
              <w:right w:w="60" w:type="dxa"/>
            </w:tcMar>
            <w:vAlign w:val="center"/>
          </w:tcPr>
          <w:p w14:paraId="637C0284" w14:textId="77777777" w:rsidR="00FD1E19" w:rsidRDefault="00FD1E19" w:rsidP="00BE7E4A">
            <w:pPr>
              <w:pStyle w:val="DMETW37225BIPCONTGASSTS"/>
              <w:rPr>
                <w:rFonts w:ascii="Verdana" w:eastAsia="Verdana" w:hAnsi="Verdana" w:cs="Verdana"/>
                <w:i/>
                <w:noProof/>
                <w:color w:val="000000"/>
                <w:sz w:val="18"/>
              </w:rPr>
            </w:pPr>
            <w:r>
              <w:rPr>
                <w:rFonts w:ascii="Verdana" w:eastAsia="Verdana" w:hAnsi="Verdana" w:cs="Verdana"/>
                <w:i/>
                <w:noProof/>
                <w:color w:val="000000"/>
                <w:sz w:val="18"/>
              </w:rPr>
              <w:t>Pre-financing guarantees</w:t>
            </w:r>
          </w:p>
        </w:tc>
        <w:tc>
          <w:tcPr>
            <w:tcW w:w="1013" w:type="dxa"/>
            <w:tcBorders>
              <w:top w:val="nil"/>
              <w:left w:val="nil"/>
              <w:bottom w:val="nil"/>
              <w:right w:val="nil"/>
              <w:tl2br w:val="nil"/>
              <w:tr2bl w:val="nil"/>
            </w:tcBorders>
            <w:shd w:val="clear" w:color="auto" w:fill="auto"/>
            <w:tcMar>
              <w:left w:w="60" w:type="dxa"/>
              <w:right w:w="60" w:type="dxa"/>
            </w:tcMar>
            <w:vAlign w:val="center"/>
          </w:tcPr>
          <w:p w14:paraId="27796323" w14:textId="77777777" w:rsidR="00FD1E19" w:rsidRDefault="00FD1E19" w:rsidP="00BE7E4A">
            <w:pPr>
              <w:pStyle w:val="DMETW37225BIPCONTGASST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13" w:type="dxa"/>
            <w:tcBorders>
              <w:top w:val="nil"/>
              <w:left w:val="nil"/>
              <w:bottom w:val="nil"/>
              <w:right w:val="nil"/>
              <w:tl2br w:val="nil"/>
              <w:tr2bl w:val="nil"/>
            </w:tcBorders>
            <w:shd w:val="clear" w:color="auto" w:fill="auto"/>
            <w:tcMar>
              <w:left w:w="60" w:type="dxa"/>
              <w:right w:w="60" w:type="dxa"/>
            </w:tcMar>
            <w:vAlign w:val="center"/>
          </w:tcPr>
          <w:p w14:paraId="76DCFFBE" w14:textId="77777777" w:rsidR="00FD1E19" w:rsidRDefault="00FD1E19" w:rsidP="00BE7E4A">
            <w:pPr>
              <w:pStyle w:val="DMETW37225BIPCONTGASST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13" w:type="dxa"/>
            <w:tcBorders>
              <w:top w:val="nil"/>
              <w:left w:val="nil"/>
              <w:bottom w:val="nil"/>
              <w:right w:val="nil"/>
              <w:tl2br w:val="nil"/>
              <w:tr2bl w:val="nil"/>
            </w:tcBorders>
            <w:shd w:val="clear" w:color="auto" w:fill="auto"/>
            <w:tcMar>
              <w:left w:w="60" w:type="dxa"/>
              <w:right w:w="60" w:type="dxa"/>
            </w:tcMar>
            <w:vAlign w:val="center"/>
          </w:tcPr>
          <w:p w14:paraId="174C078C" w14:textId="77777777" w:rsidR="00FD1E19" w:rsidRDefault="00FD1E19" w:rsidP="00BE7E4A">
            <w:pPr>
              <w:pStyle w:val="DMETW37225BIPCONTGASSTS"/>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594" w:type="dxa"/>
            <w:tcBorders>
              <w:top w:val="nil"/>
              <w:left w:val="nil"/>
              <w:bottom w:val="nil"/>
              <w:right w:val="nil"/>
              <w:tl2br w:val="nil"/>
              <w:tr2bl w:val="nil"/>
            </w:tcBorders>
            <w:shd w:val="clear" w:color="auto" w:fill="auto"/>
            <w:tcMar>
              <w:left w:w="60" w:type="dxa"/>
              <w:right w:w="60" w:type="dxa"/>
            </w:tcMar>
            <w:vAlign w:val="center"/>
          </w:tcPr>
          <w:p w14:paraId="5ACA5282" w14:textId="77777777" w:rsidR="00FD1E19" w:rsidRDefault="00FD1E19" w:rsidP="00BE7E4A">
            <w:pPr>
              <w:pStyle w:val="DMETW37225BIPCONTGASSTS"/>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594" w:type="dxa"/>
            <w:tcBorders>
              <w:top w:val="nil"/>
              <w:left w:val="nil"/>
              <w:bottom w:val="nil"/>
              <w:right w:val="nil"/>
              <w:tl2br w:val="nil"/>
              <w:tr2bl w:val="nil"/>
            </w:tcBorders>
            <w:shd w:val="clear" w:color="auto" w:fill="auto"/>
            <w:tcMar>
              <w:left w:w="60" w:type="dxa"/>
              <w:right w:w="60" w:type="dxa"/>
            </w:tcMar>
            <w:vAlign w:val="center"/>
          </w:tcPr>
          <w:p w14:paraId="1ECC3E76" w14:textId="77777777" w:rsidR="00FD1E19" w:rsidRDefault="00FD1E19" w:rsidP="00BE7E4A">
            <w:pPr>
              <w:pStyle w:val="DMETW37225BIPCONTGASST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19</w:t>
            </w:r>
          </w:p>
        </w:tc>
      </w:tr>
    </w:tbl>
    <w:p w14:paraId="36F6CE69" w14:textId="77777777" w:rsidR="00FD1E19" w:rsidRDefault="00FD1E19" w:rsidP="00FD1E19">
      <w:pPr>
        <w:pStyle w:val="Textstand-alone"/>
      </w:pPr>
      <w:r>
        <w:t xml:space="preserve">Pre-financing guarantees are requested in certain cases from beneficiaries that are not Member States when making advance payments. </w:t>
      </w:r>
    </w:p>
    <w:p w14:paraId="355963E4" w14:textId="77777777" w:rsidR="00FD1E19" w:rsidRDefault="00FD1E19" w:rsidP="00FD1E19">
      <w:pPr>
        <w:pStyle w:val="Textstand-alone"/>
      </w:pPr>
      <w:r>
        <w:t xml:space="preserve">At the end of 2025, pre-financing guarantees amounted to EUR 13 million compared with EUR 19 million in 2024. This is in line with the winding down of the EDF and the gradual closure of contracts. </w:t>
      </w:r>
    </w:p>
    <w:p w14:paraId="415A0230" w14:textId="77777777" w:rsidR="00FD1E19" w:rsidRDefault="00FD1E19" w:rsidP="00FD1E19">
      <w:pPr>
        <w:pStyle w:val="Textstand-alone"/>
      </w:pPr>
      <w:r>
        <w:t>For contracts managed under indirect management, the guarantees belong to a contracting authority other than the EDF and they are therefore not disclosed by the EDF</w:t>
      </w:r>
      <w:r w:rsidRPr="00F64D38">
        <w:t xml:space="preserve">. </w:t>
      </w:r>
    </w:p>
    <w:p w14:paraId="3512B58B" w14:textId="77777777" w:rsidR="00FD1E19" w:rsidRDefault="00FD1E19" w:rsidP="00FD1E19">
      <w:pPr>
        <w:pStyle w:val="HEADER2Part2"/>
        <w:ind w:left="3402" w:hanging="3402"/>
        <w:jc w:val="both"/>
        <w:rPr>
          <w:noProof/>
        </w:rPr>
      </w:pPr>
      <w:r>
        <w:rPr>
          <w:noProof/>
        </w:rPr>
        <w:t>CONTINGENT LIABILITIES</w:t>
      </w:r>
    </w:p>
    <w:p w14:paraId="29CB61A0" w14:textId="77777777" w:rsidR="00FD1E19" w:rsidRDefault="00FD1E19" w:rsidP="00FD1E19">
      <w:pPr>
        <w:pStyle w:val="Textstand-alone"/>
      </w:pPr>
      <w:bookmarkStart w:id="121" w:name="BIP_SEL011"/>
      <w:r w:rsidRPr="00AF67C4">
        <w:t>Contingent liabilities are either possible obligations that arise from past events and whose existence will only be confirmed by the occurrence or non-occurrence of one or more uncertain future events not wholly within the control of the entity, or present obligations arising from past events where the outflow of resources is not probable or the amount cannot be measured reliably</w:t>
      </w:r>
      <w:r>
        <w:t>.</w:t>
      </w:r>
      <w:bookmarkEnd w:id="121"/>
    </w:p>
    <w:p w14:paraId="7A6CFF94" w14:textId="77777777" w:rsidR="00FD1E19" w:rsidRDefault="00FD1E19" w:rsidP="00FD1E19">
      <w:pPr>
        <w:pStyle w:val="HEADER3Part2"/>
        <w:rPr>
          <w:noProof/>
        </w:rPr>
      </w:pPr>
      <w:r>
        <w:rPr>
          <w:noProof/>
        </w:rPr>
        <w:t>Guarantees given</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0"/>
        <w:gridCol w:w="1110"/>
        <w:gridCol w:w="971"/>
        <w:gridCol w:w="920"/>
        <w:gridCol w:w="1527"/>
        <w:gridCol w:w="1680"/>
      </w:tblGrid>
      <w:tr w:rsidR="00FD1E19" w14:paraId="25A912C5" w14:textId="77777777" w:rsidTr="00BE7E4A">
        <w:trPr>
          <w:trHeight w:val="255"/>
        </w:trPr>
        <w:tc>
          <w:tcPr>
            <w:tcW w:w="3550" w:type="dxa"/>
            <w:tcBorders>
              <w:top w:val="nil"/>
              <w:left w:val="nil"/>
              <w:bottom w:val="nil"/>
              <w:right w:val="nil"/>
              <w:tl2br w:val="nil"/>
              <w:tr2bl w:val="nil"/>
            </w:tcBorders>
            <w:shd w:val="clear" w:color="auto" w:fill="auto"/>
            <w:tcMar>
              <w:left w:w="60" w:type="dxa"/>
              <w:right w:w="60" w:type="dxa"/>
            </w:tcMar>
            <w:vAlign w:val="center"/>
          </w:tcPr>
          <w:p w14:paraId="4295C368" w14:textId="77777777" w:rsidR="00FD1E19" w:rsidRDefault="00FD1E19" w:rsidP="00BE7E4A">
            <w:pPr>
              <w:pStyle w:val="DMETW37225BIPCONTGliab"/>
              <w:rPr>
                <w:rFonts w:ascii="Verdana" w:eastAsia="Verdana" w:hAnsi="Verdana" w:cs="Verdana"/>
                <w:noProof/>
                <w:color w:val="000000"/>
                <w:sz w:val="18"/>
                <w:lang w:bidi="en-GB"/>
              </w:rPr>
            </w:pPr>
            <w:bookmarkStart w:id="122" w:name="DOC_TBL00013_1_1"/>
            <w:bookmarkEnd w:id="122"/>
          </w:p>
        </w:tc>
        <w:tc>
          <w:tcPr>
            <w:tcW w:w="1110" w:type="dxa"/>
            <w:tcBorders>
              <w:top w:val="nil"/>
              <w:left w:val="nil"/>
              <w:bottom w:val="nil"/>
              <w:right w:val="nil"/>
              <w:tl2br w:val="nil"/>
              <w:tr2bl w:val="nil"/>
            </w:tcBorders>
            <w:shd w:val="clear" w:color="auto" w:fill="auto"/>
            <w:tcMar>
              <w:left w:w="60" w:type="dxa"/>
              <w:right w:w="60" w:type="dxa"/>
            </w:tcMar>
            <w:vAlign w:val="center"/>
          </w:tcPr>
          <w:p w14:paraId="06764354" w14:textId="77777777" w:rsidR="00FD1E19" w:rsidRDefault="00FD1E19" w:rsidP="00BE7E4A">
            <w:pPr>
              <w:pStyle w:val="DMETW37225BIPCONTGliab"/>
              <w:jc w:val="right"/>
              <w:rPr>
                <w:rFonts w:ascii="Verdana" w:eastAsia="Verdana" w:hAnsi="Verdana" w:cs="Verdana"/>
                <w:i/>
                <w:noProof/>
                <w:color w:val="000000"/>
                <w:sz w:val="16"/>
              </w:rPr>
            </w:pPr>
          </w:p>
        </w:tc>
        <w:tc>
          <w:tcPr>
            <w:tcW w:w="971" w:type="dxa"/>
            <w:tcBorders>
              <w:top w:val="nil"/>
              <w:left w:val="nil"/>
              <w:bottom w:val="nil"/>
              <w:right w:val="nil"/>
              <w:tl2br w:val="nil"/>
              <w:tr2bl w:val="nil"/>
            </w:tcBorders>
            <w:shd w:val="clear" w:color="auto" w:fill="auto"/>
            <w:tcMar>
              <w:left w:w="60" w:type="dxa"/>
              <w:right w:w="60" w:type="dxa"/>
            </w:tcMar>
            <w:vAlign w:val="center"/>
          </w:tcPr>
          <w:p w14:paraId="02019921" w14:textId="77777777" w:rsidR="00FD1E19" w:rsidRDefault="00FD1E19" w:rsidP="00BE7E4A">
            <w:pPr>
              <w:pStyle w:val="DMETW37225BIPCONTGliab"/>
              <w:jc w:val="right"/>
              <w:rPr>
                <w:rFonts w:ascii="Verdana" w:eastAsia="Verdana" w:hAnsi="Verdana" w:cs="Verdana"/>
                <w:i/>
                <w:noProof/>
                <w:color w:val="000000"/>
                <w:sz w:val="16"/>
              </w:rPr>
            </w:pPr>
          </w:p>
        </w:tc>
        <w:tc>
          <w:tcPr>
            <w:tcW w:w="920" w:type="dxa"/>
            <w:tcBorders>
              <w:top w:val="nil"/>
              <w:left w:val="nil"/>
              <w:bottom w:val="nil"/>
              <w:right w:val="nil"/>
              <w:tl2br w:val="nil"/>
              <w:tr2bl w:val="nil"/>
            </w:tcBorders>
            <w:shd w:val="clear" w:color="auto" w:fill="auto"/>
            <w:tcMar>
              <w:left w:w="60" w:type="dxa"/>
              <w:right w:w="60" w:type="dxa"/>
            </w:tcMar>
            <w:vAlign w:val="center"/>
          </w:tcPr>
          <w:p w14:paraId="125C2F87" w14:textId="77777777" w:rsidR="00FD1E19" w:rsidRDefault="00FD1E19" w:rsidP="00BE7E4A">
            <w:pPr>
              <w:pStyle w:val="DMETW37225BIPCONTGliab"/>
              <w:jc w:val="right"/>
              <w:rPr>
                <w:rFonts w:ascii="Verdana" w:eastAsia="Verdana" w:hAnsi="Verdana" w:cs="Verdana"/>
                <w:i/>
                <w:noProof/>
                <w:color w:val="000000"/>
                <w:sz w:val="16"/>
              </w:rPr>
            </w:pPr>
          </w:p>
        </w:tc>
        <w:tc>
          <w:tcPr>
            <w:tcW w:w="1527" w:type="dxa"/>
            <w:tcBorders>
              <w:top w:val="nil"/>
              <w:left w:val="nil"/>
              <w:bottom w:val="nil"/>
              <w:right w:val="nil"/>
              <w:tl2br w:val="nil"/>
              <w:tr2bl w:val="nil"/>
            </w:tcBorders>
            <w:shd w:val="clear" w:color="auto" w:fill="auto"/>
            <w:tcMar>
              <w:left w:w="60" w:type="dxa"/>
              <w:right w:w="60" w:type="dxa"/>
            </w:tcMar>
            <w:vAlign w:val="center"/>
          </w:tcPr>
          <w:p w14:paraId="75980BC9" w14:textId="77777777" w:rsidR="00FD1E19" w:rsidRDefault="00FD1E19" w:rsidP="00BE7E4A">
            <w:pPr>
              <w:pStyle w:val="DMETW37225BIPCONTGliab"/>
              <w:jc w:val="right"/>
              <w:rPr>
                <w:rFonts w:ascii="Verdana" w:eastAsia="Verdana" w:hAnsi="Verdana" w:cs="Verdana"/>
                <w:i/>
                <w:noProof/>
                <w:color w:val="000000"/>
                <w:sz w:val="16"/>
              </w:rPr>
            </w:pPr>
          </w:p>
        </w:tc>
        <w:tc>
          <w:tcPr>
            <w:tcW w:w="1680" w:type="dxa"/>
            <w:tcBorders>
              <w:top w:val="nil"/>
              <w:left w:val="nil"/>
              <w:bottom w:val="nil"/>
              <w:right w:val="nil"/>
              <w:tl2br w:val="nil"/>
              <w:tr2bl w:val="nil"/>
            </w:tcBorders>
            <w:shd w:val="clear" w:color="auto" w:fill="auto"/>
            <w:tcMar>
              <w:left w:w="60" w:type="dxa"/>
              <w:right w:w="60" w:type="dxa"/>
            </w:tcMar>
            <w:vAlign w:val="center"/>
          </w:tcPr>
          <w:p w14:paraId="65090246" w14:textId="77777777" w:rsidR="00FD1E19" w:rsidRDefault="00FD1E19" w:rsidP="00BE7E4A">
            <w:pPr>
              <w:pStyle w:val="DMETW37225BIPCONTGliab"/>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29DC6588" w14:textId="77777777" w:rsidTr="00BE7E4A">
        <w:trPr>
          <w:trHeight w:val="255"/>
        </w:trPr>
        <w:tc>
          <w:tcPr>
            <w:tcW w:w="3550" w:type="dxa"/>
            <w:tcBorders>
              <w:top w:val="nil"/>
              <w:left w:val="nil"/>
              <w:bottom w:val="nil"/>
              <w:right w:val="nil"/>
              <w:tl2br w:val="nil"/>
              <w:tr2bl w:val="nil"/>
            </w:tcBorders>
            <w:shd w:val="solid" w:color="016794" w:fill="FFFFFF"/>
            <w:tcMar>
              <w:left w:w="60" w:type="dxa"/>
              <w:right w:w="60" w:type="dxa"/>
            </w:tcMar>
            <w:vAlign w:val="center"/>
          </w:tcPr>
          <w:p w14:paraId="6241D326" w14:textId="77777777" w:rsidR="00FD1E19" w:rsidRDefault="00FD1E19" w:rsidP="00BE7E4A">
            <w:pPr>
              <w:pStyle w:val="DMETW37225BIPCONTGliab"/>
              <w:jc w:val="right"/>
              <w:rPr>
                <w:rFonts w:ascii="Verdana" w:eastAsia="Verdana" w:hAnsi="Verdana" w:cs="Verdana"/>
                <w:noProof/>
                <w:color w:val="FFFFFF"/>
              </w:rPr>
            </w:pPr>
          </w:p>
        </w:tc>
        <w:tc>
          <w:tcPr>
            <w:tcW w:w="1110" w:type="dxa"/>
            <w:tcBorders>
              <w:top w:val="nil"/>
              <w:left w:val="nil"/>
              <w:bottom w:val="nil"/>
              <w:right w:val="nil"/>
              <w:tl2br w:val="nil"/>
              <w:tr2bl w:val="nil"/>
            </w:tcBorders>
            <w:shd w:val="solid" w:color="016794" w:fill="FFFFFF"/>
            <w:tcMar>
              <w:left w:w="60" w:type="dxa"/>
              <w:right w:w="60" w:type="dxa"/>
            </w:tcMar>
            <w:vAlign w:val="center"/>
          </w:tcPr>
          <w:p w14:paraId="124E52DE" w14:textId="77777777" w:rsidR="00FD1E19" w:rsidRDefault="00FD1E19" w:rsidP="00BE7E4A">
            <w:pPr>
              <w:pStyle w:val="DMETW37225BIPCONTGliab"/>
              <w:jc w:val="right"/>
              <w:rPr>
                <w:rFonts w:ascii="Verdana" w:eastAsia="Verdana" w:hAnsi="Verdana" w:cs="Verdana"/>
                <w:noProof/>
                <w:color w:val="FFFFFF"/>
              </w:rPr>
            </w:pPr>
            <w:r>
              <w:rPr>
                <w:rFonts w:ascii="Verdana" w:eastAsia="Verdana" w:hAnsi="Verdana" w:cs="Verdana"/>
                <w:noProof/>
                <w:color w:val="FFFFFF"/>
              </w:rPr>
              <w:t>Ninth EDF</w:t>
            </w:r>
          </w:p>
        </w:tc>
        <w:tc>
          <w:tcPr>
            <w:tcW w:w="971" w:type="dxa"/>
            <w:tcBorders>
              <w:top w:val="nil"/>
              <w:left w:val="nil"/>
              <w:bottom w:val="nil"/>
              <w:right w:val="nil"/>
              <w:tl2br w:val="nil"/>
              <w:tr2bl w:val="nil"/>
            </w:tcBorders>
            <w:shd w:val="solid" w:color="016794" w:fill="FFFFFF"/>
            <w:tcMar>
              <w:left w:w="60" w:type="dxa"/>
              <w:right w:w="60" w:type="dxa"/>
            </w:tcMar>
            <w:vAlign w:val="center"/>
          </w:tcPr>
          <w:p w14:paraId="61CDBE00" w14:textId="77777777" w:rsidR="00FD1E19" w:rsidRDefault="00FD1E19" w:rsidP="00BE7E4A">
            <w:pPr>
              <w:pStyle w:val="DMETW37225BIPCONTGliab"/>
              <w:jc w:val="right"/>
              <w:rPr>
                <w:rFonts w:ascii="Verdana" w:eastAsia="Verdana" w:hAnsi="Verdana" w:cs="Verdana"/>
                <w:noProof/>
                <w:color w:val="FFFFFF"/>
              </w:rPr>
            </w:pPr>
            <w:r>
              <w:rPr>
                <w:rFonts w:ascii="Verdana" w:eastAsia="Verdana" w:hAnsi="Verdana" w:cs="Verdana"/>
                <w:noProof/>
                <w:color w:val="FFFFFF"/>
              </w:rPr>
              <w:t>10th EDF</w:t>
            </w:r>
          </w:p>
        </w:tc>
        <w:tc>
          <w:tcPr>
            <w:tcW w:w="920" w:type="dxa"/>
            <w:tcBorders>
              <w:top w:val="nil"/>
              <w:left w:val="nil"/>
              <w:bottom w:val="nil"/>
              <w:right w:val="nil"/>
              <w:tl2br w:val="nil"/>
              <w:tr2bl w:val="nil"/>
            </w:tcBorders>
            <w:shd w:val="solid" w:color="016794" w:fill="FFFFFF"/>
            <w:tcMar>
              <w:left w:w="60" w:type="dxa"/>
              <w:right w:w="60" w:type="dxa"/>
            </w:tcMar>
            <w:vAlign w:val="center"/>
          </w:tcPr>
          <w:p w14:paraId="2CFEFE69" w14:textId="77777777" w:rsidR="00FD1E19" w:rsidRDefault="00FD1E19" w:rsidP="00BE7E4A">
            <w:pPr>
              <w:pStyle w:val="DMETW37225BIPCONTGliab"/>
              <w:jc w:val="right"/>
              <w:rPr>
                <w:rFonts w:ascii="Verdana" w:eastAsia="Verdana" w:hAnsi="Verdana" w:cs="Verdana"/>
                <w:noProof/>
                <w:color w:val="FFFFFF"/>
              </w:rPr>
            </w:pPr>
            <w:r>
              <w:rPr>
                <w:rFonts w:ascii="Verdana" w:eastAsia="Verdana" w:hAnsi="Verdana" w:cs="Verdana"/>
                <w:noProof/>
                <w:color w:val="FFFFFF"/>
              </w:rPr>
              <w:t>11th EDF</w:t>
            </w:r>
          </w:p>
        </w:tc>
        <w:tc>
          <w:tcPr>
            <w:tcW w:w="1527" w:type="dxa"/>
            <w:tcBorders>
              <w:top w:val="nil"/>
              <w:left w:val="nil"/>
              <w:bottom w:val="nil"/>
              <w:right w:val="nil"/>
              <w:tl2br w:val="nil"/>
              <w:tr2bl w:val="nil"/>
            </w:tcBorders>
            <w:shd w:val="solid" w:color="016794" w:fill="FFFFFF"/>
            <w:tcMar>
              <w:left w:w="60" w:type="dxa"/>
              <w:right w:w="60" w:type="dxa"/>
            </w:tcMar>
            <w:vAlign w:val="center"/>
          </w:tcPr>
          <w:p w14:paraId="4D72D803" w14:textId="77777777" w:rsidR="00FD1E19" w:rsidRDefault="00FD1E19" w:rsidP="00BE7E4A">
            <w:pPr>
              <w:pStyle w:val="DMETW37225BIPCONTGliab"/>
              <w:jc w:val="right"/>
              <w:rPr>
                <w:rFonts w:ascii="Verdana" w:eastAsia="Verdana" w:hAnsi="Verdana" w:cs="Verdana"/>
                <w:noProof/>
                <w:color w:val="FFFFFF"/>
              </w:rPr>
            </w:pPr>
            <w:r>
              <w:rPr>
                <w:rFonts w:ascii="Verdana" w:eastAsia="Verdana" w:hAnsi="Verdana" w:cs="Verdana"/>
                <w:noProof/>
                <w:color w:val="FFFFFF"/>
              </w:rPr>
              <w:t>31.12.2025</w:t>
            </w:r>
          </w:p>
        </w:tc>
        <w:tc>
          <w:tcPr>
            <w:tcW w:w="1680" w:type="dxa"/>
            <w:tcBorders>
              <w:top w:val="nil"/>
              <w:left w:val="nil"/>
              <w:bottom w:val="nil"/>
              <w:right w:val="nil"/>
              <w:tl2br w:val="nil"/>
              <w:tr2bl w:val="nil"/>
            </w:tcBorders>
            <w:shd w:val="solid" w:color="016794" w:fill="FFFFFF"/>
            <w:tcMar>
              <w:left w:w="60" w:type="dxa"/>
              <w:right w:w="60" w:type="dxa"/>
            </w:tcMar>
            <w:vAlign w:val="center"/>
          </w:tcPr>
          <w:p w14:paraId="49D5CB13" w14:textId="77777777" w:rsidR="00FD1E19" w:rsidRDefault="00FD1E19" w:rsidP="00BE7E4A">
            <w:pPr>
              <w:pStyle w:val="DMETW37225BIPCONTGliab"/>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522409AD" w14:textId="77777777" w:rsidTr="00BE7E4A">
        <w:trPr>
          <w:trHeight w:val="255"/>
        </w:trPr>
        <w:tc>
          <w:tcPr>
            <w:tcW w:w="3550" w:type="dxa"/>
            <w:tcBorders>
              <w:top w:val="nil"/>
              <w:left w:val="nil"/>
              <w:bottom w:val="nil"/>
              <w:right w:val="nil"/>
              <w:tl2br w:val="nil"/>
              <w:tr2bl w:val="nil"/>
            </w:tcBorders>
            <w:shd w:val="clear" w:color="auto" w:fill="auto"/>
            <w:tcMar>
              <w:left w:w="60" w:type="dxa"/>
              <w:right w:w="60" w:type="dxa"/>
            </w:tcMar>
            <w:vAlign w:val="center"/>
          </w:tcPr>
          <w:p w14:paraId="072FCCC7" w14:textId="77777777" w:rsidR="00FD1E19" w:rsidRDefault="00FD1E19" w:rsidP="00BE7E4A">
            <w:pPr>
              <w:pStyle w:val="DMETW37225BIPCONTGliab"/>
              <w:rPr>
                <w:rFonts w:ascii="Verdana" w:eastAsia="Verdana" w:hAnsi="Verdana" w:cs="Verdana"/>
                <w:i/>
                <w:noProof/>
                <w:color w:val="000000"/>
                <w:sz w:val="18"/>
              </w:rPr>
            </w:pPr>
            <w:r>
              <w:rPr>
                <w:rFonts w:ascii="Verdana" w:eastAsia="Verdana" w:hAnsi="Verdana" w:cs="Verdana"/>
                <w:i/>
                <w:noProof/>
                <w:color w:val="000000"/>
                <w:sz w:val="18"/>
              </w:rPr>
              <w:t>Guarantees given</w:t>
            </w:r>
          </w:p>
        </w:tc>
        <w:tc>
          <w:tcPr>
            <w:tcW w:w="1110" w:type="dxa"/>
            <w:tcBorders>
              <w:top w:val="nil"/>
              <w:left w:val="nil"/>
              <w:bottom w:val="nil"/>
              <w:right w:val="nil"/>
              <w:tl2br w:val="nil"/>
              <w:tr2bl w:val="nil"/>
            </w:tcBorders>
            <w:shd w:val="clear" w:color="auto" w:fill="auto"/>
            <w:tcMar>
              <w:left w:w="60" w:type="dxa"/>
              <w:right w:w="60" w:type="dxa"/>
            </w:tcMar>
            <w:vAlign w:val="center"/>
          </w:tcPr>
          <w:p w14:paraId="4FCFB4E0" w14:textId="77777777" w:rsidR="00FD1E19" w:rsidRDefault="00FD1E19" w:rsidP="00BE7E4A">
            <w:pPr>
              <w:pStyle w:val="DMETW37225BIPCONTGliab"/>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71" w:type="dxa"/>
            <w:tcBorders>
              <w:top w:val="nil"/>
              <w:left w:val="nil"/>
              <w:bottom w:val="nil"/>
              <w:right w:val="nil"/>
              <w:tl2br w:val="nil"/>
              <w:tr2bl w:val="nil"/>
            </w:tcBorders>
            <w:shd w:val="clear" w:color="auto" w:fill="auto"/>
            <w:tcMar>
              <w:left w:w="60" w:type="dxa"/>
              <w:right w:w="60" w:type="dxa"/>
            </w:tcMar>
            <w:vAlign w:val="center"/>
          </w:tcPr>
          <w:p w14:paraId="6E5AD342" w14:textId="77777777" w:rsidR="00FD1E19" w:rsidRDefault="00FD1E19" w:rsidP="00BE7E4A">
            <w:pPr>
              <w:pStyle w:val="DMETW37225BIPCONTGliab"/>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20" w:type="dxa"/>
            <w:tcBorders>
              <w:top w:val="nil"/>
              <w:left w:val="nil"/>
              <w:bottom w:val="nil"/>
              <w:right w:val="nil"/>
              <w:tl2br w:val="nil"/>
              <w:tr2bl w:val="nil"/>
            </w:tcBorders>
            <w:shd w:val="clear" w:color="auto" w:fill="auto"/>
            <w:tcMar>
              <w:left w:w="60" w:type="dxa"/>
              <w:right w:w="60" w:type="dxa"/>
            </w:tcMar>
            <w:vAlign w:val="center"/>
          </w:tcPr>
          <w:p w14:paraId="2D677BAC" w14:textId="77777777" w:rsidR="00FD1E19" w:rsidRDefault="00FD1E19" w:rsidP="00BE7E4A">
            <w:pPr>
              <w:pStyle w:val="DMETW37225BIPCONTGliab"/>
              <w:jc w:val="right"/>
              <w:rPr>
                <w:rFonts w:ascii="Verdana" w:eastAsia="Verdana" w:hAnsi="Verdana" w:cs="Verdana"/>
                <w:i/>
                <w:noProof/>
                <w:color w:val="000000"/>
                <w:sz w:val="18"/>
              </w:rPr>
            </w:pPr>
            <w:r>
              <w:rPr>
                <w:rFonts w:ascii="Verdana" w:eastAsia="Verdana" w:hAnsi="Verdana" w:cs="Verdana"/>
                <w:i/>
                <w:noProof/>
                <w:color w:val="000000"/>
                <w:sz w:val="18"/>
              </w:rPr>
              <w:t xml:space="preserve"> 29</w:t>
            </w:r>
          </w:p>
        </w:tc>
        <w:tc>
          <w:tcPr>
            <w:tcW w:w="1527" w:type="dxa"/>
            <w:tcBorders>
              <w:top w:val="nil"/>
              <w:left w:val="nil"/>
              <w:bottom w:val="nil"/>
              <w:right w:val="nil"/>
              <w:tl2br w:val="nil"/>
              <w:tr2bl w:val="nil"/>
            </w:tcBorders>
            <w:shd w:val="clear" w:color="auto" w:fill="auto"/>
            <w:tcMar>
              <w:left w:w="60" w:type="dxa"/>
              <w:right w:w="60" w:type="dxa"/>
            </w:tcMar>
            <w:vAlign w:val="center"/>
          </w:tcPr>
          <w:p w14:paraId="76003026" w14:textId="77777777" w:rsidR="00FD1E19" w:rsidRDefault="00FD1E19" w:rsidP="00BE7E4A">
            <w:pPr>
              <w:pStyle w:val="DMETW37225BIPCONTGliab"/>
              <w:jc w:val="right"/>
              <w:rPr>
                <w:rFonts w:ascii="Verdana" w:eastAsia="Verdana" w:hAnsi="Verdana" w:cs="Verdana"/>
                <w:i/>
                <w:noProof/>
                <w:color w:val="000000"/>
                <w:sz w:val="18"/>
              </w:rPr>
            </w:pPr>
            <w:r>
              <w:rPr>
                <w:rFonts w:ascii="Verdana" w:eastAsia="Verdana" w:hAnsi="Verdana" w:cs="Verdana"/>
                <w:i/>
                <w:noProof/>
                <w:color w:val="000000"/>
                <w:sz w:val="18"/>
              </w:rPr>
              <w:t xml:space="preserve"> 29</w:t>
            </w:r>
          </w:p>
        </w:tc>
        <w:tc>
          <w:tcPr>
            <w:tcW w:w="1680" w:type="dxa"/>
            <w:tcBorders>
              <w:top w:val="nil"/>
              <w:left w:val="nil"/>
              <w:bottom w:val="nil"/>
              <w:right w:val="nil"/>
              <w:tl2br w:val="nil"/>
              <w:tr2bl w:val="nil"/>
            </w:tcBorders>
            <w:shd w:val="clear" w:color="auto" w:fill="auto"/>
            <w:tcMar>
              <w:left w:w="60" w:type="dxa"/>
              <w:right w:w="60" w:type="dxa"/>
            </w:tcMar>
            <w:vAlign w:val="center"/>
          </w:tcPr>
          <w:p w14:paraId="00442AA1" w14:textId="77777777" w:rsidR="00FD1E19" w:rsidRDefault="00FD1E19" w:rsidP="00BE7E4A">
            <w:pPr>
              <w:pStyle w:val="DMETW37225BIPCONTGliab"/>
              <w:jc w:val="right"/>
              <w:rPr>
                <w:rFonts w:ascii="Verdana" w:eastAsia="Verdana" w:hAnsi="Verdana" w:cs="Verdana"/>
                <w:i/>
                <w:noProof/>
                <w:color w:val="000000"/>
                <w:sz w:val="18"/>
              </w:rPr>
            </w:pPr>
            <w:r>
              <w:rPr>
                <w:rFonts w:ascii="Verdana" w:eastAsia="Verdana" w:hAnsi="Verdana" w:cs="Verdana"/>
                <w:i/>
                <w:noProof/>
                <w:color w:val="000000"/>
                <w:sz w:val="18"/>
              </w:rPr>
              <w:t xml:space="preserve"> 26</w:t>
            </w:r>
          </w:p>
        </w:tc>
      </w:tr>
    </w:tbl>
    <w:p w14:paraId="4B940B9D" w14:textId="77777777" w:rsidR="00FD1E19" w:rsidRDefault="00FD1E19" w:rsidP="00FD1E19">
      <w:pPr>
        <w:pStyle w:val="Textstand-alone"/>
      </w:pPr>
      <w:r>
        <w:t xml:space="preserve">The above table shows the extent of the exposure of the EDF to possible future payments linked to guarantees given to the EIB group or to other financial institutions. The amounts are presented net of financial provisions or financial liabilities recognised for those programmes. </w:t>
      </w:r>
    </w:p>
    <w:p w14:paraId="098E5F21" w14:textId="77777777" w:rsidR="00FD1E19" w:rsidRDefault="00FD1E19" w:rsidP="00FD1E19">
      <w:pPr>
        <w:pStyle w:val="Textstand-alone"/>
      </w:pPr>
      <w:r>
        <w:t>The amount of EUR 29 million relates to guarantees under the following financial instruments: EUR 8 million under the Euritz financial instrument, EUR 10 million under the KULIMA FUND and another EUR 11 million under the ZAMBIA agriculture value chain facility.</w:t>
      </w:r>
    </w:p>
    <w:p w14:paraId="35E42757" w14:textId="77777777" w:rsidR="00FD1E19" w:rsidRDefault="00FD1E19" w:rsidP="00FD1E19">
      <w:pPr>
        <w:pStyle w:val="HEADER3Part2"/>
        <w:keepNext/>
        <w:rPr>
          <w:noProof/>
        </w:rPr>
      </w:pPr>
      <w:r>
        <w:rPr>
          <w:noProof/>
        </w:rPr>
        <w:t xml:space="preserve"> Contingent liabilities relating to legal cases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50"/>
        <w:gridCol w:w="1110"/>
        <w:gridCol w:w="971"/>
        <w:gridCol w:w="920"/>
        <w:gridCol w:w="1385"/>
        <w:gridCol w:w="1822"/>
      </w:tblGrid>
      <w:tr w:rsidR="00FD1E19" w14:paraId="12BBF632" w14:textId="77777777" w:rsidTr="00BE7E4A">
        <w:trPr>
          <w:trHeight w:val="255"/>
        </w:trPr>
        <w:tc>
          <w:tcPr>
            <w:tcW w:w="3550" w:type="dxa"/>
            <w:tcBorders>
              <w:top w:val="nil"/>
              <w:left w:val="nil"/>
              <w:bottom w:val="nil"/>
              <w:right w:val="nil"/>
              <w:tl2br w:val="nil"/>
              <w:tr2bl w:val="nil"/>
            </w:tcBorders>
            <w:shd w:val="clear" w:color="auto" w:fill="auto"/>
            <w:tcMar>
              <w:left w:w="60" w:type="dxa"/>
              <w:right w:w="60" w:type="dxa"/>
            </w:tcMar>
            <w:vAlign w:val="center"/>
          </w:tcPr>
          <w:p w14:paraId="0CC610D8" w14:textId="77777777" w:rsidR="00FD1E19" w:rsidRDefault="00FD1E19" w:rsidP="00BE7E4A">
            <w:pPr>
              <w:pStyle w:val="DMETW37225BIPCONTGliablegal"/>
              <w:rPr>
                <w:rFonts w:ascii="Verdana" w:eastAsia="Verdana" w:hAnsi="Verdana" w:cs="Verdana"/>
                <w:noProof/>
                <w:color w:val="000000"/>
                <w:sz w:val="18"/>
                <w:lang w:bidi="en-GB"/>
              </w:rPr>
            </w:pPr>
            <w:bookmarkStart w:id="123" w:name="DOC_TBL00017_1_1"/>
            <w:bookmarkEnd w:id="123"/>
          </w:p>
        </w:tc>
        <w:tc>
          <w:tcPr>
            <w:tcW w:w="1110" w:type="dxa"/>
            <w:tcBorders>
              <w:top w:val="nil"/>
              <w:left w:val="nil"/>
              <w:bottom w:val="nil"/>
              <w:right w:val="nil"/>
              <w:tl2br w:val="nil"/>
              <w:tr2bl w:val="nil"/>
            </w:tcBorders>
            <w:shd w:val="clear" w:color="auto" w:fill="auto"/>
            <w:tcMar>
              <w:left w:w="60" w:type="dxa"/>
              <w:right w:w="60" w:type="dxa"/>
            </w:tcMar>
            <w:vAlign w:val="center"/>
          </w:tcPr>
          <w:p w14:paraId="2580F8F3" w14:textId="77777777" w:rsidR="00FD1E19" w:rsidRDefault="00FD1E19" w:rsidP="00BE7E4A">
            <w:pPr>
              <w:pStyle w:val="DMETW37225BIPCONTGliablegal"/>
              <w:jc w:val="right"/>
              <w:rPr>
                <w:rFonts w:ascii="Verdana" w:eastAsia="Verdana" w:hAnsi="Verdana" w:cs="Verdana"/>
                <w:i/>
                <w:noProof/>
                <w:color w:val="000000"/>
                <w:sz w:val="16"/>
              </w:rPr>
            </w:pPr>
          </w:p>
        </w:tc>
        <w:tc>
          <w:tcPr>
            <w:tcW w:w="971" w:type="dxa"/>
            <w:tcBorders>
              <w:top w:val="nil"/>
              <w:left w:val="nil"/>
              <w:bottom w:val="nil"/>
              <w:right w:val="nil"/>
              <w:tl2br w:val="nil"/>
              <w:tr2bl w:val="nil"/>
            </w:tcBorders>
            <w:shd w:val="clear" w:color="auto" w:fill="auto"/>
            <w:tcMar>
              <w:left w:w="60" w:type="dxa"/>
              <w:right w:w="60" w:type="dxa"/>
            </w:tcMar>
            <w:vAlign w:val="center"/>
          </w:tcPr>
          <w:p w14:paraId="5FDB4AE2" w14:textId="77777777" w:rsidR="00FD1E19" w:rsidRDefault="00FD1E19" w:rsidP="00BE7E4A">
            <w:pPr>
              <w:pStyle w:val="DMETW37225BIPCONTGliablegal"/>
              <w:jc w:val="right"/>
              <w:rPr>
                <w:rFonts w:ascii="Verdana" w:eastAsia="Verdana" w:hAnsi="Verdana" w:cs="Verdana"/>
                <w:i/>
                <w:noProof/>
                <w:color w:val="000000"/>
                <w:sz w:val="16"/>
              </w:rPr>
            </w:pPr>
          </w:p>
        </w:tc>
        <w:tc>
          <w:tcPr>
            <w:tcW w:w="920" w:type="dxa"/>
            <w:tcBorders>
              <w:top w:val="nil"/>
              <w:left w:val="nil"/>
              <w:bottom w:val="nil"/>
              <w:right w:val="nil"/>
              <w:tl2br w:val="nil"/>
              <w:tr2bl w:val="nil"/>
            </w:tcBorders>
            <w:shd w:val="clear" w:color="auto" w:fill="auto"/>
            <w:tcMar>
              <w:left w:w="60" w:type="dxa"/>
              <w:right w:w="60" w:type="dxa"/>
            </w:tcMar>
            <w:vAlign w:val="center"/>
          </w:tcPr>
          <w:p w14:paraId="7AD49A50" w14:textId="77777777" w:rsidR="00FD1E19" w:rsidRDefault="00FD1E19" w:rsidP="00BE7E4A">
            <w:pPr>
              <w:pStyle w:val="DMETW37225BIPCONTGliablegal"/>
              <w:jc w:val="right"/>
              <w:rPr>
                <w:rFonts w:ascii="Verdana" w:eastAsia="Verdana" w:hAnsi="Verdana" w:cs="Verdana"/>
                <w:i/>
                <w:noProof/>
                <w:color w:val="000000"/>
                <w:sz w:val="16"/>
              </w:rPr>
            </w:pPr>
          </w:p>
        </w:tc>
        <w:tc>
          <w:tcPr>
            <w:tcW w:w="1385" w:type="dxa"/>
            <w:tcBorders>
              <w:top w:val="nil"/>
              <w:left w:val="nil"/>
              <w:bottom w:val="nil"/>
              <w:right w:val="nil"/>
              <w:tl2br w:val="nil"/>
              <w:tr2bl w:val="nil"/>
            </w:tcBorders>
            <w:shd w:val="clear" w:color="auto" w:fill="auto"/>
            <w:tcMar>
              <w:left w:w="60" w:type="dxa"/>
              <w:right w:w="60" w:type="dxa"/>
            </w:tcMar>
            <w:vAlign w:val="center"/>
          </w:tcPr>
          <w:p w14:paraId="4930E393" w14:textId="77777777" w:rsidR="00FD1E19" w:rsidRDefault="00FD1E19" w:rsidP="00BE7E4A">
            <w:pPr>
              <w:pStyle w:val="DMETW37225BIPCONTGliablegal"/>
              <w:jc w:val="right"/>
              <w:rPr>
                <w:rFonts w:ascii="Verdana" w:eastAsia="Verdana" w:hAnsi="Verdana" w:cs="Verdana"/>
                <w:i/>
                <w:noProof/>
                <w:color w:val="000000"/>
                <w:sz w:val="16"/>
              </w:rPr>
            </w:pPr>
          </w:p>
        </w:tc>
        <w:tc>
          <w:tcPr>
            <w:tcW w:w="1822" w:type="dxa"/>
            <w:tcBorders>
              <w:top w:val="nil"/>
              <w:left w:val="nil"/>
              <w:bottom w:val="nil"/>
              <w:right w:val="nil"/>
              <w:tl2br w:val="nil"/>
              <w:tr2bl w:val="nil"/>
            </w:tcBorders>
            <w:shd w:val="clear" w:color="auto" w:fill="auto"/>
            <w:tcMar>
              <w:left w:w="60" w:type="dxa"/>
              <w:right w:w="60" w:type="dxa"/>
            </w:tcMar>
            <w:vAlign w:val="center"/>
          </w:tcPr>
          <w:p w14:paraId="7397699F" w14:textId="77777777" w:rsidR="00FD1E19" w:rsidRDefault="00FD1E19" w:rsidP="00BE7E4A">
            <w:pPr>
              <w:pStyle w:val="DMETW37225BIPCONTGliablegal"/>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0FE1A507" w14:textId="77777777" w:rsidTr="00BE7E4A">
        <w:trPr>
          <w:trHeight w:val="255"/>
        </w:trPr>
        <w:tc>
          <w:tcPr>
            <w:tcW w:w="3550" w:type="dxa"/>
            <w:tcBorders>
              <w:top w:val="nil"/>
              <w:left w:val="nil"/>
              <w:bottom w:val="nil"/>
              <w:right w:val="nil"/>
              <w:tl2br w:val="nil"/>
              <w:tr2bl w:val="nil"/>
            </w:tcBorders>
            <w:shd w:val="solid" w:color="016794" w:fill="FFFFFF"/>
            <w:tcMar>
              <w:left w:w="60" w:type="dxa"/>
              <w:right w:w="60" w:type="dxa"/>
            </w:tcMar>
            <w:vAlign w:val="center"/>
          </w:tcPr>
          <w:p w14:paraId="4FE09256" w14:textId="77777777" w:rsidR="00FD1E19" w:rsidRDefault="00FD1E19" w:rsidP="00BE7E4A">
            <w:pPr>
              <w:pStyle w:val="DMETW37225BIPCONTGliablegal"/>
              <w:jc w:val="right"/>
              <w:rPr>
                <w:rFonts w:ascii="Verdana" w:eastAsia="Verdana" w:hAnsi="Verdana" w:cs="Verdana"/>
                <w:noProof/>
                <w:color w:val="FFFFFF"/>
              </w:rPr>
            </w:pPr>
          </w:p>
        </w:tc>
        <w:tc>
          <w:tcPr>
            <w:tcW w:w="1110" w:type="dxa"/>
            <w:tcBorders>
              <w:top w:val="nil"/>
              <w:left w:val="nil"/>
              <w:bottom w:val="nil"/>
              <w:right w:val="nil"/>
              <w:tl2br w:val="nil"/>
              <w:tr2bl w:val="nil"/>
            </w:tcBorders>
            <w:shd w:val="solid" w:color="016794" w:fill="FFFFFF"/>
            <w:tcMar>
              <w:left w:w="60" w:type="dxa"/>
              <w:right w:w="60" w:type="dxa"/>
            </w:tcMar>
            <w:vAlign w:val="center"/>
          </w:tcPr>
          <w:p w14:paraId="755AD397" w14:textId="77777777" w:rsidR="00FD1E19" w:rsidRDefault="00FD1E19" w:rsidP="00BE7E4A">
            <w:pPr>
              <w:pStyle w:val="DMETW37225BIPCONTGliablegal"/>
              <w:jc w:val="right"/>
              <w:rPr>
                <w:rFonts w:ascii="Verdana" w:eastAsia="Verdana" w:hAnsi="Verdana" w:cs="Verdana"/>
                <w:noProof/>
                <w:color w:val="FFFFFF"/>
              </w:rPr>
            </w:pPr>
            <w:r>
              <w:rPr>
                <w:rFonts w:ascii="Verdana" w:eastAsia="Verdana" w:hAnsi="Verdana" w:cs="Verdana"/>
                <w:noProof/>
                <w:color w:val="FFFFFF"/>
              </w:rPr>
              <w:t>Ninth EDF</w:t>
            </w:r>
          </w:p>
        </w:tc>
        <w:tc>
          <w:tcPr>
            <w:tcW w:w="971" w:type="dxa"/>
            <w:tcBorders>
              <w:top w:val="nil"/>
              <w:left w:val="nil"/>
              <w:bottom w:val="nil"/>
              <w:right w:val="nil"/>
              <w:tl2br w:val="nil"/>
              <w:tr2bl w:val="nil"/>
            </w:tcBorders>
            <w:shd w:val="solid" w:color="016794" w:fill="FFFFFF"/>
            <w:tcMar>
              <w:left w:w="60" w:type="dxa"/>
              <w:right w:w="60" w:type="dxa"/>
            </w:tcMar>
            <w:vAlign w:val="center"/>
          </w:tcPr>
          <w:p w14:paraId="38744CB4" w14:textId="77777777" w:rsidR="00FD1E19" w:rsidRDefault="00FD1E19" w:rsidP="00BE7E4A">
            <w:pPr>
              <w:pStyle w:val="DMETW37225BIPCONTGliablegal"/>
              <w:jc w:val="right"/>
              <w:rPr>
                <w:rFonts w:ascii="Verdana" w:eastAsia="Verdana" w:hAnsi="Verdana" w:cs="Verdana"/>
                <w:noProof/>
                <w:color w:val="FFFFFF"/>
              </w:rPr>
            </w:pPr>
            <w:r>
              <w:rPr>
                <w:rFonts w:ascii="Verdana" w:eastAsia="Verdana" w:hAnsi="Verdana" w:cs="Verdana"/>
                <w:noProof/>
                <w:color w:val="FFFFFF"/>
              </w:rPr>
              <w:t>10th EDF</w:t>
            </w:r>
          </w:p>
        </w:tc>
        <w:tc>
          <w:tcPr>
            <w:tcW w:w="920" w:type="dxa"/>
            <w:tcBorders>
              <w:top w:val="nil"/>
              <w:left w:val="nil"/>
              <w:bottom w:val="nil"/>
              <w:right w:val="nil"/>
              <w:tl2br w:val="nil"/>
              <w:tr2bl w:val="nil"/>
            </w:tcBorders>
            <w:shd w:val="solid" w:color="016794" w:fill="FFFFFF"/>
            <w:tcMar>
              <w:left w:w="60" w:type="dxa"/>
              <w:right w:w="60" w:type="dxa"/>
            </w:tcMar>
            <w:vAlign w:val="center"/>
          </w:tcPr>
          <w:p w14:paraId="60AF712D" w14:textId="77777777" w:rsidR="00FD1E19" w:rsidRDefault="00FD1E19" w:rsidP="00BE7E4A">
            <w:pPr>
              <w:pStyle w:val="DMETW37225BIPCONTGliablegal"/>
              <w:jc w:val="right"/>
              <w:rPr>
                <w:rFonts w:ascii="Verdana" w:eastAsia="Verdana" w:hAnsi="Verdana" w:cs="Verdana"/>
                <w:noProof/>
                <w:color w:val="FFFFFF"/>
              </w:rPr>
            </w:pPr>
            <w:r>
              <w:rPr>
                <w:rFonts w:ascii="Verdana" w:eastAsia="Verdana" w:hAnsi="Verdana" w:cs="Verdana"/>
                <w:noProof/>
                <w:color w:val="FFFFFF"/>
              </w:rPr>
              <w:t>11th EDF</w:t>
            </w:r>
          </w:p>
        </w:tc>
        <w:tc>
          <w:tcPr>
            <w:tcW w:w="1385" w:type="dxa"/>
            <w:tcBorders>
              <w:top w:val="nil"/>
              <w:left w:val="nil"/>
              <w:bottom w:val="nil"/>
              <w:right w:val="nil"/>
              <w:tl2br w:val="nil"/>
              <w:tr2bl w:val="nil"/>
            </w:tcBorders>
            <w:shd w:val="solid" w:color="016794" w:fill="FFFFFF"/>
            <w:tcMar>
              <w:left w:w="60" w:type="dxa"/>
              <w:right w:w="60" w:type="dxa"/>
            </w:tcMar>
            <w:vAlign w:val="center"/>
          </w:tcPr>
          <w:p w14:paraId="4595B8BE" w14:textId="77777777" w:rsidR="00FD1E19" w:rsidRDefault="00FD1E19" w:rsidP="00BE7E4A">
            <w:pPr>
              <w:pStyle w:val="DMETW37225BIPCONTGliablegal"/>
              <w:jc w:val="right"/>
              <w:rPr>
                <w:rFonts w:ascii="Verdana" w:eastAsia="Verdana" w:hAnsi="Verdana" w:cs="Verdana"/>
                <w:noProof/>
                <w:color w:val="FFFFFF"/>
              </w:rPr>
            </w:pPr>
            <w:r>
              <w:rPr>
                <w:rFonts w:ascii="Verdana" w:eastAsia="Verdana" w:hAnsi="Verdana" w:cs="Verdana"/>
                <w:noProof/>
                <w:color w:val="FFFFFF"/>
              </w:rPr>
              <w:t>31.12.2025</w:t>
            </w:r>
          </w:p>
        </w:tc>
        <w:tc>
          <w:tcPr>
            <w:tcW w:w="1822" w:type="dxa"/>
            <w:tcBorders>
              <w:top w:val="nil"/>
              <w:left w:val="nil"/>
              <w:bottom w:val="nil"/>
              <w:right w:val="nil"/>
              <w:tl2br w:val="nil"/>
              <w:tr2bl w:val="nil"/>
            </w:tcBorders>
            <w:shd w:val="solid" w:color="016794" w:fill="FFFFFF"/>
            <w:tcMar>
              <w:left w:w="60" w:type="dxa"/>
              <w:right w:w="60" w:type="dxa"/>
            </w:tcMar>
            <w:vAlign w:val="center"/>
          </w:tcPr>
          <w:p w14:paraId="1BDD325C" w14:textId="77777777" w:rsidR="00FD1E19" w:rsidRDefault="00FD1E19" w:rsidP="00BE7E4A">
            <w:pPr>
              <w:pStyle w:val="DMETW37225BIPCONTGliablegal"/>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1AF8C8FB" w14:textId="77777777" w:rsidTr="00BE7E4A">
        <w:trPr>
          <w:trHeight w:val="255"/>
        </w:trPr>
        <w:tc>
          <w:tcPr>
            <w:tcW w:w="3550" w:type="dxa"/>
            <w:tcBorders>
              <w:top w:val="nil"/>
              <w:left w:val="nil"/>
              <w:bottom w:val="nil"/>
              <w:right w:val="nil"/>
              <w:tl2br w:val="nil"/>
              <w:tr2bl w:val="nil"/>
            </w:tcBorders>
            <w:shd w:val="clear" w:color="auto" w:fill="auto"/>
            <w:tcMar>
              <w:left w:w="60" w:type="dxa"/>
              <w:right w:w="60" w:type="dxa"/>
            </w:tcMar>
            <w:vAlign w:val="center"/>
          </w:tcPr>
          <w:p w14:paraId="5E84BA75" w14:textId="77777777" w:rsidR="00FD1E19" w:rsidRDefault="00FD1E19" w:rsidP="00BE7E4A">
            <w:pPr>
              <w:pStyle w:val="DMETW37225BIPCONTGliablegal"/>
              <w:rPr>
                <w:rFonts w:ascii="Verdana" w:eastAsia="Verdana" w:hAnsi="Verdana" w:cs="Verdana"/>
                <w:i/>
                <w:noProof/>
                <w:color w:val="000000"/>
                <w:sz w:val="18"/>
              </w:rPr>
            </w:pPr>
            <w:r>
              <w:rPr>
                <w:rFonts w:ascii="Verdana" w:eastAsia="Verdana" w:hAnsi="Verdana" w:cs="Verdana"/>
                <w:i/>
                <w:noProof/>
                <w:color w:val="000000"/>
                <w:sz w:val="18"/>
              </w:rPr>
              <w:t>Pending legal cases</w:t>
            </w:r>
          </w:p>
        </w:tc>
        <w:tc>
          <w:tcPr>
            <w:tcW w:w="1110" w:type="dxa"/>
            <w:tcBorders>
              <w:top w:val="nil"/>
              <w:left w:val="nil"/>
              <w:bottom w:val="nil"/>
              <w:right w:val="nil"/>
              <w:tl2br w:val="nil"/>
              <w:tr2bl w:val="nil"/>
            </w:tcBorders>
            <w:shd w:val="clear" w:color="auto" w:fill="auto"/>
            <w:tcMar>
              <w:left w:w="60" w:type="dxa"/>
              <w:right w:w="60" w:type="dxa"/>
            </w:tcMar>
            <w:vAlign w:val="center"/>
          </w:tcPr>
          <w:p w14:paraId="24F20E32" w14:textId="77777777" w:rsidR="00FD1E19" w:rsidRDefault="00FD1E19" w:rsidP="00BE7E4A">
            <w:pPr>
              <w:pStyle w:val="DMETW37225BIPCONTGliablegal"/>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971" w:type="dxa"/>
            <w:tcBorders>
              <w:top w:val="nil"/>
              <w:left w:val="nil"/>
              <w:bottom w:val="nil"/>
              <w:right w:val="nil"/>
              <w:tl2br w:val="nil"/>
              <w:tr2bl w:val="nil"/>
            </w:tcBorders>
            <w:shd w:val="clear" w:color="auto" w:fill="auto"/>
            <w:tcMar>
              <w:left w:w="60" w:type="dxa"/>
              <w:right w:w="60" w:type="dxa"/>
            </w:tcMar>
            <w:vAlign w:val="center"/>
          </w:tcPr>
          <w:p w14:paraId="75175905" w14:textId="77777777" w:rsidR="00FD1E19" w:rsidRDefault="00FD1E19" w:rsidP="00BE7E4A">
            <w:pPr>
              <w:pStyle w:val="DMETW37225BIPCONTGliablegal"/>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920" w:type="dxa"/>
            <w:tcBorders>
              <w:top w:val="nil"/>
              <w:left w:val="nil"/>
              <w:bottom w:val="nil"/>
              <w:right w:val="nil"/>
              <w:tl2br w:val="nil"/>
              <w:tr2bl w:val="nil"/>
            </w:tcBorders>
            <w:shd w:val="clear" w:color="auto" w:fill="auto"/>
            <w:tcMar>
              <w:left w:w="60" w:type="dxa"/>
              <w:right w:w="60" w:type="dxa"/>
            </w:tcMar>
            <w:vAlign w:val="center"/>
          </w:tcPr>
          <w:p w14:paraId="1BBF1240" w14:textId="77777777" w:rsidR="00FD1E19" w:rsidRDefault="00FD1E19" w:rsidP="00BE7E4A">
            <w:pPr>
              <w:pStyle w:val="DMETW37225BIPCONTGliablegal"/>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385" w:type="dxa"/>
            <w:tcBorders>
              <w:top w:val="nil"/>
              <w:left w:val="nil"/>
              <w:bottom w:val="nil"/>
              <w:right w:val="nil"/>
              <w:tl2br w:val="nil"/>
              <w:tr2bl w:val="nil"/>
            </w:tcBorders>
            <w:shd w:val="clear" w:color="auto" w:fill="auto"/>
            <w:tcMar>
              <w:left w:w="60" w:type="dxa"/>
              <w:right w:w="60" w:type="dxa"/>
            </w:tcMar>
            <w:vAlign w:val="center"/>
          </w:tcPr>
          <w:p w14:paraId="0C2BD76D" w14:textId="77777777" w:rsidR="00FD1E19" w:rsidRDefault="00FD1E19" w:rsidP="00BE7E4A">
            <w:pPr>
              <w:pStyle w:val="DMETW37225BIPCONTGliablegal"/>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822" w:type="dxa"/>
            <w:tcBorders>
              <w:top w:val="nil"/>
              <w:left w:val="nil"/>
              <w:bottom w:val="nil"/>
              <w:right w:val="nil"/>
              <w:tl2br w:val="nil"/>
              <w:tr2bl w:val="nil"/>
            </w:tcBorders>
            <w:shd w:val="clear" w:color="auto" w:fill="auto"/>
            <w:tcMar>
              <w:left w:w="60" w:type="dxa"/>
              <w:right w:w="60" w:type="dxa"/>
            </w:tcMar>
            <w:vAlign w:val="center"/>
          </w:tcPr>
          <w:p w14:paraId="08F43097" w14:textId="77777777" w:rsidR="00FD1E19" w:rsidRDefault="00FD1E19" w:rsidP="00BE7E4A">
            <w:pPr>
              <w:pStyle w:val="DMETW37225BIPCONTGliablegal"/>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r>
    </w:tbl>
    <w:p w14:paraId="5542FA88" w14:textId="77777777" w:rsidR="00FD1E19" w:rsidRDefault="00FD1E19" w:rsidP="00FD1E19">
      <w:pPr>
        <w:pStyle w:val="Textstand-alone"/>
      </w:pPr>
      <w:r w:rsidRPr="00C65E14">
        <w:t>At the end of 202</w:t>
      </w:r>
      <w:r>
        <w:t>5</w:t>
      </w:r>
      <w:r w:rsidRPr="00C65E14">
        <w:t xml:space="preserve">, there were only two pending cases, totalling EUR </w:t>
      </w:r>
      <w:r>
        <w:t>16</w:t>
      </w:r>
      <w:r w:rsidRPr="00C65E14">
        <w:t xml:space="preserve"> million</w:t>
      </w:r>
      <w:r>
        <w:t xml:space="preserve">. </w:t>
      </w:r>
      <w:bookmarkStart w:id="124" w:name="_Hlk161305504"/>
    </w:p>
    <w:bookmarkEnd w:id="124"/>
    <w:p w14:paraId="059219D6" w14:textId="77777777" w:rsidR="00FD1E19" w:rsidRPr="00F64D38" w:rsidRDefault="00FD1E19" w:rsidP="00FD1E19">
      <w:pPr>
        <w:pStyle w:val="HEADER2Part2"/>
        <w:keepNext/>
        <w:keepLines/>
        <w:ind w:left="3402" w:hanging="3402"/>
        <w:jc w:val="both"/>
        <w:rPr>
          <w:noProof/>
        </w:rPr>
      </w:pPr>
      <w:r w:rsidRPr="00F64D38">
        <w:rPr>
          <w:noProof/>
        </w:rPr>
        <w:t>OTHER SIGNIFICANT DISCLOSURES</w:t>
      </w:r>
    </w:p>
    <w:p w14:paraId="50F5E5D5" w14:textId="77777777" w:rsidR="00FD1E19" w:rsidRPr="00F64D38" w:rsidRDefault="00FD1E19" w:rsidP="00FD1E19">
      <w:pPr>
        <w:pStyle w:val="HEADER3Part2"/>
        <w:keepNext/>
        <w:keepLines/>
        <w:rPr>
          <w:noProof/>
        </w:rPr>
      </w:pPr>
      <w:r w:rsidRPr="00F64D38">
        <w:rPr>
          <w:noProof/>
        </w:rPr>
        <w:t>Outstanding commitments not yet expensed</w:t>
      </w:r>
    </w:p>
    <w:p w14:paraId="047EF3F9" w14:textId="77777777" w:rsidR="00FD1E19" w:rsidRPr="00F64D38" w:rsidRDefault="00FD1E19" w:rsidP="00FD1E19">
      <w:pPr>
        <w:pStyle w:val="Textstand-alone"/>
        <w:keepNext/>
        <w:keepLines/>
      </w:pPr>
      <w:r w:rsidRPr="00F64D38">
        <w:t>The amount disclosed below is the budgetary RAL ('Reste à Liquider</w:t>
      </w:r>
      <w:r w:rsidRPr="00F64D38">
        <w:rPr>
          <w:rFonts w:ascii="Arial" w:hAnsi="Arial" w:cs="Arial"/>
        </w:rPr>
        <w:t>'</w:t>
      </w:r>
      <w:r w:rsidRPr="00F64D38">
        <w:t>) less related amounts that have been included as expenses in the statement of financial performance. The budgetary RAL is an amount representing the commitments for which payments and/or de-commitments have not yet been made. This is the normal consequence of the existence of multiannual programmes.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32"/>
        <w:gridCol w:w="1097"/>
        <w:gridCol w:w="1017"/>
        <w:gridCol w:w="965"/>
        <w:gridCol w:w="1413"/>
        <w:gridCol w:w="1334"/>
      </w:tblGrid>
      <w:tr w:rsidR="00FD1E19" w14:paraId="78D2CE1F" w14:textId="77777777" w:rsidTr="00BE7E4A">
        <w:trPr>
          <w:trHeight w:val="255"/>
        </w:trPr>
        <w:tc>
          <w:tcPr>
            <w:tcW w:w="3932" w:type="dxa"/>
            <w:gridSpan w:val="6"/>
            <w:tcBorders>
              <w:top w:val="nil"/>
              <w:left w:val="nil"/>
              <w:bottom w:val="nil"/>
              <w:right w:val="nil"/>
              <w:tl2br w:val="nil"/>
              <w:tr2bl w:val="nil"/>
            </w:tcBorders>
            <w:shd w:val="clear" w:color="auto" w:fill="auto"/>
            <w:tcMar>
              <w:left w:w="60" w:type="dxa"/>
              <w:right w:w="60" w:type="dxa"/>
            </w:tcMar>
            <w:vAlign w:val="center"/>
          </w:tcPr>
          <w:p w14:paraId="156257E6" w14:textId="77777777" w:rsidR="00FD1E19" w:rsidRDefault="00FD1E19" w:rsidP="00BE7E4A">
            <w:pPr>
              <w:pStyle w:val="DMETW37225BIPOCNYE"/>
              <w:jc w:val="right"/>
              <w:rPr>
                <w:rFonts w:ascii="Verdana" w:eastAsia="Verdana" w:hAnsi="Verdana" w:cs="Verdana"/>
                <w:i/>
                <w:noProof/>
                <w:color w:val="000000"/>
                <w:sz w:val="16"/>
                <w:lang w:bidi="en-GB"/>
              </w:rPr>
            </w:pPr>
            <w:bookmarkStart w:id="125" w:name="DOC_TBL00010_1_1"/>
            <w:bookmarkEnd w:id="125"/>
            <w:r>
              <w:rPr>
                <w:rFonts w:ascii="Verdana" w:eastAsia="Verdana" w:hAnsi="Verdana" w:cs="Verdana"/>
                <w:i/>
                <w:noProof/>
                <w:color w:val="000000"/>
                <w:sz w:val="16"/>
                <w:lang w:bidi="en-GB"/>
              </w:rPr>
              <w:t>EUR million</w:t>
            </w:r>
          </w:p>
        </w:tc>
      </w:tr>
      <w:tr w:rsidR="00FD1E19" w14:paraId="55C05D92" w14:textId="77777777" w:rsidTr="00BE7E4A">
        <w:trPr>
          <w:trHeight w:val="255"/>
        </w:trPr>
        <w:tc>
          <w:tcPr>
            <w:tcW w:w="3932" w:type="dxa"/>
            <w:tcBorders>
              <w:top w:val="nil"/>
              <w:left w:val="nil"/>
              <w:bottom w:val="nil"/>
              <w:right w:val="nil"/>
              <w:tl2br w:val="nil"/>
              <w:tr2bl w:val="nil"/>
            </w:tcBorders>
            <w:shd w:val="solid" w:color="016794" w:fill="FFFFFF"/>
            <w:tcMar>
              <w:left w:w="60" w:type="dxa"/>
              <w:right w:w="60" w:type="dxa"/>
            </w:tcMar>
            <w:vAlign w:val="center"/>
          </w:tcPr>
          <w:p w14:paraId="4A3A649C" w14:textId="77777777" w:rsidR="00FD1E19" w:rsidRDefault="00FD1E19" w:rsidP="00BE7E4A">
            <w:pPr>
              <w:pStyle w:val="DMETW37225BIPOCNYE"/>
              <w:jc w:val="right"/>
              <w:rPr>
                <w:rFonts w:ascii="Verdana" w:eastAsia="Verdana" w:hAnsi="Verdana" w:cs="Verdana"/>
                <w:noProof/>
                <w:color w:val="FFFFFF"/>
              </w:rPr>
            </w:pPr>
          </w:p>
        </w:tc>
        <w:tc>
          <w:tcPr>
            <w:tcW w:w="1097" w:type="dxa"/>
            <w:tcBorders>
              <w:top w:val="nil"/>
              <w:left w:val="nil"/>
              <w:bottom w:val="nil"/>
              <w:right w:val="nil"/>
              <w:tl2br w:val="nil"/>
              <w:tr2bl w:val="nil"/>
            </w:tcBorders>
            <w:shd w:val="solid" w:color="016794" w:fill="FFFFFF"/>
            <w:tcMar>
              <w:left w:w="60" w:type="dxa"/>
              <w:right w:w="60" w:type="dxa"/>
            </w:tcMar>
            <w:vAlign w:val="center"/>
          </w:tcPr>
          <w:p w14:paraId="3D329D7F" w14:textId="77777777" w:rsidR="00FD1E19" w:rsidRDefault="00FD1E19" w:rsidP="00BE7E4A">
            <w:pPr>
              <w:pStyle w:val="DMETW37225BIPOCNYE"/>
              <w:jc w:val="right"/>
              <w:rPr>
                <w:rFonts w:ascii="Verdana" w:eastAsia="Verdana" w:hAnsi="Verdana" w:cs="Verdana"/>
                <w:noProof/>
                <w:color w:val="FFFFFF"/>
              </w:rPr>
            </w:pPr>
            <w:r>
              <w:rPr>
                <w:rFonts w:ascii="Verdana" w:eastAsia="Verdana" w:hAnsi="Verdana" w:cs="Verdana"/>
                <w:noProof/>
                <w:color w:val="FFFFFF"/>
              </w:rPr>
              <w:t>Ninth EDF</w:t>
            </w:r>
          </w:p>
        </w:tc>
        <w:tc>
          <w:tcPr>
            <w:tcW w:w="1017" w:type="dxa"/>
            <w:tcBorders>
              <w:top w:val="nil"/>
              <w:left w:val="nil"/>
              <w:bottom w:val="nil"/>
              <w:right w:val="nil"/>
              <w:tl2br w:val="nil"/>
              <w:tr2bl w:val="nil"/>
            </w:tcBorders>
            <w:shd w:val="solid" w:color="016794" w:fill="FFFFFF"/>
            <w:tcMar>
              <w:left w:w="60" w:type="dxa"/>
              <w:right w:w="60" w:type="dxa"/>
            </w:tcMar>
            <w:vAlign w:val="center"/>
          </w:tcPr>
          <w:p w14:paraId="59D0EF65" w14:textId="77777777" w:rsidR="00FD1E19" w:rsidRDefault="00FD1E19" w:rsidP="00BE7E4A">
            <w:pPr>
              <w:pStyle w:val="DMETW37225BIPOCNYE"/>
              <w:jc w:val="right"/>
              <w:rPr>
                <w:rFonts w:ascii="Verdana" w:eastAsia="Verdana" w:hAnsi="Verdana" w:cs="Verdana"/>
                <w:noProof/>
                <w:color w:val="FFFFFF"/>
              </w:rPr>
            </w:pPr>
            <w:r>
              <w:rPr>
                <w:rFonts w:ascii="Verdana" w:eastAsia="Verdana" w:hAnsi="Verdana" w:cs="Verdana"/>
                <w:noProof/>
                <w:color w:val="FFFFFF"/>
              </w:rPr>
              <w:t>10th EDF</w:t>
            </w:r>
          </w:p>
        </w:tc>
        <w:tc>
          <w:tcPr>
            <w:tcW w:w="965" w:type="dxa"/>
            <w:tcBorders>
              <w:top w:val="nil"/>
              <w:left w:val="nil"/>
              <w:bottom w:val="nil"/>
              <w:right w:val="nil"/>
              <w:tl2br w:val="nil"/>
              <w:tr2bl w:val="nil"/>
            </w:tcBorders>
            <w:shd w:val="solid" w:color="016794" w:fill="FFFFFF"/>
            <w:tcMar>
              <w:left w:w="60" w:type="dxa"/>
              <w:right w:w="60" w:type="dxa"/>
            </w:tcMar>
            <w:vAlign w:val="center"/>
          </w:tcPr>
          <w:p w14:paraId="3F7CE2DD" w14:textId="77777777" w:rsidR="00FD1E19" w:rsidRDefault="00FD1E19" w:rsidP="00BE7E4A">
            <w:pPr>
              <w:pStyle w:val="DMETW37225BIPOCNYE"/>
              <w:jc w:val="right"/>
              <w:rPr>
                <w:rFonts w:ascii="Verdana" w:eastAsia="Verdana" w:hAnsi="Verdana" w:cs="Verdana"/>
                <w:noProof/>
                <w:color w:val="FFFFFF"/>
              </w:rPr>
            </w:pPr>
            <w:r>
              <w:rPr>
                <w:rFonts w:ascii="Verdana" w:eastAsia="Verdana" w:hAnsi="Verdana" w:cs="Verdana"/>
                <w:noProof/>
                <w:color w:val="FFFFFF"/>
              </w:rPr>
              <w:t>11th EDF</w:t>
            </w:r>
          </w:p>
        </w:tc>
        <w:tc>
          <w:tcPr>
            <w:tcW w:w="1413" w:type="dxa"/>
            <w:tcBorders>
              <w:top w:val="nil"/>
              <w:left w:val="nil"/>
              <w:bottom w:val="nil"/>
              <w:right w:val="nil"/>
              <w:tl2br w:val="nil"/>
              <w:tr2bl w:val="nil"/>
            </w:tcBorders>
            <w:shd w:val="solid" w:color="016794" w:fill="FFFFFF"/>
            <w:tcMar>
              <w:left w:w="60" w:type="dxa"/>
              <w:right w:w="60" w:type="dxa"/>
            </w:tcMar>
            <w:vAlign w:val="center"/>
          </w:tcPr>
          <w:p w14:paraId="351804B7" w14:textId="77777777" w:rsidR="00FD1E19" w:rsidRDefault="00FD1E19" w:rsidP="00BE7E4A">
            <w:pPr>
              <w:pStyle w:val="DMETW37225BIPOCNYE"/>
              <w:jc w:val="right"/>
              <w:rPr>
                <w:rFonts w:ascii="Verdana" w:eastAsia="Verdana" w:hAnsi="Verdana" w:cs="Verdana"/>
                <w:noProof/>
                <w:color w:val="FFFFFF"/>
              </w:rPr>
            </w:pPr>
            <w:r>
              <w:rPr>
                <w:rFonts w:ascii="Verdana" w:eastAsia="Verdana" w:hAnsi="Verdana" w:cs="Verdana"/>
                <w:noProof/>
                <w:color w:val="FFFFFF"/>
              </w:rPr>
              <w:t>31.12.2025</w:t>
            </w:r>
          </w:p>
        </w:tc>
        <w:tc>
          <w:tcPr>
            <w:tcW w:w="1334" w:type="dxa"/>
            <w:tcBorders>
              <w:top w:val="nil"/>
              <w:left w:val="nil"/>
              <w:bottom w:val="nil"/>
              <w:right w:val="nil"/>
              <w:tl2br w:val="nil"/>
              <w:tr2bl w:val="nil"/>
            </w:tcBorders>
            <w:shd w:val="solid" w:color="016794" w:fill="FFFFFF"/>
            <w:tcMar>
              <w:left w:w="60" w:type="dxa"/>
              <w:right w:w="60" w:type="dxa"/>
            </w:tcMar>
            <w:vAlign w:val="center"/>
          </w:tcPr>
          <w:p w14:paraId="75799E71" w14:textId="77777777" w:rsidR="00FD1E19" w:rsidRDefault="00FD1E19" w:rsidP="00BE7E4A">
            <w:pPr>
              <w:pStyle w:val="DMETW37225BIPOCNYE"/>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487BB583" w14:textId="77777777" w:rsidTr="00BE7E4A">
        <w:trPr>
          <w:trHeight w:val="255"/>
        </w:trPr>
        <w:tc>
          <w:tcPr>
            <w:tcW w:w="3932" w:type="dxa"/>
            <w:tcBorders>
              <w:top w:val="nil"/>
              <w:left w:val="nil"/>
              <w:bottom w:val="nil"/>
              <w:right w:val="nil"/>
              <w:tl2br w:val="nil"/>
              <w:tr2bl w:val="nil"/>
            </w:tcBorders>
            <w:shd w:val="clear" w:color="auto" w:fill="auto"/>
            <w:tcMar>
              <w:left w:w="60" w:type="dxa"/>
              <w:right w:w="60" w:type="dxa"/>
            </w:tcMar>
            <w:vAlign w:val="center"/>
          </w:tcPr>
          <w:p w14:paraId="4FD28214" w14:textId="77777777" w:rsidR="00FD1E19" w:rsidRDefault="00FD1E19" w:rsidP="00BE7E4A">
            <w:pPr>
              <w:pStyle w:val="DMETW37225BIPOCNYE"/>
              <w:rPr>
                <w:rFonts w:ascii="Verdana" w:eastAsia="Verdana" w:hAnsi="Verdana" w:cs="Verdana"/>
                <w:i/>
                <w:noProof/>
                <w:color w:val="000000"/>
                <w:sz w:val="18"/>
              </w:rPr>
            </w:pPr>
            <w:r>
              <w:rPr>
                <w:rFonts w:ascii="Verdana" w:eastAsia="Verdana" w:hAnsi="Verdana" w:cs="Verdana"/>
                <w:i/>
                <w:noProof/>
                <w:color w:val="000000"/>
                <w:sz w:val="18"/>
              </w:rPr>
              <w:t>Outstanding commitments not yet expensed</w:t>
            </w:r>
          </w:p>
        </w:tc>
        <w:tc>
          <w:tcPr>
            <w:tcW w:w="1097" w:type="dxa"/>
            <w:tcBorders>
              <w:top w:val="nil"/>
              <w:left w:val="nil"/>
              <w:bottom w:val="nil"/>
              <w:right w:val="nil"/>
              <w:tl2br w:val="nil"/>
              <w:tr2bl w:val="nil"/>
            </w:tcBorders>
            <w:shd w:val="clear" w:color="auto" w:fill="auto"/>
            <w:tcMar>
              <w:left w:w="60" w:type="dxa"/>
              <w:right w:w="60" w:type="dxa"/>
            </w:tcMar>
            <w:vAlign w:val="center"/>
          </w:tcPr>
          <w:p w14:paraId="59D52383" w14:textId="77777777" w:rsidR="00FD1E19" w:rsidRDefault="00FD1E19" w:rsidP="00BE7E4A">
            <w:pPr>
              <w:pStyle w:val="DMETW37225BIPOCNYE"/>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017" w:type="dxa"/>
            <w:tcBorders>
              <w:top w:val="nil"/>
              <w:left w:val="nil"/>
              <w:bottom w:val="nil"/>
              <w:right w:val="nil"/>
              <w:tl2br w:val="nil"/>
              <w:tr2bl w:val="nil"/>
            </w:tcBorders>
            <w:shd w:val="clear" w:color="auto" w:fill="auto"/>
            <w:tcMar>
              <w:left w:w="60" w:type="dxa"/>
              <w:right w:w="60" w:type="dxa"/>
            </w:tcMar>
            <w:vAlign w:val="center"/>
          </w:tcPr>
          <w:p w14:paraId="60C04828" w14:textId="77777777" w:rsidR="00FD1E19" w:rsidRDefault="00FD1E19" w:rsidP="00BE7E4A">
            <w:pPr>
              <w:pStyle w:val="DMETW37225BIPOCNYE"/>
              <w:jc w:val="right"/>
              <w:rPr>
                <w:rFonts w:ascii="Verdana" w:eastAsia="Verdana" w:hAnsi="Verdana" w:cs="Verdana"/>
                <w:i/>
                <w:noProof/>
                <w:color w:val="000000"/>
                <w:sz w:val="18"/>
              </w:rPr>
            </w:pPr>
            <w:r>
              <w:rPr>
                <w:rFonts w:ascii="Verdana" w:eastAsia="Verdana" w:hAnsi="Verdana" w:cs="Verdana"/>
                <w:i/>
                <w:noProof/>
                <w:color w:val="000000"/>
                <w:sz w:val="18"/>
              </w:rPr>
              <w:t xml:space="preserve"> 106</w:t>
            </w:r>
          </w:p>
        </w:tc>
        <w:tc>
          <w:tcPr>
            <w:tcW w:w="965" w:type="dxa"/>
            <w:tcBorders>
              <w:top w:val="nil"/>
              <w:left w:val="nil"/>
              <w:bottom w:val="nil"/>
              <w:right w:val="nil"/>
              <w:tl2br w:val="nil"/>
              <w:tr2bl w:val="nil"/>
            </w:tcBorders>
            <w:shd w:val="clear" w:color="auto" w:fill="auto"/>
            <w:tcMar>
              <w:left w:w="60" w:type="dxa"/>
              <w:right w:w="60" w:type="dxa"/>
            </w:tcMar>
            <w:vAlign w:val="center"/>
          </w:tcPr>
          <w:p w14:paraId="4B9D1221" w14:textId="77777777" w:rsidR="00FD1E19" w:rsidRDefault="00FD1E19" w:rsidP="00BE7E4A">
            <w:pPr>
              <w:pStyle w:val="DMETW37225BIPOCNYE"/>
              <w:jc w:val="right"/>
              <w:rPr>
                <w:rFonts w:ascii="Verdana" w:eastAsia="Verdana" w:hAnsi="Verdana" w:cs="Verdana"/>
                <w:i/>
                <w:noProof/>
                <w:color w:val="000000"/>
                <w:sz w:val="18"/>
              </w:rPr>
            </w:pPr>
            <w:r>
              <w:rPr>
                <w:rFonts w:ascii="Verdana" w:eastAsia="Verdana" w:hAnsi="Verdana" w:cs="Verdana"/>
                <w:i/>
                <w:noProof/>
                <w:color w:val="000000"/>
                <w:sz w:val="18"/>
              </w:rPr>
              <w:t>1 533</w:t>
            </w:r>
          </w:p>
        </w:tc>
        <w:tc>
          <w:tcPr>
            <w:tcW w:w="1413" w:type="dxa"/>
            <w:tcBorders>
              <w:top w:val="nil"/>
              <w:left w:val="nil"/>
              <w:bottom w:val="nil"/>
              <w:right w:val="nil"/>
              <w:tl2br w:val="nil"/>
              <w:tr2bl w:val="nil"/>
            </w:tcBorders>
            <w:shd w:val="clear" w:color="auto" w:fill="auto"/>
            <w:tcMar>
              <w:left w:w="60" w:type="dxa"/>
              <w:right w:w="60" w:type="dxa"/>
            </w:tcMar>
            <w:vAlign w:val="center"/>
          </w:tcPr>
          <w:p w14:paraId="63CD4F88" w14:textId="77777777" w:rsidR="00FD1E19" w:rsidRDefault="00FD1E19" w:rsidP="00BE7E4A">
            <w:pPr>
              <w:pStyle w:val="DMETW37225BIPOCNYE"/>
              <w:jc w:val="right"/>
              <w:rPr>
                <w:rFonts w:ascii="Verdana" w:eastAsia="Verdana" w:hAnsi="Verdana" w:cs="Verdana"/>
                <w:i/>
                <w:noProof/>
                <w:color w:val="000000"/>
                <w:sz w:val="18"/>
              </w:rPr>
            </w:pPr>
            <w:r>
              <w:rPr>
                <w:rFonts w:ascii="Verdana" w:eastAsia="Verdana" w:hAnsi="Verdana" w:cs="Verdana"/>
                <w:i/>
                <w:noProof/>
                <w:color w:val="000000"/>
                <w:sz w:val="18"/>
              </w:rPr>
              <w:t>1 654</w:t>
            </w:r>
          </w:p>
        </w:tc>
        <w:tc>
          <w:tcPr>
            <w:tcW w:w="1334" w:type="dxa"/>
            <w:tcBorders>
              <w:top w:val="nil"/>
              <w:left w:val="nil"/>
              <w:bottom w:val="nil"/>
              <w:right w:val="nil"/>
              <w:tl2br w:val="nil"/>
              <w:tr2bl w:val="nil"/>
            </w:tcBorders>
            <w:shd w:val="clear" w:color="auto" w:fill="auto"/>
            <w:tcMar>
              <w:left w:w="60" w:type="dxa"/>
              <w:right w:w="60" w:type="dxa"/>
            </w:tcMar>
            <w:vAlign w:val="center"/>
          </w:tcPr>
          <w:p w14:paraId="5671028D" w14:textId="77777777" w:rsidR="00FD1E19" w:rsidRDefault="00FD1E19" w:rsidP="00BE7E4A">
            <w:pPr>
              <w:pStyle w:val="DMETW37225BIPOCNYE"/>
              <w:jc w:val="right"/>
              <w:rPr>
                <w:rFonts w:ascii="Verdana" w:eastAsia="Verdana" w:hAnsi="Verdana" w:cs="Verdana"/>
                <w:i/>
                <w:noProof/>
                <w:color w:val="000000"/>
                <w:sz w:val="18"/>
              </w:rPr>
            </w:pPr>
            <w:r>
              <w:rPr>
                <w:rFonts w:ascii="Verdana" w:eastAsia="Verdana" w:hAnsi="Verdana" w:cs="Verdana"/>
                <w:i/>
                <w:noProof/>
                <w:color w:val="000000"/>
                <w:sz w:val="18"/>
              </w:rPr>
              <w:t>2 701</w:t>
            </w:r>
          </w:p>
        </w:tc>
      </w:tr>
    </w:tbl>
    <w:p w14:paraId="4CEF37B5" w14:textId="77777777" w:rsidR="00FD1E19" w:rsidRPr="00B34D5B" w:rsidRDefault="00FD1E19" w:rsidP="00FD1E19">
      <w:pPr>
        <w:pStyle w:val="Textstand-alone"/>
      </w:pPr>
      <w:r w:rsidRPr="00B34D5B">
        <w:t xml:space="preserve">The decrease in the RAL is largely driven by the decrease in budgetary RAL which </w:t>
      </w:r>
      <w:r w:rsidRPr="00B34D5B">
        <w:rPr>
          <w:color w:val="000000"/>
        </w:rPr>
        <w:t>totalled EUR</w:t>
      </w:r>
      <w:r>
        <w:rPr>
          <w:color w:val="000000"/>
        </w:rPr>
        <w:t> 2 697 </w:t>
      </w:r>
      <w:r w:rsidRPr="00B34D5B">
        <w:rPr>
          <w:color w:val="000000"/>
        </w:rPr>
        <w:t>million</w:t>
      </w:r>
      <w:r>
        <w:rPr>
          <w:color w:val="000000"/>
        </w:rPr>
        <w:t xml:space="preserve"> at the end of 2025</w:t>
      </w:r>
      <w:r w:rsidRPr="00B34D5B">
        <w:t xml:space="preserve"> (202</w:t>
      </w:r>
      <w:r>
        <w:t>4</w:t>
      </w:r>
      <w:r w:rsidRPr="00B34D5B">
        <w:t xml:space="preserve">: EUR </w:t>
      </w:r>
      <w:r>
        <w:t>3</w:t>
      </w:r>
      <w:r w:rsidRPr="00B34D5B">
        <w:t xml:space="preserve"> </w:t>
      </w:r>
      <w:r>
        <w:t>812</w:t>
      </w:r>
      <w:r w:rsidRPr="00B34D5B">
        <w:t xml:space="preserve"> million). This is in line with the life cycle of the EDF and is also related to the evolution of the number of open contracts (see </w:t>
      </w:r>
      <w:r>
        <w:t>N</w:t>
      </w:r>
      <w:r w:rsidRPr="00B34D5B">
        <w:t xml:space="preserve">ote </w:t>
      </w:r>
      <w:r w:rsidRPr="00B34D5B">
        <w:rPr>
          <w:b/>
          <w:bCs/>
        </w:rPr>
        <w:t>2.2</w:t>
      </w:r>
      <w:r w:rsidRPr="00B34D5B">
        <w:t xml:space="preserve">).  </w:t>
      </w:r>
    </w:p>
    <w:p w14:paraId="103901C9" w14:textId="77777777" w:rsidR="00FD1E19" w:rsidRPr="00F64D38" w:rsidRDefault="00FD1E19" w:rsidP="00FD1E19">
      <w:pPr>
        <w:pStyle w:val="Textstand-alone"/>
        <w:sectPr w:rsidR="00FD1E19" w:rsidRPr="00F64D38" w:rsidSect="00FD1E19">
          <w:headerReference w:type="even" r:id="rId76"/>
          <w:headerReference w:type="default" r:id="rId77"/>
          <w:footerReference w:type="even" r:id="rId78"/>
          <w:headerReference w:type="first" r:id="rId79"/>
          <w:footerReference w:type="first" r:id="rId80"/>
          <w:pgSz w:w="11906" w:h="16838" w:code="9"/>
          <w:pgMar w:top="1134" w:right="1134" w:bottom="1134" w:left="1134" w:header="708" w:footer="708" w:gutter="0"/>
          <w:cols w:space="708"/>
          <w:docGrid w:linePitch="360"/>
        </w:sectPr>
      </w:pPr>
    </w:p>
    <w:p w14:paraId="76062620" w14:textId="77777777" w:rsidR="00FD1E19" w:rsidRPr="00F64D38" w:rsidRDefault="00FD1E19" w:rsidP="00FD1E19">
      <w:pPr>
        <w:pStyle w:val="HEADER1Part2"/>
        <w:rPr>
          <w:noProof/>
        </w:rPr>
      </w:pPr>
      <w:r w:rsidRPr="00F64D38">
        <w:rPr>
          <w:noProof/>
        </w:rPr>
        <w:t>FINANCIAL RISK MANAGEMENT</w:t>
      </w:r>
    </w:p>
    <w:p w14:paraId="64F19CF9" w14:textId="77777777" w:rsidR="00FD1E19" w:rsidRPr="00F64D38" w:rsidRDefault="00FD1E19" w:rsidP="00FD1E19">
      <w:pPr>
        <w:pStyle w:val="Textstand-alone"/>
      </w:pPr>
      <w:r w:rsidRPr="00F64D38">
        <w:t>The following disclosures with regard to the financial risk management of the EDF relate to the treasury operations carried out by the Commission on behalf of the EDF in order to implement its resources.</w:t>
      </w:r>
    </w:p>
    <w:p w14:paraId="241FE655" w14:textId="77777777" w:rsidR="00FD1E19" w:rsidRPr="00F64D38" w:rsidRDefault="00FD1E19" w:rsidP="00FD1E19">
      <w:pPr>
        <w:pStyle w:val="HEADER2Part2"/>
        <w:tabs>
          <w:tab w:val="clear" w:pos="907"/>
          <w:tab w:val="left" w:pos="851"/>
        </w:tabs>
        <w:ind w:left="851" w:hanging="851"/>
        <w:jc w:val="both"/>
        <w:rPr>
          <w:noProof/>
        </w:rPr>
      </w:pPr>
      <w:bookmarkStart w:id="126" w:name="_Ref35550915"/>
      <w:r w:rsidRPr="00F64D38">
        <w:rPr>
          <w:noProof/>
        </w:rPr>
        <w:t>RISK MANAGEMENT POLICIES AND HEDGING ACTIVITIES</w:t>
      </w:r>
      <w:bookmarkEnd w:id="126"/>
    </w:p>
    <w:p w14:paraId="76D4179A" w14:textId="77777777" w:rsidR="00FD1E19" w:rsidRPr="00F64D38" w:rsidRDefault="00FD1E19" w:rsidP="00FD1E19">
      <w:pPr>
        <w:pStyle w:val="Textstand-alone"/>
      </w:pPr>
      <w:r w:rsidRPr="00F64D38">
        <w:t xml:space="preserve">The rules and principles for the management of the treasury operations are laid down in the </w:t>
      </w:r>
      <w:r>
        <w:t>11th</w:t>
      </w:r>
      <w:r w:rsidRPr="00F64D38">
        <w:t xml:space="preserve"> EDF Financial Regulation and in the Internal Agreement.</w:t>
      </w:r>
    </w:p>
    <w:p w14:paraId="419A6F26" w14:textId="77777777" w:rsidR="00FD1E19" w:rsidRDefault="00FD1E19" w:rsidP="00FD1E19">
      <w:pPr>
        <w:pStyle w:val="Textstand-alone"/>
      </w:pPr>
      <w:r>
        <w:t xml:space="preserve">As a result </w:t>
      </w:r>
      <w:r w:rsidRPr="00F64D38">
        <w:t>of the above regulation, the following main principles apply:</w:t>
      </w:r>
    </w:p>
    <w:p w14:paraId="5CA6D68D" w14:textId="77777777" w:rsidR="00FD1E19" w:rsidRPr="00F64D38" w:rsidRDefault="00FD1E19" w:rsidP="00FD1E19">
      <w:pPr>
        <w:pStyle w:val="Textstand-alonebulletpointJustified"/>
        <w:numPr>
          <w:ilvl w:val="0"/>
          <w:numId w:val="79"/>
        </w:numPr>
        <w:spacing w:after="120"/>
        <w:ind w:left="357" w:hanging="357"/>
        <w:contextualSpacing w:val="0"/>
        <w:rPr>
          <w:noProof/>
        </w:rPr>
      </w:pPr>
      <w:r w:rsidRPr="00F64D38">
        <w:rPr>
          <w:noProof/>
        </w:rPr>
        <w:t>The EDF contributions are paid by Member States in special accounts opened with the bank of issue of each Member State or the financial institution designated by it. The amounts of the contributions shall remain in those special accounts until the payments of EDF need to be made.</w:t>
      </w:r>
    </w:p>
    <w:p w14:paraId="0781BF96" w14:textId="77777777" w:rsidR="00FD1E19" w:rsidRPr="00F64D38" w:rsidRDefault="00FD1E19" w:rsidP="00FD1E19">
      <w:pPr>
        <w:pStyle w:val="Textstand-alonebulletpointJustified"/>
        <w:numPr>
          <w:ilvl w:val="0"/>
          <w:numId w:val="79"/>
        </w:numPr>
        <w:spacing w:after="120"/>
        <w:ind w:left="357" w:hanging="357"/>
        <w:contextualSpacing w:val="0"/>
        <w:rPr>
          <w:noProof/>
        </w:rPr>
      </w:pPr>
      <w:r w:rsidRPr="00F64D38">
        <w:rPr>
          <w:noProof/>
        </w:rPr>
        <w:t>EDF contributions are paid by Member States in EUR, while the EDF's payments are denominated in EUR and in other currencies.</w:t>
      </w:r>
    </w:p>
    <w:p w14:paraId="179F813C" w14:textId="77777777" w:rsidR="00FD1E19" w:rsidRPr="00F64D38" w:rsidRDefault="00FD1E19" w:rsidP="00FD1E19">
      <w:pPr>
        <w:pStyle w:val="Textstand-alonebulletpointJustified"/>
        <w:numPr>
          <w:ilvl w:val="0"/>
          <w:numId w:val="79"/>
        </w:numPr>
        <w:spacing w:after="120"/>
        <w:ind w:left="357" w:hanging="357"/>
        <w:contextualSpacing w:val="0"/>
        <w:rPr>
          <w:noProof/>
        </w:rPr>
      </w:pPr>
      <w:r w:rsidRPr="00F64D38">
        <w:rPr>
          <w:noProof/>
        </w:rPr>
        <w:t>Bank accounts opened by the Commission on behalf of the EDF may not be overdrawn.</w:t>
      </w:r>
    </w:p>
    <w:p w14:paraId="5D2DA6EC" w14:textId="77777777" w:rsidR="00FD1E19" w:rsidRPr="00F64D38" w:rsidRDefault="00FD1E19" w:rsidP="00FD1E19">
      <w:pPr>
        <w:pStyle w:val="Textstand-alone"/>
      </w:pPr>
      <w:r w:rsidRPr="00F64D38">
        <w:t>In addition to the special accounts, other bank accounts are opened by the Commission in the name of the EDF, with financial institutions (central banks and commercial banks), for the purpose of executing payments and receiving receipts other than the Member State contributions to the budget.</w:t>
      </w:r>
    </w:p>
    <w:p w14:paraId="3B699A8E" w14:textId="77777777" w:rsidR="00FD1E19" w:rsidRPr="00F64D38" w:rsidRDefault="00FD1E19" w:rsidP="00FD1E19">
      <w:pPr>
        <w:pStyle w:val="Textstand-alone"/>
      </w:pPr>
      <w:r w:rsidRPr="00F64D38">
        <w:t>Treasury and payment operations are highly automated and rely on modern information systems. Specific procedures are applied to guarantee system security and to ensure segregation of duties in line with the Financial Regulation, the Commission’s internal control standards, and audit principles.</w:t>
      </w:r>
    </w:p>
    <w:p w14:paraId="5D5B05DD" w14:textId="77777777" w:rsidR="00FD1E19" w:rsidRPr="00F64D38" w:rsidRDefault="00FD1E19" w:rsidP="00FD1E19">
      <w:pPr>
        <w:pStyle w:val="Textstand-alone"/>
        <w:rPr>
          <w:bCs/>
        </w:rPr>
      </w:pPr>
      <w:r w:rsidRPr="00F64D38">
        <w:rPr>
          <w:bCs/>
        </w:rPr>
        <w:t>A written set of guidelines and procedures regulate the management of the treasury and payment operations with the objective of limiting operational and financial risk and ensuring an</w:t>
      </w:r>
      <w:r w:rsidRPr="00F64D38">
        <w:rPr>
          <w:bCs/>
          <w:sz w:val="22"/>
          <w:szCs w:val="22"/>
        </w:rPr>
        <w:t xml:space="preserve"> </w:t>
      </w:r>
      <w:r w:rsidRPr="00F64D38">
        <w:rPr>
          <w:bCs/>
        </w:rPr>
        <w:t>adequate level of control. The</w:t>
      </w:r>
      <w:r>
        <w:rPr>
          <w:bCs/>
        </w:rPr>
        <w:t xml:space="preserve">se guidelines and procedures cover </w:t>
      </w:r>
      <w:r w:rsidRPr="00F64D38">
        <w:rPr>
          <w:bCs/>
        </w:rPr>
        <w:t>the different areas of operation, and compliance with the guidelines and procedures is checked regularly.</w:t>
      </w:r>
    </w:p>
    <w:bookmarkEnd w:id="67"/>
    <w:p w14:paraId="07FCC5AE" w14:textId="77777777" w:rsidR="00FD1E19" w:rsidRPr="00F64D38" w:rsidRDefault="00FD1E19" w:rsidP="00FD1E19">
      <w:pPr>
        <w:rPr>
          <w:noProof/>
        </w:rPr>
        <w:sectPr w:rsidR="00FD1E19" w:rsidRPr="00F64D38" w:rsidSect="00FD1E19">
          <w:headerReference w:type="default" r:id="rId81"/>
          <w:pgSz w:w="11906" w:h="16838" w:code="9"/>
          <w:pgMar w:top="1134" w:right="1134" w:bottom="1134" w:left="1134" w:header="708" w:footer="708" w:gutter="0"/>
          <w:cols w:space="708"/>
          <w:docGrid w:linePitch="360"/>
        </w:sectPr>
      </w:pPr>
    </w:p>
    <w:p w14:paraId="07386840" w14:textId="77777777" w:rsidR="00FD1E19" w:rsidRDefault="00FD1E19" w:rsidP="00FD1E19">
      <w:pPr>
        <w:pStyle w:val="HEADER2Part2"/>
        <w:spacing w:before="0" w:after="240"/>
        <w:rPr>
          <w:noProof/>
        </w:rPr>
      </w:pPr>
      <w:bookmarkStart w:id="127" w:name="_DMBM_37239"/>
      <w:r>
        <w:rPr>
          <w:noProof/>
        </w:rPr>
        <w:t>CURRENCY RISK</w:t>
      </w:r>
    </w:p>
    <w:p w14:paraId="1A041008" w14:textId="77777777" w:rsidR="00FD1E19" w:rsidRDefault="00FD1E19" w:rsidP="00FD1E19">
      <w:pPr>
        <w:pStyle w:val="HEADER5"/>
        <w:rPr>
          <w:noProof/>
        </w:rPr>
      </w:pPr>
      <w:r w:rsidRPr="003F228F">
        <w:rPr>
          <w:noProof/>
        </w:rPr>
        <w:t xml:space="preserve">Exposure of the </w:t>
      </w:r>
      <w:r>
        <w:rPr>
          <w:noProof/>
        </w:rPr>
        <w:t>EDF</w:t>
      </w:r>
      <w:r w:rsidRPr="003F228F">
        <w:rPr>
          <w:noProof/>
        </w:rPr>
        <w:t xml:space="preserve"> to currency risk at year-end</w:t>
      </w:r>
      <w:r>
        <w:rPr>
          <w:noProof/>
        </w:rPr>
        <w:t xml:space="preserve"> – net position</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2"/>
        <w:gridCol w:w="1278"/>
        <w:gridCol w:w="1278"/>
        <w:gridCol w:w="1277"/>
        <w:gridCol w:w="1277"/>
        <w:gridCol w:w="1277"/>
        <w:gridCol w:w="1277"/>
        <w:gridCol w:w="1277"/>
        <w:gridCol w:w="1277"/>
      </w:tblGrid>
      <w:tr w:rsidR="00FD1E19" w14:paraId="5DB9AED9" w14:textId="77777777" w:rsidTr="00BE7E4A">
        <w:trPr>
          <w:trHeight w:val="255"/>
        </w:trPr>
        <w:tc>
          <w:tcPr>
            <w:tcW w:w="3570" w:type="dxa"/>
            <w:gridSpan w:val="9"/>
            <w:tcBorders>
              <w:top w:val="nil"/>
              <w:left w:val="nil"/>
              <w:bottom w:val="nil"/>
              <w:right w:val="nil"/>
              <w:tl2br w:val="nil"/>
              <w:tr2bl w:val="nil"/>
            </w:tcBorders>
            <w:shd w:val="clear" w:color="auto" w:fill="auto"/>
            <w:tcMar>
              <w:left w:w="60" w:type="dxa"/>
              <w:right w:w="60" w:type="dxa"/>
            </w:tcMar>
            <w:vAlign w:val="center"/>
          </w:tcPr>
          <w:p w14:paraId="28E7BFE6" w14:textId="77777777" w:rsidR="00FD1E19" w:rsidRDefault="00FD1E19" w:rsidP="00BE7E4A">
            <w:pPr>
              <w:pStyle w:val="DMETW37243BIPCRnew"/>
              <w:jc w:val="right"/>
              <w:rPr>
                <w:rFonts w:ascii="Verdana" w:eastAsia="Verdana" w:hAnsi="Verdana" w:cs="Verdana"/>
                <w:i/>
                <w:noProof/>
                <w:color w:val="000000"/>
                <w:sz w:val="16"/>
                <w:lang w:bidi="en-GB"/>
              </w:rPr>
            </w:pPr>
            <w:bookmarkStart w:id="128" w:name="DOC_TBL00047_1_1"/>
            <w:bookmarkEnd w:id="128"/>
            <w:r>
              <w:rPr>
                <w:rFonts w:ascii="Verdana" w:eastAsia="Verdana" w:hAnsi="Verdana" w:cs="Verdana"/>
                <w:i/>
                <w:noProof/>
                <w:color w:val="000000"/>
                <w:sz w:val="16"/>
                <w:lang w:bidi="en-GB"/>
              </w:rPr>
              <w:t>EUR million</w:t>
            </w:r>
          </w:p>
        </w:tc>
      </w:tr>
      <w:tr w:rsidR="00FD1E19" w14:paraId="2926F6DA" w14:textId="77777777" w:rsidTr="00BE7E4A">
        <w:trPr>
          <w:trHeight w:val="184"/>
        </w:trPr>
        <w:tc>
          <w:tcPr>
            <w:tcW w:w="3570" w:type="dxa"/>
            <w:tcBorders>
              <w:top w:val="nil"/>
              <w:left w:val="nil"/>
              <w:bottom w:val="nil"/>
              <w:right w:val="nil"/>
              <w:tl2br w:val="nil"/>
              <w:tr2bl w:val="nil"/>
            </w:tcBorders>
            <w:shd w:val="solid" w:color="016794" w:fill="FFFFFF"/>
            <w:tcMar>
              <w:left w:w="60" w:type="dxa"/>
              <w:right w:w="60" w:type="dxa"/>
            </w:tcMar>
            <w:vAlign w:val="center"/>
          </w:tcPr>
          <w:p w14:paraId="3775A1EF" w14:textId="77777777" w:rsidR="00FD1E19" w:rsidRDefault="00FD1E19" w:rsidP="00BE7E4A">
            <w:pPr>
              <w:pStyle w:val="DMETW37243BIPCRnew"/>
              <w:jc w:val="right"/>
              <w:rPr>
                <w:rFonts w:ascii="Verdana" w:eastAsia="Verdana" w:hAnsi="Verdana" w:cs="Verdana"/>
                <w:noProof/>
                <w:color w:val="FFFFFF"/>
                <w:sz w:val="18"/>
              </w:rPr>
            </w:pPr>
          </w:p>
        </w:tc>
        <w:tc>
          <w:tcPr>
            <w:tcW w:w="1020" w:type="dxa"/>
            <w:gridSpan w:val="4"/>
            <w:tcBorders>
              <w:top w:val="nil"/>
              <w:left w:val="nil"/>
              <w:bottom w:val="nil"/>
              <w:right w:val="nil"/>
              <w:tl2br w:val="nil"/>
              <w:tr2bl w:val="nil"/>
            </w:tcBorders>
            <w:shd w:val="solid" w:color="016794" w:fill="FFFFFF"/>
            <w:tcMar>
              <w:left w:w="60" w:type="dxa"/>
              <w:right w:w="60" w:type="dxa"/>
            </w:tcMar>
            <w:vAlign w:val="center"/>
          </w:tcPr>
          <w:p w14:paraId="36D22544" w14:textId="77777777" w:rsidR="00FD1E19" w:rsidRDefault="00FD1E19" w:rsidP="00BE7E4A">
            <w:pPr>
              <w:pStyle w:val="DMETW37243BIPCRnew"/>
              <w:jc w:val="center"/>
              <w:rPr>
                <w:rFonts w:ascii="Verdana" w:eastAsia="Verdana" w:hAnsi="Verdana" w:cs="Verdana"/>
                <w:noProof/>
                <w:color w:val="FFFFFF"/>
                <w:sz w:val="18"/>
              </w:rPr>
            </w:pPr>
            <w:r>
              <w:rPr>
                <w:rFonts w:ascii="Verdana" w:eastAsia="Verdana" w:hAnsi="Verdana" w:cs="Verdana"/>
                <w:noProof/>
                <w:color w:val="FFFFFF"/>
                <w:sz w:val="18"/>
              </w:rPr>
              <w:t>31.12.2025</w:t>
            </w:r>
          </w:p>
        </w:tc>
        <w:tc>
          <w:tcPr>
            <w:tcW w:w="1020" w:type="dxa"/>
            <w:gridSpan w:val="4"/>
            <w:tcBorders>
              <w:top w:val="nil"/>
              <w:left w:val="nil"/>
              <w:bottom w:val="nil"/>
              <w:right w:val="nil"/>
              <w:tl2br w:val="nil"/>
              <w:tr2bl w:val="nil"/>
            </w:tcBorders>
            <w:shd w:val="solid" w:color="016794" w:fill="FFFFFF"/>
            <w:tcMar>
              <w:left w:w="60" w:type="dxa"/>
              <w:right w:w="60" w:type="dxa"/>
            </w:tcMar>
            <w:vAlign w:val="center"/>
          </w:tcPr>
          <w:p w14:paraId="36EC7A92" w14:textId="77777777" w:rsidR="00FD1E19" w:rsidRDefault="00FD1E19" w:rsidP="00BE7E4A">
            <w:pPr>
              <w:pStyle w:val="DMETW37243BIPCRnew"/>
              <w:jc w:val="center"/>
              <w:rPr>
                <w:rFonts w:ascii="Verdana" w:eastAsia="Verdana" w:hAnsi="Verdana" w:cs="Verdana"/>
                <w:noProof/>
                <w:color w:val="FFFFFF"/>
                <w:sz w:val="18"/>
                <w:lang w:bidi="en-GB"/>
              </w:rPr>
            </w:pPr>
            <w:r>
              <w:rPr>
                <w:rFonts w:ascii="Verdana" w:eastAsia="Verdana" w:hAnsi="Verdana" w:cs="Verdana"/>
                <w:noProof/>
                <w:color w:val="FFFFFF"/>
                <w:sz w:val="18"/>
              </w:rPr>
              <w:t>31.12.2024</w:t>
            </w:r>
          </w:p>
        </w:tc>
      </w:tr>
      <w:tr w:rsidR="00FD1E19" w14:paraId="4680EE51" w14:textId="77777777" w:rsidTr="00BE7E4A">
        <w:trPr>
          <w:trHeight w:val="255"/>
        </w:trPr>
        <w:tc>
          <w:tcPr>
            <w:tcW w:w="3570" w:type="dxa"/>
            <w:tcBorders>
              <w:top w:val="nil"/>
              <w:left w:val="nil"/>
              <w:bottom w:val="nil"/>
              <w:right w:val="nil"/>
              <w:tl2br w:val="nil"/>
              <w:tr2bl w:val="nil"/>
            </w:tcBorders>
            <w:shd w:val="solid" w:color="016794" w:fill="FFFFFF"/>
            <w:tcMar>
              <w:left w:w="60" w:type="dxa"/>
              <w:right w:w="60" w:type="dxa"/>
            </w:tcMar>
            <w:vAlign w:val="center"/>
          </w:tcPr>
          <w:p w14:paraId="56D8CB6E" w14:textId="77777777" w:rsidR="00FD1E19" w:rsidRDefault="00FD1E19" w:rsidP="00BE7E4A">
            <w:pPr>
              <w:pStyle w:val="DMETW37243BIPCRnew"/>
              <w:jc w:val="right"/>
              <w:rPr>
                <w:rFonts w:ascii="Verdana" w:eastAsia="Verdana" w:hAnsi="Verdana" w:cs="Verdana"/>
                <w:noProof/>
                <w:color w:val="FFFFFF"/>
                <w:sz w:val="18"/>
              </w:rPr>
            </w:pP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56012AAE" w14:textId="77777777" w:rsidR="00FD1E19" w:rsidRDefault="00FD1E19" w:rsidP="00BE7E4A">
            <w:pPr>
              <w:pStyle w:val="DMETW37243BIPCRnew"/>
              <w:jc w:val="right"/>
              <w:rPr>
                <w:rFonts w:ascii="Verdana" w:eastAsia="Verdana" w:hAnsi="Verdana" w:cs="Verdana"/>
                <w:noProof/>
                <w:color w:val="FFFFFF"/>
                <w:sz w:val="18"/>
              </w:rPr>
            </w:pPr>
            <w:r>
              <w:rPr>
                <w:rFonts w:ascii="Verdana" w:eastAsia="Verdana" w:hAnsi="Verdana" w:cs="Verdana"/>
                <w:noProof/>
                <w:color w:val="FFFFFF"/>
                <w:sz w:val="18"/>
              </w:rPr>
              <w:t>USD</w:t>
            </w: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05CF2863" w14:textId="77777777" w:rsidR="00FD1E19" w:rsidRDefault="00FD1E19" w:rsidP="00BE7E4A">
            <w:pPr>
              <w:pStyle w:val="DMETW37243BIPCRnew"/>
              <w:jc w:val="right"/>
              <w:rPr>
                <w:rFonts w:ascii="Verdana" w:eastAsia="Verdana" w:hAnsi="Verdana" w:cs="Verdana"/>
                <w:noProof/>
                <w:color w:val="FFFFFF"/>
                <w:sz w:val="18"/>
              </w:rPr>
            </w:pPr>
            <w:r>
              <w:rPr>
                <w:rFonts w:ascii="Verdana" w:eastAsia="Verdana" w:hAnsi="Verdana" w:cs="Verdana"/>
                <w:noProof/>
                <w:color w:val="FFFFFF"/>
                <w:sz w:val="18"/>
              </w:rPr>
              <w:t>EUR</w:t>
            </w: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774D02E7" w14:textId="77777777" w:rsidR="00FD1E19" w:rsidRDefault="00FD1E19" w:rsidP="00BE7E4A">
            <w:pPr>
              <w:pStyle w:val="DMETW37243BIPCRnew"/>
              <w:jc w:val="right"/>
              <w:rPr>
                <w:rFonts w:ascii="Verdana" w:eastAsia="Verdana" w:hAnsi="Verdana" w:cs="Verdana"/>
                <w:noProof/>
                <w:color w:val="FFFFFF"/>
                <w:sz w:val="18"/>
              </w:rPr>
            </w:pPr>
            <w:r>
              <w:rPr>
                <w:rFonts w:ascii="Verdana" w:eastAsia="Verdana" w:hAnsi="Verdana" w:cs="Verdana"/>
                <w:noProof/>
                <w:color w:val="FFFFFF"/>
                <w:sz w:val="18"/>
              </w:rPr>
              <w:t>Other</w:t>
            </w: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607546CF" w14:textId="77777777" w:rsidR="00FD1E19" w:rsidRDefault="00FD1E19" w:rsidP="00BE7E4A">
            <w:pPr>
              <w:pStyle w:val="DMETW37243BIPCRnew"/>
              <w:jc w:val="right"/>
              <w:rPr>
                <w:rFonts w:ascii="Verdana" w:eastAsia="Verdana" w:hAnsi="Verdana" w:cs="Verdana"/>
                <w:noProof/>
                <w:color w:val="FFFFFF"/>
                <w:sz w:val="18"/>
              </w:rPr>
            </w:pPr>
            <w:r>
              <w:rPr>
                <w:rFonts w:ascii="Verdana" w:eastAsia="Verdana" w:hAnsi="Verdana" w:cs="Verdana"/>
                <w:noProof/>
                <w:color w:val="FFFFFF"/>
                <w:sz w:val="18"/>
              </w:rPr>
              <w:t>Total</w:t>
            </w: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0E2A6CD0" w14:textId="77777777" w:rsidR="00FD1E19" w:rsidRDefault="00FD1E19" w:rsidP="00BE7E4A">
            <w:pPr>
              <w:pStyle w:val="DMETW37243BIPCRnew"/>
              <w:jc w:val="right"/>
              <w:rPr>
                <w:rFonts w:ascii="Verdana" w:eastAsia="Verdana" w:hAnsi="Verdana" w:cs="Verdana"/>
                <w:noProof/>
                <w:color w:val="FFFFFF"/>
                <w:sz w:val="18"/>
              </w:rPr>
            </w:pPr>
            <w:r>
              <w:rPr>
                <w:rFonts w:ascii="Verdana" w:eastAsia="Verdana" w:hAnsi="Verdana" w:cs="Verdana"/>
                <w:noProof/>
                <w:color w:val="FFFFFF"/>
                <w:sz w:val="18"/>
              </w:rPr>
              <w:t>USD</w:t>
            </w: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0C9D1379" w14:textId="77777777" w:rsidR="00FD1E19" w:rsidRDefault="00FD1E19" w:rsidP="00BE7E4A">
            <w:pPr>
              <w:pStyle w:val="DMETW37243BIPCRnew"/>
              <w:jc w:val="right"/>
              <w:rPr>
                <w:rFonts w:ascii="Verdana" w:eastAsia="Verdana" w:hAnsi="Verdana" w:cs="Verdana"/>
                <w:noProof/>
                <w:color w:val="FFFFFF"/>
                <w:sz w:val="18"/>
              </w:rPr>
            </w:pPr>
            <w:r>
              <w:rPr>
                <w:rFonts w:ascii="Verdana" w:eastAsia="Verdana" w:hAnsi="Verdana" w:cs="Verdana"/>
                <w:noProof/>
                <w:color w:val="FFFFFF"/>
                <w:sz w:val="18"/>
              </w:rPr>
              <w:t>EUR</w:t>
            </w: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0100CD5F" w14:textId="77777777" w:rsidR="00FD1E19" w:rsidRDefault="00FD1E19" w:rsidP="00BE7E4A">
            <w:pPr>
              <w:pStyle w:val="DMETW37243BIPCRnew"/>
              <w:jc w:val="right"/>
              <w:rPr>
                <w:rFonts w:ascii="Verdana" w:eastAsia="Verdana" w:hAnsi="Verdana" w:cs="Verdana"/>
                <w:noProof/>
                <w:color w:val="FFFFFF"/>
                <w:sz w:val="18"/>
              </w:rPr>
            </w:pPr>
            <w:r>
              <w:rPr>
                <w:rFonts w:ascii="Verdana" w:eastAsia="Verdana" w:hAnsi="Verdana" w:cs="Verdana"/>
                <w:noProof/>
                <w:color w:val="FFFFFF"/>
                <w:sz w:val="18"/>
              </w:rPr>
              <w:t>Other</w:t>
            </w:r>
          </w:p>
        </w:tc>
        <w:tc>
          <w:tcPr>
            <w:tcW w:w="1020" w:type="dxa"/>
            <w:tcBorders>
              <w:top w:val="nil"/>
              <w:left w:val="nil"/>
              <w:bottom w:val="nil"/>
              <w:right w:val="nil"/>
              <w:tl2br w:val="nil"/>
              <w:tr2bl w:val="nil"/>
            </w:tcBorders>
            <w:shd w:val="solid" w:color="016794" w:fill="FFFFFF"/>
            <w:tcMar>
              <w:left w:w="60" w:type="dxa"/>
              <w:right w:w="60" w:type="dxa"/>
            </w:tcMar>
            <w:vAlign w:val="center"/>
          </w:tcPr>
          <w:p w14:paraId="16D362C5" w14:textId="77777777" w:rsidR="00FD1E19" w:rsidRDefault="00FD1E19" w:rsidP="00BE7E4A">
            <w:pPr>
              <w:pStyle w:val="DMETW37243BIPCRnew"/>
              <w:jc w:val="right"/>
              <w:rPr>
                <w:rFonts w:ascii="Verdana" w:eastAsia="Verdana" w:hAnsi="Verdana" w:cs="Verdana"/>
                <w:noProof/>
                <w:color w:val="FFFFFF"/>
                <w:sz w:val="18"/>
                <w:lang w:bidi="en-GB"/>
              </w:rPr>
            </w:pPr>
            <w:r>
              <w:rPr>
                <w:rFonts w:ascii="Verdana" w:eastAsia="Verdana" w:hAnsi="Verdana" w:cs="Verdana"/>
                <w:noProof/>
                <w:color w:val="FFFFFF"/>
                <w:sz w:val="18"/>
              </w:rPr>
              <w:t>Total</w:t>
            </w:r>
          </w:p>
        </w:tc>
      </w:tr>
      <w:tr w:rsidR="00FD1E19" w14:paraId="2C7481A9" w14:textId="77777777" w:rsidTr="00BE7E4A">
        <w:trPr>
          <w:trHeight w:val="255"/>
        </w:trPr>
        <w:tc>
          <w:tcPr>
            <w:tcW w:w="3570" w:type="dxa"/>
            <w:tcBorders>
              <w:top w:val="nil"/>
              <w:left w:val="nil"/>
              <w:bottom w:val="nil"/>
              <w:right w:val="nil"/>
              <w:tl2br w:val="nil"/>
              <w:tr2bl w:val="nil"/>
            </w:tcBorders>
            <w:shd w:val="clear" w:color="auto" w:fill="auto"/>
            <w:tcMar>
              <w:left w:w="60" w:type="dxa"/>
              <w:right w:w="60" w:type="dxa"/>
            </w:tcMar>
            <w:vAlign w:val="center"/>
          </w:tcPr>
          <w:p w14:paraId="5B437B18" w14:textId="77777777" w:rsidR="00FD1E19" w:rsidRDefault="00FD1E19" w:rsidP="00BE7E4A">
            <w:pPr>
              <w:pStyle w:val="DMETW37243BIPCRnew"/>
              <w:rPr>
                <w:rFonts w:ascii="Verdana" w:eastAsia="Verdana" w:hAnsi="Verdana" w:cs="Verdana"/>
                <w:b/>
                <w:noProof/>
                <w:color w:val="000000"/>
                <w:sz w:val="18"/>
              </w:rPr>
            </w:pPr>
            <w:r>
              <w:rPr>
                <w:rFonts w:ascii="Verdana" w:eastAsia="Verdana" w:hAnsi="Verdana" w:cs="Verdana"/>
                <w:b/>
                <w:noProof/>
                <w:color w:val="000000"/>
                <w:sz w:val="18"/>
              </w:rPr>
              <w:t>Financial assets</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6D62BD3"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215C0AE8"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631B242C"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2347872D"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0A197F00"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0F29D894"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5366545F"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17BF999B" w14:textId="77777777" w:rsidR="00FD1E19" w:rsidRDefault="00FD1E19" w:rsidP="00BE7E4A">
            <w:pPr>
              <w:pStyle w:val="DMETW37243BIPCRnew"/>
              <w:rPr>
                <w:rFonts w:ascii="Verdana" w:eastAsia="Verdana" w:hAnsi="Verdana" w:cs="Verdana"/>
                <w:noProof/>
                <w:color w:val="000000"/>
                <w:sz w:val="18"/>
                <w:lang w:bidi="en-GB"/>
              </w:rPr>
            </w:pPr>
          </w:p>
        </w:tc>
      </w:tr>
      <w:tr w:rsidR="00FD1E19" w14:paraId="41885A8E" w14:textId="77777777" w:rsidTr="00BE7E4A">
        <w:trPr>
          <w:trHeight w:val="255"/>
        </w:trPr>
        <w:tc>
          <w:tcPr>
            <w:tcW w:w="3570" w:type="dxa"/>
            <w:tcBorders>
              <w:top w:val="nil"/>
              <w:left w:val="nil"/>
              <w:bottom w:val="nil"/>
              <w:right w:val="nil"/>
              <w:tl2br w:val="nil"/>
              <w:tr2bl w:val="nil"/>
            </w:tcBorders>
            <w:shd w:val="clear" w:color="auto" w:fill="auto"/>
            <w:tcMar>
              <w:left w:w="60" w:type="dxa"/>
              <w:right w:w="60" w:type="dxa"/>
            </w:tcMar>
            <w:vAlign w:val="bottom"/>
          </w:tcPr>
          <w:p w14:paraId="0C9F0CA2" w14:textId="77777777" w:rsidR="00FD1E19" w:rsidRDefault="00FD1E19" w:rsidP="00BE7E4A">
            <w:pPr>
              <w:pStyle w:val="DMETW37243BIPCRnew"/>
              <w:rPr>
                <w:rFonts w:ascii="Verdana" w:eastAsia="Verdana" w:hAnsi="Verdana" w:cs="Verdana"/>
                <w:i/>
                <w:noProof/>
                <w:color w:val="000000"/>
                <w:sz w:val="18"/>
              </w:rPr>
            </w:pPr>
            <w:r>
              <w:rPr>
                <w:rFonts w:ascii="Verdana" w:eastAsia="Verdana" w:hAnsi="Verdana" w:cs="Verdana"/>
                <w:i/>
                <w:noProof/>
                <w:color w:val="000000"/>
                <w:sz w:val="18"/>
              </w:rPr>
              <w:t>Financial assets at amortised cost</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CB46D54"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0D31E7C"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5</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7E455542"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5</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4E4B97D"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25</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15ACDBA3"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2372ACEC"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4</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01608FC3"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7</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7077DDE4" w14:textId="77777777" w:rsidR="00FD1E19" w:rsidRDefault="00FD1E19" w:rsidP="00BE7E4A">
            <w:pPr>
              <w:pStyle w:val="DMETW37243BIPCRnew"/>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21</w:t>
            </w:r>
          </w:p>
        </w:tc>
      </w:tr>
      <w:tr w:rsidR="00FD1E19" w14:paraId="7E97830C" w14:textId="77777777" w:rsidTr="00BE7E4A">
        <w:trPr>
          <w:trHeight w:val="255"/>
        </w:trPr>
        <w:tc>
          <w:tcPr>
            <w:tcW w:w="3570" w:type="dxa"/>
            <w:tcBorders>
              <w:top w:val="nil"/>
              <w:left w:val="nil"/>
              <w:bottom w:val="nil"/>
              <w:right w:val="nil"/>
              <w:tl2br w:val="nil"/>
              <w:tr2bl w:val="nil"/>
            </w:tcBorders>
            <w:shd w:val="clear" w:color="auto" w:fill="auto"/>
            <w:tcMar>
              <w:left w:w="60" w:type="dxa"/>
              <w:right w:w="60" w:type="dxa"/>
            </w:tcMar>
            <w:vAlign w:val="bottom"/>
          </w:tcPr>
          <w:p w14:paraId="2706E02A" w14:textId="77777777" w:rsidR="00FD1E19" w:rsidRDefault="00FD1E19" w:rsidP="00BE7E4A">
            <w:pPr>
              <w:pStyle w:val="DMETW37243BIPCRnew"/>
              <w:rPr>
                <w:rFonts w:ascii="Verdana" w:eastAsia="Verdana" w:hAnsi="Verdana" w:cs="Verdana"/>
                <w:i/>
                <w:noProof/>
                <w:color w:val="000000"/>
                <w:sz w:val="18"/>
              </w:rPr>
            </w:pPr>
            <w:r>
              <w:rPr>
                <w:rFonts w:ascii="Verdana" w:eastAsia="Verdana" w:hAnsi="Verdana" w:cs="Verdana"/>
                <w:i/>
                <w:noProof/>
                <w:color w:val="000000"/>
                <w:sz w:val="18"/>
              </w:rPr>
              <w:t>Financial assets at FVSD</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DD27849"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37</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1E5D57DF"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54</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7E00C732"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1</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7EE6CA69"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92</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76F02B15"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42</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76B1B817"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61</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1AF0471D" w14:textId="77777777" w:rsidR="00FD1E19" w:rsidRDefault="00FD1E19" w:rsidP="00BE7E4A">
            <w:pPr>
              <w:pStyle w:val="DMETW37243BIPCRnew"/>
              <w:jc w:val="right"/>
              <w:rPr>
                <w:rFonts w:ascii="Verdana" w:eastAsia="Verdana" w:hAnsi="Verdana" w:cs="Verdana"/>
                <w:noProof/>
                <w:color w:val="000000"/>
                <w:sz w:val="18"/>
              </w:rPr>
            </w:pPr>
            <w:r>
              <w:rPr>
                <w:rFonts w:ascii="Verdana" w:eastAsia="Verdana" w:hAnsi="Verdana" w:cs="Verdana"/>
                <w:noProof/>
                <w:color w:val="000000"/>
                <w:sz w:val="18"/>
              </w:rPr>
              <w:t xml:space="preserve"> 9</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0EE4E7A6" w14:textId="77777777" w:rsidR="00FD1E19" w:rsidRDefault="00FD1E19" w:rsidP="00BE7E4A">
            <w:pPr>
              <w:pStyle w:val="DMETW37243BIPCRnew"/>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112</w:t>
            </w:r>
          </w:p>
        </w:tc>
      </w:tr>
      <w:tr w:rsidR="00FD1E19" w14:paraId="27A9DA04" w14:textId="77777777" w:rsidTr="00BE7E4A">
        <w:trPr>
          <w:trHeight w:val="255"/>
        </w:trPr>
        <w:tc>
          <w:tcPr>
            <w:tcW w:w="3570" w:type="dxa"/>
            <w:tcBorders>
              <w:top w:val="nil"/>
              <w:left w:val="nil"/>
              <w:bottom w:val="nil"/>
              <w:right w:val="nil"/>
              <w:tl2br w:val="nil"/>
              <w:tr2bl w:val="nil"/>
            </w:tcBorders>
            <w:shd w:val="clear" w:color="auto" w:fill="auto"/>
            <w:tcMar>
              <w:left w:w="60" w:type="dxa"/>
              <w:right w:w="60" w:type="dxa"/>
            </w:tcMar>
            <w:vAlign w:val="bottom"/>
          </w:tcPr>
          <w:p w14:paraId="158B68F6" w14:textId="77777777" w:rsidR="00FD1E19" w:rsidRDefault="00FD1E19" w:rsidP="00BE7E4A">
            <w:pPr>
              <w:pStyle w:val="DMETW37243BIPCRnew"/>
              <w:rPr>
                <w:rFonts w:ascii="Verdana" w:eastAsia="Verdana" w:hAnsi="Verdana" w:cs="Verdana"/>
                <w:i/>
                <w:noProof/>
                <w:color w:val="000000"/>
                <w:sz w:val="18"/>
              </w:rPr>
            </w:pPr>
            <w:r>
              <w:rPr>
                <w:rFonts w:ascii="Verdana" w:eastAsia="Verdana" w:hAnsi="Verdana" w:cs="Verdana"/>
                <w:i/>
                <w:noProof/>
                <w:color w:val="000000"/>
                <w:sz w:val="18"/>
              </w:rPr>
              <w:t>Receivables</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204653C0"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507B0EF"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531BA5E7" w14:textId="77777777" w:rsidR="00FD1E19" w:rsidRDefault="00FD1E19" w:rsidP="00BE7E4A">
            <w:pPr>
              <w:pStyle w:val="DMETW37243BIPCRnew"/>
              <w:jc w:val="right"/>
              <w:rPr>
                <w:rFonts w:ascii="Verdana" w:eastAsia="Verdana" w:hAnsi="Verdana" w:cs="Verdana"/>
                <w:i/>
                <w:noProof/>
                <w:color w:val="000000"/>
                <w:sz w:val="18"/>
              </w:rPr>
            </w:pPr>
          </w:p>
        </w:tc>
        <w:tc>
          <w:tcPr>
            <w:tcW w:w="1020" w:type="dxa"/>
            <w:tcBorders>
              <w:top w:val="nil"/>
              <w:left w:val="nil"/>
              <w:bottom w:val="nil"/>
              <w:right w:val="nil"/>
              <w:tl2br w:val="nil"/>
              <w:tr2bl w:val="nil"/>
            </w:tcBorders>
            <w:shd w:val="clear" w:color="auto" w:fill="auto"/>
            <w:tcMar>
              <w:left w:w="60" w:type="dxa"/>
              <w:right w:w="60" w:type="dxa"/>
            </w:tcMar>
            <w:vAlign w:val="center"/>
          </w:tcPr>
          <w:p w14:paraId="66B86A07"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BC889F3"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67610F55"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11962AD7"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20" w:type="dxa"/>
            <w:tcBorders>
              <w:top w:val="nil"/>
              <w:left w:val="nil"/>
              <w:bottom w:val="nil"/>
              <w:right w:val="nil"/>
              <w:tl2br w:val="nil"/>
              <w:tr2bl w:val="nil"/>
            </w:tcBorders>
            <w:shd w:val="clear" w:color="auto" w:fill="auto"/>
            <w:tcMar>
              <w:left w:w="60" w:type="dxa"/>
              <w:right w:w="60" w:type="dxa"/>
            </w:tcMar>
            <w:vAlign w:val="center"/>
          </w:tcPr>
          <w:p w14:paraId="48F6305A" w14:textId="77777777" w:rsidR="00FD1E19" w:rsidRDefault="00FD1E19" w:rsidP="00BE7E4A">
            <w:pPr>
              <w:pStyle w:val="DMETW37243BIPCRnew"/>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w:t>
            </w:r>
          </w:p>
        </w:tc>
      </w:tr>
      <w:tr w:rsidR="00FD1E19" w14:paraId="767CB83B" w14:textId="77777777" w:rsidTr="00BE7E4A">
        <w:trPr>
          <w:trHeight w:val="255"/>
        </w:trPr>
        <w:tc>
          <w:tcPr>
            <w:tcW w:w="3570" w:type="dxa"/>
            <w:tcBorders>
              <w:top w:val="nil"/>
              <w:left w:val="nil"/>
              <w:bottom w:val="single" w:sz="4" w:space="0" w:color="016794"/>
              <w:right w:val="nil"/>
              <w:tl2br w:val="nil"/>
              <w:tr2bl w:val="nil"/>
            </w:tcBorders>
            <w:shd w:val="clear" w:color="auto" w:fill="auto"/>
            <w:tcMar>
              <w:left w:w="60" w:type="dxa"/>
              <w:right w:w="60" w:type="dxa"/>
            </w:tcMar>
            <w:vAlign w:val="bottom"/>
          </w:tcPr>
          <w:p w14:paraId="3A1DA5D1" w14:textId="77777777" w:rsidR="00FD1E19" w:rsidRDefault="00FD1E19" w:rsidP="00BE7E4A">
            <w:pPr>
              <w:pStyle w:val="DMETW37243BIPCRnew"/>
              <w:rPr>
                <w:rFonts w:ascii="Verdana" w:eastAsia="Verdana" w:hAnsi="Verdana" w:cs="Verdana"/>
                <w:i/>
                <w:noProof/>
                <w:color w:val="000000"/>
                <w:sz w:val="18"/>
              </w:rPr>
            </w:pPr>
            <w:r>
              <w:rPr>
                <w:rFonts w:ascii="Verdana" w:eastAsia="Verdana" w:hAnsi="Verdana" w:cs="Verdana"/>
                <w:i/>
                <w:noProof/>
                <w:color w:val="000000"/>
                <w:sz w:val="18"/>
              </w:rPr>
              <w:t>Cash and cash equivalents</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1E6F1F04"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6</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280598FF"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280</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79CB3F7B"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054F5184"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286</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4EF6E3EF"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70931D64"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400</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56DB6FCD"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3B5CE9A8" w14:textId="77777777" w:rsidR="00FD1E19" w:rsidRDefault="00FD1E19" w:rsidP="00BE7E4A">
            <w:pPr>
              <w:pStyle w:val="DMETW37243BIPCRnew"/>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411</w:t>
            </w:r>
          </w:p>
        </w:tc>
      </w:tr>
      <w:tr w:rsidR="00FD1E19" w14:paraId="1EC7BA1D" w14:textId="77777777" w:rsidTr="00BE7E4A">
        <w:trPr>
          <w:trHeight w:val="255"/>
        </w:trPr>
        <w:tc>
          <w:tcPr>
            <w:tcW w:w="357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9B4A659" w14:textId="77777777" w:rsidR="00FD1E19" w:rsidRDefault="00FD1E19" w:rsidP="00BE7E4A">
            <w:pPr>
              <w:pStyle w:val="DMETW37243BIPCRnew"/>
              <w:rPr>
                <w:rFonts w:ascii="Verdana" w:eastAsia="Verdana" w:hAnsi="Verdana" w:cs="Verdana"/>
                <w:b/>
                <w:noProof/>
                <w:color w:val="000000"/>
                <w:sz w:val="18"/>
              </w:rPr>
            </w:pP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25E6200"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63</w:t>
            </w: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9E26048"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343</w:t>
            </w: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C949289"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6</w:t>
            </w: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AC64638"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412</w:t>
            </w: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380B1E0"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69</w:t>
            </w: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B34CEEA"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470</w:t>
            </w: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3F2E078"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16</w:t>
            </w:r>
          </w:p>
        </w:tc>
        <w:tc>
          <w:tcPr>
            <w:tcW w:w="102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79A1FED" w14:textId="77777777" w:rsidR="00FD1E19" w:rsidRDefault="00FD1E19" w:rsidP="00BE7E4A">
            <w:pPr>
              <w:pStyle w:val="DMETW37243BIPCRnew"/>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555</w:t>
            </w:r>
          </w:p>
        </w:tc>
      </w:tr>
      <w:tr w:rsidR="00FD1E19" w14:paraId="573C9C56" w14:textId="77777777" w:rsidTr="00BE7E4A">
        <w:trPr>
          <w:trHeight w:val="255"/>
        </w:trPr>
        <w:tc>
          <w:tcPr>
            <w:tcW w:w="3570" w:type="dxa"/>
            <w:tcBorders>
              <w:top w:val="single" w:sz="4" w:space="0" w:color="016794"/>
              <w:left w:val="nil"/>
              <w:bottom w:val="nil"/>
              <w:right w:val="nil"/>
              <w:tl2br w:val="nil"/>
              <w:tr2bl w:val="nil"/>
            </w:tcBorders>
            <w:shd w:val="clear" w:color="auto" w:fill="auto"/>
            <w:tcMar>
              <w:left w:w="60" w:type="dxa"/>
              <w:right w:w="60" w:type="dxa"/>
            </w:tcMar>
            <w:vAlign w:val="center"/>
          </w:tcPr>
          <w:p w14:paraId="6F3BBD67" w14:textId="77777777" w:rsidR="00FD1E19" w:rsidRDefault="00FD1E19" w:rsidP="00BE7E4A">
            <w:pPr>
              <w:pStyle w:val="DMETW37243BIPCRnew"/>
              <w:rPr>
                <w:rFonts w:ascii="Verdana" w:eastAsia="Verdana" w:hAnsi="Verdana" w:cs="Verdana"/>
                <w:b/>
                <w:noProof/>
                <w:color w:val="000000"/>
                <w:sz w:val="18"/>
              </w:rPr>
            </w:pPr>
            <w:r>
              <w:rPr>
                <w:rFonts w:ascii="Verdana" w:eastAsia="Verdana" w:hAnsi="Verdana" w:cs="Verdana"/>
                <w:b/>
                <w:noProof/>
                <w:color w:val="000000"/>
                <w:sz w:val="18"/>
              </w:rPr>
              <w:t>Financial liabilities</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61DE1493"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1FC8247F"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5C2CCE7D"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3DFA6DA6"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4B4D43C8"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6E2E3E9F"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7F255A56" w14:textId="77777777" w:rsidR="00FD1E19" w:rsidRDefault="00FD1E19" w:rsidP="00BE7E4A">
            <w:pPr>
              <w:pStyle w:val="DMETW37243BIPCRnew"/>
              <w:rPr>
                <w:rFonts w:ascii="Verdana" w:eastAsia="Verdana" w:hAnsi="Verdana" w:cs="Verdana"/>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570789C1" w14:textId="77777777" w:rsidR="00FD1E19" w:rsidRDefault="00FD1E19" w:rsidP="00BE7E4A">
            <w:pPr>
              <w:pStyle w:val="DMETW37243BIPCRnew"/>
              <w:rPr>
                <w:rFonts w:ascii="Verdana" w:eastAsia="Verdana" w:hAnsi="Verdana" w:cs="Verdana"/>
                <w:noProof/>
                <w:color w:val="000000"/>
                <w:sz w:val="18"/>
                <w:lang w:bidi="en-GB"/>
              </w:rPr>
            </w:pPr>
          </w:p>
        </w:tc>
      </w:tr>
      <w:tr w:rsidR="00FD1E19" w14:paraId="1D083D14" w14:textId="77777777" w:rsidTr="00BE7E4A">
        <w:trPr>
          <w:trHeight w:val="255"/>
        </w:trPr>
        <w:tc>
          <w:tcPr>
            <w:tcW w:w="3570" w:type="dxa"/>
            <w:tcBorders>
              <w:top w:val="nil"/>
              <w:left w:val="nil"/>
              <w:bottom w:val="single" w:sz="4" w:space="0" w:color="016794"/>
              <w:right w:val="nil"/>
              <w:tl2br w:val="nil"/>
              <w:tr2bl w:val="nil"/>
            </w:tcBorders>
            <w:shd w:val="clear" w:color="auto" w:fill="auto"/>
            <w:tcMar>
              <w:left w:w="60" w:type="dxa"/>
              <w:right w:w="60" w:type="dxa"/>
            </w:tcMar>
            <w:vAlign w:val="bottom"/>
          </w:tcPr>
          <w:p w14:paraId="4B46664F" w14:textId="77777777" w:rsidR="00FD1E19" w:rsidRDefault="00FD1E19" w:rsidP="00BE7E4A">
            <w:pPr>
              <w:pStyle w:val="DMETW37243BIPCRnew"/>
              <w:rPr>
                <w:rFonts w:ascii="Verdana" w:eastAsia="Verdana" w:hAnsi="Verdana" w:cs="Verdana"/>
                <w:i/>
                <w:noProof/>
                <w:color w:val="000000"/>
                <w:sz w:val="18"/>
              </w:rPr>
            </w:pPr>
            <w:r>
              <w:rPr>
                <w:rFonts w:ascii="Verdana" w:eastAsia="Verdana" w:hAnsi="Verdana" w:cs="Verdana"/>
                <w:i/>
                <w:noProof/>
                <w:color w:val="000000"/>
                <w:sz w:val="18"/>
              </w:rPr>
              <w:t xml:space="preserve">Financial provisions and guarantee liability </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66CFC115"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4B2F4168"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6EED1981"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18F86B31"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0D34FE10"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45035553"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 xml:space="preserve"> (3)</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2BED1CC2" w14:textId="77777777" w:rsidR="00FD1E19" w:rsidRDefault="00FD1E19" w:rsidP="00BE7E4A">
            <w:pPr>
              <w:pStyle w:val="DMETW37243BIPC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20" w:type="dxa"/>
            <w:tcBorders>
              <w:top w:val="nil"/>
              <w:left w:val="nil"/>
              <w:bottom w:val="single" w:sz="4" w:space="0" w:color="016794"/>
              <w:right w:val="nil"/>
              <w:tl2br w:val="nil"/>
              <w:tr2bl w:val="nil"/>
            </w:tcBorders>
            <w:shd w:val="clear" w:color="auto" w:fill="auto"/>
            <w:tcMar>
              <w:left w:w="60" w:type="dxa"/>
              <w:right w:w="60" w:type="dxa"/>
            </w:tcMar>
            <w:vAlign w:val="center"/>
          </w:tcPr>
          <w:p w14:paraId="4274FC84" w14:textId="77777777" w:rsidR="00FD1E19" w:rsidRDefault="00FD1E19" w:rsidP="00BE7E4A">
            <w:pPr>
              <w:pStyle w:val="DMETW37243BIPCRnew"/>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12EB913A" w14:textId="77777777" w:rsidTr="00BE7E4A">
        <w:trPr>
          <w:trHeight w:val="255"/>
        </w:trPr>
        <w:tc>
          <w:tcPr>
            <w:tcW w:w="3570" w:type="dxa"/>
            <w:tcBorders>
              <w:top w:val="single" w:sz="4" w:space="0" w:color="016794"/>
              <w:left w:val="nil"/>
              <w:bottom w:val="nil"/>
              <w:right w:val="nil"/>
              <w:tl2br w:val="nil"/>
              <w:tr2bl w:val="nil"/>
            </w:tcBorders>
            <w:shd w:val="clear" w:color="auto" w:fill="auto"/>
            <w:tcMar>
              <w:left w:w="60" w:type="dxa"/>
              <w:right w:w="60" w:type="dxa"/>
            </w:tcMar>
            <w:vAlign w:val="center"/>
          </w:tcPr>
          <w:p w14:paraId="601BFC09" w14:textId="77777777" w:rsidR="00FD1E19" w:rsidRDefault="00FD1E19" w:rsidP="00BE7E4A">
            <w:pPr>
              <w:pStyle w:val="DMETW37243BIPCRnew"/>
              <w:rPr>
                <w:rFonts w:ascii="Verdana" w:eastAsia="Verdana" w:hAnsi="Verdana" w:cs="Verdana"/>
                <w:b/>
                <w:noProof/>
                <w:color w:val="000000"/>
                <w:sz w:val="18"/>
              </w:rPr>
            </w:pP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2CA0C1F5"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2E3DA1EE"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0D79FDB5"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1C06BEDB"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(5)</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49D49094"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7ABB605E"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(3)</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016CF7DA"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20" w:type="dxa"/>
            <w:tcBorders>
              <w:top w:val="single" w:sz="4" w:space="0" w:color="016794"/>
              <w:left w:val="nil"/>
              <w:bottom w:val="nil"/>
              <w:right w:val="nil"/>
              <w:tl2br w:val="nil"/>
              <w:tr2bl w:val="nil"/>
            </w:tcBorders>
            <w:shd w:val="clear" w:color="auto" w:fill="auto"/>
            <w:tcMar>
              <w:left w:w="60" w:type="dxa"/>
              <w:right w:w="60" w:type="dxa"/>
            </w:tcMar>
            <w:vAlign w:val="center"/>
          </w:tcPr>
          <w:p w14:paraId="4C6D29DB" w14:textId="77777777" w:rsidR="00FD1E19" w:rsidRDefault="00FD1E19" w:rsidP="00BE7E4A">
            <w:pPr>
              <w:pStyle w:val="DMETW37243BIPCRnew"/>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w:t>
            </w:r>
          </w:p>
        </w:tc>
      </w:tr>
      <w:tr w:rsidR="00FD1E19" w14:paraId="5276F2B7" w14:textId="77777777" w:rsidTr="00BE7E4A">
        <w:trPr>
          <w:trHeight w:val="255"/>
        </w:trPr>
        <w:tc>
          <w:tcPr>
            <w:tcW w:w="3570" w:type="dxa"/>
            <w:tcBorders>
              <w:top w:val="nil"/>
              <w:left w:val="nil"/>
              <w:bottom w:val="nil"/>
              <w:right w:val="nil"/>
              <w:tl2br w:val="nil"/>
              <w:tr2bl w:val="nil"/>
            </w:tcBorders>
            <w:shd w:val="solid" w:color="CCE1EA" w:fill="FFFFFF"/>
            <w:tcMar>
              <w:left w:w="60" w:type="dxa"/>
              <w:right w:w="60" w:type="dxa"/>
            </w:tcMar>
            <w:vAlign w:val="center"/>
          </w:tcPr>
          <w:p w14:paraId="722F14C4" w14:textId="77777777" w:rsidR="00FD1E19" w:rsidRDefault="00FD1E19" w:rsidP="00BE7E4A">
            <w:pPr>
              <w:pStyle w:val="DMETW37243BIPCRnew"/>
              <w:rPr>
                <w:rFonts w:ascii="Verdana" w:eastAsia="Verdana" w:hAnsi="Verdana" w:cs="Verdana"/>
                <w:b/>
                <w:noProof/>
                <w:color w:val="000000"/>
                <w:sz w:val="18"/>
              </w:rPr>
            </w:pPr>
            <w:r>
              <w:rPr>
                <w:rFonts w:ascii="Verdana" w:eastAsia="Verdana" w:hAnsi="Verdana" w:cs="Verdana"/>
                <w:b/>
                <w:noProof/>
                <w:color w:val="000000"/>
                <w:sz w:val="18"/>
              </w:rPr>
              <w:t>Total</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133C93F9"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63</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1605792C" w14:textId="77777777" w:rsidR="00FD1E19" w:rsidRPr="00E07925" w:rsidRDefault="00FD1E19" w:rsidP="00BE7E4A">
            <w:pPr>
              <w:pStyle w:val="DMETW37243BIPCRnew"/>
              <w:jc w:val="right"/>
              <w:rPr>
                <w:rFonts w:ascii="Verdana" w:eastAsia="Verdana" w:hAnsi="Verdana" w:cs="Verdana"/>
                <w:b/>
                <w:noProof/>
                <w:color w:val="000000"/>
                <w:sz w:val="18"/>
              </w:rPr>
            </w:pPr>
            <w:r w:rsidRPr="00E07925">
              <w:rPr>
                <w:rFonts w:ascii="Verdana" w:eastAsia="Verdana" w:hAnsi="Verdana" w:cs="Verdana"/>
                <w:b/>
                <w:noProof/>
                <w:color w:val="000000"/>
                <w:sz w:val="18"/>
              </w:rPr>
              <w:t xml:space="preserve">  338</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6B064BEC" w14:textId="77777777" w:rsidR="00FD1E19" w:rsidRPr="00E07925" w:rsidRDefault="00FD1E19" w:rsidP="00BE7E4A">
            <w:pPr>
              <w:pStyle w:val="DMETW37243BIPCRnew"/>
              <w:jc w:val="right"/>
              <w:rPr>
                <w:rFonts w:ascii="Verdana" w:eastAsia="Verdana" w:hAnsi="Verdana" w:cs="Verdana"/>
                <w:b/>
                <w:noProof/>
                <w:color w:val="000000"/>
                <w:sz w:val="18"/>
              </w:rPr>
            </w:pPr>
            <w:r w:rsidRPr="00E07925">
              <w:rPr>
                <w:rFonts w:ascii="Verdana" w:eastAsia="Verdana" w:hAnsi="Verdana" w:cs="Verdana"/>
                <w:b/>
                <w:noProof/>
                <w:color w:val="000000"/>
                <w:sz w:val="18"/>
              </w:rPr>
              <w:t xml:space="preserve">  6</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6B9B8CC0" w14:textId="77777777" w:rsidR="00FD1E19" w:rsidRPr="00E07925" w:rsidRDefault="00FD1E19" w:rsidP="00BE7E4A">
            <w:pPr>
              <w:pStyle w:val="DMETW37243BIPCRnew"/>
              <w:jc w:val="right"/>
              <w:rPr>
                <w:rFonts w:ascii="Verdana" w:eastAsia="Verdana" w:hAnsi="Verdana" w:cs="Verdana"/>
                <w:b/>
                <w:noProof/>
                <w:color w:val="000000"/>
                <w:sz w:val="18"/>
              </w:rPr>
            </w:pPr>
            <w:r w:rsidRPr="00E07925">
              <w:rPr>
                <w:rFonts w:ascii="Verdana" w:eastAsia="Verdana" w:hAnsi="Verdana" w:cs="Verdana"/>
                <w:b/>
                <w:noProof/>
                <w:color w:val="000000"/>
                <w:sz w:val="18"/>
              </w:rPr>
              <w:t xml:space="preserve">  407</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497390DE" w14:textId="77777777" w:rsidR="00FD1E19" w:rsidRPr="00E07925" w:rsidRDefault="00FD1E19" w:rsidP="00BE7E4A">
            <w:pPr>
              <w:pStyle w:val="DMETW37243BIPCRnew"/>
              <w:jc w:val="right"/>
              <w:rPr>
                <w:rFonts w:ascii="Verdana" w:eastAsia="Verdana" w:hAnsi="Verdana" w:cs="Verdana"/>
                <w:b/>
                <w:noProof/>
                <w:color w:val="000000"/>
                <w:sz w:val="18"/>
              </w:rPr>
            </w:pPr>
            <w:r w:rsidRPr="00E07925">
              <w:rPr>
                <w:rFonts w:ascii="Verdana" w:eastAsia="Verdana" w:hAnsi="Verdana" w:cs="Verdana"/>
                <w:b/>
                <w:noProof/>
                <w:color w:val="000000"/>
                <w:sz w:val="18"/>
              </w:rPr>
              <w:t xml:space="preserve">  69</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71897CDF"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467</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42886A40"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16</w:t>
            </w:r>
          </w:p>
        </w:tc>
        <w:tc>
          <w:tcPr>
            <w:tcW w:w="1020" w:type="dxa"/>
            <w:tcBorders>
              <w:top w:val="nil"/>
              <w:left w:val="nil"/>
              <w:bottom w:val="nil"/>
              <w:right w:val="nil"/>
              <w:tl2br w:val="nil"/>
              <w:tr2bl w:val="nil"/>
            </w:tcBorders>
            <w:shd w:val="solid" w:color="CCE1EA" w:fill="FFFFFF"/>
            <w:tcMar>
              <w:left w:w="60" w:type="dxa"/>
              <w:right w:w="60" w:type="dxa"/>
            </w:tcMar>
            <w:vAlign w:val="center"/>
          </w:tcPr>
          <w:p w14:paraId="0661012E" w14:textId="77777777" w:rsidR="00FD1E19" w:rsidRDefault="00FD1E19" w:rsidP="00BE7E4A">
            <w:pPr>
              <w:pStyle w:val="DMETW37243BIPCRnew"/>
              <w:jc w:val="right"/>
              <w:rPr>
                <w:rFonts w:ascii="Verdana" w:eastAsia="Verdana" w:hAnsi="Verdana" w:cs="Verdana"/>
                <w:b/>
                <w:noProof/>
                <w:color w:val="000000"/>
                <w:sz w:val="18"/>
              </w:rPr>
            </w:pPr>
            <w:r>
              <w:rPr>
                <w:rFonts w:ascii="Verdana" w:eastAsia="Verdana" w:hAnsi="Verdana" w:cs="Verdana"/>
                <w:b/>
                <w:noProof/>
                <w:color w:val="000000"/>
                <w:sz w:val="18"/>
              </w:rPr>
              <w:t xml:space="preserve">  552</w:t>
            </w:r>
          </w:p>
        </w:tc>
      </w:tr>
    </w:tbl>
    <w:p w14:paraId="384A2861" w14:textId="77777777" w:rsidR="00FD1E19" w:rsidRDefault="00FD1E19" w:rsidP="00FD1E19">
      <w:pPr>
        <w:pStyle w:val="HEADER5"/>
        <w:rPr>
          <w:noProof/>
        </w:rPr>
      </w:pPr>
    </w:p>
    <w:p w14:paraId="0FFBD92C" w14:textId="77777777" w:rsidR="00FD1E19" w:rsidRPr="00CD6B4F" w:rsidRDefault="00FD1E19" w:rsidP="00FD1E19">
      <w:pPr>
        <w:pStyle w:val="Textstand-alone"/>
      </w:pPr>
      <w:r w:rsidRPr="00CD6B4F">
        <w:t>All contributions are held in EUR, and other currencies are purchased only when they are needed for the execution of payments. As a result</w:t>
      </w:r>
      <w:r>
        <w:t>,</w:t>
      </w:r>
      <w:r w:rsidRPr="00CD6B4F">
        <w:t xml:space="preserve"> the EDF's treasury operations are not exposed to currency risk.</w:t>
      </w:r>
    </w:p>
    <w:bookmarkEnd w:id="127"/>
    <w:p w14:paraId="4BC72ED9" w14:textId="77777777" w:rsidR="00FD1E19" w:rsidRPr="00490823" w:rsidRDefault="00FD1E19" w:rsidP="00FD1E19">
      <w:pPr>
        <w:rPr>
          <w:noProof/>
        </w:rPr>
        <w:sectPr w:rsidR="00FD1E19" w:rsidRPr="00490823" w:rsidSect="00FD1E19">
          <w:headerReference w:type="even" r:id="rId82"/>
          <w:headerReference w:type="default" r:id="rId83"/>
          <w:footerReference w:type="even" r:id="rId84"/>
          <w:footerReference w:type="default" r:id="rId85"/>
          <w:headerReference w:type="first" r:id="rId86"/>
          <w:footerReference w:type="first" r:id="rId87"/>
          <w:pgSz w:w="16838" w:h="11906" w:orient="landscape" w:code="9"/>
          <w:pgMar w:top="1134" w:right="1134" w:bottom="1134" w:left="1134" w:header="709" w:footer="709" w:gutter="0"/>
          <w:cols w:space="708"/>
          <w:docGrid w:linePitch="360"/>
        </w:sectPr>
      </w:pPr>
    </w:p>
    <w:p w14:paraId="335D07B6" w14:textId="77777777" w:rsidR="00FD1E19" w:rsidRPr="00CC6C03" w:rsidRDefault="00FD1E19" w:rsidP="00FD1E19">
      <w:pPr>
        <w:pStyle w:val="HEADER2Part2"/>
        <w:rPr>
          <w:noProof/>
        </w:rPr>
      </w:pPr>
      <w:bookmarkStart w:id="129" w:name="_DMBM_37240"/>
      <w:r w:rsidRPr="00CC6C03">
        <w:rPr>
          <w:noProof/>
        </w:rPr>
        <w:t>INTEREST RATE RISK</w:t>
      </w:r>
    </w:p>
    <w:p w14:paraId="12FD9288" w14:textId="77777777" w:rsidR="00FD1E19" w:rsidRDefault="00FD1E19" w:rsidP="00FD1E19">
      <w:pPr>
        <w:pStyle w:val="Textstand-alone"/>
      </w:pPr>
      <w:r>
        <w:t>The EDF does not borrow money and consequently it is not exposed to interest rate risk.</w:t>
      </w:r>
    </w:p>
    <w:p w14:paraId="24EB34D7" w14:textId="77777777" w:rsidR="00FD1E19" w:rsidRDefault="00FD1E19" w:rsidP="00FD1E19">
      <w:pPr>
        <w:pStyle w:val="Textstand-alone"/>
      </w:pPr>
      <w:r>
        <w:t>Interest is accrued on balances it holds in its different bank accounts. The Commission, on behalf of the EDF, has therefore put in place measures to ensure that interest earned regularly reflects market interest rates as well as their possible fluctuation.</w:t>
      </w:r>
    </w:p>
    <w:p w14:paraId="6E56CFE1" w14:textId="77777777" w:rsidR="00FD1E19" w:rsidRDefault="00FD1E19" w:rsidP="00FD1E19">
      <w:pPr>
        <w:pStyle w:val="Textstand-alone"/>
      </w:pPr>
      <w:r>
        <w:t>Contributions to the EDF budget are credited by each Member State to a special account opened with the financial institution designated by it. To address the risk of negative remuneration, which existed a couple of years ago, cash management procedures are in place to minimise balances kept on the accounts concerned. In addition, in accordance with Council Regulation (EU) 2016/888, any negative remuneration on these accounts is borne by the relevant Member State.</w:t>
      </w:r>
    </w:p>
    <w:p w14:paraId="1371D849" w14:textId="77777777" w:rsidR="00FD1E19" w:rsidRPr="00D52CE8" w:rsidRDefault="00FD1E19" w:rsidP="00FD1E19">
      <w:pPr>
        <w:pStyle w:val="Textstand-alone"/>
      </w:pPr>
      <w:r>
        <w:t>Overnight balances held in commercial bank accounts are remunerated on a daily basis. The remuneration of balances on such accounts is based on variable market rates to which a contractual margin (positive or negative) is applied. For most of the accounts, the interest calculation is linked to a market reference rate and is adjusted to reflect any fluctuations in this rate. As a result, no risk is taken by the EDF that its balances could be remunerated at rates lower than market rates</w:t>
      </w:r>
      <w:r w:rsidRPr="00D52CE8">
        <w:t>.</w:t>
      </w:r>
    </w:p>
    <w:p w14:paraId="11833194" w14:textId="77777777" w:rsidR="00FD1E19" w:rsidRPr="00D52CE8" w:rsidRDefault="00FD1E19" w:rsidP="00FD1E19">
      <w:pPr>
        <w:pStyle w:val="HEADER2Part2"/>
        <w:rPr>
          <w:noProof/>
        </w:rPr>
      </w:pPr>
      <w:r w:rsidRPr="00D52CE8">
        <w:rPr>
          <w:noProof/>
        </w:rPr>
        <w:t>CREDIT RISK (COUNTERPARTY RISK)</w:t>
      </w:r>
    </w:p>
    <w:p w14:paraId="7111B20F" w14:textId="77777777" w:rsidR="00FD1E19" w:rsidRDefault="00FD1E19" w:rsidP="00FD1E19">
      <w:pPr>
        <w:pStyle w:val="HEADER5"/>
        <w:rPr>
          <w:noProof/>
        </w:rPr>
      </w:pPr>
      <w:r>
        <w:rPr>
          <w:noProof/>
        </w:rPr>
        <w:t>Maximum credit risk exposure:</w:t>
      </w:r>
    </w:p>
    <w:p w14:paraId="4EE8EB99" w14:textId="77777777" w:rsidR="00FD1E19" w:rsidRDefault="00FD1E19" w:rsidP="00FD1E19">
      <w:pPr>
        <w:pStyle w:val="HEADER5"/>
        <w:rPr>
          <w:noProof/>
        </w:rPr>
      </w:pPr>
    </w:p>
    <w:p w14:paraId="58A33A0D" w14:textId="77777777" w:rsidR="00FD1E19" w:rsidRDefault="00FD1E19" w:rsidP="00FD1E19">
      <w:pPr>
        <w:pStyle w:val="HEADER5"/>
        <w:rPr>
          <w:b w:val="0"/>
          <w:noProof/>
          <w:color w:val="auto"/>
          <w:lang w:eastAsia="en-US"/>
        </w:rPr>
      </w:pPr>
      <w:r w:rsidRPr="00F71CF2">
        <w:rPr>
          <w:b w:val="0"/>
          <w:noProof/>
          <w:color w:val="auto"/>
          <w:lang w:eastAsia="en-US"/>
        </w:rPr>
        <w:t>For financial assets, the reported amounts are net carrying amounts and represent the E</w:t>
      </w:r>
      <w:r>
        <w:rPr>
          <w:b w:val="0"/>
          <w:noProof/>
          <w:color w:val="auto"/>
          <w:lang w:eastAsia="en-US"/>
        </w:rPr>
        <w:t>DF’s</w:t>
      </w:r>
      <w:r w:rsidRPr="00F71CF2">
        <w:rPr>
          <w:b w:val="0"/>
          <w:noProof/>
          <w:color w:val="auto"/>
          <w:lang w:eastAsia="en-US"/>
        </w:rPr>
        <w:t xml:space="preserve"> exposure to credit risk at the end of the reporting period.</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2"/>
        <w:gridCol w:w="1998"/>
        <w:gridCol w:w="1998"/>
      </w:tblGrid>
      <w:tr w:rsidR="00FD1E19" w14:paraId="0E188B8D" w14:textId="77777777" w:rsidTr="00BE7E4A">
        <w:trPr>
          <w:trHeight w:hRule="exact" w:val="300"/>
        </w:trPr>
        <w:tc>
          <w:tcPr>
            <w:tcW w:w="4455" w:type="dxa"/>
            <w:tcBorders>
              <w:top w:val="nil"/>
              <w:left w:val="nil"/>
              <w:bottom w:val="nil"/>
              <w:right w:val="nil"/>
              <w:tl2br w:val="nil"/>
              <w:tr2bl w:val="nil"/>
            </w:tcBorders>
            <w:shd w:val="clear" w:color="auto" w:fill="auto"/>
            <w:tcMar>
              <w:left w:w="60" w:type="dxa"/>
              <w:right w:w="60" w:type="dxa"/>
            </w:tcMar>
            <w:vAlign w:val="bottom"/>
          </w:tcPr>
          <w:p w14:paraId="08F6ED07" w14:textId="77777777" w:rsidR="00FD1E19" w:rsidRDefault="00FD1E19" w:rsidP="00BE7E4A">
            <w:pPr>
              <w:pStyle w:val="DMETW37225BIPCDTRCY"/>
              <w:rPr>
                <w:rFonts w:cs="Calibri"/>
                <w:noProof/>
                <w:color w:val="000000"/>
                <w:sz w:val="22"/>
                <w:lang w:bidi="en-GB"/>
              </w:rPr>
            </w:pPr>
            <w:bookmarkStart w:id="130" w:name="DOC_TBL00048_1_1"/>
            <w:bookmarkEnd w:id="130"/>
          </w:p>
        </w:tc>
        <w:tc>
          <w:tcPr>
            <w:tcW w:w="1545" w:type="dxa"/>
            <w:tcBorders>
              <w:top w:val="nil"/>
              <w:left w:val="nil"/>
              <w:bottom w:val="nil"/>
              <w:right w:val="nil"/>
              <w:tl2br w:val="nil"/>
              <w:tr2bl w:val="nil"/>
            </w:tcBorders>
            <w:shd w:val="clear" w:color="auto" w:fill="auto"/>
            <w:tcMar>
              <w:left w:w="60" w:type="dxa"/>
              <w:right w:w="60" w:type="dxa"/>
            </w:tcMar>
            <w:vAlign w:val="center"/>
          </w:tcPr>
          <w:p w14:paraId="03EFD307" w14:textId="77777777" w:rsidR="00FD1E19" w:rsidRDefault="00FD1E19" w:rsidP="00BE7E4A">
            <w:pPr>
              <w:pStyle w:val="DMETW37225BIPCDTRCY"/>
              <w:jc w:val="right"/>
              <w:rPr>
                <w:rFonts w:ascii="Verdana" w:eastAsia="Verdana" w:hAnsi="Verdana" w:cs="Verdana"/>
                <w:i/>
                <w:noProof/>
                <w:color w:val="000000"/>
                <w:sz w:val="16"/>
              </w:rPr>
            </w:pPr>
          </w:p>
        </w:tc>
        <w:tc>
          <w:tcPr>
            <w:tcW w:w="1545" w:type="dxa"/>
            <w:tcBorders>
              <w:top w:val="nil"/>
              <w:left w:val="nil"/>
              <w:bottom w:val="nil"/>
              <w:right w:val="nil"/>
              <w:tl2br w:val="nil"/>
              <w:tr2bl w:val="nil"/>
            </w:tcBorders>
            <w:shd w:val="clear" w:color="auto" w:fill="auto"/>
            <w:tcMar>
              <w:left w:w="60" w:type="dxa"/>
              <w:right w:w="60" w:type="dxa"/>
            </w:tcMar>
            <w:vAlign w:val="center"/>
          </w:tcPr>
          <w:p w14:paraId="227F70D6" w14:textId="77777777" w:rsidR="00FD1E19" w:rsidRDefault="00FD1E19" w:rsidP="00BE7E4A">
            <w:pPr>
              <w:pStyle w:val="DMETW37225BIPCDTRCY"/>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33B03D61" w14:textId="77777777" w:rsidTr="00BE7E4A">
        <w:trPr>
          <w:trHeight w:hRule="exact" w:val="300"/>
        </w:trPr>
        <w:tc>
          <w:tcPr>
            <w:tcW w:w="4455" w:type="dxa"/>
            <w:tcBorders>
              <w:top w:val="nil"/>
              <w:left w:val="nil"/>
              <w:bottom w:val="nil"/>
              <w:right w:val="nil"/>
              <w:tl2br w:val="nil"/>
              <w:tr2bl w:val="nil"/>
            </w:tcBorders>
            <w:shd w:val="solid" w:color="016794" w:fill="FFFFFF"/>
            <w:tcMar>
              <w:left w:w="60" w:type="dxa"/>
              <w:right w:w="60" w:type="dxa"/>
            </w:tcMar>
            <w:vAlign w:val="center"/>
          </w:tcPr>
          <w:p w14:paraId="5EAE507A" w14:textId="77777777" w:rsidR="00FD1E19" w:rsidRDefault="00FD1E19" w:rsidP="00BE7E4A">
            <w:pPr>
              <w:pStyle w:val="DMETW37225BIPCDTRCY"/>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14:paraId="60523142" w14:textId="77777777" w:rsidR="00FD1E19" w:rsidRDefault="00FD1E19" w:rsidP="00BE7E4A">
            <w:pPr>
              <w:pStyle w:val="DMETW37225BIPCDTRCY"/>
              <w:jc w:val="right"/>
              <w:rPr>
                <w:rFonts w:ascii="Verdana" w:eastAsia="Verdana" w:hAnsi="Verdana" w:cs="Verdana"/>
                <w:noProof/>
                <w:color w:val="FFFFFF"/>
              </w:rPr>
            </w:pPr>
            <w:r>
              <w:rPr>
                <w:rFonts w:ascii="Verdana" w:eastAsia="Verdana" w:hAnsi="Verdana" w:cs="Verdana"/>
                <w:noProof/>
                <w:color w:val="FFFFFF"/>
              </w:rPr>
              <w:t>31.12.2025</w:t>
            </w:r>
          </w:p>
        </w:tc>
        <w:tc>
          <w:tcPr>
            <w:tcW w:w="1545" w:type="dxa"/>
            <w:tcBorders>
              <w:top w:val="nil"/>
              <w:left w:val="nil"/>
              <w:bottom w:val="nil"/>
              <w:right w:val="nil"/>
              <w:tl2br w:val="nil"/>
              <w:tr2bl w:val="nil"/>
            </w:tcBorders>
            <w:shd w:val="solid" w:color="016794" w:fill="FFFFFF"/>
            <w:tcMar>
              <w:left w:w="60" w:type="dxa"/>
              <w:right w:w="60" w:type="dxa"/>
            </w:tcMar>
            <w:vAlign w:val="center"/>
          </w:tcPr>
          <w:p w14:paraId="4C38A21E" w14:textId="77777777" w:rsidR="00FD1E19" w:rsidRDefault="00FD1E19" w:rsidP="00BE7E4A">
            <w:pPr>
              <w:pStyle w:val="DMETW37225BIPCDTRCY"/>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52EF3C65" w14:textId="77777777" w:rsidTr="00BE7E4A">
        <w:trPr>
          <w:trHeight w:hRule="exact" w:val="300"/>
        </w:trPr>
        <w:tc>
          <w:tcPr>
            <w:tcW w:w="4455" w:type="dxa"/>
            <w:tcBorders>
              <w:top w:val="nil"/>
              <w:left w:val="nil"/>
              <w:bottom w:val="nil"/>
              <w:right w:val="nil"/>
              <w:tl2br w:val="nil"/>
              <w:tr2bl w:val="nil"/>
            </w:tcBorders>
            <w:shd w:val="clear" w:color="auto" w:fill="auto"/>
            <w:tcMar>
              <w:left w:w="60" w:type="dxa"/>
              <w:right w:w="60" w:type="dxa"/>
            </w:tcMar>
            <w:vAlign w:val="center"/>
          </w:tcPr>
          <w:p w14:paraId="0B2F7BF9" w14:textId="77777777" w:rsidR="00FD1E19" w:rsidRDefault="00FD1E19" w:rsidP="00BE7E4A">
            <w:pPr>
              <w:pStyle w:val="DMETW37225BIPCDTRCY"/>
              <w:rPr>
                <w:rFonts w:ascii="Verdana" w:eastAsia="Verdana" w:hAnsi="Verdana" w:cs="Verdana"/>
                <w:b/>
                <w:noProof/>
                <w:color w:val="000000"/>
                <w:sz w:val="18"/>
              </w:rPr>
            </w:pPr>
            <w:r>
              <w:rPr>
                <w:rFonts w:ascii="Verdana" w:eastAsia="Verdana" w:hAnsi="Verdana" w:cs="Verdana"/>
                <w:b/>
                <w:noProof/>
                <w:color w:val="000000"/>
                <w:sz w:val="18"/>
              </w:rPr>
              <w:t>Financial assets</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37B3A8BE" w14:textId="77777777" w:rsidR="00FD1E19" w:rsidRDefault="00FD1E19" w:rsidP="00BE7E4A">
            <w:pPr>
              <w:pStyle w:val="DMETW37225BIPCDTRCY"/>
              <w:jc w:val="right"/>
              <w:rPr>
                <w:rFonts w:ascii="Verdana" w:eastAsia="Verdana" w:hAnsi="Verdana" w:cs="Verdana"/>
                <w:i/>
                <w:noProof/>
                <w:color w:val="000000"/>
                <w:sz w:val="18"/>
              </w:rPr>
            </w:pPr>
          </w:p>
        </w:tc>
        <w:tc>
          <w:tcPr>
            <w:tcW w:w="1545" w:type="dxa"/>
            <w:tcBorders>
              <w:top w:val="nil"/>
              <w:left w:val="nil"/>
              <w:bottom w:val="nil"/>
              <w:right w:val="nil"/>
              <w:tl2br w:val="nil"/>
              <w:tr2bl w:val="nil"/>
            </w:tcBorders>
            <w:shd w:val="clear" w:color="auto" w:fill="auto"/>
            <w:tcMar>
              <w:left w:w="60" w:type="dxa"/>
              <w:right w:w="60" w:type="dxa"/>
            </w:tcMar>
            <w:vAlign w:val="center"/>
          </w:tcPr>
          <w:p w14:paraId="025D5E17" w14:textId="77777777" w:rsidR="00FD1E19" w:rsidRDefault="00FD1E19" w:rsidP="00BE7E4A">
            <w:pPr>
              <w:pStyle w:val="DMETW37225BIPCDTRCY"/>
              <w:jc w:val="right"/>
              <w:rPr>
                <w:rFonts w:ascii="Verdana" w:eastAsia="Verdana" w:hAnsi="Verdana" w:cs="Verdana"/>
                <w:i/>
                <w:noProof/>
                <w:color w:val="000000"/>
                <w:sz w:val="18"/>
                <w:lang w:bidi="en-GB"/>
              </w:rPr>
            </w:pPr>
          </w:p>
        </w:tc>
      </w:tr>
      <w:tr w:rsidR="00FD1E19" w14:paraId="63579903" w14:textId="77777777" w:rsidTr="00BE7E4A">
        <w:trPr>
          <w:trHeight w:hRule="exact" w:val="289"/>
        </w:trPr>
        <w:tc>
          <w:tcPr>
            <w:tcW w:w="4455" w:type="dxa"/>
            <w:tcBorders>
              <w:top w:val="nil"/>
              <w:left w:val="nil"/>
              <w:bottom w:val="nil"/>
              <w:right w:val="nil"/>
              <w:tl2br w:val="nil"/>
              <w:tr2bl w:val="nil"/>
            </w:tcBorders>
            <w:shd w:val="clear" w:color="auto" w:fill="auto"/>
            <w:tcMar>
              <w:left w:w="60" w:type="dxa"/>
              <w:right w:w="60" w:type="dxa"/>
            </w:tcMar>
            <w:vAlign w:val="center"/>
          </w:tcPr>
          <w:p w14:paraId="3EECD6B2" w14:textId="77777777" w:rsidR="00FD1E19" w:rsidRDefault="00FD1E19" w:rsidP="00BE7E4A">
            <w:pPr>
              <w:pStyle w:val="DMETW37225BIPCDTRCY"/>
              <w:rPr>
                <w:rFonts w:ascii="Verdana" w:eastAsia="Verdana" w:hAnsi="Verdana" w:cs="Verdana"/>
                <w:i/>
                <w:noProof/>
                <w:color w:val="000000"/>
                <w:sz w:val="18"/>
              </w:rPr>
            </w:pPr>
            <w:r>
              <w:rPr>
                <w:rFonts w:ascii="Verdana" w:eastAsia="Verdana" w:hAnsi="Verdana" w:cs="Verdana"/>
                <w:i/>
                <w:noProof/>
                <w:color w:val="000000"/>
                <w:sz w:val="18"/>
              </w:rPr>
              <w:t xml:space="preserve">Loans </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1EF539A4" w14:textId="77777777" w:rsidR="00FD1E19" w:rsidRDefault="00FD1E19" w:rsidP="00BE7E4A">
            <w:pPr>
              <w:pStyle w:val="DMETW37225BIPCDTRCY"/>
              <w:jc w:val="right"/>
              <w:rPr>
                <w:rFonts w:ascii="Verdana" w:eastAsia="Verdana" w:hAnsi="Verdana" w:cs="Verdana"/>
                <w:i/>
                <w:noProof/>
                <w:color w:val="000000"/>
                <w:sz w:val="18"/>
              </w:rPr>
            </w:pPr>
            <w:r>
              <w:rPr>
                <w:rFonts w:ascii="Verdana" w:eastAsia="Verdana" w:hAnsi="Verdana" w:cs="Verdana"/>
                <w:i/>
                <w:noProof/>
                <w:color w:val="000000"/>
                <w:sz w:val="18"/>
              </w:rPr>
              <w:t xml:space="preserve"> 25</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40B10D4A" w14:textId="77777777" w:rsidR="00FD1E19" w:rsidRDefault="00FD1E19" w:rsidP="00BE7E4A">
            <w:pPr>
              <w:pStyle w:val="DMETW3722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21</w:t>
            </w:r>
          </w:p>
        </w:tc>
      </w:tr>
      <w:tr w:rsidR="00FD1E19" w14:paraId="25B3B273" w14:textId="77777777" w:rsidTr="00BE7E4A">
        <w:trPr>
          <w:trHeight w:hRule="exact" w:val="300"/>
        </w:trPr>
        <w:tc>
          <w:tcPr>
            <w:tcW w:w="4455" w:type="dxa"/>
            <w:tcBorders>
              <w:top w:val="nil"/>
              <w:left w:val="nil"/>
              <w:bottom w:val="nil"/>
              <w:right w:val="nil"/>
              <w:tl2br w:val="nil"/>
              <w:tr2bl w:val="nil"/>
            </w:tcBorders>
            <w:shd w:val="clear" w:color="auto" w:fill="auto"/>
            <w:tcMar>
              <w:left w:w="60" w:type="dxa"/>
              <w:right w:w="60" w:type="dxa"/>
            </w:tcMar>
            <w:vAlign w:val="center"/>
          </w:tcPr>
          <w:p w14:paraId="3295ECB8" w14:textId="77777777" w:rsidR="00FD1E19" w:rsidRDefault="00FD1E19" w:rsidP="00BE7E4A">
            <w:pPr>
              <w:pStyle w:val="DMETW37225BIPCDTRCY"/>
              <w:rPr>
                <w:rFonts w:ascii="Verdana" w:eastAsia="Verdana" w:hAnsi="Verdana" w:cs="Verdana"/>
                <w:i/>
                <w:noProof/>
                <w:color w:val="000000"/>
                <w:sz w:val="18"/>
              </w:rPr>
            </w:pPr>
            <w:r>
              <w:rPr>
                <w:rFonts w:ascii="Verdana" w:eastAsia="Verdana" w:hAnsi="Verdana" w:cs="Verdana"/>
                <w:i/>
                <w:noProof/>
                <w:color w:val="000000"/>
                <w:sz w:val="18"/>
              </w:rPr>
              <w:t>Cash and cash equivalents</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3CA72683" w14:textId="77777777" w:rsidR="00FD1E19" w:rsidRDefault="00FD1E19" w:rsidP="00BE7E4A">
            <w:pPr>
              <w:pStyle w:val="DMETW37225BIPCDTRCY"/>
              <w:jc w:val="right"/>
              <w:rPr>
                <w:rFonts w:ascii="Verdana" w:eastAsia="Verdana" w:hAnsi="Verdana" w:cs="Verdana"/>
                <w:i/>
                <w:noProof/>
                <w:color w:val="000000"/>
                <w:sz w:val="18"/>
              </w:rPr>
            </w:pPr>
            <w:r>
              <w:rPr>
                <w:rFonts w:ascii="Verdana" w:eastAsia="Verdana" w:hAnsi="Verdana" w:cs="Verdana"/>
                <w:i/>
                <w:noProof/>
                <w:color w:val="000000"/>
                <w:sz w:val="18"/>
              </w:rPr>
              <w:t xml:space="preserve"> 286</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737D36FE" w14:textId="77777777" w:rsidR="00FD1E19" w:rsidRDefault="00FD1E19" w:rsidP="00BE7E4A">
            <w:pPr>
              <w:pStyle w:val="DMETW3722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411</w:t>
            </w:r>
          </w:p>
        </w:tc>
      </w:tr>
      <w:tr w:rsidR="00FD1E19" w14:paraId="0ECB2CAD" w14:textId="77777777" w:rsidTr="00BE7E4A">
        <w:trPr>
          <w:trHeight w:hRule="exact" w:val="300"/>
        </w:trPr>
        <w:tc>
          <w:tcPr>
            <w:tcW w:w="4455" w:type="dxa"/>
            <w:tcBorders>
              <w:top w:val="nil"/>
              <w:left w:val="nil"/>
              <w:bottom w:val="nil"/>
              <w:right w:val="nil"/>
              <w:tl2br w:val="nil"/>
              <w:tr2bl w:val="nil"/>
            </w:tcBorders>
            <w:shd w:val="clear" w:color="auto" w:fill="auto"/>
            <w:tcMar>
              <w:left w:w="60" w:type="dxa"/>
              <w:right w:w="60" w:type="dxa"/>
            </w:tcMar>
            <w:vAlign w:val="center"/>
          </w:tcPr>
          <w:p w14:paraId="79D1A922" w14:textId="77777777" w:rsidR="00FD1E19" w:rsidRDefault="00FD1E19" w:rsidP="00BE7E4A">
            <w:pPr>
              <w:pStyle w:val="DMETW37225BIPCDTRCY"/>
              <w:rPr>
                <w:rFonts w:ascii="Verdana" w:eastAsia="Verdana" w:hAnsi="Verdana" w:cs="Verdana"/>
                <w:i/>
                <w:noProof/>
                <w:color w:val="000000"/>
                <w:sz w:val="18"/>
              </w:rPr>
            </w:pPr>
            <w:r>
              <w:rPr>
                <w:rFonts w:ascii="Verdana" w:eastAsia="Verdana" w:hAnsi="Verdana" w:cs="Verdana"/>
                <w:i/>
                <w:noProof/>
                <w:color w:val="000000"/>
                <w:sz w:val="18"/>
              </w:rPr>
              <w:t>Exchange receivables*</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7B5288DD" w14:textId="77777777" w:rsidR="00FD1E19" w:rsidRDefault="00FD1E19" w:rsidP="00BE7E4A">
            <w:pPr>
              <w:pStyle w:val="DMETW37225BIPCDTRCY"/>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28598EE2" w14:textId="77777777" w:rsidR="00FD1E19" w:rsidRDefault="00FD1E19" w:rsidP="00BE7E4A">
            <w:pPr>
              <w:pStyle w:val="DMETW3722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11</w:t>
            </w:r>
          </w:p>
        </w:tc>
      </w:tr>
      <w:tr w:rsidR="00FD1E19" w14:paraId="50555F9E" w14:textId="77777777" w:rsidTr="00BE7E4A">
        <w:trPr>
          <w:trHeight w:hRule="exact" w:val="289"/>
        </w:trPr>
        <w:tc>
          <w:tcPr>
            <w:tcW w:w="4455" w:type="dxa"/>
            <w:tcBorders>
              <w:top w:val="nil"/>
              <w:left w:val="nil"/>
              <w:bottom w:val="nil"/>
              <w:right w:val="nil"/>
              <w:tl2br w:val="nil"/>
              <w:tr2bl w:val="nil"/>
            </w:tcBorders>
            <w:shd w:val="clear" w:color="auto" w:fill="auto"/>
            <w:tcMar>
              <w:left w:w="60" w:type="dxa"/>
              <w:right w:w="60" w:type="dxa"/>
            </w:tcMar>
            <w:vAlign w:val="center"/>
          </w:tcPr>
          <w:p w14:paraId="237DA1A5" w14:textId="77777777" w:rsidR="00FD1E19" w:rsidRDefault="00FD1E19" w:rsidP="00BE7E4A">
            <w:pPr>
              <w:pStyle w:val="DMETW37225BIPCDTRCY"/>
              <w:rPr>
                <w:rFonts w:ascii="Verdana" w:eastAsia="Verdana" w:hAnsi="Verdana" w:cs="Verdana"/>
                <w:b/>
                <w:noProof/>
                <w:color w:val="000000"/>
                <w:sz w:val="18"/>
              </w:rPr>
            </w:pPr>
            <w:r>
              <w:rPr>
                <w:rFonts w:ascii="Verdana" w:eastAsia="Verdana" w:hAnsi="Verdana" w:cs="Verdana"/>
                <w:b/>
                <w:noProof/>
                <w:color w:val="000000"/>
                <w:sz w:val="18"/>
              </w:rPr>
              <w:t xml:space="preserve">Guarantees given </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25AF04A5" w14:textId="77777777" w:rsidR="00FD1E19" w:rsidRDefault="00FD1E19" w:rsidP="00BE7E4A">
            <w:pPr>
              <w:pStyle w:val="DMETW37225BIPCDTRCY"/>
              <w:jc w:val="right"/>
              <w:rPr>
                <w:rFonts w:ascii="Verdana" w:eastAsia="Verdana" w:hAnsi="Verdana" w:cs="Verdana"/>
                <w:i/>
                <w:noProof/>
                <w:color w:val="000000"/>
                <w:sz w:val="18"/>
              </w:rPr>
            </w:pPr>
          </w:p>
        </w:tc>
        <w:tc>
          <w:tcPr>
            <w:tcW w:w="1545" w:type="dxa"/>
            <w:tcBorders>
              <w:top w:val="nil"/>
              <w:left w:val="nil"/>
              <w:bottom w:val="nil"/>
              <w:right w:val="nil"/>
              <w:tl2br w:val="nil"/>
              <w:tr2bl w:val="nil"/>
            </w:tcBorders>
            <w:shd w:val="clear" w:color="auto" w:fill="auto"/>
            <w:tcMar>
              <w:left w:w="60" w:type="dxa"/>
              <w:right w:w="60" w:type="dxa"/>
            </w:tcMar>
            <w:vAlign w:val="center"/>
          </w:tcPr>
          <w:p w14:paraId="4651EF47" w14:textId="77777777" w:rsidR="00FD1E19" w:rsidRDefault="00FD1E19" w:rsidP="00BE7E4A">
            <w:pPr>
              <w:pStyle w:val="DMETW37225BIPCDTRCY"/>
              <w:jc w:val="right"/>
              <w:rPr>
                <w:rFonts w:ascii="Verdana" w:eastAsia="Verdana" w:hAnsi="Verdana" w:cs="Verdana"/>
                <w:i/>
                <w:noProof/>
                <w:color w:val="000000"/>
                <w:sz w:val="18"/>
                <w:lang w:bidi="en-GB"/>
              </w:rPr>
            </w:pPr>
          </w:p>
        </w:tc>
      </w:tr>
      <w:tr w:rsidR="00FD1E19" w14:paraId="4C5772A0" w14:textId="77777777" w:rsidTr="00BE7E4A">
        <w:trPr>
          <w:trHeight w:hRule="exact" w:val="289"/>
        </w:trPr>
        <w:tc>
          <w:tcPr>
            <w:tcW w:w="4455" w:type="dxa"/>
            <w:tcBorders>
              <w:top w:val="nil"/>
              <w:left w:val="nil"/>
              <w:bottom w:val="single" w:sz="4" w:space="0" w:color="016794"/>
              <w:right w:val="nil"/>
              <w:tl2br w:val="nil"/>
              <w:tr2bl w:val="nil"/>
            </w:tcBorders>
            <w:shd w:val="clear" w:color="auto" w:fill="auto"/>
            <w:tcMar>
              <w:left w:w="60" w:type="dxa"/>
              <w:right w:w="60" w:type="dxa"/>
            </w:tcMar>
            <w:vAlign w:val="center"/>
          </w:tcPr>
          <w:p w14:paraId="76420EA8" w14:textId="77777777" w:rsidR="00FD1E19" w:rsidRDefault="00FD1E19" w:rsidP="00BE7E4A">
            <w:pPr>
              <w:pStyle w:val="DMETW37225BIPCDTRCY"/>
              <w:rPr>
                <w:rFonts w:ascii="Verdana" w:eastAsia="Verdana" w:hAnsi="Verdana" w:cs="Verdana"/>
                <w:i/>
                <w:noProof/>
                <w:color w:val="000000"/>
                <w:sz w:val="18"/>
              </w:rPr>
            </w:pPr>
            <w:r>
              <w:rPr>
                <w:rFonts w:ascii="Verdana" w:eastAsia="Verdana" w:hAnsi="Verdana" w:cs="Verdana"/>
                <w:i/>
                <w:noProof/>
                <w:color w:val="000000"/>
                <w:sz w:val="18"/>
              </w:rPr>
              <w:t>Financial guarantee contracts</w:t>
            </w:r>
          </w:p>
        </w:tc>
        <w:tc>
          <w:tcPr>
            <w:tcW w:w="1545" w:type="dxa"/>
            <w:tcBorders>
              <w:top w:val="nil"/>
              <w:left w:val="nil"/>
              <w:bottom w:val="single" w:sz="4" w:space="0" w:color="016794"/>
              <w:right w:val="nil"/>
              <w:tl2br w:val="nil"/>
              <w:tr2bl w:val="nil"/>
            </w:tcBorders>
            <w:shd w:val="clear" w:color="auto" w:fill="auto"/>
            <w:tcMar>
              <w:left w:w="60" w:type="dxa"/>
              <w:right w:w="60" w:type="dxa"/>
            </w:tcMar>
            <w:vAlign w:val="center"/>
          </w:tcPr>
          <w:p w14:paraId="5F393033" w14:textId="77777777" w:rsidR="00FD1E19" w:rsidRDefault="00FD1E19" w:rsidP="00BE7E4A">
            <w:pPr>
              <w:pStyle w:val="DMETW37225BIPCDTRCY"/>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545" w:type="dxa"/>
            <w:tcBorders>
              <w:top w:val="nil"/>
              <w:left w:val="nil"/>
              <w:bottom w:val="single" w:sz="4" w:space="0" w:color="016794"/>
              <w:right w:val="nil"/>
              <w:tl2br w:val="nil"/>
              <w:tr2bl w:val="nil"/>
            </w:tcBorders>
            <w:shd w:val="clear" w:color="auto" w:fill="auto"/>
            <w:tcMar>
              <w:left w:w="60" w:type="dxa"/>
              <w:right w:w="60" w:type="dxa"/>
            </w:tcMar>
            <w:vAlign w:val="center"/>
          </w:tcPr>
          <w:p w14:paraId="2FFB0765" w14:textId="77777777" w:rsidR="00FD1E19" w:rsidRDefault="00FD1E19" w:rsidP="00BE7E4A">
            <w:pPr>
              <w:pStyle w:val="DMETW37225BIPCDTRCY"/>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12</w:t>
            </w:r>
          </w:p>
        </w:tc>
      </w:tr>
      <w:tr w:rsidR="00FD1E19" w14:paraId="6706F4DA" w14:textId="77777777" w:rsidTr="00BE7E4A">
        <w:trPr>
          <w:trHeight w:hRule="exact" w:val="300"/>
        </w:trPr>
        <w:tc>
          <w:tcPr>
            <w:tcW w:w="445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1D54229" w14:textId="77777777" w:rsidR="00FD1E19" w:rsidRDefault="00FD1E19" w:rsidP="00BE7E4A">
            <w:pPr>
              <w:pStyle w:val="DMETW37225BIPCDTRCY"/>
              <w:rPr>
                <w:rFonts w:ascii="Verdana" w:eastAsia="Verdana" w:hAnsi="Verdana" w:cs="Verdana"/>
                <w:b/>
                <w:noProof/>
                <w:color w:val="000000"/>
                <w:sz w:val="18"/>
              </w:rPr>
            </w:pPr>
            <w:r>
              <w:rPr>
                <w:rFonts w:ascii="Verdana" w:eastAsia="Verdana" w:hAnsi="Verdana" w:cs="Verdana"/>
                <w:b/>
                <w:noProof/>
                <w:color w:val="000000"/>
                <w:sz w:val="18"/>
              </w:rPr>
              <w:t>Total at 31.12.2025</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D57F728" w14:textId="77777777" w:rsidR="00FD1E19" w:rsidRDefault="00FD1E19" w:rsidP="00BE7E4A">
            <w:pPr>
              <w:pStyle w:val="DMETW37225BIPCDTRCY"/>
              <w:jc w:val="right"/>
              <w:rPr>
                <w:rFonts w:ascii="Verdana" w:eastAsia="Verdana" w:hAnsi="Verdana" w:cs="Verdana"/>
                <w:b/>
                <w:noProof/>
                <w:color w:val="000000"/>
                <w:sz w:val="18"/>
              </w:rPr>
            </w:pPr>
            <w:r>
              <w:rPr>
                <w:rFonts w:ascii="Verdana" w:eastAsia="Verdana" w:hAnsi="Verdana" w:cs="Verdana"/>
                <w:b/>
                <w:noProof/>
                <w:color w:val="000000"/>
                <w:sz w:val="18"/>
              </w:rPr>
              <w:t xml:space="preserve"> 333</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2B1B8B0" w14:textId="77777777" w:rsidR="00FD1E19" w:rsidRDefault="00FD1E19" w:rsidP="00BE7E4A">
            <w:pPr>
              <w:pStyle w:val="DMETW37225BIPCDTRCY"/>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454</w:t>
            </w:r>
          </w:p>
        </w:tc>
      </w:tr>
      <w:tr w:rsidR="00FD1E19" w14:paraId="5B1C26BB" w14:textId="77777777" w:rsidTr="00BE7E4A">
        <w:trPr>
          <w:trHeight w:hRule="exact" w:val="360"/>
        </w:trPr>
        <w:tc>
          <w:tcPr>
            <w:tcW w:w="4455" w:type="dxa"/>
            <w:tcBorders>
              <w:top w:val="single" w:sz="4" w:space="0" w:color="016794"/>
              <w:left w:val="nil"/>
              <w:bottom w:val="nil"/>
              <w:right w:val="nil"/>
              <w:tl2br w:val="nil"/>
              <w:tr2bl w:val="nil"/>
            </w:tcBorders>
            <w:shd w:val="clear" w:color="auto" w:fill="auto"/>
            <w:tcMar>
              <w:left w:w="60" w:type="dxa"/>
              <w:right w:w="60" w:type="dxa"/>
            </w:tcMar>
            <w:vAlign w:val="center"/>
          </w:tcPr>
          <w:p w14:paraId="10EC42E3" w14:textId="77777777" w:rsidR="00FD1E19" w:rsidRDefault="00FD1E19" w:rsidP="00BE7E4A">
            <w:pPr>
              <w:pStyle w:val="DMETW37225BIPCDTRCY"/>
              <w:rPr>
                <w:rFonts w:ascii="Verdana" w:eastAsia="Verdana" w:hAnsi="Verdana" w:cs="Verdana"/>
                <w:i/>
                <w:noProof/>
                <w:color w:val="000000"/>
                <w:sz w:val="16"/>
              </w:rPr>
            </w:pPr>
            <w:r>
              <w:rPr>
                <w:rFonts w:ascii="Verdana" w:eastAsia="Verdana" w:hAnsi="Verdana" w:cs="Verdana"/>
                <w:i/>
                <w:noProof/>
                <w:color w:val="000000"/>
                <w:sz w:val="16"/>
              </w:rPr>
              <w:t>* Excluding deferred charges</w:t>
            </w:r>
          </w:p>
        </w:tc>
        <w:tc>
          <w:tcPr>
            <w:tcW w:w="1545" w:type="dxa"/>
            <w:tcBorders>
              <w:top w:val="single" w:sz="4" w:space="0" w:color="016794"/>
              <w:left w:val="nil"/>
              <w:bottom w:val="nil"/>
              <w:right w:val="nil"/>
              <w:tl2br w:val="nil"/>
              <w:tr2bl w:val="nil"/>
            </w:tcBorders>
            <w:shd w:val="clear" w:color="auto" w:fill="auto"/>
            <w:tcMar>
              <w:left w:w="60" w:type="dxa"/>
              <w:right w:w="60" w:type="dxa"/>
            </w:tcMar>
            <w:vAlign w:val="center"/>
          </w:tcPr>
          <w:p w14:paraId="52CEC353" w14:textId="77777777" w:rsidR="00FD1E19" w:rsidRDefault="00FD1E19" w:rsidP="00BE7E4A">
            <w:pPr>
              <w:pStyle w:val="DMETW37225BIPCDTRCY"/>
              <w:rPr>
                <w:rFonts w:cs="Calibri"/>
                <w:noProof/>
                <w:color w:val="000000"/>
                <w:sz w:val="22"/>
              </w:rPr>
            </w:pPr>
          </w:p>
        </w:tc>
        <w:tc>
          <w:tcPr>
            <w:tcW w:w="1545" w:type="dxa"/>
            <w:tcBorders>
              <w:top w:val="single" w:sz="4" w:space="0" w:color="016794"/>
              <w:left w:val="nil"/>
              <w:bottom w:val="nil"/>
              <w:right w:val="nil"/>
              <w:tl2br w:val="nil"/>
              <w:tr2bl w:val="nil"/>
            </w:tcBorders>
            <w:shd w:val="clear" w:color="auto" w:fill="auto"/>
            <w:tcMar>
              <w:left w:w="60" w:type="dxa"/>
              <w:right w:w="60" w:type="dxa"/>
            </w:tcMar>
            <w:vAlign w:val="center"/>
          </w:tcPr>
          <w:p w14:paraId="61281E38" w14:textId="77777777" w:rsidR="00FD1E19" w:rsidRDefault="00FD1E19" w:rsidP="00BE7E4A">
            <w:pPr>
              <w:pStyle w:val="DMETW37225BIPCDTRCY"/>
              <w:rPr>
                <w:rFonts w:cs="Calibri"/>
                <w:noProof/>
                <w:color w:val="000000"/>
                <w:sz w:val="22"/>
              </w:rPr>
            </w:pPr>
          </w:p>
        </w:tc>
      </w:tr>
    </w:tbl>
    <w:p w14:paraId="6206AC59" w14:textId="77777777" w:rsidR="00FD1E19" w:rsidRDefault="00FD1E19" w:rsidP="00FD1E19">
      <w:pPr>
        <w:pStyle w:val="HEADER5"/>
        <w:rPr>
          <w:b w:val="0"/>
          <w:bCs/>
          <w:noProof/>
        </w:rPr>
      </w:pPr>
    </w:p>
    <w:p w14:paraId="350EB90F" w14:textId="77777777" w:rsidR="00FD1E19" w:rsidRDefault="00FD1E19" w:rsidP="00FD1E19">
      <w:pPr>
        <w:pStyle w:val="HEADER5"/>
        <w:keepNext/>
        <w:keepLines/>
        <w:rPr>
          <w:b w:val="0"/>
          <w:bCs/>
          <w:noProof/>
        </w:rPr>
      </w:pPr>
      <w:r>
        <w:rPr>
          <w:b w:val="0"/>
          <w:bCs/>
          <w:noProof/>
        </w:rPr>
        <w:t>Financial instrument loans: credit quality</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7"/>
        <w:gridCol w:w="979"/>
        <w:gridCol w:w="1567"/>
        <w:gridCol w:w="1102"/>
        <w:gridCol w:w="1102"/>
        <w:gridCol w:w="1041"/>
      </w:tblGrid>
      <w:tr w:rsidR="00FD1E19" w14:paraId="3B995C9E" w14:textId="77777777" w:rsidTr="00BE7E4A">
        <w:trPr>
          <w:trHeight w:val="255"/>
        </w:trPr>
        <w:tc>
          <w:tcPr>
            <w:tcW w:w="3967" w:type="dxa"/>
            <w:gridSpan w:val="6"/>
            <w:tcBorders>
              <w:top w:val="nil"/>
              <w:left w:val="nil"/>
              <w:bottom w:val="nil"/>
              <w:right w:val="nil"/>
              <w:tl2br w:val="nil"/>
              <w:tr2bl w:val="nil"/>
            </w:tcBorders>
            <w:shd w:val="clear" w:color="auto" w:fill="auto"/>
            <w:tcMar>
              <w:left w:w="60" w:type="dxa"/>
              <w:right w:w="60" w:type="dxa"/>
            </w:tcMar>
            <w:vAlign w:val="center"/>
          </w:tcPr>
          <w:p w14:paraId="10DE4F6A" w14:textId="77777777" w:rsidR="00FD1E19" w:rsidRDefault="00FD1E19" w:rsidP="00BE7E4A">
            <w:pPr>
              <w:pStyle w:val="DMETW37225BIPloans"/>
              <w:jc w:val="right"/>
              <w:rPr>
                <w:rFonts w:ascii="Verdana" w:eastAsia="Verdana" w:hAnsi="Verdana" w:cs="Verdana"/>
                <w:i/>
                <w:noProof/>
                <w:color w:val="000000"/>
                <w:sz w:val="16"/>
                <w:lang w:bidi="en-GB"/>
              </w:rPr>
            </w:pPr>
            <w:bookmarkStart w:id="131" w:name="DOC_TBL00049_1_1"/>
            <w:bookmarkEnd w:id="131"/>
            <w:r>
              <w:rPr>
                <w:rFonts w:ascii="Verdana" w:eastAsia="Verdana" w:hAnsi="Verdana" w:cs="Verdana"/>
                <w:i/>
                <w:noProof/>
                <w:color w:val="000000"/>
                <w:sz w:val="16"/>
                <w:lang w:bidi="en-GB"/>
              </w:rPr>
              <w:t>EUR million</w:t>
            </w:r>
          </w:p>
        </w:tc>
      </w:tr>
      <w:tr w:rsidR="00FD1E19" w14:paraId="08254617" w14:textId="77777777" w:rsidTr="00BE7E4A">
        <w:trPr>
          <w:trHeight w:val="517"/>
        </w:trPr>
        <w:tc>
          <w:tcPr>
            <w:tcW w:w="3967" w:type="dxa"/>
            <w:gridSpan w:val="6"/>
            <w:tcBorders>
              <w:top w:val="nil"/>
              <w:left w:val="nil"/>
              <w:bottom w:val="nil"/>
              <w:right w:val="nil"/>
              <w:tl2br w:val="nil"/>
              <w:tr2bl w:val="nil"/>
            </w:tcBorders>
            <w:shd w:val="solid" w:color="016794" w:fill="FFFFFF"/>
            <w:tcMar>
              <w:left w:w="60" w:type="dxa"/>
              <w:right w:w="60" w:type="dxa"/>
            </w:tcMar>
            <w:vAlign w:val="center"/>
          </w:tcPr>
          <w:p w14:paraId="0582DB57" w14:textId="77777777" w:rsidR="00FD1E19" w:rsidRDefault="00FD1E19" w:rsidP="00BE7E4A">
            <w:pPr>
              <w:pStyle w:val="DMETW37225BIPloans"/>
              <w:jc w:val="center"/>
              <w:rPr>
                <w:rFonts w:ascii="Verdana" w:eastAsia="Verdana" w:hAnsi="Verdana" w:cs="Verdana"/>
                <w:noProof/>
                <w:color w:val="FFFFFF"/>
                <w:lang w:bidi="en-GB"/>
              </w:rPr>
            </w:pPr>
            <w:r>
              <w:rPr>
                <w:rFonts w:ascii="Verdana" w:eastAsia="Verdana" w:hAnsi="Verdana" w:cs="Verdana"/>
                <w:noProof/>
                <w:color w:val="FFFFFF"/>
              </w:rPr>
              <w:t>31.12.2025</w:t>
            </w:r>
          </w:p>
        </w:tc>
      </w:tr>
      <w:tr w:rsidR="00FD1E19" w14:paraId="7A13DC47" w14:textId="77777777" w:rsidTr="00BE7E4A">
        <w:trPr>
          <w:trHeight w:val="255"/>
        </w:trPr>
        <w:tc>
          <w:tcPr>
            <w:tcW w:w="3967" w:type="dxa"/>
            <w:vMerge w:val="restart"/>
            <w:tcBorders>
              <w:top w:val="nil"/>
              <w:left w:val="nil"/>
              <w:bottom w:val="nil"/>
              <w:right w:val="nil"/>
              <w:tl2br w:val="nil"/>
              <w:tr2bl w:val="nil"/>
            </w:tcBorders>
            <w:shd w:val="solid" w:color="016794" w:fill="FFFFFF"/>
            <w:tcMar>
              <w:left w:w="60" w:type="dxa"/>
              <w:right w:w="60" w:type="dxa"/>
            </w:tcMar>
            <w:vAlign w:val="center"/>
          </w:tcPr>
          <w:p w14:paraId="18FE9DA6" w14:textId="77777777" w:rsidR="00FD1E19" w:rsidRDefault="00FD1E19" w:rsidP="00BE7E4A">
            <w:pPr>
              <w:pStyle w:val="DMETW37225BIPloans"/>
              <w:jc w:val="center"/>
              <w:rPr>
                <w:rFonts w:ascii="Verdana" w:eastAsia="Verdana" w:hAnsi="Verdana" w:cs="Verdana"/>
                <w:noProof/>
                <w:color w:val="FFFFFF"/>
              </w:rPr>
            </w:pPr>
          </w:p>
        </w:tc>
        <w:tc>
          <w:tcPr>
            <w:tcW w:w="979" w:type="dxa"/>
            <w:vMerge w:val="restart"/>
            <w:tcBorders>
              <w:top w:val="nil"/>
              <w:left w:val="nil"/>
              <w:bottom w:val="nil"/>
              <w:right w:val="nil"/>
              <w:tl2br w:val="nil"/>
              <w:tr2bl w:val="nil"/>
            </w:tcBorders>
            <w:shd w:val="solid" w:color="016794" w:fill="FFFFFF"/>
            <w:tcMar>
              <w:left w:w="60" w:type="dxa"/>
              <w:right w:w="60" w:type="dxa"/>
            </w:tcMar>
            <w:vAlign w:val="center"/>
          </w:tcPr>
          <w:p w14:paraId="7AF2B31B" w14:textId="77777777" w:rsidR="00FD1E19" w:rsidRDefault="00FD1E19" w:rsidP="00BE7E4A">
            <w:pPr>
              <w:pStyle w:val="DMETW37225BIPloans"/>
              <w:jc w:val="right"/>
              <w:rPr>
                <w:rFonts w:ascii="Verdana" w:eastAsia="Verdana" w:hAnsi="Verdana" w:cs="Verdana"/>
                <w:noProof/>
                <w:color w:val="FFFFFF"/>
              </w:rPr>
            </w:pPr>
            <w:r>
              <w:rPr>
                <w:rFonts w:ascii="Verdana" w:eastAsia="Verdana" w:hAnsi="Verdana" w:cs="Verdana"/>
                <w:noProof/>
                <w:color w:val="FFFFFF"/>
              </w:rPr>
              <w:t xml:space="preserve">Stage 1 </w:t>
            </w:r>
          </w:p>
        </w:tc>
        <w:tc>
          <w:tcPr>
            <w:tcW w:w="1567" w:type="dxa"/>
            <w:vMerge w:val="restart"/>
            <w:tcBorders>
              <w:top w:val="nil"/>
              <w:left w:val="nil"/>
              <w:bottom w:val="nil"/>
              <w:right w:val="nil"/>
              <w:tl2br w:val="nil"/>
              <w:tr2bl w:val="nil"/>
            </w:tcBorders>
            <w:shd w:val="solid" w:color="016794" w:fill="FFFFFF"/>
            <w:tcMar>
              <w:left w:w="60" w:type="dxa"/>
              <w:right w:w="60" w:type="dxa"/>
            </w:tcMar>
            <w:vAlign w:val="center"/>
          </w:tcPr>
          <w:p w14:paraId="4BCE0FCA" w14:textId="77777777" w:rsidR="00FD1E19" w:rsidRDefault="00FD1E19" w:rsidP="00BE7E4A">
            <w:pPr>
              <w:pStyle w:val="DMETW37225BIPloans"/>
              <w:jc w:val="right"/>
              <w:rPr>
                <w:rFonts w:ascii="Verdana" w:eastAsia="Verdana" w:hAnsi="Verdana" w:cs="Verdana"/>
                <w:noProof/>
                <w:color w:val="FFFFFF"/>
              </w:rPr>
            </w:pPr>
            <w:r>
              <w:rPr>
                <w:rFonts w:ascii="Verdana" w:eastAsia="Verdana" w:hAnsi="Verdana" w:cs="Verdana"/>
                <w:noProof/>
                <w:color w:val="FFFFFF"/>
              </w:rPr>
              <w:t>Stage 2</w:t>
            </w:r>
          </w:p>
        </w:tc>
        <w:tc>
          <w:tcPr>
            <w:tcW w:w="1102" w:type="dxa"/>
            <w:vMerge w:val="restart"/>
            <w:tcBorders>
              <w:top w:val="nil"/>
              <w:left w:val="nil"/>
              <w:bottom w:val="nil"/>
              <w:right w:val="nil"/>
              <w:tl2br w:val="nil"/>
              <w:tr2bl w:val="nil"/>
            </w:tcBorders>
            <w:shd w:val="solid" w:color="016794" w:fill="FFFFFF"/>
            <w:tcMar>
              <w:left w:w="60" w:type="dxa"/>
              <w:right w:w="60" w:type="dxa"/>
            </w:tcMar>
            <w:vAlign w:val="center"/>
          </w:tcPr>
          <w:p w14:paraId="3B409153" w14:textId="77777777" w:rsidR="00FD1E19" w:rsidRDefault="00FD1E19" w:rsidP="00BE7E4A">
            <w:pPr>
              <w:pStyle w:val="DMETW37225BIPloans"/>
              <w:jc w:val="right"/>
              <w:rPr>
                <w:rFonts w:ascii="Verdana" w:eastAsia="Verdana" w:hAnsi="Verdana" w:cs="Verdana"/>
                <w:noProof/>
                <w:color w:val="FFFFFF"/>
              </w:rPr>
            </w:pPr>
            <w:r>
              <w:rPr>
                <w:rFonts w:ascii="Verdana" w:eastAsia="Verdana" w:hAnsi="Verdana" w:cs="Verdana"/>
                <w:noProof/>
                <w:color w:val="FFFFFF"/>
              </w:rPr>
              <w:t>Stage 3</w:t>
            </w:r>
          </w:p>
        </w:tc>
        <w:tc>
          <w:tcPr>
            <w:tcW w:w="1102" w:type="dxa"/>
            <w:vMerge w:val="restart"/>
            <w:tcBorders>
              <w:top w:val="nil"/>
              <w:left w:val="nil"/>
              <w:bottom w:val="nil"/>
              <w:right w:val="nil"/>
              <w:tl2br w:val="nil"/>
              <w:tr2bl w:val="nil"/>
            </w:tcBorders>
            <w:shd w:val="solid" w:color="016794" w:fill="FFFFFF"/>
            <w:tcMar>
              <w:left w:w="60" w:type="dxa"/>
              <w:right w:w="60" w:type="dxa"/>
            </w:tcMar>
            <w:vAlign w:val="center"/>
          </w:tcPr>
          <w:p w14:paraId="3713E7EF" w14:textId="77777777" w:rsidR="00FD1E19" w:rsidRDefault="00FD1E19" w:rsidP="00BE7E4A">
            <w:pPr>
              <w:pStyle w:val="DMETW37225BIPloans"/>
              <w:jc w:val="right"/>
              <w:rPr>
                <w:rFonts w:ascii="Verdana" w:eastAsia="Verdana" w:hAnsi="Verdana" w:cs="Verdana"/>
                <w:noProof/>
                <w:color w:val="FFFFFF"/>
              </w:rPr>
            </w:pPr>
            <w:r>
              <w:rPr>
                <w:rFonts w:ascii="Verdana" w:eastAsia="Verdana" w:hAnsi="Verdana" w:cs="Verdana"/>
                <w:noProof/>
                <w:color w:val="FFFFFF"/>
              </w:rPr>
              <w:t>POCI</w:t>
            </w:r>
          </w:p>
        </w:tc>
        <w:tc>
          <w:tcPr>
            <w:tcW w:w="1041" w:type="dxa"/>
            <w:vMerge w:val="restart"/>
            <w:tcBorders>
              <w:top w:val="nil"/>
              <w:left w:val="nil"/>
              <w:bottom w:val="nil"/>
              <w:right w:val="nil"/>
              <w:tl2br w:val="nil"/>
              <w:tr2bl w:val="nil"/>
            </w:tcBorders>
            <w:shd w:val="solid" w:color="016794" w:fill="FFFFFF"/>
            <w:tcMar>
              <w:left w:w="60" w:type="dxa"/>
              <w:right w:w="60" w:type="dxa"/>
            </w:tcMar>
            <w:vAlign w:val="center"/>
          </w:tcPr>
          <w:p w14:paraId="11B579F1" w14:textId="77777777" w:rsidR="00FD1E19" w:rsidRDefault="00FD1E19" w:rsidP="00BE7E4A">
            <w:pPr>
              <w:pStyle w:val="DMETW37225BIPloans"/>
              <w:jc w:val="right"/>
              <w:rPr>
                <w:rFonts w:ascii="Verdana" w:eastAsia="Verdana" w:hAnsi="Verdana" w:cs="Verdana"/>
                <w:noProof/>
                <w:color w:val="FFFFFF"/>
                <w:lang w:bidi="en-GB"/>
              </w:rPr>
            </w:pPr>
            <w:r>
              <w:rPr>
                <w:rFonts w:ascii="Verdana" w:eastAsia="Verdana" w:hAnsi="Verdana" w:cs="Verdana"/>
                <w:noProof/>
                <w:color w:val="FFFFFF"/>
              </w:rPr>
              <w:t xml:space="preserve">Total </w:t>
            </w:r>
          </w:p>
        </w:tc>
      </w:tr>
      <w:tr w:rsidR="00FD1E19" w14:paraId="77C1760C" w14:textId="77777777" w:rsidTr="00BE7E4A">
        <w:trPr>
          <w:trHeight w:hRule="exact" w:val="300"/>
        </w:trPr>
        <w:tc>
          <w:tcPr>
            <w:tcW w:w="4455" w:type="dxa"/>
            <w:vMerge/>
            <w:tcBorders>
              <w:top w:val="nil"/>
              <w:left w:val="nil"/>
              <w:bottom w:val="nil"/>
              <w:right w:val="nil"/>
              <w:tl2br w:val="nil"/>
              <w:tr2bl w:val="nil"/>
            </w:tcBorders>
            <w:shd w:val="solid" w:color="016794" w:fill="FFFFFF"/>
            <w:tcMar>
              <w:left w:w="60" w:type="dxa"/>
              <w:right w:w="60" w:type="dxa"/>
            </w:tcMar>
            <w:vAlign w:val="center"/>
          </w:tcPr>
          <w:p w14:paraId="66F685CE" w14:textId="77777777" w:rsidR="00FD1E19" w:rsidRDefault="00FD1E19" w:rsidP="00BE7E4A">
            <w:pPr>
              <w:pStyle w:val="DMETW37225BIPloans"/>
              <w:jc w:val="center"/>
              <w:rPr>
                <w:rFonts w:ascii="Verdana" w:eastAsia="Verdana" w:hAnsi="Verdana" w:cs="Verdana"/>
                <w:noProof/>
                <w:color w:val="FFFFFF"/>
              </w:rPr>
            </w:pPr>
          </w:p>
        </w:tc>
        <w:tc>
          <w:tcPr>
            <w:tcW w:w="1545" w:type="dxa"/>
            <w:vMerge/>
            <w:tcBorders>
              <w:top w:val="nil"/>
              <w:left w:val="nil"/>
              <w:bottom w:val="nil"/>
              <w:right w:val="nil"/>
              <w:tl2br w:val="nil"/>
              <w:tr2bl w:val="nil"/>
            </w:tcBorders>
            <w:shd w:val="solid" w:color="016794" w:fill="FFFFFF"/>
            <w:tcMar>
              <w:left w:w="60" w:type="dxa"/>
              <w:right w:w="60" w:type="dxa"/>
            </w:tcMar>
            <w:vAlign w:val="center"/>
          </w:tcPr>
          <w:p w14:paraId="1A780CF9" w14:textId="77777777" w:rsidR="00FD1E19" w:rsidRDefault="00FD1E19" w:rsidP="00BE7E4A">
            <w:pPr>
              <w:pStyle w:val="DMETW37225BIPloans"/>
              <w:jc w:val="right"/>
              <w:rPr>
                <w:rFonts w:ascii="Verdana" w:eastAsia="Verdana" w:hAnsi="Verdana" w:cs="Verdana"/>
                <w:noProof/>
                <w:color w:val="FFFFFF"/>
              </w:rPr>
            </w:pPr>
          </w:p>
        </w:tc>
        <w:tc>
          <w:tcPr>
            <w:tcW w:w="1545" w:type="dxa"/>
            <w:vMerge/>
            <w:tcBorders>
              <w:top w:val="nil"/>
              <w:left w:val="nil"/>
              <w:bottom w:val="nil"/>
              <w:right w:val="nil"/>
              <w:tl2br w:val="nil"/>
              <w:tr2bl w:val="nil"/>
            </w:tcBorders>
            <w:shd w:val="solid" w:color="016794" w:fill="FFFFFF"/>
            <w:tcMar>
              <w:left w:w="60" w:type="dxa"/>
              <w:right w:w="60" w:type="dxa"/>
            </w:tcMar>
            <w:vAlign w:val="center"/>
          </w:tcPr>
          <w:p w14:paraId="0A967DD5" w14:textId="77777777" w:rsidR="00FD1E19" w:rsidRDefault="00FD1E19" w:rsidP="00BE7E4A">
            <w:pPr>
              <w:pStyle w:val="DMETW37225BIPloans"/>
              <w:jc w:val="right"/>
              <w:rPr>
                <w:rFonts w:ascii="Verdana" w:eastAsia="Verdana" w:hAnsi="Verdana" w:cs="Verdana"/>
                <w:noProof/>
                <w:color w:val="FFFFFF"/>
              </w:rPr>
            </w:pPr>
          </w:p>
        </w:tc>
        <w:tc>
          <w:tcPr>
            <w:tcW w:w="1890" w:type="dxa"/>
            <w:vMerge/>
            <w:tcBorders>
              <w:top w:val="nil"/>
              <w:left w:val="nil"/>
              <w:bottom w:val="nil"/>
              <w:right w:val="nil"/>
              <w:tl2br w:val="nil"/>
              <w:tr2bl w:val="nil"/>
            </w:tcBorders>
            <w:shd w:val="solid" w:color="016794" w:fill="FFFFFF"/>
            <w:tcMar>
              <w:left w:w="60" w:type="dxa"/>
              <w:right w:w="60" w:type="dxa"/>
            </w:tcMar>
            <w:vAlign w:val="center"/>
          </w:tcPr>
          <w:p w14:paraId="4A6611E5" w14:textId="77777777" w:rsidR="00FD1E19" w:rsidRDefault="00FD1E19" w:rsidP="00BE7E4A">
            <w:pPr>
              <w:pStyle w:val="DMETW37225BIPloans"/>
              <w:jc w:val="right"/>
              <w:rPr>
                <w:rFonts w:ascii="Verdana" w:eastAsia="Verdana" w:hAnsi="Verdana" w:cs="Verdana"/>
                <w:noProof/>
                <w:color w:val="FFFFFF"/>
              </w:rPr>
            </w:pPr>
          </w:p>
        </w:tc>
        <w:tc>
          <w:tcPr>
            <w:tcW w:w="1320" w:type="dxa"/>
            <w:vMerge/>
            <w:tcBorders>
              <w:top w:val="nil"/>
              <w:left w:val="nil"/>
              <w:bottom w:val="nil"/>
              <w:right w:val="nil"/>
              <w:tl2br w:val="nil"/>
              <w:tr2bl w:val="nil"/>
            </w:tcBorders>
            <w:shd w:val="solid" w:color="016794" w:fill="FFFFFF"/>
            <w:tcMar>
              <w:left w:w="60" w:type="dxa"/>
              <w:right w:w="60" w:type="dxa"/>
            </w:tcMar>
            <w:vAlign w:val="center"/>
          </w:tcPr>
          <w:p w14:paraId="48C95CE7" w14:textId="77777777" w:rsidR="00FD1E19" w:rsidRDefault="00FD1E19" w:rsidP="00BE7E4A">
            <w:pPr>
              <w:pStyle w:val="DMETW37225BIPloans"/>
              <w:jc w:val="right"/>
              <w:rPr>
                <w:rFonts w:ascii="Verdana" w:eastAsia="Verdana" w:hAnsi="Verdana" w:cs="Verdana"/>
                <w:noProof/>
                <w:color w:val="FFFFFF"/>
              </w:rPr>
            </w:pPr>
          </w:p>
        </w:tc>
        <w:tc>
          <w:tcPr>
            <w:tcW w:w="1320" w:type="dxa"/>
            <w:vMerge/>
            <w:tcBorders>
              <w:top w:val="nil"/>
              <w:left w:val="nil"/>
              <w:bottom w:val="nil"/>
              <w:right w:val="nil"/>
              <w:tl2br w:val="nil"/>
              <w:tr2bl w:val="nil"/>
            </w:tcBorders>
            <w:shd w:val="solid" w:color="016794" w:fill="FFFFFF"/>
            <w:tcMar>
              <w:left w:w="60" w:type="dxa"/>
              <w:right w:w="60" w:type="dxa"/>
            </w:tcMar>
            <w:vAlign w:val="center"/>
          </w:tcPr>
          <w:p w14:paraId="6FFDD42B" w14:textId="77777777" w:rsidR="00FD1E19" w:rsidRDefault="00FD1E19" w:rsidP="00BE7E4A">
            <w:pPr>
              <w:pStyle w:val="DMETW37225BIPloans"/>
              <w:jc w:val="right"/>
              <w:rPr>
                <w:rFonts w:ascii="Verdana" w:eastAsia="Verdana" w:hAnsi="Verdana" w:cs="Verdana"/>
                <w:noProof/>
                <w:color w:val="FFFFFF"/>
              </w:rPr>
            </w:pPr>
          </w:p>
        </w:tc>
      </w:tr>
      <w:tr w:rsidR="00FD1E19" w14:paraId="72DABB21" w14:textId="77777777" w:rsidTr="00BE7E4A">
        <w:trPr>
          <w:trHeight w:val="255"/>
        </w:trPr>
        <w:tc>
          <w:tcPr>
            <w:tcW w:w="3967" w:type="dxa"/>
            <w:tcBorders>
              <w:top w:val="nil"/>
              <w:left w:val="nil"/>
              <w:bottom w:val="nil"/>
              <w:right w:val="nil"/>
              <w:tl2br w:val="nil"/>
              <w:tr2bl w:val="nil"/>
            </w:tcBorders>
            <w:shd w:val="clear" w:color="auto" w:fill="auto"/>
            <w:tcMar>
              <w:left w:w="60" w:type="dxa"/>
              <w:right w:w="60" w:type="dxa"/>
            </w:tcMar>
            <w:vAlign w:val="center"/>
          </w:tcPr>
          <w:p w14:paraId="53DA9116" w14:textId="77777777" w:rsidR="00FD1E19" w:rsidRDefault="00FD1E19" w:rsidP="00BE7E4A">
            <w:pPr>
              <w:pStyle w:val="DMETW37225BIPloans"/>
              <w:rPr>
                <w:rFonts w:ascii="Verdana" w:eastAsia="Verdana" w:hAnsi="Verdana" w:cs="Verdana"/>
                <w:b/>
                <w:noProof/>
                <w:color w:val="000000"/>
                <w:sz w:val="18"/>
              </w:rPr>
            </w:pPr>
            <w:r>
              <w:rPr>
                <w:rFonts w:ascii="Verdana" w:eastAsia="Verdana" w:hAnsi="Verdana" w:cs="Verdana"/>
                <w:b/>
                <w:noProof/>
                <w:color w:val="000000"/>
                <w:sz w:val="18"/>
              </w:rPr>
              <w:t>Credit rating</w:t>
            </w:r>
          </w:p>
        </w:tc>
        <w:tc>
          <w:tcPr>
            <w:tcW w:w="979" w:type="dxa"/>
            <w:tcBorders>
              <w:top w:val="nil"/>
              <w:left w:val="nil"/>
              <w:bottom w:val="nil"/>
              <w:right w:val="nil"/>
              <w:tl2br w:val="nil"/>
              <w:tr2bl w:val="nil"/>
            </w:tcBorders>
            <w:shd w:val="clear" w:color="auto" w:fill="auto"/>
            <w:tcMar>
              <w:left w:w="60" w:type="dxa"/>
              <w:right w:w="60" w:type="dxa"/>
            </w:tcMar>
            <w:vAlign w:val="center"/>
          </w:tcPr>
          <w:p w14:paraId="02FCD409" w14:textId="77777777" w:rsidR="00FD1E19" w:rsidRDefault="00FD1E19" w:rsidP="00BE7E4A">
            <w:pPr>
              <w:pStyle w:val="DMETW37225BIPloans"/>
              <w:rPr>
                <w:rFonts w:ascii="Verdana" w:eastAsia="Verdana" w:hAnsi="Verdana" w:cs="Verdana"/>
                <w:b/>
                <w:noProof/>
                <w:color w:val="000000"/>
                <w:sz w:val="18"/>
              </w:rPr>
            </w:pPr>
          </w:p>
        </w:tc>
        <w:tc>
          <w:tcPr>
            <w:tcW w:w="1567" w:type="dxa"/>
            <w:tcBorders>
              <w:top w:val="nil"/>
              <w:left w:val="nil"/>
              <w:bottom w:val="nil"/>
              <w:right w:val="nil"/>
              <w:tl2br w:val="nil"/>
              <w:tr2bl w:val="nil"/>
            </w:tcBorders>
            <w:shd w:val="clear" w:color="auto" w:fill="auto"/>
            <w:tcMar>
              <w:left w:w="60" w:type="dxa"/>
              <w:right w:w="60" w:type="dxa"/>
            </w:tcMar>
            <w:vAlign w:val="center"/>
          </w:tcPr>
          <w:p w14:paraId="385F04FB" w14:textId="77777777" w:rsidR="00FD1E19" w:rsidRDefault="00FD1E19" w:rsidP="00BE7E4A">
            <w:pPr>
              <w:pStyle w:val="DMETW37225BIPloans"/>
              <w:rPr>
                <w:rFonts w:ascii="Verdana" w:eastAsia="Verdana" w:hAnsi="Verdana" w:cs="Verdana"/>
                <w:b/>
                <w:noProof/>
                <w:color w:val="000000"/>
                <w:sz w:val="18"/>
              </w:rPr>
            </w:pPr>
          </w:p>
        </w:tc>
        <w:tc>
          <w:tcPr>
            <w:tcW w:w="1102" w:type="dxa"/>
            <w:tcBorders>
              <w:top w:val="nil"/>
              <w:left w:val="nil"/>
              <w:bottom w:val="nil"/>
              <w:right w:val="nil"/>
              <w:tl2br w:val="nil"/>
              <w:tr2bl w:val="nil"/>
            </w:tcBorders>
            <w:shd w:val="clear" w:color="auto" w:fill="auto"/>
            <w:tcMar>
              <w:left w:w="60" w:type="dxa"/>
              <w:right w:w="60" w:type="dxa"/>
            </w:tcMar>
            <w:vAlign w:val="center"/>
          </w:tcPr>
          <w:p w14:paraId="304EF55E" w14:textId="77777777" w:rsidR="00FD1E19" w:rsidRDefault="00FD1E19" w:rsidP="00BE7E4A">
            <w:pPr>
              <w:pStyle w:val="DMETW37225BIPloans"/>
              <w:rPr>
                <w:rFonts w:ascii="Verdana" w:eastAsia="Verdana" w:hAnsi="Verdana" w:cs="Verdana"/>
                <w:b/>
                <w:noProof/>
                <w:color w:val="000000"/>
                <w:sz w:val="18"/>
              </w:rPr>
            </w:pPr>
          </w:p>
        </w:tc>
        <w:tc>
          <w:tcPr>
            <w:tcW w:w="1102" w:type="dxa"/>
            <w:tcBorders>
              <w:top w:val="nil"/>
              <w:left w:val="nil"/>
              <w:bottom w:val="nil"/>
              <w:right w:val="nil"/>
              <w:tl2br w:val="nil"/>
              <w:tr2bl w:val="nil"/>
            </w:tcBorders>
            <w:shd w:val="clear" w:color="auto" w:fill="auto"/>
            <w:tcMar>
              <w:left w:w="60" w:type="dxa"/>
              <w:right w:w="60" w:type="dxa"/>
            </w:tcMar>
            <w:vAlign w:val="center"/>
          </w:tcPr>
          <w:p w14:paraId="6027DC02" w14:textId="77777777" w:rsidR="00FD1E19" w:rsidRDefault="00FD1E19" w:rsidP="00BE7E4A">
            <w:pPr>
              <w:pStyle w:val="DMETW37225BIPloans"/>
              <w:rPr>
                <w:rFonts w:ascii="Verdana" w:eastAsia="Verdana" w:hAnsi="Verdana" w:cs="Verdana"/>
                <w:b/>
                <w:noProof/>
                <w:color w:val="000000"/>
                <w:sz w:val="18"/>
              </w:rPr>
            </w:pPr>
          </w:p>
        </w:tc>
        <w:tc>
          <w:tcPr>
            <w:tcW w:w="1041" w:type="dxa"/>
            <w:tcBorders>
              <w:top w:val="nil"/>
              <w:left w:val="nil"/>
              <w:bottom w:val="nil"/>
              <w:right w:val="nil"/>
              <w:tl2br w:val="nil"/>
              <w:tr2bl w:val="nil"/>
            </w:tcBorders>
            <w:shd w:val="clear" w:color="auto" w:fill="auto"/>
            <w:tcMar>
              <w:left w:w="60" w:type="dxa"/>
              <w:right w:w="60" w:type="dxa"/>
            </w:tcMar>
            <w:vAlign w:val="center"/>
          </w:tcPr>
          <w:p w14:paraId="74300FCA" w14:textId="77777777" w:rsidR="00FD1E19" w:rsidRDefault="00FD1E19" w:rsidP="00BE7E4A">
            <w:pPr>
              <w:pStyle w:val="DMETW37225BIPloans"/>
              <w:jc w:val="right"/>
              <w:rPr>
                <w:rFonts w:cs="Calibri"/>
                <w:noProof/>
                <w:color w:val="000000"/>
                <w:sz w:val="22"/>
                <w:lang w:bidi="en-GB"/>
              </w:rPr>
            </w:pPr>
          </w:p>
        </w:tc>
      </w:tr>
      <w:tr w:rsidR="00FD1E19" w14:paraId="3FAE000C" w14:textId="77777777" w:rsidTr="00BE7E4A">
        <w:trPr>
          <w:trHeight w:val="255"/>
        </w:trPr>
        <w:tc>
          <w:tcPr>
            <w:tcW w:w="3967" w:type="dxa"/>
            <w:tcBorders>
              <w:top w:val="nil"/>
              <w:left w:val="nil"/>
              <w:bottom w:val="nil"/>
              <w:right w:val="nil"/>
              <w:tl2br w:val="nil"/>
              <w:tr2bl w:val="nil"/>
            </w:tcBorders>
            <w:shd w:val="clear" w:color="auto" w:fill="auto"/>
            <w:tcMar>
              <w:left w:w="60" w:type="dxa"/>
              <w:right w:w="60" w:type="dxa"/>
            </w:tcMar>
            <w:vAlign w:val="center"/>
          </w:tcPr>
          <w:p w14:paraId="4C49DFD7" w14:textId="77777777" w:rsidR="00FD1E19" w:rsidRDefault="00FD1E19" w:rsidP="00BE7E4A">
            <w:pPr>
              <w:pStyle w:val="DMETW37225BIPloans"/>
              <w:rPr>
                <w:rFonts w:ascii="Verdana" w:eastAsia="Verdana" w:hAnsi="Verdana" w:cs="Verdana"/>
                <w:i/>
                <w:noProof/>
                <w:color w:val="000000"/>
                <w:sz w:val="18"/>
              </w:rPr>
            </w:pPr>
            <w:r>
              <w:rPr>
                <w:rFonts w:ascii="Verdana" w:eastAsia="Verdana" w:hAnsi="Verdana" w:cs="Verdana"/>
                <w:i/>
                <w:noProof/>
                <w:color w:val="000000"/>
                <w:sz w:val="18"/>
              </w:rPr>
              <w:t>Premium and high grade</w:t>
            </w:r>
          </w:p>
        </w:tc>
        <w:tc>
          <w:tcPr>
            <w:tcW w:w="979" w:type="dxa"/>
            <w:tcBorders>
              <w:top w:val="nil"/>
              <w:left w:val="nil"/>
              <w:bottom w:val="nil"/>
              <w:right w:val="nil"/>
              <w:tl2br w:val="nil"/>
              <w:tr2bl w:val="nil"/>
            </w:tcBorders>
            <w:shd w:val="clear" w:color="auto" w:fill="auto"/>
            <w:tcMar>
              <w:left w:w="60" w:type="dxa"/>
              <w:right w:w="60" w:type="dxa"/>
            </w:tcMar>
            <w:vAlign w:val="center"/>
          </w:tcPr>
          <w:p w14:paraId="491D28E0"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67" w:type="dxa"/>
            <w:tcBorders>
              <w:top w:val="nil"/>
              <w:left w:val="nil"/>
              <w:bottom w:val="nil"/>
              <w:right w:val="nil"/>
              <w:tl2br w:val="nil"/>
              <w:tr2bl w:val="nil"/>
            </w:tcBorders>
            <w:shd w:val="clear" w:color="auto" w:fill="auto"/>
            <w:tcMar>
              <w:left w:w="60" w:type="dxa"/>
              <w:right w:w="60" w:type="dxa"/>
            </w:tcMar>
            <w:vAlign w:val="center"/>
          </w:tcPr>
          <w:p w14:paraId="7EB5F72F"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02" w:type="dxa"/>
            <w:tcBorders>
              <w:top w:val="nil"/>
              <w:left w:val="nil"/>
              <w:bottom w:val="nil"/>
              <w:right w:val="nil"/>
              <w:tl2br w:val="nil"/>
              <w:tr2bl w:val="nil"/>
            </w:tcBorders>
            <w:shd w:val="clear" w:color="auto" w:fill="auto"/>
            <w:tcMar>
              <w:left w:w="60" w:type="dxa"/>
              <w:right w:w="60" w:type="dxa"/>
            </w:tcMar>
            <w:vAlign w:val="center"/>
          </w:tcPr>
          <w:p w14:paraId="25D8AFCD"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02" w:type="dxa"/>
            <w:tcBorders>
              <w:top w:val="nil"/>
              <w:left w:val="nil"/>
              <w:bottom w:val="nil"/>
              <w:right w:val="nil"/>
              <w:tl2br w:val="nil"/>
              <w:tr2bl w:val="nil"/>
            </w:tcBorders>
            <w:shd w:val="clear" w:color="auto" w:fill="auto"/>
            <w:tcMar>
              <w:left w:w="60" w:type="dxa"/>
              <w:right w:w="60" w:type="dxa"/>
            </w:tcMar>
            <w:vAlign w:val="center"/>
          </w:tcPr>
          <w:p w14:paraId="04DD0A57"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41" w:type="dxa"/>
            <w:tcBorders>
              <w:top w:val="nil"/>
              <w:left w:val="nil"/>
              <w:bottom w:val="nil"/>
              <w:right w:val="nil"/>
              <w:tl2br w:val="nil"/>
              <w:tr2bl w:val="nil"/>
            </w:tcBorders>
            <w:shd w:val="clear" w:color="auto" w:fill="auto"/>
            <w:tcMar>
              <w:left w:w="60" w:type="dxa"/>
              <w:right w:w="60" w:type="dxa"/>
            </w:tcMar>
            <w:vAlign w:val="center"/>
          </w:tcPr>
          <w:p w14:paraId="2EE26E4B" w14:textId="77777777" w:rsidR="00FD1E19" w:rsidRDefault="00FD1E19" w:rsidP="00BE7E4A">
            <w:pPr>
              <w:pStyle w:val="DMETW37225BIPloan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55998197" w14:textId="77777777" w:rsidTr="00BE7E4A">
        <w:trPr>
          <w:trHeight w:val="255"/>
        </w:trPr>
        <w:tc>
          <w:tcPr>
            <w:tcW w:w="3967" w:type="dxa"/>
            <w:tcBorders>
              <w:top w:val="nil"/>
              <w:left w:val="nil"/>
              <w:bottom w:val="nil"/>
              <w:right w:val="nil"/>
              <w:tl2br w:val="nil"/>
              <w:tr2bl w:val="nil"/>
            </w:tcBorders>
            <w:shd w:val="clear" w:color="auto" w:fill="auto"/>
            <w:tcMar>
              <w:left w:w="60" w:type="dxa"/>
              <w:right w:w="60" w:type="dxa"/>
            </w:tcMar>
            <w:vAlign w:val="center"/>
          </w:tcPr>
          <w:p w14:paraId="1144AD2B" w14:textId="77777777" w:rsidR="00FD1E19" w:rsidRDefault="00FD1E19" w:rsidP="00BE7E4A">
            <w:pPr>
              <w:pStyle w:val="DMETW37225BIPloans"/>
              <w:rPr>
                <w:rFonts w:ascii="Verdana" w:eastAsia="Verdana" w:hAnsi="Verdana" w:cs="Verdana"/>
                <w:i/>
                <w:noProof/>
                <w:color w:val="000000"/>
                <w:sz w:val="18"/>
              </w:rPr>
            </w:pPr>
            <w:r>
              <w:rPr>
                <w:rFonts w:ascii="Verdana" w:eastAsia="Verdana" w:hAnsi="Verdana" w:cs="Verdana"/>
                <w:i/>
                <w:noProof/>
                <w:color w:val="000000"/>
                <w:sz w:val="18"/>
              </w:rPr>
              <w:t>Upper medium grade</w:t>
            </w:r>
          </w:p>
        </w:tc>
        <w:tc>
          <w:tcPr>
            <w:tcW w:w="979" w:type="dxa"/>
            <w:tcBorders>
              <w:top w:val="nil"/>
              <w:left w:val="nil"/>
              <w:bottom w:val="nil"/>
              <w:right w:val="nil"/>
              <w:tl2br w:val="nil"/>
              <w:tr2bl w:val="nil"/>
            </w:tcBorders>
            <w:shd w:val="clear" w:color="auto" w:fill="auto"/>
            <w:tcMar>
              <w:left w:w="60" w:type="dxa"/>
              <w:right w:w="60" w:type="dxa"/>
            </w:tcMar>
            <w:vAlign w:val="center"/>
          </w:tcPr>
          <w:p w14:paraId="12B4182D"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67" w:type="dxa"/>
            <w:tcBorders>
              <w:top w:val="nil"/>
              <w:left w:val="nil"/>
              <w:bottom w:val="nil"/>
              <w:right w:val="nil"/>
              <w:tl2br w:val="nil"/>
              <w:tr2bl w:val="nil"/>
            </w:tcBorders>
            <w:shd w:val="clear" w:color="auto" w:fill="auto"/>
            <w:tcMar>
              <w:left w:w="60" w:type="dxa"/>
              <w:right w:w="60" w:type="dxa"/>
            </w:tcMar>
            <w:vAlign w:val="center"/>
          </w:tcPr>
          <w:p w14:paraId="221029C0"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02" w:type="dxa"/>
            <w:tcBorders>
              <w:top w:val="nil"/>
              <w:left w:val="nil"/>
              <w:bottom w:val="nil"/>
              <w:right w:val="nil"/>
              <w:tl2br w:val="nil"/>
              <w:tr2bl w:val="nil"/>
            </w:tcBorders>
            <w:shd w:val="clear" w:color="auto" w:fill="auto"/>
            <w:tcMar>
              <w:left w:w="60" w:type="dxa"/>
              <w:right w:w="60" w:type="dxa"/>
            </w:tcMar>
            <w:vAlign w:val="center"/>
          </w:tcPr>
          <w:p w14:paraId="611E7574"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02" w:type="dxa"/>
            <w:tcBorders>
              <w:top w:val="nil"/>
              <w:left w:val="nil"/>
              <w:bottom w:val="nil"/>
              <w:right w:val="nil"/>
              <w:tl2br w:val="nil"/>
              <w:tr2bl w:val="nil"/>
            </w:tcBorders>
            <w:shd w:val="clear" w:color="auto" w:fill="auto"/>
            <w:tcMar>
              <w:left w:w="60" w:type="dxa"/>
              <w:right w:w="60" w:type="dxa"/>
            </w:tcMar>
            <w:vAlign w:val="center"/>
          </w:tcPr>
          <w:p w14:paraId="688CC0A6"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41" w:type="dxa"/>
            <w:tcBorders>
              <w:top w:val="nil"/>
              <w:left w:val="nil"/>
              <w:bottom w:val="nil"/>
              <w:right w:val="nil"/>
              <w:tl2br w:val="nil"/>
              <w:tr2bl w:val="nil"/>
            </w:tcBorders>
            <w:shd w:val="clear" w:color="auto" w:fill="auto"/>
            <w:tcMar>
              <w:left w:w="60" w:type="dxa"/>
              <w:right w:w="60" w:type="dxa"/>
            </w:tcMar>
            <w:vAlign w:val="center"/>
          </w:tcPr>
          <w:p w14:paraId="7AC79484" w14:textId="77777777" w:rsidR="00FD1E19" w:rsidRDefault="00FD1E19" w:rsidP="00BE7E4A">
            <w:pPr>
              <w:pStyle w:val="DMETW37225BIPloan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69920C94" w14:textId="77777777" w:rsidTr="00BE7E4A">
        <w:trPr>
          <w:trHeight w:val="255"/>
        </w:trPr>
        <w:tc>
          <w:tcPr>
            <w:tcW w:w="3967" w:type="dxa"/>
            <w:tcBorders>
              <w:top w:val="nil"/>
              <w:left w:val="nil"/>
              <w:bottom w:val="nil"/>
              <w:right w:val="nil"/>
              <w:tl2br w:val="nil"/>
              <w:tr2bl w:val="nil"/>
            </w:tcBorders>
            <w:shd w:val="clear" w:color="auto" w:fill="auto"/>
            <w:tcMar>
              <w:left w:w="60" w:type="dxa"/>
              <w:right w:w="60" w:type="dxa"/>
            </w:tcMar>
            <w:vAlign w:val="center"/>
          </w:tcPr>
          <w:p w14:paraId="7D0D5E96" w14:textId="77777777" w:rsidR="00FD1E19" w:rsidRDefault="00FD1E19" w:rsidP="00BE7E4A">
            <w:pPr>
              <w:pStyle w:val="DMETW37225BIPloans"/>
              <w:rPr>
                <w:rFonts w:ascii="Verdana" w:eastAsia="Verdana" w:hAnsi="Verdana" w:cs="Verdana"/>
                <w:i/>
                <w:noProof/>
                <w:color w:val="000000"/>
                <w:sz w:val="18"/>
              </w:rPr>
            </w:pPr>
            <w:r>
              <w:rPr>
                <w:rFonts w:ascii="Verdana" w:eastAsia="Verdana" w:hAnsi="Verdana" w:cs="Verdana"/>
                <w:i/>
                <w:noProof/>
                <w:color w:val="000000"/>
                <w:sz w:val="18"/>
              </w:rPr>
              <w:t>Lower medium grade</w:t>
            </w:r>
          </w:p>
        </w:tc>
        <w:tc>
          <w:tcPr>
            <w:tcW w:w="979" w:type="dxa"/>
            <w:tcBorders>
              <w:top w:val="nil"/>
              <w:left w:val="nil"/>
              <w:bottom w:val="nil"/>
              <w:right w:val="nil"/>
              <w:tl2br w:val="nil"/>
              <w:tr2bl w:val="nil"/>
            </w:tcBorders>
            <w:shd w:val="clear" w:color="auto" w:fill="auto"/>
            <w:tcMar>
              <w:left w:w="60" w:type="dxa"/>
              <w:right w:w="60" w:type="dxa"/>
            </w:tcMar>
            <w:vAlign w:val="center"/>
          </w:tcPr>
          <w:p w14:paraId="04F28D71"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67" w:type="dxa"/>
            <w:tcBorders>
              <w:top w:val="nil"/>
              <w:left w:val="nil"/>
              <w:bottom w:val="nil"/>
              <w:right w:val="nil"/>
              <w:tl2br w:val="nil"/>
              <w:tr2bl w:val="nil"/>
            </w:tcBorders>
            <w:shd w:val="clear" w:color="auto" w:fill="auto"/>
            <w:tcMar>
              <w:left w:w="60" w:type="dxa"/>
              <w:right w:w="60" w:type="dxa"/>
            </w:tcMar>
            <w:vAlign w:val="center"/>
          </w:tcPr>
          <w:p w14:paraId="6828DFB8"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02" w:type="dxa"/>
            <w:tcBorders>
              <w:top w:val="nil"/>
              <w:left w:val="nil"/>
              <w:bottom w:val="nil"/>
              <w:right w:val="nil"/>
              <w:tl2br w:val="nil"/>
              <w:tr2bl w:val="nil"/>
            </w:tcBorders>
            <w:shd w:val="clear" w:color="auto" w:fill="auto"/>
            <w:tcMar>
              <w:left w:w="60" w:type="dxa"/>
              <w:right w:w="60" w:type="dxa"/>
            </w:tcMar>
            <w:vAlign w:val="center"/>
          </w:tcPr>
          <w:p w14:paraId="031B947A"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02" w:type="dxa"/>
            <w:tcBorders>
              <w:top w:val="nil"/>
              <w:left w:val="nil"/>
              <w:bottom w:val="nil"/>
              <w:right w:val="nil"/>
              <w:tl2br w:val="nil"/>
              <w:tr2bl w:val="nil"/>
            </w:tcBorders>
            <w:shd w:val="clear" w:color="auto" w:fill="auto"/>
            <w:tcMar>
              <w:left w:w="60" w:type="dxa"/>
              <w:right w:w="60" w:type="dxa"/>
            </w:tcMar>
            <w:vAlign w:val="center"/>
          </w:tcPr>
          <w:p w14:paraId="541BBEBF"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41" w:type="dxa"/>
            <w:tcBorders>
              <w:top w:val="nil"/>
              <w:left w:val="nil"/>
              <w:bottom w:val="nil"/>
              <w:right w:val="nil"/>
              <w:tl2br w:val="nil"/>
              <w:tr2bl w:val="nil"/>
            </w:tcBorders>
            <w:shd w:val="clear" w:color="auto" w:fill="auto"/>
            <w:tcMar>
              <w:left w:w="60" w:type="dxa"/>
              <w:right w:w="60" w:type="dxa"/>
            </w:tcMar>
            <w:vAlign w:val="center"/>
          </w:tcPr>
          <w:p w14:paraId="47718898" w14:textId="77777777" w:rsidR="00FD1E19" w:rsidRDefault="00FD1E19" w:rsidP="00BE7E4A">
            <w:pPr>
              <w:pStyle w:val="DMETW37225BIPloan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4A174C06" w14:textId="77777777" w:rsidTr="00BE7E4A">
        <w:trPr>
          <w:trHeight w:val="255"/>
        </w:trPr>
        <w:tc>
          <w:tcPr>
            <w:tcW w:w="3967" w:type="dxa"/>
            <w:tcBorders>
              <w:top w:val="nil"/>
              <w:left w:val="nil"/>
              <w:bottom w:val="single" w:sz="4" w:space="0" w:color="016794"/>
              <w:right w:val="nil"/>
              <w:tl2br w:val="nil"/>
              <w:tr2bl w:val="nil"/>
            </w:tcBorders>
            <w:shd w:val="clear" w:color="auto" w:fill="auto"/>
            <w:tcMar>
              <w:left w:w="60" w:type="dxa"/>
              <w:right w:w="60" w:type="dxa"/>
            </w:tcMar>
            <w:vAlign w:val="center"/>
          </w:tcPr>
          <w:p w14:paraId="22F9700B" w14:textId="77777777" w:rsidR="00FD1E19" w:rsidRDefault="00FD1E19" w:rsidP="00BE7E4A">
            <w:pPr>
              <w:pStyle w:val="DMETW37225BIPloans"/>
              <w:rPr>
                <w:rFonts w:ascii="Verdana" w:eastAsia="Verdana" w:hAnsi="Verdana" w:cs="Verdana"/>
                <w:i/>
                <w:noProof/>
                <w:color w:val="000000"/>
                <w:sz w:val="18"/>
              </w:rPr>
            </w:pPr>
            <w:r>
              <w:rPr>
                <w:rFonts w:ascii="Verdana" w:eastAsia="Verdana" w:hAnsi="Verdana" w:cs="Verdana"/>
                <w:i/>
                <w:noProof/>
                <w:color w:val="000000"/>
                <w:sz w:val="18"/>
              </w:rPr>
              <w:t>Non-investment grade and default grade</w:t>
            </w:r>
          </w:p>
        </w:tc>
        <w:tc>
          <w:tcPr>
            <w:tcW w:w="979" w:type="dxa"/>
            <w:tcBorders>
              <w:top w:val="nil"/>
              <w:left w:val="nil"/>
              <w:bottom w:val="single" w:sz="4" w:space="0" w:color="016794"/>
              <w:right w:val="nil"/>
              <w:tl2br w:val="nil"/>
              <w:tr2bl w:val="nil"/>
            </w:tcBorders>
            <w:shd w:val="clear" w:color="auto" w:fill="auto"/>
            <w:tcMar>
              <w:left w:w="60" w:type="dxa"/>
              <w:right w:w="60" w:type="dxa"/>
            </w:tcMar>
            <w:vAlign w:val="center"/>
          </w:tcPr>
          <w:p w14:paraId="564C2D83"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 xml:space="preserve">  23</w:t>
            </w:r>
          </w:p>
        </w:tc>
        <w:tc>
          <w:tcPr>
            <w:tcW w:w="1567" w:type="dxa"/>
            <w:tcBorders>
              <w:top w:val="nil"/>
              <w:left w:val="nil"/>
              <w:bottom w:val="single" w:sz="4" w:space="0" w:color="016794"/>
              <w:right w:val="nil"/>
              <w:tl2br w:val="nil"/>
              <w:tr2bl w:val="nil"/>
            </w:tcBorders>
            <w:shd w:val="clear" w:color="auto" w:fill="auto"/>
            <w:tcMar>
              <w:left w:w="60" w:type="dxa"/>
              <w:right w:w="60" w:type="dxa"/>
            </w:tcMar>
            <w:vAlign w:val="center"/>
          </w:tcPr>
          <w:p w14:paraId="437ADA6C"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102" w:type="dxa"/>
            <w:tcBorders>
              <w:top w:val="nil"/>
              <w:left w:val="nil"/>
              <w:bottom w:val="single" w:sz="4" w:space="0" w:color="016794"/>
              <w:right w:val="nil"/>
              <w:tl2br w:val="nil"/>
              <w:tr2bl w:val="nil"/>
            </w:tcBorders>
            <w:shd w:val="clear" w:color="auto" w:fill="auto"/>
            <w:tcMar>
              <w:left w:w="60" w:type="dxa"/>
              <w:right w:w="60" w:type="dxa"/>
            </w:tcMar>
            <w:vAlign w:val="center"/>
          </w:tcPr>
          <w:p w14:paraId="5B1A4749"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 xml:space="preserve">  7</w:t>
            </w:r>
          </w:p>
        </w:tc>
        <w:tc>
          <w:tcPr>
            <w:tcW w:w="1102" w:type="dxa"/>
            <w:tcBorders>
              <w:top w:val="nil"/>
              <w:left w:val="nil"/>
              <w:bottom w:val="single" w:sz="4" w:space="0" w:color="016794"/>
              <w:right w:val="nil"/>
              <w:tl2br w:val="nil"/>
              <w:tr2bl w:val="nil"/>
            </w:tcBorders>
            <w:shd w:val="clear" w:color="auto" w:fill="auto"/>
            <w:tcMar>
              <w:left w:w="60" w:type="dxa"/>
              <w:right w:w="60" w:type="dxa"/>
            </w:tcMar>
            <w:vAlign w:val="center"/>
          </w:tcPr>
          <w:p w14:paraId="1A2DA47F"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41" w:type="dxa"/>
            <w:tcBorders>
              <w:top w:val="nil"/>
              <w:left w:val="nil"/>
              <w:bottom w:val="single" w:sz="4" w:space="0" w:color="016794"/>
              <w:right w:val="nil"/>
              <w:tl2br w:val="nil"/>
              <w:tr2bl w:val="nil"/>
            </w:tcBorders>
            <w:shd w:val="clear" w:color="auto" w:fill="auto"/>
            <w:tcMar>
              <w:left w:w="60" w:type="dxa"/>
              <w:right w:w="60" w:type="dxa"/>
            </w:tcMar>
            <w:vAlign w:val="center"/>
          </w:tcPr>
          <w:p w14:paraId="640C61F8" w14:textId="77777777" w:rsidR="00FD1E19" w:rsidRDefault="00FD1E19" w:rsidP="00BE7E4A">
            <w:pPr>
              <w:pStyle w:val="DMETW37225BIPloan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33</w:t>
            </w:r>
          </w:p>
        </w:tc>
      </w:tr>
      <w:tr w:rsidR="00FD1E19" w14:paraId="45131200" w14:textId="77777777" w:rsidTr="00BE7E4A">
        <w:trPr>
          <w:trHeight w:val="255"/>
        </w:trPr>
        <w:tc>
          <w:tcPr>
            <w:tcW w:w="39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ACC4F5A" w14:textId="77777777" w:rsidR="00FD1E19" w:rsidRDefault="00FD1E19" w:rsidP="00BE7E4A">
            <w:pPr>
              <w:pStyle w:val="DMETW37225BIPloans"/>
              <w:rPr>
                <w:rFonts w:ascii="Verdana" w:eastAsia="Verdana" w:hAnsi="Verdana" w:cs="Verdana"/>
                <w:b/>
                <w:noProof/>
                <w:color w:val="000000"/>
                <w:sz w:val="18"/>
              </w:rPr>
            </w:pPr>
            <w:r>
              <w:rPr>
                <w:rFonts w:ascii="Verdana" w:eastAsia="Verdana" w:hAnsi="Verdana" w:cs="Verdana"/>
                <w:b/>
                <w:noProof/>
                <w:color w:val="000000"/>
                <w:sz w:val="18"/>
              </w:rPr>
              <w:t>Gross carrying amount</w:t>
            </w:r>
          </w:p>
        </w:tc>
        <w:tc>
          <w:tcPr>
            <w:tcW w:w="97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B0D3359"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 xml:space="preserve">  23</w:t>
            </w:r>
          </w:p>
        </w:tc>
        <w:tc>
          <w:tcPr>
            <w:tcW w:w="15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477965B"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 xml:space="preserve">  4</w:t>
            </w:r>
          </w:p>
        </w:tc>
        <w:tc>
          <w:tcPr>
            <w:tcW w:w="110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ACFDD4D"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 xml:space="preserve">  7</w:t>
            </w:r>
          </w:p>
        </w:tc>
        <w:tc>
          <w:tcPr>
            <w:tcW w:w="110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369AE50"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4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850F6A6" w14:textId="77777777" w:rsidR="00FD1E19" w:rsidRDefault="00FD1E19" w:rsidP="00BE7E4A">
            <w:pPr>
              <w:pStyle w:val="DMETW37225BIPloan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33</w:t>
            </w:r>
          </w:p>
        </w:tc>
      </w:tr>
      <w:tr w:rsidR="00FD1E19" w14:paraId="5D6F2FD2" w14:textId="77777777" w:rsidTr="00BE7E4A">
        <w:trPr>
          <w:trHeight w:val="255"/>
        </w:trPr>
        <w:tc>
          <w:tcPr>
            <w:tcW w:w="39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7A65FB9" w14:textId="77777777" w:rsidR="00FD1E19" w:rsidRDefault="00FD1E19" w:rsidP="00BE7E4A">
            <w:pPr>
              <w:pStyle w:val="DMETW37225BIPloans"/>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97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4B2E7E5"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5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E76EBB3"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10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33CEBA6"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10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3290CED" w14:textId="77777777" w:rsidR="00FD1E19" w:rsidRDefault="00FD1E19" w:rsidP="00BE7E4A">
            <w:pPr>
              <w:pStyle w:val="DMETW37225BIPloan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4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8E1E732" w14:textId="77777777" w:rsidR="00FD1E19" w:rsidRDefault="00FD1E19" w:rsidP="00BE7E4A">
            <w:pPr>
              <w:pStyle w:val="DMETW37225BIPloans"/>
              <w:jc w:val="right"/>
              <w:rPr>
                <w:rFonts w:ascii="Verdana" w:eastAsia="Verdana" w:hAnsi="Verdana" w:cs="Verdana"/>
                <w:noProof/>
                <w:color w:val="000000"/>
                <w:sz w:val="18"/>
                <w:lang w:bidi="en-GB"/>
              </w:rPr>
            </w:pPr>
            <w:r>
              <w:rPr>
                <w:rFonts w:ascii="Verdana" w:eastAsia="Verdana" w:hAnsi="Verdana" w:cs="Verdana"/>
                <w:noProof/>
                <w:color w:val="000000"/>
                <w:sz w:val="18"/>
              </w:rPr>
              <w:t xml:space="preserve"> 8</w:t>
            </w:r>
          </w:p>
        </w:tc>
      </w:tr>
      <w:tr w:rsidR="00FD1E19" w14:paraId="73910F3F" w14:textId="77777777" w:rsidTr="00BE7E4A">
        <w:trPr>
          <w:trHeight w:val="255"/>
        </w:trPr>
        <w:tc>
          <w:tcPr>
            <w:tcW w:w="39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D8A7025" w14:textId="77777777" w:rsidR="00FD1E19" w:rsidRDefault="00FD1E19" w:rsidP="00BE7E4A">
            <w:pPr>
              <w:pStyle w:val="DMETW37225BIPloans"/>
              <w:rPr>
                <w:rFonts w:ascii="Verdana" w:eastAsia="Verdana" w:hAnsi="Verdana" w:cs="Verdana"/>
                <w:b/>
                <w:noProof/>
                <w:color w:val="000000"/>
                <w:sz w:val="18"/>
              </w:rPr>
            </w:pPr>
            <w:r>
              <w:rPr>
                <w:rFonts w:ascii="Verdana" w:eastAsia="Verdana" w:hAnsi="Verdana" w:cs="Verdana"/>
                <w:b/>
                <w:noProof/>
                <w:color w:val="000000"/>
                <w:sz w:val="18"/>
              </w:rPr>
              <w:t xml:space="preserve">Net carrying amount </w:t>
            </w:r>
          </w:p>
        </w:tc>
        <w:tc>
          <w:tcPr>
            <w:tcW w:w="97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2FD01A7"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 xml:space="preserve">  21</w:t>
            </w:r>
          </w:p>
        </w:tc>
        <w:tc>
          <w:tcPr>
            <w:tcW w:w="156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F351EB7"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 xml:space="preserve">  3</w:t>
            </w:r>
          </w:p>
        </w:tc>
        <w:tc>
          <w:tcPr>
            <w:tcW w:w="110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3E80B0E"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 xml:space="preserve">  2</w:t>
            </w:r>
          </w:p>
        </w:tc>
        <w:tc>
          <w:tcPr>
            <w:tcW w:w="110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7FCD0E1"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041"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8E63BCE" w14:textId="77777777" w:rsidR="00FD1E19" w:rsidRDefault="00FD1E19" w:rsidP="00BE7E4A">
            <w:pPr>
              <w:pStyle w:val="DMETW37225BIPloans"/>
              <w:jc w:val="right"/>
              <w:rPr>
                <w:rFonts w:ascii="Verdana" w:eastAsia="Verdana" w:hAnsi="Verdana" w:cs="Verdana"/>
                <w:b/>
                <w:noProof/>
                <w:color w:val="000000"/>
                <w:sz w:val="18"/>
              </w:rPr>
            </w:pPr>
            <w:r>
              <w:rPr>
                <w:rFonts w:ascii="Verdana" w:eastAsia="Verdana" w:hAnsi="Verdana" w:cs="Verdana"/>
                <w:b/>
                <w:noProof/>
                <w:color w:val="000000"/>
                <w:sz w:val="18"/>
              </w:rPr>
              <w:t xml:space="preserve"> 25</w:t>
            </w:r>
          </w:p>
        </w:tc>
      </w:tr>
    </w:tbl>
    <w:p w14:paraId="1F02D3AF" w14:textId="77777777" w:rsidR="00FD1E19" w:rsidRDefault="00FD1E19" w:rsidP="00FD1E19">
      <w:pPr>
        <w:pStyle w:val="HEADER5"/>
        <w:rPr>
          <w:b w:val="0"/>
          <w:bCs/>
          <w:noProof/>
        </w:rPr>
      </w:pPr>
    </w:p>
    <w:p w14:paraId="4A7F9459" w14:textId="77777777" w:rsidR="00FD1E19" w:rsidRDefault="00FD1E19" w:rsidP="00FD1E19">
      <w:pPr>
        <w:pStyle w:val="HEADER5"/>
        <w:keepNext/>
        <w:keepLines/>
        <w:rPr>
          <w:b w:val="0"/>
          <w:bCs/>
          <w:noProof/>
        </w:rPr>
      </w:pPr>
      <w:r>
        <w:rPr>
          <w:b w:val="0"/>
          <w:bCs/>
          <w:noProof/>
        </w:rPr>
        <w:t>Cash and cash equivalents: credit quality</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2"/>
        <w:gridCol w:w="1998"/>
        <w:gridCol w:w="1998"/>
      </w:tblGrid>
      <w:tr w:rsidR="00FD1E19" w14:paraId="21B0C5CA" w14:textId="77777777" w:rsidTr="00BE7E4A">
        <w:trPr>
          <w:trHeight w:val="255"/>
        </w:trPr>
        <w:tc>
          <w:tcPr>
            <w:tcW w:w="4455" w:type="dxa"/>
            <w:tcBorders>
              <w:top w:val="nil"/>
              <w:left w:val="nil"/>
              <w:bottom w:val="nil"/>
              <w:right w:val="nil"/>
              <w:tl2br w:val="nil"/>
              <w:tr2bl w:val="nil"/>
            </w:tcBorders>
            <w:shd w:val="clear" w:color="auto" w:fill="auto"/>
            <w:tcMar>
              <w:left w:w="60" w:type="dxa"/>
              <w:right w:w="60" w:type="dxa"/>
            </w:tcMar>
            <w:vAlign w:val="center"/>
          </w:tcPr>
          <w:p w14:paraId="1B6B07E1" w14:textId="77777777" w:rsidR="00FD1E19" w:rsidRDefault="00FD1E19" w:rsidP="00BE7E4A">
            <w:pPr>
              <w:pStyle w:val="DMETW37225BIPCECTQ"/>
              <w:keepNext/>
              <w:keepLines/>
              <w:rPr>
                <w:rFonts w:ascii="Verdana" w:eastAsia="Verdana" w:hAnsi="Verdana" w:cs="Verdana"/>
                <w:b/>
                <w:noProof/>
                <w:color w:val="000000"/>
                <w:sz w:val="18"/>
                <w:lang w:bidi="en-GB"/>
              </w:rPr>
            </w:pPr>
            <w:bookmarkStart w:id="132" w:name="DOC_TBL00050_1_1"/>
            <w:bookmarkEnd w:id="132"/>
          </w:p>
        </w:tc>
        <w:tc>
          <w:tcPr>
            <w:tcW w:w="1545" w:type="dxa"/>
            <w:tcBorders>
              <w:top w:val="nil"/>
              <w:left w:val="nil"/>
              <w:bottom w:val="nil"/>
              <w:right w:val="nil"/>
              <w:tl2br w:val="nil"/>
              <w:tr2bl w:val="nil"/>
            </w:tcBorders>
            <w:shd w:val="clear" w:color="auto" w:fill="auto"/>
            <w:tcMar>
              <w:left w:w="60" w:type="dxa"/>
              <w:right w:w="60" w:type="dxa"/>
            </w:tcMar>
            <w:vAlign w:val="center"/>
          </w:tcPr>
          <w:p w14:paraId="741A0BA4" w14:textId="77777777" w:rsidR="00FD1E19" w:rsidRDefault="00FD1E19" w:rsidP="00BE7E4A">
            <w:pPr>
              <w:pStyle w:val="DMETW37225BIPCECTQ"/>
              <w:keepNext/>
              <w:keepLines/>
              <w:jc w:val="right"/>
              <w:rPr>
                <w:rFonts w:ascii="Verdana" w:eastAsia="Verdana" w:hAnsi="Verdana" w:cs="Verdana"/>
                <w:i/>
                <w:noProof/>
                <w:color w:val="000000"/>
                <w:sz w:val="16"/>
              </w:rPr>
            </w:pPr>
          </w:p>
        </w:tc>
        <w:tc>
          <w:tcPr>
            <w:tcW w:w="1545" w:type="dxa"/>
            <w:tcBorders>
              <w:top w:val="nil"/>
              <w:left w:val="nil"/>
              <w:bottom w:val="nil"/>
              <w:right w:val="nil"/>
              <w:tl2br w:val="nil"/>
              <w:tr2bl w:val="nil"/>
            </w:tcBorders>
            <w:shd w:val="clear" w:color="auto" w:fill="auto"/>
            <w:tcMar>
              <w:left w:w="60" w:type="dxa"/>
              <w:right w:w="60" w:type="dxa"/>
            </w:tcMar>
            <w:vAlign w:val="center"/>
          </w:tcPr>
          <w:p w14:paraId="263D88AB" w14:textId="77777777" w:rsidR="00FD1E19" w:rsidRDefault="00FD1E19" w:rsidP="00BE7E4A">
            <w:pPr>
              <w:pStyle w:val="DMETW37225BIPCECTQ"/>
              <w:keepNext/>
              <w:keepLines/>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5A2A6FCA" w14:textId="77777777" w:rsidTr="00BE7E4A">
        <w:trPr>
          <w:trHeight w:val="488"/>
        </w:trPr>
        <w:tc>
          <w:tcPr>
            <w:tcW w:w="4455" w:type="dxa"/>
            <w:tcBorders>
              <w:top w:val="nil"/>
              <w:left w:val="nil"/>
              <w:bottom w:val="nil"/>
              <w:right w:val="nil"/>
              <w:tl2br w:val="nil"/>
              <w:tr2bl w:val="nil"/>
            </w:tcBorders>
            <w:shd w:val="solid" w:color="016794" w:fill="FFFFFF"/>
            <w:tcMar>
              <w:left w:w="60" w:type="dxa"/>
              <w:right w:w="60" w:type="dxa"/>
            </w:tcMar>
            <w:vAlign w:val="center"/>
          </w:tcPr>
          <w:p w14:paraId="15A09CAB" w14:textId="77777777" w:rsidR="00FD1E19" w:rsidRDefault="00FD1E19" w:rsidP="00BE7E4A">
            <w:pPr>
              <w:pStyle w:val="DMETW37225BIPCECTQ"/>
              <w:keepNext/>
              <w:keepLines/>
              <w:jc w:val="center"/>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14:paraId="4DA70E22" w14:textId="77777777" w:rsidR="00FD1E19" w:rsidRDefault="00FD1E19" w:rsidP="00BE7E4A">
            <w:pPr>
              <w:pStyle w:val="DMETW37225BIPCECTQ"/>
              <w:keepNext/>
              <w:keepLines/>
              <w:jc w:val="right"/>
              <w:rPr>
                <w:rFonts w:ascii="Verdana" w:eastAsia="Verdana" w:hAnsi="Verdana" w:cs="Verdana"/>
                <w:noProof/>
                <w:color w:val="FFFFFF"/>
              </w:rPr>
            </w:pPr>
            <w:r>
              <w:rPr>
                <w:rFonts w:ascii="Verdana" w:eastAsia="Verdana" w:hAnsi="Verdana" w:cs="Verdana"/>
                <w:noProof/>
                <w:color w:val="FFFFFF"/>
              </w:rPr>
              <w:t>31.12.2025</w:t>
            </w:r>
          </w:p>
        </w:tc>
        <w:tc>
          <w:tcPr>
            <w:tcW w:w="1545" w:type="dxa"/>
            <w:tcBorders>
              <w:top w:val="nil"/>
              <w:left w:val="nil"/>
              <w:bottom w:val="nil"/>
              <w:right w:val="nil"/>
              <w:tl2br w:val="nil"/>
              <w:tr2bl w:val="nil"/>
            </w:tcBorders>
            <w:shd w:val="solid" w:color="016794" w:fill="FFFFFF"/>
            <w:tcMar>
              <w:left w:w="60" w:type="dxa"/>
              <w:right w:w="60" w:type="dxa"/>
            </w:tcMar>
            <w:vAlign w:val="center"/>
          </w:tcPr>
          <w:p w14:paraId="1CD6092B" w14:textId="77777777" w:rsidR="00FD1E19" w:rsidRDefault="00FD1E19" w:rsidP="00BE7E4A">
            <w:pPr>
              <w:pStyle w:val="DMETW37225BIPCECTQ"/>
              <w:keepNext/>
              <w:keepLine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6D04EC26" w14:textId="77777777" w:rsidTr="00BE7E4A">
        <w:trPr>
          <w:trHeight w:val="57"/>
        </w:trPr>
        <w:tc>
          <w:tcPr>
            <w:tcW w:w="4455" w:type="dxa"/>
            <w:tcBorders>
              <w:top w:val="nil"/>
              <w:left w:val="nil"/>
              <w:bottom w:val="nil"/>
              <w:right w:val="nil"/>
              <w:tl2br w:val="nil"/>
              <w:tr2bl w:val="nil"/>
            </w:tcBorders>
            <w:shd w:val="solid" w:color="016794" w:fill="FFFFFF"/>
            <w:tcMar>
              <w:left w:w="60" w:type="dxa"/>
              <w:right w:w="60" w:type="dxa"/>
            </w:tcMar>
            <w:vAlign w:val="center"/>
          </w:tcPr>
          <w:p w14:paraId="290F88ED" w14:textId="77777777" w:rsidR="00FD1E19" w:rsidRDefault="00FD1E19" w:rsidP="00BE7E4A">
            <w:pPr>
              <w:pStyle w:val="DMETW37225BIPCECTQ"/>
              <w:keepNext/>
              <w:keepLines/>
              <w:jc w:val="center"/>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14:paraId="5404BF31" w14:textId="77777777" w:rsidR="00FD1E19" w:rsidRDefault="00FD1E19" w:rsidP="00BE7E4A">
            <w:pPr>
              <w:pStyle w:val="DMETW37225BIPCECTQ"/>
              <w:keepNext/>
              <w:keepLines/>
              <w:jc w:val="right"/>
              <w:rPr>
                <w:rFonts w:ascii="Verdana" w:eastAsia="Verdana" w:hAnsi="Verdana" w:cs="Verdana"/>
                <w:noProof/>
                <w:color w:val="FFFFFF"/>
              </w:rPr>
            </w:pPr>
          </w:p>
        </w:tc>
        <w:tc>
          <w:tcPr>
            <w:tcW w:w="1545" w:type="dxa"/>
            <w:tcBorders>
              <w:top w:val="nil"/>
              <w:left w:val="nil"/>
              <w:bottom w:val="nil"/>
              <w:right w:val="nil"/>
              <w:tl2br w:val="nil"/>
              <w:tr2bl w:val="nil"/>
            </w:tcBorders>
            <w:shd w:val="solid" w:color="016794" w:fill="FFFFFF"/>
            <w:tcMar>
              <w:left w:w="60" w:type="dxa"/>
              <w:right w:w="60" w:type="dxa"/>
            </w:tcMar>
            <w:vAlign w:val="center"/>
          </w:tcPr>
          <w:p w14:paraId="5527A57F" w14:textId="77777777" w:rsidR="00FD1E19" w:rsidRDefault="00FD1E19" w:rsidP="00BE7E4A">
            <w:pPr>
              <w:pStyle w:val="DMETW37225BIPCECTQ"/>
              <w:keepNext/>
              <w:keepLines/>
              <w:jc w:val="right"/>
              <w:rPr>
                <w:rFonts w:ascii="Verdana" w:eastAsia="Verdana" w:hAnsi="Verdana" w:cs="Verdana"/>
                <w:noProof/>
                <w:color w:val="FFFFFF"/>
                <w:lang w:bidi="en-GB"/>
              </w:rPr>
            </w:pPr>
          </w:p>
        </w:tc>
      </w:tr>
      <w:tr w:rsidR="00FD1E19" w14:paraId="6E11826E" w14:textId="77777777" w:rsidTr="00BE7E4A">
        <w:trPr>
          <w:trHeight w:val="255"/>
        </w:trPr>
        <w:tc>
          <w:tcPr>
            <w:tcW w:w="4455" w:type="dxa"/>
            <w:tcBorders>
              <w:top w:val="nil"/>
              <w:left w:val="nil"/>
              <w:bottom w:val="nil"/>
              <w:right w:val="nil"/>
              <w:tl2br w:val="nil"/>
              <w:tr2bl w:val="nil"/>
            </w:tcBorders>
            <w:shd w:val="clear" w:color="auto" w:fill="auto"/>
            <w:tcMar>
              <w:left w:w="60" w:type="dxa"/>
              <w:right w:w="60" w:type="dxa"/>
            </w:tcMar>
            <w:vAlign w:val="center"/>
          </w:tcPr>
          <w:p w14:paraId="70E46709" w14:textId="77777777" w:rsidR="00FD1E19" w:rsidRDefault="00FD1E19" w:rsidP="00BE7E4A">
            <w:pPr>
              <w:pStyle w:val="DMETW37225BIPCECTQ"/>
              <w:keepNext/>
              <w:keepLines/>
              <w:rPr>
                <w:rFonts w:ascii="Verdana" w:eastAsia="Verdana" w:hAnsi="Verdana" w:cs="Verdana"/>
                <w:b/>
                <w:noProof/>
                <w:color w:val="000000"/>
                <w:sz w:val="18"/>
              </w:rPr>
            </w:pPr>
            <w:r>
              <w:rPr>
                <w:rFonts w:ascii="Verdana" w:eastAsia="Verdana" w:hAnsi="Verdana" w:cs="Verdana"/>
                <w:b/>
                <w:noProof/>
                <w:color w:val="000000"/>
                <w:sz w:val="18"/>
              </w:rPr>
              <w:t>Credit rating</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0551C094" w14:textId="77777777" w:rsidR="00FD1E19" w:rsidRDefault="00FD1E19" w:rsidP="00BE7E4A">
            <w:pPr>
              <w:pStyle w:val="DMETW37225BIPCECTQ"/>
              <w:keepNext/>
              <w:keepLines/>
              <w:jc w:val="right"/>
              <w:rPr>
                <w:rFonts w:cs="Calibri"/>
                <w:noProof/>
                <w:color w:val="000000"/>
                <w:sz w:val="22"/>
              </w:rPr>
            </w:pPr>
          </w:p>
        </w:tc>
        <w:tc>
          <w:tcPr>
            <w:tcW w:w="1545" w:type="dxa"/>
            <w:tcBorders>
              <w:top w:val="nil"/>
              <w:left w:val="nil"/>
              <w:bottom w:val="nil"/>
              <w:right w:val="nil"/>
              <w:tl2br w:val="nil"/>
              <w:tr2bl w:val="nil"/>
            </w:tcBorders>
            <w:shd w:val="clear" w:color="auto" w:fill="auto"/>
            <w:tcMar>
              <w:left w:w="60" w:type="dxa"/>
              <w:right w:w="60" w:type="dxa"/>
            </w:tcMar>
            <w:vAlign w:val="center"/>
          </w:tcPr>
          <w:p w14:paraId="2C55AE6E" w14:textId="77777777" w:rsidR="00FD1E19" w:rsidRDefault="00FD1E19" w:rsidP="00BE7E4A">
            <w:pPr>
              <w:pStyle w:val="DMETW37225BIPCECTQ"/>
              <w:keepNext/>
              <w:keepLines/>
              <w:jc w:val="right"/>
              <w:rPr>
                <w:rFonts w:cs="Calibri"/>
                <w:noProof/>
                <w:color w:val="000000"/>
                <w:sz w:val="22"/>
                <w:lang w:bidi="en-GB"/>
              </w:rPr>
            </w:pPr>
          </w:p>
        </w:tc>
      </w:tr>
      <w:tr w:rsidR="00FD1E19" w14:paraId="55C42CD4" w14:textId="77777777" w:rsidTr="00BE7E4A">
        <w:trPr>
          <w:trHeight w:val="255"/>
        </w:trPr>
        <w:tc>
          <w:tcPr>
            <w:tcW w:w="4455" w:type="dxa"/>
            <w:tcBorders>
              <w:top w:val="nil"/>
              <w:left w:val="nil"/>
              <w:bottom w:val="nil"/>
              <w:right w:val="nil"/>
              <w:tl2br w:val="nil"/>
              <w:tr2bl w:val="nil"/>
            </w:tcBorders>
            <w:shd w:val="clear" w:color="auto" w:fill="auto"/>
            <w:tcMar>
              <w:left w:w="60" w:type="dxa"/>
              <w:right w:w="60" w:type="dxa"/>
            </w:tcMar>
            <w:vAlign w:val="center"/>
          </w:tcPr>
          <w:p w14:paraId="30C5B950" w14:textId="77777777" w:rsidR="00FD1E19" w:rsidRDefault="00FD1E19" w:rsidP="00BE7E4A">
            <w:pPr>
              <w:pStyle w:val="DMETW37225BIPCECTQ"/>
              <w:keepNext/>
              <w:keepLines/>
              <w:rPr>
                <w:rFonts w:ascii="Verdana" w:eastAsia="Verdana" w:hAnsi="Verdana" w:cs="Verdana"/>
                <w:i/>
                <w:noProof/>
                <w:color w:val="000000"/>
                <w:sz w:val="18"/>
              </w:rPr>
            </w:pPr>
            <w:r>
              <w:rPr>
                <w:rFonts w:ascii="Verdana" w:eastAsia="Verdana" w:hAnsi="Verdana" w:cs="Verdana"/>
                <w:i/>
                <w:noProof/>
                <w:color w:val="000000"/>
                <w:sz w:val="18"/>
              </w:rPr>
              <w:t>Premium and high grade</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2C62F593" w14:textId="77777777" w:rsidR="00FD1E19" w:rsidRDefault="00FD1E19" w:rsidP="00BE7E4A">
            <w:pPr>
              <w:pStyle w:val="DMETW37225BIPCECTQ"/>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266</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6B73D520" w14:textId="77777777" w:rsidR="00FD1E19" w:rsidRDefault="00FD1E19" w:rsidP="00BE7E4A">
            <w:pPr>
              <w:pStyle w:val="DMETW37225BIPCECTQ"/>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314</w:t>
            </w:r>
          </w:p>
        </w:tc>
      </w:tr>
      <w:tr w:rsidR="00FD1E19" w14:paraId="7B5283FA" w14:textId="77777777" w:rsidTr="00BE7E4A">
        <w:trPr>
          <w:trHeight w:val="255"/>
        </w:trPr>
        <w:tc>
          <w:tcPr>
            <w:tcW w:w="4455" w:type="dxa"/>
            <w:tcBorders>
              <w:top w:val="nil"/>
              <w:left w:val="nil"/>
              <w:bottom w:val="nil"/>
              <w:right w:val="nil"/>
              <w:tl2br w:val="nil"/>
              <w:tr2bl w:val="nil"/>
            </w:tcBorders>
            <w:shd w:val="clear" w:color="auto" w:fill="auto"/>
            <w:tcMar>
              <w:left w:w="60" w:type="dxa"/>
              <w:right w:w="60" w:type="dxa"/>
            </w:tcMar>
            <w:vAlign w:val="center"/>
          </w:tcPr>
          <w:p w14:paraId="61F892C3" w14:textId="77777777" w:rsidR="00FD1E19" w:rsidRDefault="00FD1E19" w:rsidP="00BE7E4A">
            <w:pPr>
              <w:pStyle w:val="DMETW37225BIPCECTQ"/>
              <w:keepNext/>
              <w:keepLines/>
              <w:rPr>
                <w:rFonts w:ascii="Verdana" w:eastAsia="Verdana" w:hAnsi="Verdana" w:cs="Verdana"/>
                <w:i/>
                <w:noProof/>
                <w:color w:val="000000"/>
                <w:sz w:val="18"/>
              </w:rPr>
            </w:pPr>
            <w:r>
              <w:rPr>
                <w:rFonts w:ascii="Verdana" w:eastAsia="Verdana" w:hAnsi="Verdana" w:cs="Verdana"/>
                <w:i/>
                <w:noProof/>
                <w:color w:val="000000"/>
                <w:sz w:val="18"/>
              </w:rPr>
              <w:t>Upper medium grade</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18232333" w14:textId="77777777" w:rsidR="00FD1E19" w:rsidRDefault="00FD1E19" w:rsidP="00BE7E4A">
            <w:pPr>
              <w:pStyle w:val="DMETW37225BIPCECTQ"/>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15</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170A25A2" w14:textId="77777777" w:rsidR="00FD1E19" w:rsidRDefault="00FD1E19" w:rsidP="00BE7E4A">
            <w:pPr>
              <w:pStyle w:val="DMETW37225BIPCECTQ"/>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91</w:t>
            </w:r>
          </w:p>
        </w:tc>
      </w:tr>
      <w:tr w:rsidR="00FD1E19" w14:paraId="5F47ECB7" w14:textId="77777777" w:rsidTr="00BE7E4A">
        <w:trPr>
          <w:trHeight w:val="255"/>
        </w:trPr>
        <w:tc>
          <w:tcPr>
            <w:tcW w:w="4455" w:type="dxa"/>
            <w:tcBorders>
              <w:top w:val="nil"/>
              <w:left w:val="nil"/>
              <w:bottom w:val="nil"/>
              <w:right w:val="nil"/>
              <w:tl2br w:val="nil"/>
              <w:tr2bl w:val="nil"/>
            </w:tcBorders>
            <w:shd w:val="clear" w:color="auto" w:fill="auto"/>
            <w:tcMar>
              <w:left w:w="60" w:type="dxa"/>
              <w:right w:w="60" w:type="dxa"/>
            </w:tcMar>
            <w:vAlign w:val="center"/>
          </w:tcPr>
          <w:p w14:paraId="279DFCA4" w14:textId="77777777" w:rsidR="00FD1E19" w:rsidRDefault="00FD1E19" w:rsidP="00BE7E4A">
            <w:pPr>
              <w:pStyle w:val="DMETW37225BIPCECTQ"/>
              <w:keepNext/>
              <w:keepLines/>
              <w:rPr>
                <w:rFonts w:ascii="Verdana" w:eastAsia="Verdana" w:hAnsi="Verdana" w:cs="Verdana"/>
                <w:i/>
                <w:noProof/>
                <w:color w:val="000000"/>
                <w:sz w:val="18"/>
              </w:rPr>
            </w:pPr>
            <w:r>
              <w:rPr>
                <w:rFonts w:ascii="Verdana" w:eastAsia="Verdana" w:hAnsi="Verdana" w:cs="Verdana"/>
                <w:i/>
                <w:noProof/>
                <w:color w:val="000000"/>
                <w:sz w:val="18"/>
              </w:rPr>
              <w:t>Lower medium grade</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72F1EBED" w14:textId="77777777" w:rsidR="00FD1E19" w:rsidRDefault="00FD1E19" w:rsidP="00BE7E4A">
            <w:pPr>
              <w:pStyle w:val="DMETW37225BIPCECTQ"/>
              <w:keepNext/>
              <w:keepLines/>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545" w:type="dxa"/>
            <w:tcBorders>
              <w:top w:val="nil"/>
              <w:left w:val="nil"/>
              <w:bottom w:val="nil"/>
              <w:right w:val="nil"/>
              <w:tl2br w:val="nil"/>
              <w:tr2bl w:val="nil"/>
            </w:tcBorders>
            <w:shd w:val="clear" w:color="auto" w:fill="auto"/>
            <w:tcMar>
              <w:left w:w="60" w:type="dxa"/>
              <w:right w:w="60" w:type="dxa"/>
            </w:tcMar>
            <w:vAlign w:val="center"/>
          </w:tcPr>
          <w:p w14:paraId="45F4E6D2" w14:textId="77777777" w:rsidR="00FD1E19" w:rsidRDefault="00FD1E19" w:rsidP="00BE7E4A">
            <w:pPr>
              <w:pStyle w:val="DMETW37225BIPCECTQ"/>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w:t>
            </w:r>
          </w:p>
        </w:tc>
      </w:tr>
      <w:tr w:rsidR="00FD1E19" w14:paraId="5B5CE6A1" w14:textId="77777777" w:rsidTr="00BE7E4A">
        <w:trPr>
          <w:trHeight w:val="255"/>
        </w:trPr>
        <w:tc>
          <w:tcPr>
            <w:tcW w:w="4455" w:type="dxa"/>
            <w:tcBorders>
              <w:top w:val="nil"/>
              <w:left w:val="nil"/>
              <w:bottom w:val="single" w:sz="4" w:space="0" w:color="016794"/>
              <w:right w:val="nil"/>
              <w:tl2br w:val="nil"/>
              <w:tr2bl w:val="nil"/>
            </w:tcBorders>
            <w:shd w:val="clear" w:color="auto" w:fill="auto"/>
            <w:tcMar>
              <w:left w:w="60" w:type="dxa"/>
              <w:right w:w="60" w:type="dxa"/>
            </w:tcMar>
            <w:vAlign w:val="center"/>
          </w:tcPr>
          <w:p w14:paraId="65510DEE" w14:textId="77777777" w:rsidR="00FD1E19" w:rsidRDefault="00FD1E19" w:rsidP="00BE7E4A">
            <w:pPr>
              <w:pStyle w:val="DMETW37225BIPCECTQ"/>
              <w:keepNext/>
              <w:keepLines/>
              <w:rPr>
                <w:rFonts w:ascii="Verdana" w:eastAsia="Verdana" w:hAnsi="Verdana" w:cs="Verdana"/>
                <w:i/>
                <w:noProof/>
                <w:color w:val="000000"/>
                <w:sz w:val="18"/>
              </w:rPr>
            </w:pPr>
            <w:r>
              <w:rPr>
                <w:rFonts w:ascii="Verdana" w:eastAsia="Verdana" w:hAnsi="Verdana" w:cs="Verdana"/>
                <w:i/>
                <w:noProof/>
                <w:color w:val="000000"/>
                <w:sz w:val="18"/>
              </w:rPr>
              <w:t>Non-investment grade and default grade</w:t>
            </w:r>
          </w:p>
        </w:tc>
        <w:tc>
          <w:tcPr>
            <w:tcW w:w="1545" w:type="dxa"/>
            <w:tcBorders>
              <w:top w:val="nil"/>
              <w:left w:val="nil"/>
              <w:bottom w:val="single" w:sz="4" w:space="0" w:color="016794"/>
              <w:right w:val="nil"/>
              <w:tl2br w:val="nil"/>
              <w:tr2bl w:val="nil"/>
            </w:tcBorders>
            <w:shd w:val="clear" w:color="auto" w:fill="auto"/>
            <w:tcMar>
              <w:left w:w="60" w:type="dxa"/>
              <w:right w:w="60" w:type="dxa"/>
            </w:tcMar>
            <w:vAlign w:val="center"/>
          </w:tcPr>
          <w:p w14:paraId="7190616A" w14:textId="77777777" w:rsidR="00FD1E19" w:rsidRDefault="00FD1E19" w:rsidP="00BE7E4A">
            <w:pPr>
              <w:pStyle w:val="DMETW37225BIPCECTQ"/>
              <w:keepNext/>
              <w:keepLines/>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45" w:type="dxa"/>
            <w:tcBorders>
              <w:top w:val="nil"/>
              <w:left w:val="nil"/>
              <w:bottom w:val="single" w:sz="4" w:space="0" w:color="016794"/>
              <w:right w:val="nil"/>
              <w:tl2br w:val="nil"/>
              <w:tr2bl w:val="nil"/>
            </w:tcBorders>
            <w:shd w:val="clear" w:color="auto" w:fill="auto"/>
            <w:tcMar>
              <w:left w:w="60" w:type="dxa"/>
              <w:right w:w="60" w:type="dxa"/>
            </w:tcMar>
            <w:vAlign w:val="center"/>
          </w:tcPr>
          <w:p w14:paraId="4AF6064F" w14:textId="77777777" w:rsidR="00FD1E19" w:rsidRDefault="00FD1E19" w:rsidP="00BE7E4A">
            <w:pPr>
              <w:pStyle w:val="DMETW37225BIPCECTQ"/>
              <w:keepNext/>
              <w:keepLine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66CA5F36" w14:textId="77777777" w:rsidTr="00BE7E4A">
        <w:trPr>
          <w:trHeight w:val="255"/>
        </w:trPr>
        <w:tc>
          <w:tcPr>
            <w:tcW w:w="445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60897D7" w14:textId="77777777" w:rsidR="00FD1E19" w:rsidRDefault="00FD1E19" w:rsidP="00BE7E4A">
            <w:pPr>
              <w:pStyle w:val="DMETW37225BIPCECTQ"/>
              <w:keepNext/>
              <w:keepLines/>
              <w:rPr>
                <w:rFonts w:ascii="Verdana" w:eastAsia="Verdana" w:hAnsi="Verdana" w:cs="Verdana"/>
                <w:b/>
                <w:noProof/>
                <w:color w:val="000000"/>
                <w:sz w:val="18"/>
              </w:rPr>
            </w:pPr>
            <w:r>
              <w:rPr>
                <w:rFonts w:ascii="Verdana" w:eastAsia="Verdana" w:hAnsi="Verdana" w:cs="Verdana"/>
                <w:b/>
                <w:noProof/>
                <w:color w:val="000000"/>
                <w:sz w:val="18"/>
              </w:rPr>
              <w:t>Gross carrying amount</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2B5D56A" w14:textId="77777777" w:rsidR="00FD1E19" w:rsidRDefault="00FD1E19" w:rsidP="00BE7E4A">
            <w:pPr>
              <w:pStyle w:val="DMETW37225BIPCECTQ"/>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286</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4C93A31" w14:textId="77777777" w:rsidR="00FD1E19" w:rsidRDefault="00FD1E19" w:rsidP="00BE7E4A">
            <w:pPr>
              <w:pStyle w:val="DMETW37225BIPCECTQ"/>
              <w:keepNext/>
              <w:keepLine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411</w:t>
            </w:r>
          </w:p>
        </w:tc>
      </w:tr>
      <w:tr w:rsidR="00FD1E19" w14:paraId="1DB42B53" w14:textId="77777777" w:rsidTr="00BE7E4A">
        <w:trPr>
          <w:trHeight w:val="255"/>
        </w:trPr>
        <w:tc>
          <w:tcPr>
            <w:tcW w:w="445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CB38CBB" w14:textId="77777777" w:rsidR="00FD1E19" w:rsidRDefault="00FD1E19" w:rsidP="00BE7E4A">
            <w:pPr>
              <w:pStyle w:val="DMETW37225BIPCECTQ"/>
              <w:keepNext/>
              <w:keepLines/>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0F2AD447" w14:textId="77777777" w:rsidR="00FD1E19" w:rsidRDefault="00FD1E19" w:rsidP="00BE7E4A">
            <w:pPr>
              <w:pStyle w:val="DMETW37225BIPCECTQ"/>
              <w:keepNext/>
              <w:keepLines/>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91E6275" w14:textId="77777777" w:rsidR="00FD1E19" w:rsidRDefault="00FD1E19" w:rsidP="00BE7E4A">
            <w:pPr>
              <w:pStyle w:val="DMETW37225BIPCECTQ"/>
              <w:keepNext/>
              <w:keepLines/>
              <w:jc w:val="right"/>
              <w:rPr>
                <w:rFonts w:ascii="Verdana" w:eastAsia="Verdana" w:hAnsi="Verdana" w:cs="Verdana"/>
                <w:noProof/>
                <w:color w:val="000000"/>
                <w:sz w:val="18"/>
                <w:lang w:bidi="en-GB"/>
              </w:rPr>
            </w:pPr>
            <w:r>
              <w:rPr>
                <w:rFonts w:ascii="Verdana" w:eastAsia="Verdana" w:hAnsi="Verdana" w:cs="Verdana"/>
                <w:noProof/>
                <w:color w:val="000000"/>
                <w:sz w:val="18"/>
              </w:rPr>
              <w:t>-</w:t>
            </w:r>
          </w:p>
        </w:tc>
      </w:tr>
      <w:tr w:rsidR="00FD1E19" w14:paraId="0454D750" w14:textId="77777777" w:rsidTr="00BE7E4A">
        <w:trPr>
          <w:trHeight w:val="255"/>
        </w:trPr>
        <w:tc>
          <w:tcPr>
            <w:tcW w:w="445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23EEDCB5" w14:textId="77777777" w:rsidR="00FD1E19" w:rsidRDefault="00FD1E19" w:rsidP="00BE7E4A">
            <w:pPr>
              <w:pStyle w:val="DMETW37225BIPCECTQ"/>
              <w:keepNext/>
              <w:keepLines/>
              <w:rPr>
                <w:rFonts w:ascii="Verdana" w:eastAsia="Verdana" w:hAnsi="Verdana" w:cs="Verdana"/>
                <w:b/>
                <w:noProof/>
                <w:color w:val="000000"/>
                <w:sz w:val="18"/>
              </w:rPr>
            </w:pPr>
            <w:r>
              <w:rPr>
                <w:rFonts w:ascii="Verdana" w:eastAsia="Verdana" w:hAnsi="Verdana" w:cs="Verdana"/>
                <w:b/>
                <w:noProof/>
                <w:color w:val="000000"/>
                <w:sz w:val="18"/>
              </w:rPr>
              <w:t xml:space="preserve">Net carrying amount </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D95BF28" w14:textId="77777777" w:rsidR="00FD1E19" w:rsidRDefault="00FD1E19" w:rsidP="00BE7E4A">
            <w:pPr>
              <w:pStyle w:val="DMETW37225BIPCECTQ"/>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286</w:t>
            </w:r>
          </w:p>
        </w:tc>
        <w:tc>
          <w:tcPr>
            <w:tcW w:w="154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4D32C3D" w14:textId="77777777" w:rsidR="00FD1E19" w:rsidRDefault="00FD1E19" w:rsidP="00BE7E4A">
            <w:pPr>
              <w:pStyle w:val="DMETW37225BIPCECTQ"/>
              <w:keepNext/>
              <w:keepLines/>
              <w:jc w:val="right"/>
              <w:rPr>
                <w:rFonts w:ascii="Verdana" w:eastAsia="Verdana" w:hAnsi="Verdana" w:cs="Verdana"/>
                <w:b/>
                <w:noProof/>
                <w:color w:val="000000"/>
                <w:sz w:val="18"/>
              </w:rPr>
            </w:pPr>
            <w:r>
              <w:rPr>
                <w:rFonts w:ascii="Verdana" w:eastAsia="Verdana" w:hAnsi="Verdana" w:cs="Verdana"/>
                <w:b/>
                <w:noProof/>
                <w:color w:val="000000"/>
                <w:sz w:val="18"/>
              </w:rPr>
              <w:t xml:space="preserve"> 411</w:t>
            </w:r>
          </w:p>
        </w:tc>
      </w:tr>
    </w:tbl>
    <w:p w14:paraId="45D4BF8D" w14:textId="77777777" w:rsidR="00FD1E19" w:rsidRDefault="00FD1E19" w:rsidP="00FD1E19">
      <w:pPr>
        <w:pStyle w:val="HEADER5"/>
        <w:rPr>
          <w:bCs/>
          <w:noProof/>
          <w:lang w:val="en-IE"/>
        </w:rPr>
      </w:pPr>
    </w:p>
    <w:p w14:paraId="0DC55380" w14:textId="77777777" w:rsidR="00FD1E19" w:rsidRDefault="00FD1E19" w:rsidP="00FD1E19">
      <w:pPr>
        <w:pStyle w:val="HEADER5"/>
        <w:rPr>
          <w:bCs/>
          <w:noProof/>
          <w:lang w:val="en-IE"/>
        </w:rPr>
      </w:pPr>
      <w:r w:rsidRPr="0013336A">
        <w:rPr>
          <w:bCs/>
          <w:noProof/>
          <w:lang w:val="en-IE"/>
        </w:rPr>
        <w:t xml:space="preserve">Receivables: credit quality </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0"/>
        <w:gridCol w:w="1140"/>
        <w:gridCol w:w="1139"/>
        <w:gridCol w:w="1385"/>
        <w:gridCol w:w="979"/>
        <w:gridCol w:w="792"/>
        <w:gridCol w:w="1113"/>
      </w:tblGrid>
      <w:tr w:rsidR="00FD1E19" w14:paraId="56EDDAFE" w14:textId="77777777" w:rsidTr="00BE7E4A">
        <w:trPr>
          <w:trHeight w:val="255"/>
        </w:trPr>
        <w:tc>
          <w:tcPr>
            <w:tcW w:w="3210" w:type="dxa"/>
            <w:tcBorders>
              <w:top w:val="nil"/>
              <w:left w:val="nil"/>
              <w:bottom w:val="nil"/>
              <w:right w:val="nil"/>
              <w:tl2br w:val="nil"/>
              <w:tr2bl w:val="nil"/>
            </w:tcBorders>
            <w:shd w:val="clear" w:color="auto" w:fill="auto"/>
            <w:tcMar>
              <w:left w:w="60" w:type="dxa"/>
              <w:right w:w="60" w:type="dxa"/>
            </w:tcMar>
            <w:vAlign w:val="center"/>
          </w:tcPr>
          <w:p w14:paraId="66210FB8" w14:textId="77777777" w:rsidR="00FD1E19" w:rsidRDefault="00FD1E19" w:rsidP="00BE7E4A">
            <w:pPr>
              <w:pStyle w:val="DMETW37225BIPEXRCTQ"/>
              <w:rPr>
                <w:rFonts w:ascii="Verdana" w:eastAsia="Verdana" w:hAnsi="Verdana" w:cs="Verdana"/>
                <w:b/>
                <w:noProof/>
                <w:color w:val="000000"/>
                <w:sz w:val="18"/>
                <w:lang w:bidi="en-GB"/>
              </w:rPr>
            </w:pPr>
            <w:bookmarkStart w:id="133" w:name="DOC_TBL00051_1_1"/>
            <w:bookmarkEnd w:id="133"/>
          </w:p>
        </w:tc>
        <w:tc>
          <w:tcPr>
            <w:tcW w:w="1140" w:type="dxa"/>
            <w:tcBorders>
              <w:top w:val="nil"/>
              <w:left w:val="nil"/>
              <w:bottom w:val="nil"/>
              <w:right w:val="nil"/>
              <w:tl2br w:val="nil"/>
              <w:tr2bl w:val="nil"/>
            </w:tcBorders>
            <w:shd w:val="clear" w:color="auto" w:fill="auto"/>
            <w:tcMar>
              <w:left w:w="60" w:type="dxa"/>
              <w:right w:w="60" w:type="dxa"/>
            </w:tcMar>
            <w:vAlign w:val="center"/>
          </w:tcPr>
          <w:p w14:paraId="1D64E4DB" w14:textId="77777777" w:rsidR="00FD1E19" w:rsidRDefault="00FD1E19" w:rsidP="00BE7E4A">
            <w:pPr>
              <w:pStyle w:val="DMETW37225BIPEXRCTQ"/>
              <w:rPr>
                <w:rFonts w:cs="Calibri"/>
                <w:noProof/>
                <w:color w:val="000000"/>
                <w:sz w:val="22"/>
              </w:rPr>
            </w:pPr>
          </w:p>
        </w:tc>
        <w:tc>
          <w:tcPr>
            <w:tcW w:w="1139" w:type="dxa"/>
            <w:tcBorders>
              <w:top w:val="nil"/>
              <w:left w:val="nil"/>
              <w:bottom w:val="nil"/>
              <w:right w:val="nil"/>
              <w:tl2br w:val="nil"/>
              <w:tr2bl w:val="nil"/>
            </w:tcBorders>
            <w:shd w:val="clear" w:color="auto" w:fill="auto"/>
            <w:tcMar>
              <w:left w:w="60" w:type="dxa"/>
              <w:right w:w="60" w:type="dxa"/>
            </w:tcMar>
            <w:vAlign w:val="center"/>
          </w:tcPr>
          <w:p w14:paraId="42AC6553" w14:textId="77777777" w:rsidR="00FD1E19" w:rsidRDefault="00FD1E19" w:rsidP="00BE7E4A">
            <w:pPr>
              <w:pStyle w:val="DMETW37225BIPEXRCTQ"/>
              <w:rPr>
                <w:rFonts w:cs="Calibri"/>
                <w:noProof/>
                <w:color w:val="000000"/>
                <w:sz w:val="22"/>
              </w:rPr>
            </w:pPr>
          </w:p>
        </w:tc>
        <w:tc>
          <w:tcPr>
            <w:tcW w:w="1385" w:type="dxa"/>
            <w:tcBorders>
              <w:top w:val="nil"/>
              <w:left w:val="nil"/>
              <w:bottom w:val="nil"/>
              <w:right w:val="nil"/>
              <w:tl2br w:val="nil"/>
              <w:tr2bl w:val="nil"/>
            </w:tcBorders>
            <w:shd w:val="clear" w:color="auto" w:fill="auto"/>
            <w:tcMar>
              <w:left w:w="60" w:type="dxa"/>
              <w:right w:w="60" w:type="dxa"/>
            </w:tcMar>
            <w:vAlign w:val="center"/>
          </w:tcPr>
          <w:p w14:paraId="6AB7EABB" w14:textId="77777777" w:rsidR="00FD1E19" w:rsidRDefault="00FD1E19" w:rsidP="00BE7E4A">
            <w:pPr>
              <w:pStyle w:val="DMETW37225BIPEXRCTQ"/>
              <w:rPr>
                <w:rFonts w:cs="Calibri"/>
                <w:noProof/>
                <w:color w:val="000000"/>
                <w:sz w:val="22"/>
              </w:rPr>
            </w:pPr>
          </w:p>
        </w:tc>
        <w:tc>
          <w:tcPr>
            <w:tcW w:w="979" w:type="dxa"/>
            <w:tcBorders>
              <w:top w:val="nil"/>
              <w:left w:val="nil"/>
              <w:bottom w:val="nil"/>
              <w:right w:val="nil"/>
              <w:tl2br w:val="nil"/>
              <w:tr2bl w:val="nil"/>
            </w:tcBorders>
            <w:shd w:val="clear" w:color="auto" w:fill="auto"/>
            <w:tcMar>
              <w:left w:w="60" w:type="dxa"/>
              <w:right w:w="60" w:type="dxa"/>
            </w:tcMar>
            <w:vAlign w:val="center"/>
          </w:tcPr>
          <w:p w14:paraId="2CB4F003" w14:textId="77777777" w:rsidR="00FD1E19" w:rsidRDefault="00FD1E19" w:rsidP="00BE7E4A">
            <w:pPr>
              <w:pStyle w:val="DMETW37225BIPEXRCTQ"/>
              <w:rPr>
                <w:rFonts w:cs="Calibri"/>
                <w:noProof/>
                <w:color w:val="000000"/>
                <w:sz w:val="22"/>
              </w:rPr>
            </w:pPr>
          </w:p>
        </w:tc>
        <w:tc>
          <w:tcPr>
            <w:tcW w:w="792" w:type="dxa"/>
            <w:tcBorders>
              <w:top w:val="nil"/>
              <w:left w:val="nil"/>
              <w:bottom w:val="nil"/>
              <w:right w:val="nil"/>
              <w:tl2br w:val="nil"/>
              <w:tr2bl w:val="nil"/>
            </w:tcBorders>
            <w:shd w:val="clear" w:color="auto" w:fill="auto"/>
            <w:tcMar>
              <w:left w:w="60" w:type="dxa"/>
              <w:right w:w="60" w:type="dxa"/>
            </w:tcMar>
            <w:vAlign w:val="center"/>
          </w:tcPr>
          <w:p w14:paraId="34686208" w14:textId="77777777" w:rsidR="00FD1E19" w:rsidRDefault="00FD1E19" w:rsidP="00BE7E4A">
            <w:pPr>
              <w:pStyle w:val="DMETW37225BIPEXRCTQ"/>
              <w:rPr>
                <w:rFonts w:cs="Calibri"/>
                <w:noProof/>
                <w:color w:val="000000"/>
                <w:sz w:val="22"/>
              </w:rPr>
            </w:pPr>
          </w:p>
        </w:tc>
        <w:tc>
          <w:tcPr>
            <w:tcW w:w="1113" w:type="dxa"/>
            <w:tcBorders>
              <w:top w:val="nil"/>
              <w:left w:val="nil"/>
              <w:bottom w:val="nil"/>
              <w:right w:val="nil"/>
              <w:tl2br w:val="nil"/>
              <w:tr2bl w:val="nil"/>
            </w:tcBorders>
            <w:shd w:val="clear" w:color="auto" w:fill="auto"/>
            <w:tcMar>
              <w:left w:w="60" w:type="dxa"/>
              <w:right w:w="60" w:type="dxa"/>
            </w:tcMar>
            <w:vAlign w:val="center"/>
          </w:tcPr>
          <w:p w14:paraId="23859690" w14:textId="77777777" w:rsidR="00FD1E19" w:rsidRDefault="00FD1E19" w:rsidP="00BE7E4A">
            <w:pPr>
              <w:pStyle w:val="DMETW37225BIPEXRCTQ"/>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0D180989" w14:textId="77777777" w:rsidTr="00BE7E4A">
        <w:trPr>
          <w:trHeight w:val="255"/>
        </w:trPr>
        <w:tc>
          <w:tcPr>
            <w:tcW w:w="9758" w:type="dxa"/>
            <w:gridSpan w:val="7"/>
            <w:tcBorders>
              <w:top w:val="nil"/>
              <w:left w:val="nil"/>
              <w:bottom w:val="nil"/>
              <w:right w:val="nil"/>
              <w:tl2br w:val="nil"/>
              <w:tr2bl w:val="nil"/>
            </w:tcBorders>
            <w:shd w:val="solid" w:color="016794" w:fill="FFFFFF"/>
            <w:tcMar>
              <w:left w:w="60" w:type="dxa"/>
              <w:right w:w="60" w:type="dxa"/>
            </w:tcMar>
            <w:vAlign w:val="center"/>
          </w:tcPr>
          <w:p w14:paraId="7DF72374" w14:textId="77777777" w:rsidR="00FD1E19" w:rsidRDefault="00FD1E19" w:rsidP="00BE7E4A">
            <w:pPr>
              <w:pStyle w:val="DMETW37225BIPEXRCTQ"/>
              <w:jc w:val="center"/>
              <w:rPr>
                <w:rFonts w:ascii="Verdana" w:eastAsia="Verdana" w:hAnsi="Verdana" w:cs="Verdana"/>
                <w:noProof/>
                <w:color w:val="FFFFFF"/>
                <w:lang w:bidi="en-GB"/>
              </w:rPr>
            </w:pPr>
            <w:r>
              <w:rPr>
                <w:rFonts w:ascii="Verdana" w:eastAsia="Verdana" w:hAnsi="Verdana" w:cs="Verdana"/>
                <w:noProof/>
                <w:color w:val="FFFFFF"/>
              </w:rPr>
              <w:t>31.12.2025</w:t>
            </w:r>
          </w:p>
        </w:tc>
      </w:tr>
      <w:tr w:rsidR="00FD1E19" w14:paraId="7368133C" w14:textId="77777777" w:rsidTr="00BE7E4A">
        <w:trPr>
          <w:trHeight w:val="684"/>
        </w:trPr>
        <w:tc>
          <w:tcPr>
            <w:tcW w:w="3210" w:type="dxa"/>
            <w:tcBorders>
              <w:top w:val="nil"/>
              <w:left w:val="nil"/>
              <w:bottom w:val="nil"/>
              <w:right w:val="nil"/>
              <w:tl2br w:val="nil"/>
              <w:tr2bl w:val="nil"/>
            </w:tcBorders>
            <w:shd w:val="solid" w:color="016794" w:fill="FFFFFF"/>
            <w:tcMar>
              <w:left w:w="60" w:type="dxa"/>
              <w:right w:w="60" w:type="dxa"/>
            </w:tcMar>
            <w:vAlign w:val="center"/>
          </w:tcPr>
          <w:p w14:paraId="6E3291ED" w14:textId="77777777" w:rsidR="00FD1E19" w:rsidRDefault="00FD1E19" w:rsidP="00BE7E4A">
            <w:pPr>
              <w:pStyle w:val="DMETW37225BIPEXRCTQ"/>
              <w:rPr>
                <w:rFonts w:ascii="Verdana" w:eastAsia="Verdana" w:hAnsi="Verdana" w:cs="Verdana"/>
                <w:noProof/>
                <w:color w:val="FFFFFF"/>
              </w:rPr>
            </w:pPr>
          </w:p>
        </w:tc>
        <w:tc>
          <w:tcPr>
            <w:tcW w:w="1140" w:type="dxa"/>
            <w:vMerge w:val="restart"/>
            <w:tcBorders>
              <w:top w:val="nil"/>
              <w:left w:val="nil"/>
              <w:bottom w:val="nil"/>
              <w:right w:val="nil"/>
              <w:tl2br w:val="nil"/>
              <w:tr2bl w:val="nil"/>
            </w:tcBorders>
            <w:shd w:val="solid" w:color="016794" w:fill="FFFFFF"/>
            <w:tcMar>
              <w:left w:w="60" w:type="dxa"/>
              <w:right w:w="60" w:type="dxa"/>
            </w:tcMar>
            <w:vAlign w:val="center"/>
          </w:tcPr>
          <w:p w14:paraId="2515240A"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Not due</w:t>
            </w:r>
          </w:p>
        </w:tc>
        <w:tc>
          <w:tcPr>
            <w:tcW w:w="1139" w:type="dxa"/>
            <w:tcBorders>
              <w:top w:val="nil"/>
              <w:left w:val="nil"/>
              <w:bottom w:val="nil"/>
              <w:right w:val="nil"/>
              <w:tl2br w:val="nil"/>
              <w:tr2bl w:val="nil"/>
            </w:tcBorders>
            <w:shd w:val="solid" w:color="016794" w:fill="FFFFFF"/>
            <w:tcMar>
              <w:left w:w="60" w:type="dxa"/>
              <w:right w:w="60" w:type="dxa"/>
            </w:tcMar>
            <w:vAlign w:val="center"/>
          </w:tcPr>
          <w:p w14:paraId="37145FB0"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1385" w:type="dxa"/>
            <w:tcBorders>
              <w:top w:val="nil"/>
              <w:left w:val="nil"/>
              <w:bottom w:val="nil"/>
              <w:right w:val="nil"/>
              <w:tl2br w:val="nil"/>
              <w:tr2bl w:val="nil"/>
            </w:tcBorders>
            <w:shd w:val="solid" w:color="016794" w:fill="FFFFFF"/>
            <w:tcMar>
              <w:left w:w="60" w:type="dxa"/>
              <w:right w:w="60" w:type="dxa"/>
            </w:tcMar>
            <w:vAlign w:val="center"/>
          </w:tcPr>
          <w:p w14:paraId="23A7A46D"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979" w:type="dxa"/>
            <w:tcBorders>
              <w:top w:val="nil"/>
              <w:left w:val="nil"/>
              <w:bottom w:val="nil"/>
              <w:right w:val="nil"/>
              <w:tl2br w:val="nil"/>
              <w:tr2bl w:val="nil"/>
            </w:tcBorders>
            <w:shd w:val="solid" w:color="016794" w:fill="FFFFFF"/>
            <w:tcMar>
              <w:left w:w="60" w:type="dxa"/>
              <w:right w:w="60" w:type="dxa"/>
            </w:tcMar>
            <w:vAlign w:val="center"/>
          </w:tcPr>
          <w:p w14:paraId="715BB9FE"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792" w:type="dxa"/>
            <w:tcBorders>
              <w:top w:val="nil"/>
              <w:left w:val="nil"/>
              <w:bottom w:val="nil"/>
              <w:right w:val="nil"/>
              <w:tl2br w:val="nil"/>
              <w:tr2bl w:val="nil"/>
            </w:tcBorders>
            <w:shd w:val="solid" w:color="016794" w:fill="FFFFFF"/>
            <w:tcMar>
              <w:left w:w="60" w:type="dxa"/>
              <w:right w:w="60" w:type="dxa"/>
            </w:tcMar>
            <w:vAlign w:val="center"/>
          </w:tcPr>
          <w:p w14:paraId="66FB41A7"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 xml:space="preserve">Past due </w:t>
            </w:r>
          </w:p>
        </w:tc>
        <w:tc>
          <w:tcPr>
            <w:tcW w:w="1113" w:type="dxa"/>
            <w:vMerge w:val="restart"/>
            <w:tcBorders>
              <w:top w:val="nil"/>
              <w:left w:val="nil"/>
              <w:bottom w:val="nil"/>
              <w:right w:val="nil"/>
              <w:tl2br w:val="nil"/>
              <w:tr2bl w:val="nil"/>
            </w:tcBorders>
            <w:shd w:val="solid" w:color="016794" w:fill="FFFFFF"/>
            <w:tcMar>
              <w:left w:w="60" w:type="dxa"/>
              <w:right w:w="60" w:type="dxa"/>
            </w:tcMar>
            <w:vAlign w:val="center"/>
          </w:tcPr>
          <w:p w14:paraId="50129196" w14:textId="77777777" w:rsidR="00FD1E19" w:rsidRDefault="00FD1E19" w:rsidP="00BE7E4A">
            <w:pPr>
              <w:pStyle w:val="DMETW37225BIPEXRCTQ"/>
              <w:jc w:val="right"/>
              <w:rPr>
                <w:rFonts w:ascii="Verdana" w:eastAsia="Verdana" w:hAnsi="Verdana" w:cs="Verdana"/>
                <w:noProof/>
                <w:color w:val="FFFFFF"/>
                <w:lang w:bidi="en-GB"/>
              </w:rPr>
            </w:pPr>
            <w:r>
              <w:rPr>
                <w:rFonts w:ascii="Verdana" w:eastAsia="Verdana" w:hAnsi="Verdana" w:cs="Verdana"/>
                <w:noProof/>
                <w:color w:val="FFFFFF"/>
              </w:rPr>
              <w:t>Total</w:t>
            </w:r>
          </w:p>
        </w:tc>
      </w:tr>
      <w:tr w:rsidR="00FD1E19" w14:paraId="268E5DE1" w14:textId="77777777" w:rsidTr="00BE7E4A">
        <w:trPr>
          <w:trHeight w:val="255"/>
        </w:trPr>
        <w:tc>
          <w:tcPr>
            <w:tcW w:w="3210" w:type="dxa"/>
            <w:tcBorders>
              <w:top w:val="nil"/>
              <w:left w:val="nil"/>
              <w:bottom w:val="nil"/>
              <w:right w:val="nil"/>
              <w:tl2br w:val="nil"/>
              <w:tr2bl w:val="nil"/>
            </w:tcBorders>
            <w:shd w:val="solid" w:color="016794" w:fill="FFFFFF"/>
            <w:tcMar>
              <w:left w:w="60" w:type="dxa"/>
              <w:right w:w="60" w:type="dxa"/>
            </w:tcMar>
            <w:vAlign w:val="center"/>
          </w:tcPr>
          <w:p w14:paraId="7AB6ECA3" w14:textId="77777777" w:rsidR="00FD1E19" w:rsidRDefault="00FD1E19" w:rsidP="00BE7E4A">
            <w:pPr>
              <w:pStyle w:val="DMETW37225BIPEXRCTQ"/>
              <w:rPr>
                <w:rFonts w:ascii="Verdana" w:eastAsia="Verdana" w:hAnsi="Verdana" w:cs="Verdana"/>
                <w:noProof/>
                <w:color w:val="FFFFFF"/>
              </w:rPr>
            </w:pPr>
          </w:p>
        </w:tc>
        <w:tc>
          <w:tcPr>
            <w:tcW w:w="1140" w:type="dxa"/>
            <w:vMerge/>
            <w:tcBorders>
              <w:top w:val="nil"/>
              <w:left w:val="nil"/>
              <w:bottom w:val="nil"/>
              <w:right w:val="nil"/>
              <w:tl2br w:val="nil"/>
              <w:tr2bl w:val="nil"/>
            </w:tcBorders>
            <w:shd w:val="solid" w:color="016794" w:fill="FFFFFF"/>
            <w:tcMar>
              <w:left w:w="60" w:type="dxa"/>
              <w:right w:w="60" w:type="dxa"/>
            </w:tcMar>
            <w:vAlign w:val="center"/>
          </w:tcPr>
          <w:p w14:paraId="56A1358E" w14:textId="77777777" w:rsidR="00FD1E19" w:rsidRDefault="00FD1E19" w:rsidP="00BE7E4A">
            <w:pPr>
              <w:pStyle w:val="DMETW37225BIPEXRCTQ"/>
              <w:jc w:val="right"/>
              <w:rPr>
                <w:rFonts w:ascii="Verdana" w:eastAsia="Verdana" w:hAnsi="Verdana" w:cs="Verdana"/>
                <w:noProof/>
                <w:color w:val="FFFFFF"/>
              </w:rPr>
            </w:pPr>
          </w:p>
        </w:tc>
        <w:tc>
          <w:tcPr>
            <w:tcW w:w="1139" w:type="dxa"/>
            <w:tcBorders>
              <w:top w:val="nil"/>
              <w:left w:val="nil"/>
              <w:bottom w:val="nil"/>
              <w:right w:val="nil"/>
              <w:tl2br w:val="nil"/>
              <w:tr2bl w:val="nil"/>
            </w:tcBorders>
            <w:shd w:val="solid" w:color="016794" w:fill="FFFFFF"/>
            <w:tcMar>
              <w:left w:w="60" w:type="dxa"/>
              <w:right w:w="60" w:type="dxa"/>
            </w:tcMar>
            <w:vAlign w:val="center"/>
          </w:tcPr>
          <w:p w14:paraId="01906AAC"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 xml:space="preserve"> 0-30 days</w:t>
            </w:r>
          </w:p>
        </w:tc>
        <w:tc>
          <w:tcPr>
            <w:tcW w:w="1385" w:type="dxa"/>
            <w:tcBorders>
              <w:top w:val="nil"/>
              <w:left w:val="nil"/>
              <w:bottom w:val="nil"/>
              <w:right w:val="nil"/>
              <w:tl2br w:val="nil"/>
              <w:tr2bl w:val="nil"/>
            </w:tcBorders>
            <w:shd w:val="solid" w:color="016794" w:fill="FFFFFF"/>
            <w:tcMar>
              <w:left w:w="60" w:type="dxa"/>
              <w:right w:w="60" w:type="dxa"/>
            </w:tcMar>
            <w:vAlign w:val="center"/>
          </w:tcPr>
          <w:p w14:paraId="1C58F30C"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31-90 days</w:t>
            </w:r>
          </w:p>
        </w:tc>
        <w:tc>
          <w:tcPr>
            <w:tcW w:w="979" w:type="dxa"/>
            <w:tcBorders>
              <w:top w:val="nil"/>
              <w:left w:val="nil"/>
              <w:bottom w:val="nil"/>
              <w:right w:val="nil"/>
              <w:tl2br w:val="nil"/>
              <w:tr2bl w:val="nil"/>
            </w:tcBorders>
            <w:shd w:val="solid" w:color="016794" w:fill="FFFFFF"/>
            <w:tcMar>
              <w:left w:w="60" w:type="dxa"/>
              <w:right w:w="60" w:type="dxa"/>
            </w:tcMar>
            <w:vAlign w:val="center"/>
          </w:tcPr>
          <w:p w14:paraId="1B70CD6F" w14:textId="77777777" w:rsidR="00FD1E19" w:rsidRDefault="00FD1E19" w:rsidP="00BE7E4A">
            <w:pPr>
              <w:pStyle w:val="DMETW37225BIPEXRCTQ"/>
              <w:jc w:val="right"/>
              <w:rPr>
                <w:rFonts w:ascii="Verdana" w:eastAsia="Verdana" w:hAnsi="Verdana" w:cs="Verdana"/>
                <w:noProof/>
                <w:color w:val="FFFFFF"/>
              </w:rPr>
            </w:pPr>
            <w:r>
              <w:rPr>
                <w:rFonts w:ascii="Verdana" w:eastAsia="Verdana" w:hAnsi="Verdana" w:cs="Verdana"/>
                <w:noProof/>
                <w:color w:val="FFFFFF"/>
              </w:rPr>
              <w:t>91 days - 1 year</w:t>
            </w:r>
          </w:p>
        </w:tc>
        <w:tc>
          <w:tcPr>
            <w:tcW w:w="792" w:type="dxa"/>
            <w:tcBorders>
              <w:top w:val="nil"/>
              <w:left w:val="nil"/>
              <w:bottom w:val="nil"/>
              <w:right w:val="nil"/>
              <w:tl2br w:val="nil"/>
              <w:tr2bl w:val="nil"/>
            </w:tcBorders>
            <w:shd w:val="solid" w:color="016794" w:fill="FFFFFF"/>
            <w:tcMar>
              <w:left w:w="60" w:type="dxa"/>
              <w:right w:w="60" w:type="dxa"/>
            </w:tcMar>
            <w:vAlign w:val="center"/>
          </w:tcPr>
          <w:p w14:paraId="5185D189" w14:textId="77777777" w:rsidR="00FD1E19" w:rsidRDefault="00FD1E19" w:rsidP="00BE7E4A">
            <w:pPr>
              <w:pStyle w:val="DMETW37225BIPEXRCTQ"/>
              <w:jc w:val="right"/>
              <w:rPr>
                <w:rFonts w:ascii="Verdana" w:eastAsia="Verdana" w:hAnsi="Verdana" w:cs="Verdana"/>
                <w:noProof/>
                <w:color w:val="FFFFFF"/>
                <w:lang w:bidi="en-GB"/>
              </w:rPr>
            </w:pPr>
            <w:r>
              <w:rPr>
                <w:rFonts w:ascii="Verdana" w:eastAsia="Verdana" w:hAnsi="Verdana" w:cs="Verdana"/>
                <w:noProof/>
                <w:color w:val="FFFFFF"/>
              </w:rPr>
              <w:t>&gt; 1 year</w:t>
            </w:r>
          </w:p>
        </w:tc>
        <w:tc>
          <w:tcPr>
            <w:tcW w:w="1113" w:type="dxa"/>
            <w:vMerge/>
            <w:tcBorders>
              <w:top w:val="nil"/>
              <w:left w:val="nil"/>
              <w:bottom w:val="nil"/>
              <w:right w:val="nil"/>
              <w:tl2br w:val="nil"/>
              <w:tr2bl w:val="nil"/>
            </w:tcBorders>
            <w:shd w:val="solid" w:color="016794" w:fill="FFFFFF"/>
            <w:tcMar>
              <w:left w:w="60" w:type="dxa"/>
              <w:right w:w="60" w:type="dxa"/>
            </w:tcMar>
            <w:vAlign w:val="center"/>
          </w:tcPr>
          <w:p w14:paraId="15C44B6D" w14:textId="77777777" w:rsidR="00FD1E19" w:rsidRDefault="00FD1E19" w:rsidP="00BE7E4A">
            <w:pPr>
              <w:pStyle w:val="DMETW37225BIPEXRCTQ"/>
              <w:jc w:val="right"/>
              <w:rPr>
                <w:rFonts w:ascii="Verdana" w:eastAsia="Verdana" w:hAnsi="Verdana" w:cs="Verdana"/>
                <w:noProof/>
                <w:color w:val="FFFFFF"/>
              </w:rPr>
            </w:pPr>
          </w:p>
        </w:tc>
      </w:tr>
      <w:tr w:rsidR="00FD1E19" w14:paraId="478A578B" w14:textId="77777777" w:rsidTr="00BE7E4A">
        <w:trPr>
          <w:trHeight w:val="255"/>
        </w:trPr>
        <w:tc>
          <w:tcPr>
            <w:tcW w:w="3210" w:type="dxa"/>
            <w:tcBorders>
              <w:top w:val="nil"/>
              <w:left w:val="nil"/>
              <w:bottom w:val="nil"/>
              <w:right w:val="nil"/>
              <w:tl2br w:val="nil"/>
              <w:tr2bl w:val="nil"/>
            </w:tcBorders>
            <w:shd w:val="clear" w:color="auto" w:fill="auto"/>
            <w:tcMar>
              <w:left w:w="60" w:type="dxa"/>
              <w:right w:w="60" w:type="dxa"/>
            </w:tcMar>
            <w:vAlign w:val="center"/>
          </w:tcPr>
          <w:p w14:paraId="3EB44CF1" w14:textId="77777777" w:rsidR="00FD1E19" w:rsidRDefault="00FD1E19" w:rsidP="00BE7E4A">
            <w:pPr>
              <w:pStyle w:val="DMETW37225BIPEXRCTQ"/>
              <w:rPr>
                <w:rFonts w:ascii="Verdana" w:eastAsia="Verdana" w:hAnsi="Verdana" w:cs="Verdana"/>
                <w:b/>
                <w:noProof/>
                <w:color w:val="000000"/>
                <w:sz w:val="18"/>
              </w:rPr>
            </w:pPr>
            <w:r>
              <w:rPr>
                <w:rFonts w:ascii="Verdana" w:eastAsia="Verdana" w:hAnsi="Verdana" w:cs="Verdana"/>
                <w:b/>
                <w:noProof/>
                <w:color w:val="000000"/>
                <w:sz w:val="18"/>
              </w:rPr>
              <w:t>Gross carrying amount</w:t>
            </w:r>
          </w:p>
        </w:tc>
        <w:tc>
          <w:tcPr>
            <w:tcW w:w="1140" w:type="dxa"/>
            <w:tcBorders>
              <w:top w:val="nil"/>
              <w:left w:val="nil"/>
              <w:bottom w:val="nil"/>
              <w:right w:val="nil"/>
              <w:tl2br w:val="nil"/>
              <w:tr2bl w:val="nil"/>
            </w:tcBorders>
            <w:shd w:val="clear" w:color="auto" w:fill="auto"/>
            <w:tcMar>
              <w:left w:w="60" w:type="dxa"/>
              <w:right w:w="60" w:type="dxa"/>
            </w:tcMar>
            <w:vAlign w:val="center"/>
          </w:tcPr>
          <w:p w14:paraId="25F888FA"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 xml:space="preserve"> 9</w:t>
            </w:r>
          </w:p>
        </w:tc>
        <w:tc>
          <w:tcPr>
            <w:tcW w:w="1139" w:type="dxa"/>
            <w:tcBorders>
              <w:top w:val="nil"/>
              <w:left w:val="nil"/>
              <w:bottom w:val="nil"/>
              <w:right w:val="nil"/>
              <w:tl2br w:val="nil"/>
              <w:tr2bl w:val="nil"/>
            </w:tcBorders>
            <w:shd w:val="clear" w:color="auto" w:fill="auto"/>
            <w:tcMar>
              <w:left w:w="60" w:type="dxa"/>
              <w:right w:w="60" w:type="dxa"/>
            </w:tcMar>
            <w:vAlign w:val="center"/>
          </w:tcPr>
          <w:p w14:paraId="4AABA6FA"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385" w:type="dxa"/>
            <w:tcBorders>
              <w:top w:val="nil"/>
              <w:left w:val="nil"/>
              <w:bottom w:val="nil"/>
              <w:right w:val="nil"/>
              <w:tl2br w:val="nil"/>
              <w:tr2bl w:val="nil"/>
            </w:tcBorders>
            <w:shd w:val="clear" w:color="auto" w:fill="auto"/>
            <w:tcMar>
              <w:left w:w="60" w:type="dxa"/>
              <w:right w:w="60" w:type="dxa"/>
            </w:tcMar>
            <w:vAlign w:val="center"/>
          </w:tcPr>
          <w:p w14:paraId="36319B97"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979" w:type="dxa"/>
            <w:tcBorders>
              <w:top w:val="nil"/>
              <w:left w:val="nil"/>
              <w:bottom w:val="nil"/>
              <w:right w:val="nil"/>
              <w:tl2br w:val="nil"/>
              <w:tr2bl w:val="nil"/>
            </w:tcBorders>
            <w:shd w:val="clear" w:color="auto" w:fill="auto"/>
            <w:tcMar>
              <w:left w:w="60" w:type="dxa"/>
              <w:right w:w="60" w:type="dxa"/>
            </w:tcMar>
            <w:vAlign w:val="center"/>
          </w:tcPr>
          <w:p w14:paraId="282AB05F"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792" w:type="dxa"/>
            <w:tcBorders>
              <w:top w:val="nil"/>
              <w:left w:val="nil"/>
              <w:bottom w:val="nil"/>
              <w:right w:val="nil"/>
              <w:tl2br w:val="nil"/>
              <w:tr2bl w:val="nil"/>
            </w:tcBorders>
            <w:shd w:val="clear" w:color="auto" w:fill="auto"/>
            <w:tcMar>
              <w:left w:w="60" w:type="dxa"/>
              <w:right w:w="60" w:type="dxa"/>
            </w:tcMar>
            <w:vAlign w:val="center"/>
          </w:tcPr>
          <w:p w14:paraId="08BCEF0D"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113" w:type="dxa"/>
            <w:tcBorders>
              <w:top w:val="nil"/>
              <w:left w:val="nil"/>
              <w:bottom w:val="nil"/>
              <w:right w:val="nil"/>
              <w:tl2br w:val="nil"/>
              <w:tr2bl w:val="nil"/>
            </w:tcBorders>
            <w:shd w:val="clear" w:color="auto" w:fill="auto"/>
            <w:tcMar>
              <w:left w:w="60" w:type="dxa"/>
              <w:right w:w="60" w:type="dxa"/>
            </w:tcMar>
            <w:vAlign w:val="center"/>
          </w:tcPr>
          <w:p w14:paraId="532B8496" w14:textId="77777777" w:rsidR="00FD1E19" w:rsidRDefault="00FD1E19" w:rsidP="00BE7E4A">
            <w:pPr>
              <w:pStyle w:val="DMETW37225BIPEXRCTQ"/>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w:t>
            </w:r>
          </w:p>
        </w:tc>
      </w:tr>
      <w:tr w:rsidR="00FD1E19" w14:paraId="61D9D352" w14:textId="77777777" w:rsidTr="00BE7E4A">
        <w:trPr>
          <w:trHeight w:val="255"/>
        </w:trPr>
        <w:tc>
          <w:tcPr>
            <w:tcW w:w="3210" w:type="dxa"/>
            <w:tcBorders>
              <w:top w:val="nil"/>
              <w:left w:val="nil"/>
              <w:bottom w:val="single" w:sz="4" w:space="0" w:color="016794"/>
              <w:right w:val="nil"/>
              <w:tl2br w:val="nil"/>
              <w:tr2bl w:val="nil"/>
            </w:tcBorders>
            <w:shd w:val="clear" w:color="auto" w:fill="auto"/>
            <w:tcMar>
              <w:left w:w="60" w:type="dxa"/>
              <w:right w:w="60" w:type="dxa"/>
            </w:tcMar>
            <w:vAlign w:val="center"/>
          </w:tcPr>
          <w:p w14:paraId="214D3C4D" w14:textId="77777777" w:rsidR="00FD1E19" w:rsidRDefault="00FD1E19" w:rsidP="00BE7E4A">
            <w:pPr>
              <w:pStyle w:val="DMETW37225BIPEXRCTQ"/>
              <w:rPr>
                <w:rFonts w:ascii="Verdana" w:eastAsia="Verdana" w:hAnsi="Verdana" w:cs="Verdana"/>
                <w:i/>
                <w:noProof/>
                <w:color w:val="000000"/>
                <w:sz w:val="18"/>
              </w:rPr>
            </w:pPr>
            <w:r>
              <w:rPr>
                <w:rFonts w:ascii="Verdana" w:eastAsia="Verdana" w:hAnsi="Verdana" w:cs="Verdana"/>
                <w:i/>
                <w:noProof/>
                <w:color w:val="000000"/>
                <w:sz w:val="18"/>
              </w:rPr>
              <w:t>Minus loss allowance</w:t>
            </w:r>
          </w:p>
        </w:tc>
        <w:tc>
          <w:tcPr>
            <w:tcW w:w="1140" w:type="dxa"/>
            <w:tcBorders>
              <w:top w:val="nil"/>
              <w:left w:val="nil"/>
              <w:bottom w:val="single" w:sz="4" w:space="0" w:color="016794"/>
              <w:right w:val="nil"/>
              <w:tl2br w:val="nil"/>
              <w:tr2bl w:val="nil"/>
            </w:tcBorders>
            <w:shd w:val="clear" w:color="auto" w:fill="auto"/>
            <w:tcMar>
              <w:left w:w="60" w:type="dxa"/>
              <w:right w:w="60" w:type="dxa"/>
            </w:tcMar>
            <w:vAlign w:val="center"/>
          </w:tcPr>
          <w:p w14:paraId="2B0F106B"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139" w:type="dxa"/>
            <w:tcBorders>
              <w:top w:val="nil"/>
              <w:left w:val="nil"/>
              <w:bottom w:val="single" w:sz="4" w:space="0" w:color="016794"/>
              <w:right w:val="nil"/>
              <w:tl2br w:val="nil"/>
              <w:tr2bl w:val="nil"/>
            </w:tcBorders>
            <w:shd w:val="clear" w:color="auto" w:fill="auto"/>
            <w:tcMar>
              <w:left w:w="60" w:type="dxa"/>
              <w:right w:w="60" w:type="dxa"/>
            </w:tcMar>
            <w:vAlign w:val="center"/>
          </w:tcPr>
          <w:p w14:paraId="7BF5A66B"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385" w:type="dxa"/>
            <w:tcBorders>
              <w:top w:val="nil"/>
              <w:left w:val="nil"/>
              <w:bottom w:val="single" w:sz="4" w:space="0" w:color="016794"/>
              <w:right w:val="nil"/>
              <w:tl2br w:val="nil"/>
              <w:tr2bl w:val="nil"/>
            </w:tcBorders>
            <w:shd w:val="clear" w:color="auto" w:fill="auto"/>
            <w:tcMar>
              <w:left w:w="60" w:type="dxa"/>
              <w:right w:w="60" w:type="dxa"/>
            </w:tcMar>
            <w:vAlign w:val="center"/>
          </w:tcPr>
          <w:p w14:paraId="19FE5700"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979" w:type="dxa"/>
            <w:tcBorders>
              <w:top w:val="nil"/>
              <w:left w:val="nil"/>
              <w:bottom w:val="single" w:sz="4" w:space="0" w:color="016794"/>
              <w:right w:val="nil"/>
              <w:tl2br w:val="nil"/>
              <w:tr2bl w:val="nil"/>
            </w:tcBorders>
            <w:shd w:val="clear" w:color="auto" w:fill="auto"/>
            <w:tcMar>
              <w:left w:w="60" w:type="dxa"/>
              <w:right w:w="60" w:type="dxa"/>
            </w:tcMar>
            <w:vAlign w:val="center"/>
          </w:tcPr>
          <w:p w14:paraId="4D5C65DA"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792" w:type="dxa"/>
            <w:tcBorders>
              <w:top w:val="nil"/>
              <w:left w:val="nil"/>
              <w:bottom w:val="single" w:sz="4" w:space="0" w:color="016794"/>
              <w:right w:val="nil"/>
              <w:tl2br w:val="nil"/>
              <w:tr2bl w:val="nil"/>
            </w:tcBorders>
            <w:shd w:val="clear" w:color="auto" w:fill="auto"/>
            <w:tcMar>
              <w:left w:w="60" w:type="dxa"/>
              <w:right w:w="60" w:type="dxa"/>
            </w:tcMar>
            <w:vAlign w:val="center"/>
          </w:tcPr>
          <w:p w14:paraId="6CBC47A4" w14:textId="77777777" w:rsidR="00FD1E19" w:rsidRDefault="00FD1E19" w:rsidP="00BE7E4A">
            <w:pPr>
              <w:pStyle w:val="DMETW37225BIPEXRCTQ"/>
              <w:jc w:val="right"/>
              <w:rPr>
                <w:rFonts w:ascii="Verdana" w:eastAsia="Verdana" w:hAnsi="Verdana" w:cs="Verdana"/>
                <w:noProof/>
                <w:color w:val="000000"/>
                <w:sz w:val="18"/>
              </w:rPr>
            </w:pPr>
            <w:r>
              <w:rPr>
                <w:rFonts w:ascii="Verdana" w:eastAsia="Verdana" w:hAnsi="Verdana" w:cs="Verdana"/>
                <w:noProof/>
                <w:color w:val="000000"/>
                <w:sz w:val="18"/>
              </w:rPr>
              <w:t>–</w:t>
            </w:r>
          </w:p>
        </w:tc>
        <w:tc>
          <w:tcPr>
            <w:tcW w:w="1113" w:type="dxa"/>
            <w:tcBorders>
              <w:top w:val="nil"/>
              <w:left w:val="nil"/>
              <w:bottom w:val="single" w:sz="4" w:space="0" w:color="000000"/>
              <w:right w:val="nil"/>
              <w:tl2br w:val="nil"/>
              <w:tr2bl w:val="nil"/>
            </w:tcBorders>
            <w:shd w:val="clear" w:color="auto" w:fill="auto"/>
            <w:tcMar>
              <w:left w:w="60" w:type="dxa"/>
              <w:right w:w="60" w:type="dxa"/>
            </w:tcMar>
            <w:vAlign w:val="center"/>
          </w:tcPr>
          <w:p w14:paraId="0E154A8E" w14:textId="77777777" w:rsidR="00FD1E19" w:rsidRDefault="00FD1E19" w:rsidP="00BE7E4A">
            <w:pPr>
              <w:pStyle w:val="DMETW37225BIPEXRCTQ"/>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6CA7266F" w14:textId="77777777" w:rsidTr="00BE7E4A">
        <w:trPr>
          <w:trHeight w:val="255"/>
        </w:trPr>
        <w:tc>
          <w:tcPr>
            <w:tcW w:w="321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C8CD14B" w14:textId="77777777" w:rsidR="00FD1E19" w:rsidRDefault="00FD1E19" w:rsidP="00BE7E4A">
            <w:pPr>
              <w:pStyle w:val="DMETW37225BIPEXRCTQ"/>
              <w:rPr>
                <w:rFonts w:ascii="Verdana" w:eastAsia="Verdana" w:hAnsi="Verdana" w:cs="Verdana"/>
                <w:b/>
                <w:noProof/>
                <w:color w:val="000000"/>
                <w:sz w:val="18"/>
              </w:rPr>
            </w:pPr>
            <w:r>
              <w:rPr>
                <w:rFonts w:ascii="Verdana" w:eastAsia="Verdana" w:hAnsi="Verdana" w:cs="Verdana"/>
                <w:b/>
                <w:noProof/>
                <w:color w:val="000000"/>
                <w:sz w:val="18"/>
              </w:rPr>
              <w:t xml:space="preserve">Net carrying amount </w:t>
            </w:r>
          </w:p>
        </w:tc>
        <w:tc>
          <w:tcPr>
            <w:tcW w:w="114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14628A6" w14:textId="77777777" w:rsidR="00FD1E19" w:rsidRDefault="00FD1E19" w:rsidP="00BE7E4A">
            <w:pPr>
              <w:pStyle w:val="DMETW37225BIPEXRCTQ"/>
              <w:jc w:val="right"/>
              <w:rPr>
                <w:rFonts w:ascii="Verdana" w:eastAsia="Verdana" w:hAnsi="Verdana" w:cs="Verdana"/>
                <w:b/>
                <w:noProof/>
                <w:color w:val="000000"/>
                <w:sz w:val="18"/>
              </w:rPr>
            </w:pPr>
            <w:r>
              <w:rPr>
                <w:rFonts w:ascii="Verdana" w:eastAsia="Verdana" w:hAnsi="Verdana" w:cs="Verdana"/>
                <w:b/>
                <w:noProof/>
                <w:color w:val="000000"/>
                <w:sz w:val="18"/>
              </w:rPr>
              <w:t xml:space="preserve"> 9</w:t>
            </w:r>
          </w:p>
        </w:tc>
        <w:tc>
          <w:tcPr>
            <w:tcW w:w="113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3B9252A1" w14:textId="77777777" w:rsidR="00FD1E19" w:rsidRDefault="00FD1E19" w:rsidP="00BE7E4A">
            <w:pPr>
              <w:pStyle w:val="DMETW37225BIPEXRCTQ"/>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38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7778BAA9" w14:textId="77777777" w:rsidR="00FD1E19" w:rsidRDefault="00FD1E19" w:rsidP="00BE7E4A">
            <w:pPr>
              <w:pStyle w:val="DMETW37225BIPEXRCTQ"/>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97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D9DCCDE" w14:textId="77777777" w:rsidR="00FD1E19" w:rsidRDefault="00FD1E19" w:rsidP="00BE7E4A">
            <w:pPr>
              <w:pStyle w:val="DMETW37225BIPEXRCTQ"/>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79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9C95B01" w14:textId="77777777" w:rsidR="00FD1E19" w:rsidRDefault="00FD1E19" w:rsidP="00BE7E4A">
            <w:pPr>
              <w:pStyle w:val="DMETW37225BIPEXRCTQ"/>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113" w:type="dxa"/>
            <w:tcBorders>
              <w:top w:val="single" w:sz="4" w:space="0" w:color="000000"/>
              <w:left w:val="nil"/>
              <w:bottom w:val="single" w:sz="4" w:space="0" w:color="000000"/>
              <w:right w:val="nil"/>
              <w:tl2br w:val="nil"/>
              <w:tr2bl w:val="nil"/>
            </w:tcBorders>
            <w:shd w:val="clear" w:color="auto" w:fill="auto"/>
            <w:tcMar>
              <w:left w:w="60" w:type="dxa"/>
              <w:right w:w="60" w:type="dxa"/>
            </w:tcMar>
            <w:vAlign w:val="center"/>
          </w:tcPr>
          <w:p w14:paraId="1CB52708" w14:textId="77777777" w:rsidR="00FD1E19" w:rsidRDefault="00FD1E19" w:rsidP="00BE7E4A">
            <w:pPr>
              <w:pStyle w:val="DMETW37225BIPEXRCTQ"/>
              <w:jc w:val="right"/>
              <w:rPr>
                <w:rFonts w:ascii="Verdana" w:eastAsia="Verdana" w:hAnsi="Verdana" w:cs="Verdana"/>
                <w:i/>
                <w:noProof/>
                <w:color w:val="000000"/>
                <w:sz w:val="18"/>
              </w:rPr>
            </w:pPr>
            <w:r>
              <w:rPr>
                <w:rFonts w:ascii="Verdana" w:eastAsia="Verdana" w:hAnsi="Verdana" w:cs="Verdana"/>
                <w:i/>
                <w:noProof/>
                <w:color w:val="000000"/>
                <w:sz w:val="18"/>
              </w:rPr>
              <w:t xml:space="preserve"> 9</w:t>
            </w:r>
          </w:p>
        </w:tc>
      </w:tr>
    </w:tbl>
    <w:p w14:paraId="637A69EE" w14:textId="77777777" w:rsidR="00FD1E19" w:rsidRDefault="00FD1E19" w:rsidP="00FD1E19">
      <w:pPr>
        <w:pStyle w:val="HEADER5"/>
        <w:rPr>
          <w:bCs/>
          <w:noProof/>
          <w:lang w:val="en-IE"/>
        </w:rPr>
      </w:pPr>
    </w:p>
    <w:p w14:paraId="6A3EC82B" w14:textId="77777777" w:rsidR="00FD1E19" w:rsidRPr="0013336A" w:rsidRDefault="00FD1E19" w:rsidP="00FD1E19">
      <w:pPr>
        <w:pStyle w:val="HEADER5"/>
        <w:rPr>
          <w:bCs/>
          <w:noProof/>
          <w:lang w:val="en-IE"/>
        </w:rPr>
      </w:pPr>
      <w:r w:rsidRPr="0013336A">
        <w:rPr>
          <w:bCs/>
          <w:noProof/>
          <w:lang w:val="en-IE"/>
        </w:rPr>
        <w:t xml:space="preserve">Financial assets at FVSD: credit quality </w:t>
      </w:r>
    </w:p>
    <w:p w14:paraId="05920B5E" w14:textId="77777777" w:rsidR="00FD1E19" w:rsidRDefault="00FD1E19" w:rsidP="00FD1E19">
      <w:pPr>
        <w:pStyle w:val="Textstand-alone"/>
        <w:rPr>
          <w:b/>
        </w:rPr>
      </w:pPr>
      <w:r w:rsidRPr="0013336A">
        <w:t>In 202</w:t>
      </w:r>
      <w:r>
        <w:t>5</w:t>
      </w:r>
      <w:r w:rsidRPr="0013336A">
        <w:t xml:space="preserve"> the financial assets at FVSD included in these financial statements</w:t>
      </w:r>
      <w:r>
        <w:t xml:space="preserve"> relate to equity investments that are not subject to credit risk (see Note </w:t>
      </w:r>
      <w:r w:rsidRPr="008043B8">
        <w:rPr>
          <w:b/>
          <w:bCs/>
        </w:rPr>
        <w:t>2.1</w:t>
      </w:r>
      <w:r>
        <w:t>).</w:t>
      </w:r>
      <w:r w:rsidRPr="0013336A">
        <w:t xml:space="preserve"> </w:t>
      </w:r>
    </w:p>
    <w:p w14:paraId="4ECABE49" w14:textId="77777777" w:rsidR="00FD1E19" w:rsidRPr="00D52CE8" w:rsidRDefault="00FD1E19" w:rsidP="00FD1E19">
      <w:pPr>
        <w:pStyle w:val="HEADER2Part2"/>
        <w:rPr>
          <w:noProof/>
        </w:rPr>
      </w:pPr>
      <w:r w:rsidRPr="00D52CE8">
        <w:rPr>
          <w:noProof/>
        </w:rPr>
        <w:t>LIQUIDITY RISK</w:t>
      </w:r>
    </w:p>
    <w:p w14:paraId="52F2C5A5" w14:textId="77777777" w:rsidR="00FD1E19" w:rsidRDefault="00FD1E19" w:rsidP="00FD1E19">
      <w:pPr>
        <w:pStyle w:val="HEADER5"/>
        <w:rPr>
          <w:noProof/>
        </w:rPr>
      </w:pPr>
      <w:r w:rsidRPr="00D52CE8">
        <w:rPr>
          <w:noProof/>
        </w:rPr>
        <w:t>Maturity analysis of financial liabilities by remaining contractual maturity</w:t>
      </w:r>
    </w:p>
    <w:p w14:paraId="46951D96" w14:textId="77777777" w:rsidR="00FD1E19" w:rsidRPr="00FC3674" w:rsidRDefault="00FD1E19" w:rsidP="00FD1E19">
      <w:pPr>
        <w:pStyle w:val="Textstand-alone"/>
        <w:rPr>
          <w:b/>
        </w:rPr>
      </w:pPr>
      <w:r w:rsidRPr="00FC3674">
        <w:t xml:space="preserve">The finance liabilities and payables under this heading are disclosed by the carrying amounts from the </w:t>
      </w:r>
      <w:r>
        <w:t>b</w:t>
      </w:r>
      <w:r w:rsidRPr="00FC3674">
        <w:t xml:space="preserve">alance </w:t>
      </w:r>
      <w:r>
        <w:t>s</w:t>
      </w:r>
      <w:r w:rsidRPr="00FC3674">
        <w:t>heet.</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36"/>
        <w:gridCol w:w="1173"/>
        <w:gridCol w:w="1783"/>
        <w:gridCol w:w="1783"/>
        <w:gridCol w:w="1783"/>
      </w:tblGrid>
      <w:tr w:rsidR="00FD1E19" w14:paraId="5BE66066" w14:textId="77777777" w:rsidTr="00BE7E4A">
        <w:trPr>
          <w:trHeight w:val="255"/>
        </w:trPr>
        <w:tc>
          <w:tcPr>
            <w:tcW w:w="5670" w:type="dxa"/>
            <w:gridSpan w:val="5"/>
            <w:tcBorders>
              <w:top w:val="nil"/>
              <w:left w:val="nil"/>
              <w:bottom w:val="nil"/>
              <w:right w:val="nil"/>
              <w:tl2br w:val="nil"/>
              <w:tr2bl w:val="nil"/>
            </w:tcBorders>
            <w:shd w:val="clear" w:color="auto" w:fill="auto"/>
            <w:tcMar>
              <w:left w:w="60" w:type="dxa"/>
              <w:right w:w="60" w:type="dxa"/>
            </w:tcMar>
            <w:vAlign w:val="center"/>
          </w:tcPr>
          <w:p w14:paraId="619CEABE" w14:textId="77777777" w:rsidR="00FD1E19" w:rsidRDefault="00FD1E19" w:rsidP="00BE7E4A">
            <w:pPr>
              <w:pStyle w:val="DMETW37225BIPLrnew"/>
              <w:jc w:val="right"/>
              <w:rPr>
                <w:rFonts w:ascii="Verdana" w:eastAsia="Verdana" w:hAnsi="Verdana" w:cs="Verdana"/>
                <w:i/>
                <w:noProof/>
                <w:color w:val="000000"/>
                <w:sz w:val="16"/>
                <w:lang w:bidi="en-GB"/>
              </w:rPr>
            </w:pPr>
            <w:bookmarkStart w:id="134" w:name="DOC_TBL00052_1_1"/>
            <w:bookmarkEnd w:id="134"/>
            <w:r>
              <w:rPr>
                <w:rFonts w:ascii="Verdana" w:eastAsia="Verdana" w:hAnsi="Verdana" w:cs="Verdana"/>
                <w:i/>
                <w:noProof/>
                <w:color w:val="000000"/>
                <w:sz w:val="16"/>
                <w:lang w:bidi="en-GB"/>
              </w:rPr>
              <w:t>EUR million</w:t>
            </w:r>
          </w:p>
        </w:tc>
      </w:tr>
      <w:tr w:rsidR="00FD1E19" w14:paraId="0B03F1EA" w14:textId="77777777" w:rsidTr="00BE7E4A">
        <w:trPr>
          <w:trHeight w:val="255"/>
        </w:trPr>
        <w:tc>
          <w:tcPr>
            <w:tcW w:w="5670" w:type="dxa"/>
            <w:tcBorders>
              <w:top w:val="nil"/>
              <w:left w:val="nil"/>
              <w:bottom w:val="nil"/>
              <w:right w:val="nil"/>
              <w:tl2br w:val="nil"/>
              <w:tr2bl w:val="nil"/>
            </w:tcBorders>
            <w:shd w:val="solid" w:color="016794" w:fill="FFFFFF"/>
            <w:tcMar>
              <w:left w:w="60" w:type="dxa"/>
              <w:right w:w="60" w:type="dxa"/>
            </w:tcMar>
            <w:vAlign w:val="center"/>
          </w:tcPr>
          <w:p w14:paraId="300D200B" w14:textId="77777777" w:rsidR="00FD1E19" w:rsidRDefault="00FD1E19" w:rsidP="00BE7E4A">
            <w:pPr>
              <w:pStyle w:val="DMETW37225BIPLrnew"/>
              <w:jc w:val="right"/>
              <w:rPr>
                <w:rFonts w:ascii="Verdana" w:eastAsia="Verdana" w:hAnsi="Verdana" w:cs="Verdana"/>
                <w:noProof/>
                <w:color w:val="FFFFFF"/>
              </w:rPr>
            </w:pPr>
          </w:p>
        </w:tc>
        <w:tc>
          <w:tcPr>
            <w:tcW w:w="1985" w:type="dxa"/>
            <w:tcBorders>
              <w:top w:val="nil"/>
              <w:left w:val="nil"/>
              <w:bottom w:val="nil"/>
              <w:right w:val="nil"/>
              <w:tl2br w:val="nil"/>
              <w:tr2bl w:val="nil"/>
            </w:tcBorders>
            <w:shd w:val="solid" w:color="016794" w:fill="FFFFFF"/>
            <w:tcMar>
              <w:left w:w="60" w:type="dxa"/>
              <w:right w:w="60" w:type="dxa"/>
            </w:tcMar>
            <w:vAlign w:val="center"/>
          </w:tcPr>
          <w:p w14:paraId="02930A8F" w14:textId="77777777" w:rsidR="00FD1E19" w:rsidRDefault="00FD1E19" w:rsidP="00BE7E4A">
            <w:pPr>
              <w:pStyle w:val="DMETW37225BIPLrnew"/>
              <w:jc w:val="right"/>
              <w:rPr>
                <w:rFonts w:ascii="Verdana" w:eastAsia="Verdana" w:hAnsi="Verdana" w:cs="Verdana"/>
                <w:noProof/>
                <w:color w:val="FFFFFF"/>
              </w:rPr>
            </w:pPr>
            <w:r>
              <w:rPr>
                <w:rFonts w:ascii="Verdana" w:eastAsia="Verdana" w:hAnsi="Verdana" w:cs="Verdana"/>
                <w:noProof/>
                <w:color w:val="FFFFFF"/>
              </w:rPr>
              <w:t>&lt; 1 year</w:t>
            </w:r>
          </w:p>
        </w:tc>
        <w:tc>
          <w:tcPr>
            <w:tcW w:w="3073" w:type="dxa"/>
            <w:tcBorders>
              <w:top w:val="nil"/>
              <w:left w:val="nil"/>
              <w:bottom w:val="nil"/>
              <w:right w:val="nil"/>
              <w:tl2br w:val="nil"/>
              <w:tr2bl w:val="nil"/>
            </w:tcBorders>
            <w:shd w:val="solid" w:color="016794" w:fill="FFFFFF"/>
            <w:tcMar>
              <w:left w:w="60" w:type="dxa"/>
              <w:right w:w="60" w:type="dxa"/>
            </w:tcMar>
            <w:vAlign w:val="center"/>
          </w:tcPr>
          <w:p w14:paraId="5E08CB24" w14:textId="77777777" w:rsidR="00FD1E19" w:rsidRDefault="00FD1E19" w:rsidP="00BE7E4A">
            <w:pPr>
              <w:pStyle w:val="DMETW37225BIPLrnew"/>
              <w:jc w:val="right"/>
              <w:rPr>
                <w:rFonts w:ascii="Verdana" w:eastAsia="Verdana" w:hAnsi="Verdana" w:cs="Verdana"/>
                <w:noProof/>
                <w:color w:val="FFFFFF"/>
              </w:rPr>
            </w:pPr>
            <w:r>
              <w:rPr>
                <w:rFonts w:ascii="Verdana" w:eastAsia="Verdana" w:hAnsi="Verdana" w:cs="Verdana"/>
                <w:noProof/>
                <w:color w:val="FFFFFF"/>
              </w:rPr>
              <w:t>1-5 years</w:t>
            </w:r>
          </w:p>
        </w:tc>
        <w:tc>
          <w:tcPr>
            <w:tcW w:w="3073" w:type="dxa"/>
            <w:tcBorders>
              <w:top w:val="nil"/>
              <w:left w:val="nil"/>
              <w:bottom w:val="nil"/>
              <w:right w:val="nil"/>
              <w:tl2br w:val="nil"/>
              <w:tr2bl w:val="nil"/>
            </w:tcBorders>
            <w:shd w:val="solid" w:color="016794" w:fill="FFFFFF"/>
            <w:tcMar>
              <w:left w:w="60" w:type="dxa"/>
              <w:right w:w="60" w:type="dxa"/>
            </w:tcMar>
            <w:vAlign w:val="center"/>
          </w:tcPr>
          <w:p w14:paraId="126610F4" w14:textId="77777777" w:rsidR="00FD1E19" w:rsidRDefault="00FD1E19" w:rsidP="00BE7E4A">
            <w:pPr>
              <w:pStyle w:val="DMETW37225BIPLrnew"/>
              <w:jc w:val="right"/>
              <w:rPr>
                <w:rFonts w:ascii="Verdana" w:eastAsia="Verdana" w:hAnsi="Verdana" w:cs="Verdana"/>
                <w:noProof/>
                <w:color w:val="FFFFFF"/>
              </w:rPr>
            </w:pPr>
            <w:r>
              <w:rPr>
                <w:rFonts w:ascii="Verdana" w:eastAsia="Verdana" w:hAnsi="Verdana" w:cs="Verdana"/>
                <w:noProof/>
                <w:color w:val="FFFFFF"/>
              </w:rPr>
              <w:t>&gt; 5 years</w:t>
            </w:r>
          </w:p>
        </w:tc>
        <w:tc>
          <w:tcPr>
            <w:tcW w:w="3073" w:type="dxa"/>
            <w:tcBorders>
              <w:top w:val="nil"/>
              <w:left w:val="nil"/>
              <w:bottom w:val="nil"/>
              <w:right w:val="nil"/>
              <w:tl2br w:val="nil"/>
              <w:tr2bl w:val="nil"/>
            </w:tcBorders>
            <w:shd w:val="solid" w:color="016794" w:fill="FFFFFF"/>
            <w:tcMar>
              <w:left w:w="60" w:type="dxa"/>
              <w:right w:w="60" w:type="dxa"/>
            </w:tcMar>
            <w:vAlign w:val="center"/>
          </w:tcPr>
          <w:p w14:paraId="70A52832" w14:textId="77777777" w:rsidR="00FD1E19" w:rsidRDefault="00FD1E19" w:rsidP="00BE7E4A">
            <w:pPr>
              <w:pStyle w:val="DMETW37225BIPLrnew"/>
              <w:jc w:val="right"/>
              <w:rPr>
                <w:rFonts w:ascii="Verdana" w:eastAsia="Verdana" w:hAnsi="Verdana" w:cs="Verdana"/>
                <w:noProof/>
                <w:color w:val="FFFFFF"/>
                <w:lang w:bidi="en-GB"/>
              </w:rPr>
            </w:pPr>
            <w:r>
              <w:rPr>
                <w:rFonts w:ascii="Verdana" w:eastAsia="Verdana" w:hAnsi="Verdana" w:cs="Verdana"/>
                <w:noProof/>
                <w:color w:val="FFFFFF"/>
              </w:rPr>
              <w:t>Total</w:t>
            </w:r>
          </w:p>
        </w:tc>
      </w:tr>
      <w:tr w:rsidR="00FD1E19" w14:paraId="792C0CF5" w14:textId="77777777" w:rsidTr="00BE7E4A">
        <w:trPr>
          <w:trHeight w:val="255"/>
        </w:trPr>
        <w:tc>
          <w:tcPr>
            <w:tcW w:w="5670" w:type="dxa"/>
            <w:tcBorders>
              <w:top w:val="nil"/>
              <w:left w:val="nil"/>
              <w:bottom w:val="nil"/>
              <w:right w:val="nil"/>
              <w:tl2br w:val="nil"/>
              <w:tr2bl w:val="nil"/>
            </w:tcBorders>
            <w:shd w:val="clear" w:color="auto" w:fill="auto"/>
            <w:tcMar>
              <w:left w:w="60" w:type="dxa"/>
              <w:right w:w="60" w:type="dxa"/>
            </w:tcMar>
            <w:vAlign w:val="bottom"/>
          </w:tcPr>
          <w:p w14:paraId="31645947" w14:textId="77777777" w:rsidR="00FD1E19" w:rsidRDefault="00FD1E19" w:rsidP="00BE7E4A">
            <w:pPr>
              <w:pStyle w:val="DMETW37225BIPLrnew"/>
              <w:rPr>
                <w:rFonts w:ascii="Verdana" w:eastAsia="Verdana" w:hAnsi="Verdana" w:cs="Verdana"/>
                <w:i/>
                <w:noProof/>
                <w:color w:val="000000"/>
                <w:sz w:val="18"/>
              </w:rPr>
            </w:pPr>
            <w:r>
              <w:rPr>
                <w:rFonts w:ascii="Verdana" w:eastAsia="Verdana" w:hAnsi="Verdana" w:cs="Verdana"/>
                <w:i/>
                <w:noProof/>
                <w:color w:val="000000"/>
                <w:sz w:val="18"/>
              </w:rPr>
              <w:t>Financial liabilities at 31.12.2025</w:t>
            </w:r>
          </w:p>
        </w:tc>
        <w:tc>
          <w:tcPr>
            <w:tcW w:w="1985" w:type="dxa"/>
            <w:tcBorders>
              <w:top w:val="nil"/>
              <w:left w:val="nil"/>
              <w:bottom w:val="nil"/>
              <w:right w:val="nil"/>
              <w:tl2br w:val="nil"/>
              <w:tr2bl w:val="nil"/>
            </w:tcBorders>
            <w:shd w:val="clear" w:color="auto" w:fill="auto"/>
            <w:tcMar>
              <w:left w:w="60" w:type="dxa"/>
              <w:right w:w="60" w:type="dxa"/>
            </w:tcMar>
            <w:vAlign w:val="center"/>
          </w:tcPr>
          <w:p w14:paraId="71C1C644" w14:textId="77777777" w:rsidR="00FD1E19" w:rsidRDefault="00FD1E19" w:rsidP="00BE7E4A">
            <w:pPr>
              <w:pStyle w:val="DMETW37225BIPLrnew"/>
              <w:jc w:val="right"/>
              <w:rPr>
                <w:rFonts w:ascii="Verdana" w:eastAsia="Verdana" w:hAnsi="Verdana" w:cs="Verdana"/>
                <w:i/>
                <w:noProof/>
                <w:color w:val="000000"/>
                <w:sz w:val="18"/>
              </w:rPr>
            </w:pPr>
            <w:r>
              <w:rPr>
                <w:rFonts w:ascii="Verdana" w:eastAsia="Verdana" w:hAnsi="Verdana" w:cs="Verdana"/>
                <w:i/>
                <w:noProof/>
                <w:color w:val="000000"/>
                <w:sz w:val="18"/>
              </w:rPr>
              <w:t xml:space="preserve"> 187</w:t>
            </w:r>
          </w:p>
        </w:tc>
        <w:tc>
          <w:tcPr>
            <w:tcW w:w="3073" w:type="dxa"/>
            <w:tcBorders>
              <w:top w:val="nil"/>
              <w:left w:val="nil"/>
              <w:bottom w:val="nil"/>
              <w:right w:val="nil"/>
              <w:tl2br w:val="nil"/>
              <w:tr2bl w:val="nil"/>
            </w:tcBorders>
            <w:shd w:val="clear" w:color="auto" w:fill="auto"/>
            <w:tcMar>
              <w:left w:w="60" w:type="dxa"/>
              <w:right w:w="60" w:type="dxa"/>
            </w:tcMar>
            <w:vAlign w:val="center"/>
          </w:tcPr>
          <w:p w14:paraId="31E017DD" w14:textId="77777777" w:rsidR="00FD1E19" w:rsidRDefault="00FD1E19" w:rsidP="00BE7E4A">
            <w:pPr>
              <w:pStyle w:val="DMETW37225BIPLrnew"/>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3073" w:type="dxa"/>
            <w:tcBorders>
              <w:top w:val="nil"/>
              <w:left w:val="nil"/>
              <w:bottom w:val="nil"/>
              <w:right w:val="nil"/>
              <w:tl2br w:val="nil"/>
              <w:tr2bl w:val="nil"/>
            </w:tcBorders>
            <w:shd w:val="clear" w:color="auto" w:fill="auto"/>
            <w:tcMar>
              <w:left w:w="60" w:type="dxa"/>
              <w:right w:w="60" w:type="dxa"/>
            </w:tcMar>
            <w:vAlign w:val="center"/>
          </w:tcPr>
          <w:p w14:paraId="7D00482E" w14:textId="77777777" w:rsidR="00FD1E19" w:rsidRDefault="00FD1E19" w:rsidP="00BE7E4A">
            <w:pPr>
              <w:pStyle w:val="DMETW37225BIPL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3073" w:type="dxa"/>
            <w:tcBorders>
              <w:top w:val="nil"/>
              <w:left w:val="nil"/>
              <w:bottom w:val="nil"/>
              <w:right w:val="nil"/>
              <w:tl2br w:val="nil"/>
              <w:tr2bl w:val="nil"/>
            </w:tcBorders>
            <w:shd w:val="clear" w:color="auto" w:fill="auto"/>
            <w:tcMar>
              <w:left w:w="60" w:type="dxa"/>
              <w:right w:w="60" w:type="dxa"/>
            </w:tcMar>
            <w:vAlign w:val="bottom"/>
          </w:tcPr>
          <w:p w14:paraId="0EDE172F" w14:textId="77777777" w:rsidR="00FD1E19" w:rsidRDefault="00FD1E19" w:rsidP="00BE7E4A">
            <w:pPr>
              <w:pStyle w:val="DMETW37225BIPLrnew"/>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187</w:t>
            </w:r>
          </w:p>
        </w:tc>
      </w:tr>
      <w:tr w:rsidR="00FD1E19" w14:paraId="1C557FBD" w14:textId="77777777" w:rsidTr="00BE7E4A">
        <w:trPr>
          <w:trHeight w:val="255"/>
        </w:trPr>
        <w:tc>
          <w:tcPr>
            <w:tcW w:w="5670" w:type="dxa"/>
            <w:tcBorders>
              <w:top w:val="nil"/>
              <w:left w:val="nil"/>
              <w:bottom w:val="nil"/>
              <w:right w:val="nil"/>
              <w:tl2br w:val="nil"/>
              <w:tr2bl w:val="nil"/>
            </w:tcBorders>
            <w:shd w:val="clear" w:color="auto" w:fill="auto"/>
            <w:tcMar>
              <w:left w:w="60" w:type="dxa"/>
              <w:right w:w="60" w:type="dxa"/>
            </w:tcMar>
            <w:vAlign w:val="bottom"/>
          </w:tcPr>
          <w:p w14:paraId="29FA1D9F" w14:textId="77777777" w:rsidR="00FD1E19" w:rsidRDefault="00FD1E19" w:rsidP="00BE7E4A">
            <w:pPr>
              <w:pStyle w:val="DMETW37225BIPLrnew"/>
              <w:rPr>
                <w:rFonts w:ascii="Verdana" w:eastAsia="Verdana" w:hAnsi="Verdana" w:cs="Verdana"/>
                <w:i/>
                <w:noProof/>
                <w:color w:val="000000"/>
                <w:sz w:val="18"/>
              </w:rPr>
            </w:pPr>
            <w:r>
              <w:rPr>
                <w:rFonts w:ascii="Verdana" w:eastAsia="Verdana" w:hAnsi="Verdana" w:cs="Verdana"/>
                <w:i/>
                <w:noProof/>
                <w:color w:val="000000"/>
                <w:sz w:val="18"/>
              </w:rPr>
              <w:t>Financial liabilities at 31.12.2024</w:t>
            </w:r>
          </w:p>
        </w:tc>
        <w:tc>
          <w:tcPr>
            <w:tcW w:w="1985" w:type="dxa"/>
            <w:tcBorders>
              <w:top w:val="nil"/>
              <w:left w:val="nil"/>
              <w:bottom w:val="nil"/>
              <w:right w:val="nil"/>
              <w:tl2br w:val="nil"/>
              <w:tr2bl w:val="nil"/>
            </w:tcBorders>
            <w:shd w:val="clear" w:color="auto" w:fill="auto"/>
            <w:tcMar>
              <w:left w:w="60" w:type="dxa"/>
              <w:right w:w="60" w:type="dxa"/>
            </w:tcMar>
            <w:vAlign w:val="center"/>
          </w:tcPr>
          <w:p w14:paraId="7B4F3819" w14:textId="77777777" w:rsidR="00FD1E19" w:rsidRDefault="00FD1E19" w:rsidP="00BE7E4A">
            <w:pPr>
              <w:pStyle w:val="DMETW37225BIPLrnew"/>
              <w:jc w:val="right"/>
              <w:rPr>
                <w:rFonts w:ascii="Verdana" w:eastAsia="Verdana" w:hAnsi="Verdana" w:cs="Verdana"/>
                <w:i/>
                <w:noProof/>
                <w:color w:val="000000"/>
                <w:sz w:val="18"/>
              </w:rPr>
            </w:pPr>
            <w:r>
              <w:rPr>
                <w:rFonts w:ascii="Verdana" w:eastAsia="Verdana" w:hAnsi="Verdana" w:cs="Verdana"/>
                <w:i/>
                <w:noProof/>
                <w:color w:val="000000"/>
                <w:sz w:val="18"/>
              </w:rPr>
              <w:t xml:space="preserve"> 256</w:t>
            </w:r>
          </w:p>
        </w:tc>
        <w:tc>
          <w:tcPr>
            <w:tcW w:w="3073" w:type="dxa"/>
            <w:tcBorders>
              <w:top w:val="nil"/>
              <w:left w:val="nil"/>
              <w:bottom w:val="nil"/>
              <w:right w:val="nil"/>
              <w:tl2br w:val="nil"/>
              <w:tr2bl w:val="nil"/>
            </w:tcBorders>
            <w:shd w:val="clear" w:color="auto" w:fill="auto"/>
            <w:tcMar>
              <w:left w:w="60" w:type="dxa"/>
              <w:right w:w="60" w:type="dxa"/>
            </w:tcMar>
            <w:vAlign w:val="center"/>
          </w:tcPr>
          <w:p w14:paraId="29280108" w14:textId="77777777" w:rsidR="00FD1E19" w:rsidRDefault="00FD1E19" w:rsidP="00BE7E4A">
            <w:pPr>
              <w:pStyle w:val="DMETW37225BIPLrnew"/>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3073" w:type="dxa"/>
            <w:tcBorders>
              <w:top w:val="nil"/>
              <w:left w:val="nil"/>
              <w:bottom w:val="nil"/>
              <w:right w:val="nil"/>
              <w:tl2br w:val="nil"/>
              <w:tr2bl w:val="nil"/>
            </w:tcBorders>
            <w:shd w:val="clear" w:color="auto" w:fill="auto"/>
            <w:tcMar>
              <w:left w:w="60" w:type="dxa"/>
              <w:right w:w="60" w:type="dxa"/>
            </w:tcMar>
            <w:vAlign w:val="center"/>
          </w:tcPr>
          <w:p w14:paraId="7EBC63BF" w14:textId="77777777" w:rsidR="00FD1E19" w:rsidRDefault="00FD1E19" w:rsidP="00BE7E4A">
            <w:pPr>
              <w:pStyle w:val="DMETW37225BIPLrnew"/>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3073" w:type="dxa"/>
            <w:tcBorders>
              <w:top w:val="nil"/>
              <w:left w:val="nil"/>
              <w:bottom w:val="nil"/>
              <w:right w:val="nil"/>
              <w:tl2br w:val="nil"/>
              <w:tr2bl w:val="nil"/>
            </w:tcBorders>
            <w:shd w:val="clear" w:color="auto" w:fill="auto"/>
            <w:tcMar>
              <w:left w:w="60" w:type="dxa"/>
              <w:right w:w="60" w:type="dxa"/>
            </w:tcMar>
            <w:vAlign w:val="bottom"/>
          </w:tcPr>
          <w:p w14:paraId="1C4BA068" w14:textId="77777777" w:rsidR="00FD1E19" w:rsidRDefault="00FD1E19" w:rsidP="00BE7E4A">
            <w:pPr>
              <w:pStyle w:val="DMETW37225BIPLrnew"/>
              <w:jc w:val="right"/>
              <w:rPr>
                <w:rFonts w:ascii="Verdana" w:eastAsia="Verdana" w:hAnsi="Verdana" w:cs="Verdana"/>
                <w:i/>
                <w:noProof/>
                <w:color w:val="000000"/>
                <w:sz w:val="18"/>
              </w:rPr>
            </w:pPr>
            <w:r>
              <w:rPr>
                <w:rFonts w:ascii="Verdana" w:eastAsia="Verdana" w:hAnsi="Verdana" w:cs="Verdana"/>
                <w:i/>
                <w:noProof/>
                <w:color w:val="000000"/>
                <w:sz w:val="18"/>
              </w:rPr>
              <w:t xml:space="preserve"> 256</w:t>
            </w:r>
          </w:p>
        </w:tc>
      </w:tr>
    </w:tbl>
    <w:p w14:paraId="171233DA" w14:textId="77777777" w:rsidR="00FD1E19" w:rsidRPr="004339E8" w:rsidRDefault="00FD1E19" w:rsidP="00FD1E19">
      <w:pPr>
        <w:pStyle w:val="Textstand-alone"/>
        <w:rPr>
          <w:b/>
        </w:rPr>
      </w:pPr>
      <w:r w:rsidRPr="004339E8">
        <w:t>Budget principles applied to the EDF ensure that overall cash resources for the budgetary period are always sufficient for the execution of payments. Indeed the total Member States' contributions equal the overall amount of payment appropriations for the relevant budgetary period.</w:t>
      </w:r>
    </w:p>
    <w:p w14:paraId="305C02E5" w14:textId="77777777" w:rsidR="00FD1E19" w:rsidRPr="00055C4F" w:rsidRDefault="00FD1E19" w:rsidP="00FD1E19">
      <w:pPr>
        <w:pStyle w:val="Textstand-alone"/>
      </w:pPr>
      <w:r>
        <w:t xml:space="preserve">However, </w:t>
      </w:r>
      <w:r w:rsidRPr="004339E8">
        <w:t>Member States</w:t>
      </w:r>
      <w:r>
        <w:t>’</w:t>
      </w:r>
      <w:r w:rsidRPr="004339E8">
        <w:t xml:space="preserve"> contributions</w:t>
      </w:r>
      <w:r>
        <w:t xml:space="preserve"> to the EDF</w:t>
      </w:r>
      <w:r w:rsidRPr="004339E8">
        <w:t xml:space="preserve"> are paid in three instalments per year, while payments are subject to seasonality.</w:t>
      </w:r>
    </w:p>
    <w:p w14:paraId="54E7D6B8" w14:textId="77777777" w:rsidR="00FD1E19" w:rsidRPr="00055C4F" w:rsidRDefault="00FD1E19" w:rsidP="00FD1E19">
      <w:pPr>
        <w:pStyle w:val="Textstand-alone"/>
      </w:pPr>
      <w:r w:rsidRPr="004339E8">
        <w:t>In order to ensure that treasury resources are always sufficient to cover the payments to be executed in any given month, information on the treasury situation is regularly exchanged between the Commission's treasury and the relevant spending departments.</w:t>
      </w:r>
    </w:p>
    <w:p w14:paraId="5D252E47" w14:textId="77777777" w:rsidR="00FD1E19" w:rsidRPr="00055C4F" w:rsidRDefault="00FD1E19" w:rsidP="00FD1E19">
      <w:pPr>
        <w:pStyle w:val="Textstand-alone"/>
      </w:pPr>
      <w:r w:rsidRPr="004339E8">
        <w:t>In addition to the above, in the context of the EDF's treasury operations, automated cash management tools ensure that sufficient liquidity is available on each of the EDF's bank accounts, on a daily basis.</w:t>
      </w:r>
    </w:p>
    <w:p w14:paraId="766D4709" w14:textId="77777777" w:rsidR="00FD1E19" w:rsidRPr="00D52CE8" w:rsidRDefault="00FD1E19" w:rsidP="00FD1E19">
      <w:pPr>
        <w:pStyle w:val="HEADER1Part2"/>
        <w:keepNext/>
        <w:keepLines/>
        <w:rPr>
          <w:noProof/>
        </w:rPr>
      </w:pPr>
      <w:r w:rsidRPr="00D52CE8">
        <w:rPr>
          <w:noProof/>
        </w:rPr>
        <w:t>RELATED PARTY DISCLOSURES</w:t>
      </w:r>
    </w:p>
    <w:p w14:paraId="594B1E07" w14:textId="77777777" w:rsidR="00FD1E19" w:rsidRPr="00D52CE8" w:rsidRDefault="00FD1E19" w:rsidP="00FD1E19">
      <w:pPr>
        <w:pStyle w:val="Textstand-alone"/>
        <w:keepNext/>
        <w:keepLines/>
      </w:pPr>
      <w:r w:rsidRPr="00D52CE8">
        <w:t>The related parties of the EDF are the</w:t>
      </w:r>
      <w:r>
        <w:t xml:space="preserve"> EUTF</w:t>
      </w:r>
      <w:r w:rsidRPr="00D52CE8">
        <w:t xml:space="preserve"> Bêkou- and </w:t>
      </w:r>
      <w:r>
        <w:t xml:space="preserve">EUTF </w:t>
      </w:r>
      <w:r w:rsidRPr="00D52CE8">
        <w:t>Africa and the European Commission. Transactions between these entities take place as part of the normal operations of the EDF</w:t>
      </w:r>
      <w:r>
        <w:t>,</w:t>
      </w:r>
      <w:r w:rsidRPr="00D52CE8">
        <w:t xml:space="preserve"> and </w:t>
      </w:r>
      <w:r>
        <w:t>therefore</w:t>
      </w:r>
      <w:r w:rsidRPr="00D52CE8">
        <w:t xml:space="preserve"> no specific disclosure requirements are necessary for these transactions in accordance with the EU accounting rules.</w:t>
      </w:r>
    </w:p>
    <w:p w14:paraId="31CBD2D4" w14:textId="77777777" w:rsidR="00FD1E19" w:rsidRDefault="00FD1E19" w:rsidP="00FD1E19">
      <w:pPr>
        <w:pStyle w:val="Textstand-alone"/>
      </w:pPr>
      <w:r w:rsidRPr="00D52CE8">
        <w:t xml:space="preserve">The EDF has no separate management since it is managed by the Commission. The entitlements of the key management of the EU, including the Commission, have been disclosed in the consolidated annual accounts of the European Union under heading 7.2 </w:t>
      </w:r>
      <w:r>
        <w:t>‘</w:t>
      </w:r>
      <w:r w:rsidRPr="00D52CE8">
        <w:t>Key management entitlements</w:t>
      </w:r>
      <w:r>
        <w:t>’</w:t>
      </w:r>
      <w:r w:rsidRPr="00D52CE8">
        <w:t>.</w:t>
      </w:r>
    </w:p>
    <w:p w14:paraId="7363D226" w14:textId="77777777" w:rsidR="00FD1E19" w:rsidRPr="00D52CE8" w:rsidRDefault="00FD1E19" w:rsidP="00FD1E19">
      <w:pPr>
        <w:pStyle w:val="HEADER1Part2"/>
        <w:rPr>
          <w:noProof/>
        </w:rPr>
      </w:pPr>
      <w:r w:rsidRPr="00D52CE8">
        <w:rPr>
          <w:noProof/>
        </w:rPr>
        <w:t>EVENTS AFTER THE BALANCE SHEET DATE</w:t>
      </w:r>
    </w:p>
    <w:p w14:paraId="5781F26A" w14:textId="77777777" w:rsidR="00FD1E19" w:rsidRDefault="00FD1E19" w:rsidP="00FD1E19">
      <w:pPr>
        <w:pStyle w:val="Textstand-alone"/>
      </w:pPr>
      <w:r w:rsidRPr="00697E0C">
        <w:t xml:space="preserve">At the date of signature of these accounts, no material issues had come to the attention of or were reported to the Accounting Officer of the </w:t>
      </w:r>
      <w:r>
        <w:t>EDF</w:t>
      </w:r>
      <w:r w:rsidRPr="00697E0C">
        <w:t xml:space="preserve"> that would require separate disclosure under this section.</w:t>
      </w:r>
      <w:r>
        <w:t xml:space="preserve"> </w:t>
      </w:r>
      <w:r w:rsidRPr="00697E0C">
        <w:t>The annual accounts and related notes were prepared using the most recently available information and this is reflected in the information presented above.</w:t>
      </w:r>
    </w:p>
    <w:p w14:paraId="2F3DBB07" w14:textId="77777777" w:rsidR="00FD1E19" w:rsidRPr="00D52CE8" w:rsidRDefault="00FD1E19" w:rsidP="00FD1E19">
      <w:pPr>
        <w:pStyle w:val="Textstand-alone"/>
      </w:pPr>
    </w:p>
    <w:p w14:paraId="6E3CD24F" w14:textId="77777777" w:rsidR="00FD1E19" w:rsidRPr="00D52CE8" w:rsidRDefault="00FD1E19" w:rsidP="00FD1E19">
      <w:pPr>
        <w:pStyle w:val="Textstand-alone"/>
      </w:pPr>
    </w:p>
    <w:p w14:paraId="2E5D0794" w14:textId="77777777" w:rsidR="00FD1E19" w:rsidRPr="00D52CE8" w:rsidRDefault="00FD1E19" w:rsidP="00FD1E19">
      <w:pPr>
        <w:pStyle w:val="HEADER5"/>
        <w:rPr>
          <w:noProof/>
        </w:rPr>
        <w:sectPr w:rsidR="00FD1E19" w:rsidRPr="00D52CE8" w:rsidSect="00FD1E19">
          <w:headerReference w:type="default" r:id="rId88"/>
          <w:footerReference w:type="default" r:id="rId89"/>
          <w:pgSz w:w="11906" w:h="16838" w:code="9"/>
          <w:pgMar w:top="1134" w:right="1134" w:bottom="1134" w:left="1134" w:header="709" w:footer="709" w:gutter="0"/>
          <w:cols w:space="708"/>
          <w:docGrid w:linePitch="360"/>
        </w:sectPr>
      </w:pPr>
    </w:p>
    <w:p w14:paraId="41F87B61" w14:textId="77777777" w:rsidR="00FD1E19" w:rsidRPr="00103B54" w:rsidRDefault="00FD1E19" w:rsidP="00FD1E19">
      <w:pPr>
        <w:pStyle w:val="HEADER1Part2"/>
        <w:tabs>
          <w:tab w:val="clear" w:pos="907"/>
          <w:tab w:val="left" w:pos="0"/>
        </w:tabs>
        <w:ind w:left="0" w:firstLine="0"/>
        <w:jc w:val="left"/>
        <w:rPr>
          <w:noProof/>
        </w:rPr>
      </w:pPr>
      <w:r w:rsidRPr="00103B54">
        <w:rPr>
          <w:noProof/>
        </w:rPr>
        <w:t>RECONCILIATION OF ECONOMIC RESULT AND BUDGET RESULT</w:t>
      </w:r>
    </w:p>
    <w:p w14:paraId="74A1FE12" w14:textId="77777777" w:rsidR="00FD1E19" w:rsidRDefault="00FD1E19" w:rsidP="00FD1E19">
      <w:pPr>
        <w:pStyle w:val="Textstand-alone"/>
      </w:pPr>
      <w:r w:rsidRPr="00D52CE8">
        <w:t>The economic result of the year is calculated based on accrual accounting principles. The budget result is however based on cash accounting rules. As the economic result and the budget result both cover the same underlying operational transactions, it is a useful control to ensure that they are reconcil</w:t>
      </w:r>
      <w:r>
        <w:t>a</w:t>
      </w:r>
      <w:r w:rsidRPr="00D52CE8">
        <w:t>ble. The table below shows this reconciliation, highlighting the key reconciling amounts, split between revenue and expenditure items.</w:t>
      </w:r>
      <w:r>
        <w:t xml:space="preserve"> The notes to the table provide additional information on the nature of the key reconciling items.</w:t>
      </w:r>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2"/>
        <w:gridCol w:w="1392"/>
        <w:gridCol w:w="1154"/>
      </w:tblGrid>
      <w:tr w:rsidR="00FD1E19" w14:paraId="6DE911D8" w14:textId="77777777" w:rsidTr="00BE7E4A">
        <w:trPr>
          <w:trHeight w:val="255"/>
        </w:trPr>
        <w:tc>
          <w:tcPr>
            <w:tcW w:w="8160" w:type="dxa"/>
            <w:gridSpan w:val="3"/>
            <w:tcBorders>
              <w:top w:val="nil"/>
              <w:left w:val="nil"/>
              <w:bottom w:val="nil"/>
              <w:right w:val="nil"/>
              <w:tl2br w:val="nil"/>
              <w:tr2bl w:val="nil"/>
            </w:tcBorders>
            <w:shd w:val="clear" w:color="auto" w:fill="auto"/>
            <w:tcMar>
              <w:left w:w="60" w:type="dxa"/>
              <w:right w:w="60" w:type="dxa"/>
            </w:tcMar>
            <w:vAlign w:val="center"/>
          </w:tcPr>
          <w:p w14:paraId="059CDD79" w14:textId="77777777" w:rsidR="00FD1E19" w:rsidRDefault="00FD1E19" w:rsidP="00BE7E4A">
            <w:pPr>
              <w:pStyle w:val="DMETW37225BIPFIFMREC"/>
              <w:jc w:val="right"/>
              <w:rPr>
                <w:rFonts w:ascii="Verdana" w:eastAsia="Verdana" w:hAnsi="Verdana" w:cs="Verdana"/>
                <w:i/>
                <w:noProof/>
                <w:color w:val="000000"/>
                <w:sz w:val="16"/>
                <w:lang w:bidi="en-GB"/>
              </w:rPr>
            </w:pPr>
            <w:bookmarkStart w:id="135" w:name="DOC_TBL00053_1_1"/>
            <w:bookmarkEnd w:id="135"/>
            <w:r>
              <w:rPr>
                <w:rFonts w:ascii="Verdana" w:eastAsia="Verdana" w:hAnsi="Verdana" w:cs="Verdana"/>
                <w:i/>
                <w:noProof/>
                <w:color w:val="000000"/>
                <w:sz w:val="16"/>
                <w:lang w:bidi="en-GB"/>
              </w:rPr>
              <w:t>EUR million</w:t>
            </w:r>
          </w:p>
        </w:tc>
      </w:tr>
      <w:tr w:rsidR="00FD1E19" w14:paraId="17444E1D" w14:textId="77777777" w:rsidTr="00BE7E4A">
        <w:trPr>
          <w:trHeight w:val="255"/>
        </w:trPr>
        <w:tc>
          <w:tcPr>
            <w:tcW w:w="8160" w:type="dxa"/>
            <w:tcBorders>
              <w:top w:val="nil"/>
              <w:left w:val="nil"/>
              <w:bottom w:val="nil"/>
              <w:right w:val="nil"/>
              <w:tl2br w:val="nil"/>
              <w:tr2bl w:val="nil"/>
            </w:tcBorders>
            <w:shd w:val="solid" w:color="016794" w:fill="FFFFFF"/>
            <w:tcMar>
              <w:left w:w="60" w:type="dxa"/>
              <w:right w:w="60" w:type="dxa"/>
            </w:tcMar>
            <w:vAlign w:val="center"/>
          </w:tcPr>
          <w:p w14:paraId="215E6FBA" w14:textId="77777777" w:rsidR="00FD1E19" w:rsidRDefault="00FD1E19" w:rsidP="00BE7E4A">
            <w:pPr>
              <w:pStyle w:val="DMETW37225BIPFIFMREC"/>
              <w:jc w:val="right"/>
              <w:rPr>
                <w:rFonts w:ascii="Verdana" w:eastAsia="Verdana" w:hAnsi="Verdana" w:cs="Verdana"/>
                <w:noProof/>
                <w:color w:val="FFFFFF"/>
              </w:rPr>
            </w:pPr>
          </w:p>
        </w:tc>
        <w:tc>
          <w:tcPr>
            <w:tcW w:w="1560" w:type="dxa"/>
            <w:tcBorders>
              <w:top w:val="nil"/>
              <w:left w:val="nil"/>
              <w:bottom w:val="nil"/>
              <w:right w:val="nil"/>
              <w:tl2br w:val="nil"/>
              <w:tr2bl w:val="nil"/>
            </w:tcBorders>
            <w:shd w:val="solid" w:color="016794" w:fill="FFFFFF"/>
            <w:tcMar>
              <w:left w:w="60" w:type="dxa"/>
              <w:right w:w="60" w:type="dxa"/>
            </w:tcMar>
            <w:vAlign w:val="center"/>
          </w:tcPr>
          <w:p w14:paraId="3EF0E78C" w14:textId="77777777" w:rsidR="00FD1E19" w:rsidRDefault="00FD1E19" w:rsidP="00BE7E4A">
            <w:pPr>
              <w:pStyle w:val="DMETW37225BIPFIFMREC"/>
              <w:jc w:val="right"/>
              <w:rPr>
                <w:rFonts w:ascii="Verdana" w:eastAsia="Verdana" w:hAnsi="Verdana" w:cs="Verdana"/>
                <w:noProof/>
                <w:color w:val="FFFFFF"/>
              </w:rPr>
            </w:pPr>
            <w:r>
              <w:rPr>
                <w:rFonts w:ascii="Verdana" w:eastAsia="Verdana" w:hAnsi="Verdana" w:cs="Verdana"/>
                <w:noProof/>
                <w:color w:val="FFFFFF"/>
              </w:rPr>
              <w:t>2025</w:t>
            </w:r>
          </w:p>
        </w:tc>
        <w:tc>
          <w:tcPr>
            <w:tcW w:w="1290" w:type="dxa"/>
            <w:tcBorders>
              <w:top w:val="nil"/>
              <w:left w:val="nil"/>
              <w:bottom w:val="nil"/>
              <w:right w:val="nil"/>
              <w:tl2br w:val="nil"/>
              <w:tr2bl w:val="nil"/>
            </w:tcBorders>
            <w:shd w:val="solid" w:color="016794" w:fill="FFFFFF"/>
            <w:tcMar>
              <w:left w:w="60" w:type="dxa"/>
              <w:right w:w="60" w:type="dxa"/>
            </w:tcMar>
            <w:vAlign w:val="center"/>
          </w:tcPr>
          <w:p w14:paraId="3AEFA972" w14:textId="77777777" w:rsidR="00FD1E19" w:rsidRDefault="00FD1E19" w:rsidP="00BE7E4A">
            <w:pPr>
              <w:pStyle w:val="DMETW37225BIPFIFMREC"/>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3E1E4282" w14:textId="77777777" w:rsidTr="00BE7E4A">
        <w:trPr>
          <w:trHeight w:val="255"/>
        </w:trPr>
        <w:tc>
          <w:tcPr>
            <w:tcW w:w="8160" w:type="dxa"/>
            <w:tcBorders>
              <w:top w:val="nil"/>
              <w:left w:val="nil"/>
              <w:bottom w:val="nil"/>
              <w:right w:val="nil"/>
              <w:tl2br w:val="nil"/>
              <w:tr2bl w:val="nil"/>
            </w:tcBorders>
            <w:shd w:val="solid" w:color="CCE1EA" w:fill="FFFFFF"/>
            <w:tcMar>
              <w:left w:w="60" w:type="dxa"/>
              <w:right w:w="60" w:type="dxa"/>
            </w:tcMar>
            <w:vAlign w:val="center"/>
          </w:tcPr>
          <w:p w14:paraId="32755DE4" w14:textId="77777777" w:rsidR="00FD1E19" w:rsidRDefault="00FD1E19" w:rsidP="00BE7E4A">
            <w:pPr>
              <w:pStyle w:val="DMETW37225BIPFIFMREC"/>
              <w:rPr>
                <w:rFonts w:ascii="Verdana" w:eastAsia="Verdana" w:hAnsi="Verdana" w:cs="Verdana"/>
                <w:b/>
                <w:noProof/>
                <w:color w:val="000000"/>
                <w:sz w:val="18"/>
              </w:rPr>
            </w:pPr>
            <w:r>
              <w:rPr>
                <w:rFonts w:ascii="Verdana" w:eastAsia="Verdana" w:hAnsi="Verdana" w:cs="Verdana"/>
                <w:b/>
                <w:noProof/>
                <w:color w:val="000000"/>
                <w:sz w:val="18"/>
              </w:rPr>
              <w:t>ECONOMIC RESULT OF THE YEAR</w:t>
            </w:r>
          </w:p>
        </w:tc>
        <w:tc>
          <w:tcPr>
            <w:tcW w:w="1560" w:type="dxa"/>
            <w:tcBorders>
              <w:top w:val="nil"/>
              <w:left w:val="nil"/>
              <w:bottom w:val="nil"/>
              <w:right w:val="nil"/>
              <w:tl2br w:val="nil"/>
              <w:tr2bl w:val="nil"/>
            </w:tcBorders>
            <w:shd w:val="solid" w:color="CCE1EA" w:fill="FFFFFF"/>
            <w:tcMar>
              <w:left w:w="60" w:type="dxa"/>
              <w:right w:w="60" w:type="dxa"/>
            </w:tcMar>
            <w:vAlign w:val="center"/>
          </w:tcPr>
          <w:p w14:paraId="5B9FC5E0" w14:textId="77777777" w:rsidR="00FD1E19" w:rsidRDefault="00FD1E19" w:rsidP="00BE7E4A">
            <w:pPr>
              <w:pStyle w:val="DMETW37225BIPFIFMREC"/>
              <w:jc w:val="right"/>
              <w:rPr>
                <w:rFonts w:ascii="Verdana" w:eastAsia="Verdana" w:hAnsi="Verdana" w:cs="Verdana"/>
                <w:b/>
                <w:noProof/>
                <w:color w:val="000000"/>
                <w:sz w:val="18"/>
              </w:rPr>
            </w:pPr>
            <w:r>
              <w:rPr>
                <w:rFonts w:ascii="Verdana" w:eastAsia="Verdana" w:hAnsi="Verdana" w:cs="Verdana"/>
                <w:b/>
                <w:noProof/>
                <w:color w:val="000000"/>
                <w:sz w:val="18"/>
              </w:rPr>
              <w:t xml:space="preserve"> (1 094)</w:t>
            </w:r>
          </w:p>
        </w:tc>
        <w:tc>
          <w:tcPr>
            <w:tcW w:w="1290" w:type="dxa"/>
            <w:tcBorders>
              <w:top w:val="nil"/>
              <w:left w:val="nil"/>
              <w:bottom w:val="nil"/>
              <w:right w:val="nil"/>
              <w:tl2br w:val="nil"/>
              <w:tr2bl w:val="nil"/>
            </w:tcBorders>
            <w:shd w:val="solid" w:color="CCE1EA" w:fill="FFFFFF"/>
            <w:tcMar>
              <w:left w:w="60" w:type="dxa"/>
              <w:right w:w="60" w:type="dxa"/>
            </w:tcMar>
            <w:vAlign w:val="center"/>
          </w:tcPr>
          <w:p w14:paraId="1B76F83F" w14:textId="77777777" w:rsidR="00FD1E19" w:rsidRDefault="00FD1E19" w:rsidP="00BE7E4A">
            <w:pPr>
              <w:pStyle w:val="DMETW37225BIPFIFMREC"/>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(1 240)</w:t>
            </w:r>
          </w:p>
        </w:tc>
      </w:tr>
      <w:tr w:rsidR="00FD1E19" w14:paraId="12F1FDE2"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29EA42DB" w14:textId="77777777" w:rsidR="00FD1E19" w:rsidRDefault="00FD1E19" w:rsidP="00BE7E4A">
            <w:pPr>
              <w:pStyle w:val="DMETW37225BIPFIFMREC"/>
              <w:rPr>
                <w:rFonts w:ascii="Verdana" w:eastAsia="Verdana" w:hAnsi="Verdana" w:cs="Verdana"/>
                <w:noProof/>
                <w:color w:val="000000"/>
                <w:sz w:val="18"/>
              </w:rPr>
            </w:pPr>
          </w:p>
        </w:tc>
        <w:tc>
          <w:tcPr>
            <w:tcW w:w="1560" w:type="dxa"/>
            <w:tcBorders>
              <w:top w:val="nil"/>
              <w:left w:val="nil"/>
              <w:bottom w:val="nil"/>
              <w:right w:val="nil"/>
              <w:tl2br w:val="nil"/>
              <w:tr2bl w:val="nil"/>
            </w:tcBorders>
            <w:shd w:val="clear" w:color="auto" w:fill="auto"/>
            <w:tcMar>
              <w:left w:w="60" w:type="dxa"/>
              <w:right w:w="60" w:type="dxa"/>
            </w:tcMar>
            <w:vAlign w:val="center"/>
          </w:tcPr>
          <w:p w14:paraId="1B1385EE" w14:textId="77777777" w:rsidR="00FD1E19" w:rsidRDefault="00FD1E19" w:rsidP="00BE7E4A">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shd w:val="clear" w:color="auto" w:fill="auto"/>
            <w:tcMar>
              <w:left w:w="60" w:type="dxa"/>
              <w:right w:w="60" w:type="dxa"/>
            </w:tcMar>
            <w:vAlign w:val="center"/>
          </w:tcPr>
          <w:p w14:paraId="5705C20B" w14:textId="77777777" w:rsidR="00FD1E19" w:rsidRDefault="00FD1E19" w:rsidP="00BE7E4A">
            <w:pPr>
              <w:pStyle w:val="DMETW37225BIPFIFMREC"/>
              <w:jc w:val="right"/>
              <w:rPr>
                <w:rFonts w:ascii="Verdana" w:eastAsia="Verdana" w:hAnsi="Verdana" w:cs="Verdana"/>
                <w:noProof/>
                <w:color w:val="000000"/>
                <w:sz w:val="18"/>
                <w:lang w:bidi="en-GB"/>
              </w:rPr>
            </w:pPr>
          </w:p>
        </w:tc>
      </w:tr>
      <w:tr w:rsidR="00FD1E19" w14:paraId="0F13CE56"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68A5916E" w14:textId="77777777" w:rsidR="00FD1E19" w:rsidRDefault="00FD1E19" w:rsidP="00BE7E4A">
            <w:pPr>
              <w:pStyle w:val="DMETW37225BIPFIFMREC"/>
              <w:rPr>
                <w:rFonts w:ascii="Verdana" w:eastAsia="Verdana" w:hAnsi="Verdana" w:cs="Verdana"/>
                <w:b/>
                <w:noProof/>
                <w:color w:val="000000"/>
                <w:sz w:val="18"/>
              </w:rPr>
            </w:pPr>
            <w:r>
              <w:rPr>
                <w:rFonts w:ascii="Verdana" w:eastAsia="Verdana" w:hAnsi="Verdana" w:cs="Verdana"/>
                <w:b/>
                <w:noProof/>
                <w:color w:val="000000"/>
                <w:sz w:val="18"/>
              </w:rPr>
              <w:t>Revenue</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32C909FF" w14:textId="77777777" w:rsidR="00FD1E19" w:rsidRDefault="00FD1E19" w:rsidP="00BE7E4A">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shd w:val="clear" w:color="auto" w:fill="auto"/>
            <w:tcMar>
              <w:left w:w="60" w:type="dxa"/>
              <w:right w:w="60" w:type="dxa"/>
            </w:tcMar>
            <w:vAlign w:val="center"/>
          </w:tcPr>
          <w:p w14:paraId="659137BA" w14:textId="77777777" w:rsidR="00FD1E19" w:rsidRDefault="00FD1E19" w:rsidP="00BE7E4A">
            <w:pPr>
              <w:pStyle w:val="DMETW37225BIPFIFMREC"/>
              <w:jc w:val="right"/>
              <w:rPr>
                <w:rFonts w:ascii="Verdana" w:eastAsia="Verdana" w:hAnsi="Verdana" w:cs="Verdana"/>
                <w:noProof/>
                <w:color w:val="000000"/>
                <w:sz w:val="18"/>
                <w:lang w:bidi="en-GB"/>
              </w:rPr>
            </w:pPr>
          </w:p>
        </w:tc>
      </w:tr>
      <w:tr w:rsidR="00FD1E19" w14:paraId="6C03ED3E"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05DF8513"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Entitlements not affecting the budget result</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6B00D67B"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1A312FD0"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w:t>
            </w:r>
          </w:p>
        </w:tc>
      </w:tr>
      <w:tr w:rsidR="00FD1E19" w14:paraId="5088CAE6"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6DB14394"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Entitlements established in current year but not yet collected</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447A7FDF"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(10)</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2A8878A3"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FD1E19" w14:paraId="338EBCF2"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2ADCB08C"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Entitlements established in previous years and collected in current year</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6F6DC046"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60764054"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w:t>
            </w:r>
          </w:p>
        </w:tc>
      </w:tr>
      <w:tr w:rsidR="00FD1E19" w14:paraId="3B343BFC"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05F34F02"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Revenue decreasing consumption</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622AB0F4"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44</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1AD36772"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38</w:t>
            </w:r>
          </w:p>
        </w:tc>
      </w:tr>
      <w:tr w:rsidR="00FD1E19" w14:paraId="112E43B1"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5DEDF588"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Accrued revenue (net)</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0CF14B16"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(25)</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1FDA34F4"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(98)</w:t>
            </w:r>
          </w:p>
        </w:tc>
      </w:tr>
      <w:tr w:rsidR="00FD1E19" w14:paraId="231CB8FC"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36E7A8FB"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Other</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704A6A31"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71D8BECD"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4B2FF518"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1FF14E6D" w14:textId="77777777" w:rsidR="00FD1E19" w:rsidRDefault="00FD1E19" w:rsidP="00BE7E4A">
            <w:pPr>
              <w:pStyle w:val="DMETW37225BIPFIFMREC"/>
              <w:rPr>
                <w:rFonts w:ascii="Verdana" w:eastAsia="Verdana" w:hAnsi="Verdana" w:cs="Verdana"/>
                <w:b/>
                <w:i/>
                <w:noProof/>
                <w:color w:val="000000"/>
                <w:sz w:val="18"/>
              </w:rPr>
            </w:pPr>
            <w:r>
              <w:rPr>
                <w:rFonts w:ascii="Verdana" w:eastAsia="Verdana" w:hAnsi="Verdana" w:cs="Verdana"/>
                <w:b/>
                <w:i/>
                <w:noProof/>
                <w:color w:val="000000"/>
                <w:sz w:val="18"/>
              </w:rPr>
              <w:t>Expenses</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075A6BE4" w14:textId="77777777" w:rsidR="00FD1E19" w:rsidRDefault="00FD1E19" w:rsidP="00BE7E4A">
            <w:pPr>
              <w:pStyle w:val="DMETW37225BIPFIFMREC"/>
              <w:jc w:val="right"/>
              <w:rPr>
                <w:rFonts w:ascii="Verdana" w:eastAsia="Verdana" w:hAnsi="Verdana" w:cs="Verdana"/>
                <w:i/>
                <w:noProof/>
                <w:color w:val="000000"/>
                <w:sz w:val="18"/>
              </w:rPr>
            </w:pPr>
          </w:p>
        </w:tc>
        <w:tc>
          <w:tcPr>
            <w:tcW w:w="1290" w:type="dxa"/>
            <w:tcBorders>
              <w:top w:val="nil"/>
              <w:left w:val="nil"/>
              <w:bottom w:val="nil"/>
              <w:right w:val="nil"/>
              <w:tl2br w:val="nil"/>
              <w:tr2bl w:val="nil"/>
            </w:tcBorders>
            <w:shd w:val="clear" w:color="auto" w:fill="auto"/>
            <w:tcMar>
              <w:left w:w="60" w:type="dxa"/>
              <w:right w:w="60" w:type="dxa"/>
            </w:tcMar>
            <w:vAlign w:val="center"/>
          </w:tcPr>
          <w:p w14:paraId="32E9B776" w14:textId="77777777" w:rsidR="00FD1E19" w:rsidRDefault="00FD1E19" w:rsidP="00BE7E4A">
            <w:pPr>
              <w:pStyle w:val="DMETW37225BIPFIFMREC"/>
              <w:jc w:val="right"/>
              <w:rPr>
                <w:rFonts w:ascii="Verdana" w:eastAsia="Verdana" w:hAnsi="Verdana" w:cs="Verdana"/>
                <w:i/>
                <w:noProof/>
                <w:color w:val="000000"/>
                <w:sz w:val="18"/>
                <w:lang w:bidi="en-GB"/>
              </w:rPr>
            </w:pPr>
          </w:p>
        </w:tc>
      </w:tr>
      <w:tr w:rsidR="00FD1E19" w14:paraId="10A11B84"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09DA81A6"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Expenses of the current year not yet paid</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1EAC6E4F"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10</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58109E98"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65</w:t>
            </w:r>
          </w:p>
        </w:tc>
      </w:tr>
      <w:tr w:rsidR="00FD1E19" w14:paraId="6087C6C1"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0FA958D2"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Expenses of previous years paid in the current year</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6EC116CD"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(48)</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00949E41"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(176)</w:t>
            </w:r>
          </w:p>
        </w:tc>
      </w:tr>
      <w:tr w:rsidR="00FD1E19" w14:paraId="70430C61"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53E0BB38"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Net effect of pre-financing</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6F7B483B"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730</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678EE70F"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1 147</w:t>
            </w:r>
          </w:p>
        </w:tc>
      </w:tr>
      <w:tr w:rsidR="00FD1E19" w14:paraId="046C44C0"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573ECE96"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Accrued expenses (net)</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1F883952" w14:textId="77777777" w:rsidR="00FD1E19" w:rsidRDefault="00FD1E19" w:rsidP="00BE7E4A">
            <w:pPr>
              <w:pStyle w:val="DMETW37225BIPFIFMREC"/>
              <w:jc w:val="right"/>
              <w:rPr>
                <w:rFonts w:ascii="Verdana" w:eastAsia="Verdana" w:hAnsi="Verdana" w:cs="Verdana"/>
                <w:i/>
                <w:noProof/>
                <w:color w:val="000000"/>
                <w:sz w:val="18"/>
              </w:rPr>
            </w:pPr>
            <w:r>
              <w:rPr>
                <w:rFonts w:ascii="Verdana" w:eastAsia="Verdana" w:hAnsi="Verdana" w:cs="Verdana"/>
                <w:i/>
                <w:noProof/>
                <w:color w:val="000000"/>
                <w:sz w:val="18"/>
              </w:rPr>
              <w:t xml:space="preserve"> (509)</w:t>
            </w:r>
          </w:p>
        </w:tc>
        <w:tc>
          <w:tcPr>
            <w:tcW w:w="1290" w:type="dxa"/>
            <w:tcBorders>
              <w:top w:val="nil"/>
              <w:left w:val="nil"/>
              <w:bottom w:val="nil"/>
              <w:right w:val="nil"/>
              <w:tl2br w:val="nil"/>
              <w:tr2bl w:val="nil"/>
            </w:tcBorders>
            <w:shd w:val="clear" w:color="auto" w:fill="auto"/>
            <w:tcMar>
              <w:left w:w="60" w:type="dxa"/>
              <w:right w:w="60" w:type="dxa"/>
            </w:tcMar>
            <w:vAlign w:val="center"/>
          </w:tcPr>
          <w:p w14:paraId="480BB6AF" w14:textId="77777777" w:rsidR="00FD1E19" w:rsidRDefault="00FD1E19" w:rsidP="00BE7E4A">
            <w:pPr>
              <w:pStyle w:val="DMETW37225BIPFIFMREC"/>
              <w:jc w:val="right"/>
              <w:rPr>
                <w:rFonts w:ascii="Verdana" w:eastAsia="Verdana" w:hAnsi="Verdana" w:cs="Verdana"/>
                <w:i/>
                <w:noProof/>
                <w:color w:val="000000"/>
                <w:sz w:val="18"/>
                <w:lang w:bidi="en-GB"/>
              </w:rPr>
            </w:pPr>
            <w:r>
              <w:rPr>
                <w:rFonts w:ascii="Verdana" w:eastAsia="Verdana" w:hAnsi="Verdana" w:cs="Verdana"/>
                <w:i/>
                <w:noProof/>
                <w:color w:val="000000"/>
                <w:sz w:val="18"/>
              </w:rPr>
              <w:t>(1 070)</w:t>
            </w:r>
          </w:p>
        </w:tc>
      </w:tr>
      <w:tr w:rsidR="00FD1E19" w14:paraId="44E35970"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48961FD0" w14:textId="77777777" w:rsidR="00FD1E19" w:rsidRDefault="00FD1E19" w:rsidP="00BE7E4A">
            <w:pPr>
              <w:pStyle w:val="DMETW37225BIPFIFMREC"/>
              <w:rPr>
                <w:rFonts w:ascii="Verdana" w:eastAsia="Verdana" w:hAnsi="Verdana" w:cs="Verdana"/>
                <w:i/>
                <w:noProof/>
                <w:color w:val="000000"/>
                <w:sz w:val="18"/>
              </w:rPr>
            </w:pPr>
            <w:r>
              <w:rPr>
                <w:rFonts w:ascii="Verdana" w:eastAsia="Verdana" w:hAnsi="Verdana" w:cs="Verdana"/>
                <w:i/>
                <w:noProof/>
                <w:color w:val="000000"/>
                <w:sz w:val="18"/>
              </w:rPr>
              <w:t>Other</w:t>
            </w:r>
          </w:p>
        </w:tc>
        <w:tc>
          <w:tcPr>
            <w:tcW w:w="1560" w:type="dxa"/>
            <w:tcBorders>
              <w:top w:val="nil"/>
              <w:left w:val="nil"/>
              <w:bottom w:val="nil"/>
              <w:right w:val="nil"/>
              <w:tl2br w:val="nil"/>
              <w:tr2bl w:val="nil"/>
            </w:tcBorders>
            <w:shd w:val="clear" w:color="auto" w:fill="auto"/>
            <w:tcMar>
              <w:left w:w="60" w:type="dxa"/>
              <w:right w:w="60" w:type="dxa"/>
            </w:tcMar>
            <w:vAlign w:val="center"/>
          </w:tcPr>
          <w:p w14:paraId="424F52E4" w14:textId="77777777" w:rsidR="00FD1E19" w:rsidRDefault="00FD1E19" w:rsidP="00BE7E4A">
            <w:pPr>
              <w:pStyle w:val="DMETW37225BIPFIFMREC"/>
              <w:jc w:val="right"/>
              <w:rPr>
                <w:rFonts w:ascii="Verdana" w:eastAsia="Verdana" w:hAnsi="Verdana" w:cs="Verdana"/>
                <w:i/>
                <w:noProof/>
                <w:color w:val="000000"/>
                <w:sz w:val="18"/>
              </w:rPr>
            </w:pPr>
          </w:p>
        </w:tc>
        <w:tc>
          <w:tcPr>
            <w:tcW w:w="1290" w:type="dxa"/>
            <w:tcBorders>
              <w:top w:val="nil"/>
              <w:left w:val="nil"/>
              <w:bottom w:val="nil"/>
              <w:right w:val="nil"/>
              <w:tl2br w:val="nil"/>
              <w:tr2bl w:val="nil"/>
            </w:tcBorders>
            <w:shd w:val="clear" w:color="auto" w:fill="auto"/>
            <w:tcMar>
              <w:left w:w="60" w:type="dxa"/>
              <w:right w:w="60" w:type="dxa"/>
            </w:tcMar>
            <w:vAlign w:val="center"/>
          </w:tcPr>
          <w:p w14:paraId="782BD6FB" w14:textId="77777777" w:rsidR="00FD1E19" w:rsidRDefault="00FD1E19" w:rsidP="00BE7E4A">
            <w:pPr>
              <w:pStyle w:val="DMETW37225BIPFIFMREC"/>
              <w:jc w:val="right"/>
              <w:rPr>
                <w:rFonts w:ascii="Verdana" w:eastAsia="Verdana" w:hAnsi="Verdana" w:cs="Verdana"/>
                <w:i/>
                <w:noProof/>
                <w:color w:val="000000"/>
                <w:sz w:val="18"/>
                <w:lang w:bidi="en-GB"/>
              </w:rPr>
            </w:pPr>
          </w:p>
        </w:tc>
      </w:tr>
      <w:tr w:rsidR="00FD1E19" w14:paraId="148D3022" w14:textId="77777777" w:rsidTr="00BE7E4A">
        <w:trPr>
          <w:trHeight w:val="255"/>
        </w:trPr>
        <w:tc>
          <w:tcPr>
            <w:tcW w:w="8160" w:type="dxa"/>
            <w:tcBorders>
              <w:top w:val="nil"/>
              <w:left w:val="nil"/>
              <w:bottom w:val="nil"/>
              <w:right w:val="nil"/>
              <w:tl2br w:val="nil"/>
              <w:tr2bl w:val="nil"/>
            </w:tcBorders>
            <w:shd w:val="clear" w:color="auto" w:fill="auto"/>
            <w:tcMar>
              <w:left w:w="60" w:type="dxa"/>
              <w:right w:w="60" w:type="dxa"/>
            </w:tcMar>
            <w:vAlign w:val="center"/>
          </w:tcPr>
          <w:p w14:paraId="60EAFA13" w14:textId="77777777" w:rsidR="00FD1E19" w:rsidRDefault="00FD1E19" w:rsidP="00BE7E4A">
            <w:pPr>
              <w:pStyle w:val="DMETW37225BIPFIFMREC"/>
              <w:rPr>
                <w:rFonts w:ascii="Verdana" w:eastAsia="Verdana" w:hAnsi="Verdana" w:cs="Verdana"/>
                <w:noProof/>
                <w:color w:val="000000"/>
                <w:sz w:val="18"/>
              </w:rPr>
            </w:pPr>
          </w:p>
        </w:tc>
        <w:tc>
          <w:tcPr>
            <w:tcW w:w="1560" w:type="dxa"/>
            <w:tcBorders>
              <w:top w:val="nil"/>
              <w:left w:val="nil"/>
              <w:bottom w:val="nil"/>
              <w:right w:val="nil"/>
              <w:tl2br w:val="nil"/>
              <w:tr2bl w:val="nil"/>
            </w:tcBorders>
            <w:shd w:val="clear" w:color="auto" w:fill="auto"/>
            <w:tcMar>
              <w:left w:w="60" w:type="dxa"/>
              <w:right w:w="60" w:type="dxa"/>
            </w:tcMar>
            <w:vAlign w:val="center"/>
          </w:tcPr>
          <w:p w14:paraId="31888352" w14:textId="77777777" w:rsidR="00FD1E19" w:rsidRDefault="00FD1E19" w:rsidP="00BE7E4A">
            <w:pPr>
              <w:pStyle w:val="DMETW37225BIPFIFMREC"/>
              <w:jc w:val="right"/>
              <w:rPr>
                <w:rFonts w:ascii="Verdana" w:eastAsia="Verdana" w:hAnsi="Verdana" w:cs="Verdana"/>
                <w:noProof/>
                <w:color w:val="000000"/>
                <w:sz w:val="18"/>
              </w:rPr>
            </w:pPr>
          </w:p>
        </w:tc>
        <w:tc>
          <w:tcPr>
            <w:tcW w:w="1290" w:type="dxa"/>
            <w:tcBorders>
              <w:top w:val="nil"/>
              <w:left w:val="nil"/>
              <w:bottom w:val="nil"/>
              <w:right w:val="nil"/>
              <w:tl2br w:val="nil"/>
              <w:tr2bl w:val="nil"/>
            </w:tcBorders>
            <w:shd w:val="clear" w:color="auto" w:fill="auto"/>
            <w:tcMar>
              <w:left w:w="60" w:type="dxa"/>
              <w:right w:w="60" w:type="dxa"/>
            </w:tcMar>
            <w:vAlign w:val="center"/>
          </w:tcPr>
          <w:p w14:paraId="5D22A127" w14:textId="77777777" w:rsidR="00FD1E19" w:rsidRDefault="00FD1E19" w:rsidP="00BE7E4A">
            <w:pPr>
              <w:pStyle w:val="DMETW37225BIPFIFMREC"/>
              <w:jc w:val="right"/>
              <w:rPr>
                <w:rFonts w:ascii="Verdana" w:eastAsia="Verdana" w:hAnsi="Verdana" w:cs="Verdana"/>
                <w:noProof/>
                <w:color w:val="000000"/>
                <w:sz w:val="18"/>
                <w:lang w:bidi="en-GB"/>
              </w:rPr>
            </w:pPr>
          </w:p>
        </w:tc>
      </w:tr>
      <w:tr w:rsidR="00FD1E19" w14:paraId="2A2E1BDE" w14:textId="77777777" w:rsidTr="00BE7E4A">
        <w:trPr>
          <w:trHeight w:val="255"/>
        </w:trPr>
        <w:tc>
          <w:tcPr>
            <w:tcW w:w="8160" w:type="dxa"/>
            <w:tcBorders>
              <w:top w:val="nil"/>
              <w:left w:val="nil"/>
              <w:bottom w:val="nil"/>
              <w:right w:val="nil"/>
              <w:tl2br w:val="nil"/>
              <w:tr2bl w:val="nil"/>
            </w:tcBorders>
            <w:shd w:val="solid" w:color="CCE1EA" w:fill="FFFFFF"/>
            <w:tcMar>
              <w:left w:w="60" w:type="dxa"/>
              <w:right w:w="60" w:type="dxa"/>
            </w:tcMar>
            <w:vAlign w:val="center"/>
          </w:tcPr>
          <w:p w14:paraId="077C4F76" w14:textId="77777777" w:rsidR="00FD1E19" w:rsidRDefault="00FD1E19" w:rsidP="00BE7E4A">
            <w:pPr>
              <w:pStyle w:val="DMETW37225BIPFIFMREC"/>
              <w:rPr>
                <w:rFonts w:ascii="Verdana" w:eastAsia="Verdana" w:hAnsi="Verdana" w:cs="Verdana"/>
                <w:b/>
                <w:noProof/>
                <w:color w:val="000000"/>
                <w:sz w:val="18"/>
              </w:rPr>
            </w:pPr>
            <w:r>
              <w:rPr>
                <w:rFonts w:ascii="Verdana" w:eastAsia="Verdana" w:hAnsi="Verdana" w:cs="Verdana"/>
                <w:b/>
                <w:noProof/>
                <w:color w:val="000000"/>
                <w:sz w:val="18"/>
              </w:rPr>
              <w:t xml:space="preserve">BUDGET RESULT OF THE YEAR </w:t>
            </w:r>
          </w:p>
        </w:tc>
        <w:tc>
          <w:tcPr>
            <w:tcW w:w="1560" w:type="dxa"/>
            <w:tcBorders>
              <w:top w:val="nil"/>
              <w:left w:val="nil"/>
              <w:bottom w:val="nil"/>
              <w:right w:val="nil"/>
              <w:tl2br w:val="nil"/>
              <w:tr2bl w:val="nil"/>
            </w:tcBorders>
            <w:shd w:val="solid" w:color="CCE1EA" w:fill="FFFFFF"/>
            <w:tcMar>
              <w:left w:w="60" w:type="dxa"/>
              <w:right w:w="60" w:type="dxa"/>
            </w:tcMar>
            <w:vAlign w:val="center"/>
          </w:tcPr>
          <w:p w14:paraId="470123CE" w14:textId="77777777" w:rsidR="00FD1E19" w:rsidRDefault="00FD1E19" w:rsidP="00BE7E4A">
            <w:pPr>
              <w:pStyle w:val="DMETW37225BIPFIFMREC"/>
              <w:jc w:val="right"/>
              <w:rPr>
                <w:rFonts w:ascii="Verdana" w:eastAsia="Verdana" w:hAnsi="Verdana" w:cs="Verdana"/>
                <w:b/>
                <w:noProof/>
                <w:color w:val="000000"/>
                <w:sz w:val="18"/>
              </w:rPr>
            </w:pPr>
            <w:r>
              <w:rPr>
                <w:rFonts w:ascii="Verdana" w:eastAsia="Verdana" w:hAnsi="Verdana" w:cs="Verdana"/>
                <w:b/>
                <w:noProof/>
                <w:color w:val="000000"/>
                <w:sz w:val="18"/>
              </w:rPr>
              <w:t xml:space="preserve">  (893)</w:t>
            </w:r>
          </w:p>
        </w:tc>
        <w:tc>
          <w:tcPr>
            <w:tcW w:w="1290" w:type="dxa"/>
            <w:tcBorders>
              <w:top w:val="nil"/>
              <w:left w:val="nil"/>
              <w:bottom w:val="nil"/>
              <w:right w:val="nil"/>
              <w:tl2br w:val="nil"/>
              <w:tr2bl w:val="nil"/>
            </w:tcBorders>
            <w:shd w:val="solid" w:color="CCE1EA" w:fill="FFFFFF"/>
            <w:tcMar>
              <w:left w:w="60" w:type="dxa"/>
              <w:right w:w="60" w:type="dxa"/>
            </w:tcMar>
            <w:vAlign w:val="center"/>
          </w:tcPr>
          <w:p w14:paraId="11C769AF" w14:textId="77777777" w:rsidR="00FD1E19" w:rsidRDefault="00FD1E19" w:rsidP="00BE7E4A">
            <w:pPr>
              <w:pStyle w:val="DMETW37225BIPFIFMREC"/>
              <w:jc w:val="right"/>
              <w:rPr>
                <w:rFonts w:ascii="Verdana" w:eastAsia="Verdana" w:hAnsi="Verdana" w:cs="Verdana"/>
                <w:b/>
                <w:noProof/>
                <w:color w:val="000000"/>
                <w:sz w:val="18"/>
              </w:rPr>
            </w:pPr>
            <w:r>
              <w:rPr>
                <w:rFonts w:ascii="Verdana" w:eastAsia="Verdana" w:hAnsi="Verdana" w:cs="Verdana"/>
                <w:b/>
                <w:noProof/>
                <w:color w:val="000000"/>
                <w:sz w:val="18"/>
              </w:rPr>
              <w:t xml:space="preserve"> (1 345)</w:t>
            </w:r>
          </w:p>
        </w:tc>
      </w:tr>
    </w:tbl>
    <w:p w14:paraId="45EFDD74" w14:textId="77777777" w:rsidR="00FD1E19" w:rsidRPr="00D52CE8" w:rsidRDefault="00FD1E19" w:rsidP="00FD1E19">
      <w:pPr>
        <w:pStyle w:val="HEADER2Part2"/>
        <w:rPr>
          <w:noProof/>
        </w:rPr>
      </w:pPr>
      <w:r w:rsidRPr="00D52CE8">
        <w:rPr>
          <w:noProof/>
        </w:rPr>
        <w:t>RECONCILING ITEMS - REVENUE</w:t>
      </w:r>
    </w:p>
    <w:p w14:paraId="1E0F81C3" w14:textId="77777777" w:rsidR="00FD1E19" w:rsidRPr="00D52CE8" w:rsidRDefault="00FD1E19" w:rsidP="00FD1E19">
      <w:pPr>
        <w:pStyle w:val="Textstand-alone"/>
      </w:pPr>
      <w:r w:rsidRPr="00D52CE8">
        <w:t>The budgetary revenue of a financial year corresponds to the revenue collected from entitlements established in the course of the year and amounts collected from entitlements established in previous years.</w:t>
      </w:r>
    </w:p>
    <w:p w14:paraId="53F1C86A" w14:textId="77777777" w:rsidR="00FD1E19" w:rsidRPr="00D52CE8" w:rsidRDefault="00FD1E19" w:rsidP="00FD1E19">
      <w:pPr>
        <w:pStyle w:val="Textstand-alone"/>
      </w:pPr>
      <w:r w:rsidRPr="00D52CE8">
        <w:t xml:space="preserve">The </w:t>
      </w:r>
      <w:r w:rsidRPr="000B7E73">
        <w:rPr>
          <w:b/>
        </w:rPr>
        <w:t>entitlements not affecting the budget result</w:t>
      </w:r>
      <w:r w:rsidRPr="00D52CE8">
        <w:t xml:space="preserve"> are recorded in the economic result but from a budgetary perspective cannot be considered as revenues as the cashed amount is transferred to reserves and cannot be recommitted without a Council decision.</w:t>
      </w:r>
    </w:p>
    <w:p w14:paraId="7DA27BA5" w14:textId="77777777" w:rsidR="00FD1E19" w:rsidRPr="00D52CE8" w:rsidRDefault="00FD1E19" w:rsidP="00FD1E19">
      <w:pPr>
        <w:pStyle w:val="Textstand-alone"/>
      </w:pPr>
      <w:r w:rsidRPr="00D52CE8">
        <w:t xml:space="preserve">The </w:t>
      </w:r>
      <w:r w:rsidRPr="000B7E73">
        <w:rPr>
          <w:b/>
        </w:rPr>
        <w:t>entitlements established in the current year but not yet collected</w:t>
      </w:r>
      <w:r w:rsidRPr="00D52CE8">
        <w:t xml:space="preserve"> are to be deducted from the economic result for reconciliation purposes, as they do not form part of budgetary revenue. </w:t>
      </w:r>
      <w:r>
        <w:t>However</w:t>
      </w:r>
      <w:r w:rsidRPr="00D52CE8">
        <w:t xml:space="preserve">, the </w:t>
      </w:r>
      <w:r w:rsidRPr="000B7E73">
        <w:rPr>
          <w:b/>
        </w:rPr>
        <w:t>entitlements established in previous years and collected in the current</w:t>
      </w:r>
      <w:r w:rsidRPr="00D52CE8">
        <w:t xml:space="preserve"> year must be added to the economic result for reconciliation purposes.</w:t>
      </w:r>
    </w:p>
    <w:p w14:paraId="5D6E73C8" w14:textId="77777777" w:rsidR="00FD1E19" w:rsidRPr="00D52CE8" w:rsidRDefault="00FD1E19" w:rsidP="00FD1E19">
      <w:pPr>
        <w:pStyle w:val="Textstand-alone"/>
      </w:pPr>
      <w:r w:rsidRPr="00D52CE8">
        <w:t xml:space="preserve">The </w:t>
      </w:r>
      <w:r w:rsidRPr="000B7E73">
        <w:rPr>
          <w:b/>
        </w:rPr>
        <w:t>net effect of pre-financing</w:t>
      </w:r>
      <w:r w:rsidRPr="00D52CE8">
        <w:t xml:space="preserve"> </w:t>
      </w:r>
      <w:r>
        <w:t>line refers to the clearing of</w:t>
      </w:r>
      <w:r w:rsidRPr="00D52CE8">
        <w:t xml:space="preserve"> pre-financing </w:t>
      </w:r>
      <w:r>
        <w:t>with amounts recovered from the beneficiaries</w:t>
      </w:r>
      <w:r w:rsidRPr="00D52CE8">
        <w:t>. T</w:t>
      </w:r>
      <w:r>
        <w:t>hese</w:t>
      </w:r>
      <w:r w:rsidRPr="00D52CE8">
        <w:t xml:space="preserve"> cash receipt</w:t>
      </w:r>
      <w:r>
        <w:t xml:space="preserve">s represent budgetary revenue but have </w:t>
      </w:r>
      <w:r w:rsidRPr="00D52CE8">
        <w:t>n</w:t>
      </w:r>
      <w:r>
        <w:t>o impact on the economic result and must therefore be added for reconciliation purposes.</w:t>
      </w:r>
    </w:p>
    <w:p w14:paraId="715CAFD2" w14:textId="77777777" w:rsidR="00FD1E19" w:rsidRPr="00D52CE8" w:rsidRDefault="00FD1E19" w:rsidP="00FD1E19">
      <w:pPr>
        <w:pStyle w:val="Textstand-alone"/>
        <w:spacing w:after="0"/>
      </w:pPr>
      <w:r w:rsidRPr="00D52CE8">
        <w:t xml:space="preserve">The </w:t>
      </w:r>
      <w:r w:rsidRPr="000B7E73">
        <w:rPr>
          <w:b/>
        </w:rPr>
        <w:t>net accrued revenue</w:t>
      </w:r>
      <w:r w:rsidRPr="00D52CE8">
        <w:t xml:space="preserve"> mainly consists of accruals made for year-end cut-off purposes. Only the net effect, i.e. the accrued revenue of the current year less the reversal of accrued revenue of the previous year, is taken into consideration.</w:t>
      </w:r>
    </w:p>
    <w:p w14:paraId="0BD20846" w14:textId="77777777" w:rsidR="00FD1E19" w:rsidRPr="00D52CE8" w:rsidRDefault="00FD1E19" w:rsidP="00FD1E19">
      <w:pPr>
        <w:pStyle w:val="HEADER2Part2"/>
        <w:rPr>
          <w:noProof/>
        </w:rPr>
      </w:pPr>
      <w:r w:rsidRPr="00D52CE8">
        <w:rPr>
          <w:noProof/>
        </w:rPr>
        <w:t>RECONCILING ITEMS – EXPENDITURE</w:t>
      </w:r>
    </w:p>
    <w:p w14:paraId="13941802" w14:textId="77777777" w:rsidR="00FD1E19" w:rsidRPr="00D52CE8" w:rsidRDefault="00FD1E19" w:rsidP="00FD1E19">
      <w:pPr>
        <w:pStyle w:val="Textstand-alone"/>
      </w:pPr>
      <w:r w:rsidRPr="00D52CE8">
        <w:rPr>
          <w:b/>
        </w:rPr>
        <w:t xml:space="preserve">Expenses of the current year not yet paid </w:t>
      </w:r>
      <w:r w:rsidRPr="00D52CE8">
        <w:t xml:space="preserve">are to be added for reconciliation purposes as they are included in the economic result but do not form part of budget expenditure. </w:t>
      </w:r>
      <w:r>
        <w:t>However</w:t>
      </w:r>
      <w:r w:rsidRPr="00D52CE8">
        <w:t xml:space="preserve">, the </w:t>
      </w:r>
      <w:r w:rsidRPr="00D52CE8">
        <w:rPr>
          <w:b/>
        </w:rPr>
        <w:t xml:space="preserve">expenses of previous years paid in the current year </w:t>
      </w:r>
      <w:r w:rsidRPr="00D52CE8">
        <w:t>must be deducted from the economic result for reconciliation purposes as they are part of the current year's budget expenditure but have either no effect on the economic result or they decrease the expenses in</w:t>
      </w:r>
      <w:r>
        <w:t xml:space="preserve"> the event</w:t>
      </w:r>
      <w:r w:rsidRPr="00D52CE8">
        <w:t xml:space="preserve"> of corrections.</w:t>
      </w:r>
    </w:p>
    <w:p w14:paraId="3369CF82" w14:textId="77777777" w:rsidR="00FD1E19" w:rsidRPr="00D52CE8" w:rsidRDefault="00FD1E19" w:rsidP="00FD1E19">
      <w:pPr>
        <w:pStyle w:val="Textstand-alone"/>
        <w:rPr>
          <w:bCs/>
        </w:rPr>
      </w:pPr>
      <w:r w:rsidRPr="00D52CE8">
        <w:rPr>
          <w:bCs/>
        </w:rPr>
        <w:t>The</w:t>
      </w:r>
      <w:r w:rsidRPr="00D52CE8">
        <w:rPr>
          <w:b/>
          <w:bCs/>
        </w:rPr>
        <w:t xml:space="preserve"> </w:t>
      </w:r>
      <w:r w:rsidRPr="00D52CE8">
        <w:rPr>
          <w:bCs/>
        </w:rPr>
        <w:t xml:space="preserve">cash receipts from </w:t>
      </w:r>
      <w:r w:rsidRPr="00D52CE8">
        <w:rPr>
          <w:b/>
          <w:bCs/>
        </w:rPr>
        <w:t xml:space="preserve">payment cancellations </w:t>
      </w:r>
      <w:r w:rsidRPr="00D52CE8">
        <w:rPr>
          <w:bCs/>
        </w:rPr>
        <w:t xml:space="preserve">do not affect the economic result </w:t>
      </w:r>
      <w:r>
        <w:rPr>
          <w:bCs/>
        </w:rPr>
        <w:t>although</w:t>
      </w:r>
      <w:r w:rsidRPr="00D52CE8">
        <w:rPr>
          <w:bCs/>
        </w:rPr>
        <w:t xml:space="preserve"> they</w:t>
      </w:r>
      <w:r>
        <w:rPr>
          <w:bCs/>
        </w:rPr>
        <w:t xml:space="preserve"> do</w:t>
      </w:r>
      <w:r w:rsidRPr="00D52CE8">
        <w:rPr>
          <w:bCs/>
        </w:rPr>
        <w:t xml:space="preserve"> affect the budget result.</w:t>
      </w:r>
    </w:p>
    <w:p w14:paraId="7D4A6C57" w14:textId="77777777" w:rsidR="00FD1E19" w:rsidRPr="00D52CE8" w:rsidRDefault="00FD1E19" w:rsidP="00FD1E19">
      <w:pPr>
        <w:pStyle w:val="Textstand-alone"/>
      </w:pPr>
      <w:r w:rsidRPr="00D52CE8">
        <w:t xml:space="preserve">The </w:t>
      </w:r>
      <w:r w:rsidRPr="00D52CE8">
        <w:rPr>
          <w:b/>
        </w:rPr>
        <w:t>net effect of pre-financing</w:t>
      </w:r>
      <w:r w:rsidRPr="00D52CE8">
        <w:t xml:space="preserve"> is the combination of the new pre-financing amounts paid in the current year (recognised as budget expenditure of the year) and the clearing of pre-financing paid in the current year or previous years through the acceptance of eligible costs. The latter represents an expense in accrual terms but not in the budgetary accounts since the payment of the initial pre-financing had already been considered as a budget expenditure at the time of its payment.</w:t>
      </w:r>
    </w:p>
    <w:p w14:paraId="2B2B35B3" w14:textId="77777777" w:rsidR="00FD1E19" w:rsidRPr="00D52CE8" w:rsidRDefault="00FD1E19" w:rsidP="00FD1E19">
      <w:pPr>
        <w:pStyle w:val="Textstand-alone"/>
        <w:spacing w:after="0"/>
      </w:pPr>
      <w:r w:rsidRPr="00D52CE8">
        <w:t xml:space="preserve">The </w:t>
      </w:r>
      <w:r w:rsidRPr="00D52CE8">
        <w:rPr>
          <w:b/>
        </w:rPr>
        <w:t>net accrued expenses</w:t>
      </w:r>
      <w:r w:rsidRPr="00D52CE8">
        <w:t xml:space="preserve"> mainly consist of accruals made for year-end cut-off purposes, i.e. eligible expenses incurred by beneficiaries of EDF funds but not yet reported to the EDF. Only the net effect, i.e. the accrued expenses of the current year less the reversal of accrued expenses of the previous year, is taken into consideration.</w:t>
      </w:r>
    </w:p>
    <w:p w14:paraId="33B7E3AD" w14:textId="77777777" w:rsidR="00FD1E19" w:rsidRPr="00D52CE8" w:rsidRDefault="00FD1E19" w:rsidP="00FD1E19">
      <w:pPr>
        <w:pStyle w:val="Textstand-alone"/>
        <w:spacing w:after="0"/>
      </w:pPr>
    </w:p>
    <w:bookmarkEnd w:id="129"/>
    <w:p w14:paraId="30A640E9" w14:textId="77777777" w:rsidR="00FD1E19" w:rsidRPr="00D52CE8" w:rsidRDefault="00FD1E19" w:rsidP="00FD1E19">
      <w:pPr>
        <w:rPr>
          <w:noProof/>
        </w:rPr>
        <w:sectPr w:rsidR="00FD1E19" w:rsidRPr="00D52CE8" w:rsidSect="00FD1E19">
          <w:headerReference w:type="default" r:id="rId90"/>
          <w:footerReference w:type="default" r:id="rId91"/>
          <w:pgSz w:w="11906" w:h="16838" w:code="9"/>
          <w:pgMar w:top="1134" w:right="1134" w:bottom="1134" w:left="1134" w:header="708" w:footer="708" w:gutter="0"/>
          <w:cols w:space="708"/>
          <w:docGrid w:linePitch="360"/>
        </w:sectPr>
      </w:pPr>
    </w:p>
    <w:p w14:paraId="435D8DEB" w14:textId="77777777" w:rsidR="00FD1E19" w:rsidRDefault="00FD1E19" w:rsidP="00FD1E19">
      <w:pPr>
        <w:rPr>
          <w:noProof/>
        </w:rPr>
      </w:pPr>
      <w:bookmarkStart w:id="136" w:name="_DMBM_37241"/>
    </w:p>
    <w:p w14:paraId="771A5512" w14:textId="77777777" w:rsidR="00FD1E19" w:rsidRDefault="00FD1E19" w:rsidP="00FD1E19">
      <w:pPr>
        <w:rPr>
          <w:noProof/>
        </w:rPr>
      </w:pPr>
    </w:p>
    <w:p w14:paraId="483E9889" w14:textId="77777777" w:rsidR="00FD1E19" w:rsidRDefault="00FD1E19" w:rsidP="00FD1E19">
      <w:pPr>
        <w:rPr>
          <w:noProof/>
        </w:rPr>
      </w:pPr>
    </w:p>
    <w:p w14:paraId="246EA97F" w14:textId="77777777" w:rsidR="00FD1E19" w:rsidRDefault="00FD1E19" w:rsidP="00FD1E19">
      <w:pPr>
        <w:rPr>
          <w:noProof/>
        </w:rPr>
      </w:pPr>
    </w:p>
    <w:p w14:paraId="44692BED" w14:textId="77777777" w:rsidR="00FD1E19" w:rsidRDefault="00FD1E19" w:rsidP="00FD1E19">
      <w:pPr>
        <w:rPr>
          <w:noProof/>
        </w:rPr>
      </w:pPr>
    </w:p>
    <w:p w14:paraId="11C7052F" w14:textId="77777777" w:rsidR="00FD1E19" w:rsidRDefault="00FD1E19" w:rsidP="00FD1E19">
      <w:pPr>
        <w:rPr>
          <w:noProof/>
        </w:rPr>
      </w:pPr>
    </w:p>
    <w:p w14:paraId="1B1E86A3" w14:textId="77777777" w:rsidR="00FD1E19" w:rsidRDefault="00FD1E19" w:rsidP="00FD1E19">
      <w:pPr>
        <w:rPr>
          <w:noProof/>
        </w:rPr>
      </w:pPr>
    </w:p>
    <w:p w14:paraId="7D1FD548" w14:textId="77777777" w:rsidR="00FD1E19" w:rsidRDefault="00FD1E19" w:rsidP="00FD1E19">
      <w:pPr>
        <w:rPr>
          <w:noProof/>
        </w:rPr>
      </w:pPr>
    </w:p>
    <w:p w14:paraId="49462297" w14:textId="77777777" w:rsidR="00FD1E19" w:rsidRDefault="00FD1E19" w:rsidP="00FD1E19">
      <w:pPr>
        <w:rPr>
          <w:noProof/>
        </w:rPr>
      </w:pPr>
    </w:p>
    <w:p w14:paraId="22A9E960" w14:textId="77777777" w:rsidR="00FD1E19" w:rsidRDefault="00FD1E19" w:rsidP="00FD1E19">
      <w:pPr>
        <w:rPr>
          <w:noProof/>
        </w:rPr>
      </w:pPr>
    </w:p>
    <w:p w14:paraId="7DEC2074" w14:textId="77777777" w:rsidR="00FD1E19" w:rsidRDefault="00FD1E19" w:rsidP="00FD1E19">
      <w:pPr>
        <w:rPr>
          <w:noProof/>
        </w:rPr>
      </w:pPr>
    </w:p>
    <w:p w14:paraId="66A5EB1D" w14:textId="77777777" w:rsidR="00FD1E19" w:rsidRDefault="00FD1E19" w:rsidP="00FD1E19">
      <w:pPr>
        <w:rPr>
          <w:noProof/>
        </w:rPr>
      </w:pPr>
    </w:p>
    <w:p w14:paraId="0639A3CF" w14:textId="77777777" w:rsidR="00FD1E19" w:rsidRPr="00B05510" w:rsidRDefault="00FD1E19" w:rsidP="00B05510">
      <w:pPr>
        <w:spacing w:before="240" w:after="240"/>
        <w:jc w:val="both"/>
        <w:rPr>
          <w:rFonts w:ascii="Verdana" w:hAnsi="Verdana"/>
          <w:b/>
          <w:bCs/>
          <w:noProof/>
          <w:color w:val="016794"/>
          <w:sz w:val="40"/>
          <w:szCs w:val="40"/>
          <w:lang w:val="en-IE"/>
        </w:rPr>
      </w:pPr>
      <w:r w:rsidRPr="00B05510">
        <w:rPr>
          <w:rFonts w:ascii="Verdana" w:hAnsi="Verdana"/>
          <w:b/>
          <w:bCs/>
          <w:noProof/>
          <w:color w:val="016794"/>
          <w:sz w:val="40"/>
          <w:szCs w:val="40"/>
          <w:lang w:val="en-IE"/>
        </w:rPr>
        <w:t>PART I.2</w:t>
      </w:r>
    </w:p>
    <w:p w14:paraId="6C4E01BB" w14:textId="77777777" w:rsidR="00FD1E19" w:rsidRDefault="00FD1E19" w:rsidP="00FD1E19">
      <w:pPr>
        <w:rPr>
          <w:noProof/>
        </w:rPr>
      </w:pPr>
    </w:p>
    <w:p w14:paraId="07A5525B" w14:textId="77777777" w:rsidR="00FD1E19" w:rsidRDefault="00FD1E19" w:rsidP="00FD1E19">
      <w:pPr>
        <w:pStyle w:val="FIRSTCHAPTERPAGE1"/>
      </w:pPr>
      <w:bookmarkStart w:id="137" w:name="_Toc232609785"/>
      <w:bookmarkStart w:id="138" w:name="_Toc232611627"/>
      <w:r w:rsidRPr="001C257B">
        <w:t xml:space="preserve">FINANCIAL STATEMENTS OF THE EU TRUST FUNDS </w:t>
      </w:r>
      <w:r>
        <w:t>BÊKOU AND EU TRUST FUND AFRICA</w:t>
      </w:r>
      <w:bookmarkEnd w:id="137"/>
      <w:bookmarkEnd w:id="138"/>
    </w:p>
    <w:p w14:paraId="6C55246E" w14:textId="77777777" w:rsidR="00FD1E19" w:rsidRDefault="00FD1E19" w:rsidP="00FD1E19">
      <w:pPr>
        <w:pStyle w:val="FIRSTCHAPTERPAGE1"/>
      </w:pPr>
    </w:p>
    <w:p w14:paraId="196372B8" w14:textId="77777777" w:rsidR="00FD1E19" w:rsidRDefault="00FD1E19" w:rsidP="00FD1E19">
      <w:pPr>
        <w:pStyle w:val="FIRSTCHAPTERPAGE1"/>
        <w:sectPr w:rsidR="00FD1E19" w:rsidSect="00FD1E19">
          <w:headerReference w:type="default" r:id="rId92"/>
          <w:footerReference w:type="default" r:id="rId93"/>
          <w:pgSz w:w="11906" w:h="16838" w:code="9"/>
          <w:pgMar w:top="1134" w:right="1134" w:bottom="1134" w:left="1134" w:header="709" w:footer="709" w:gutter="0"/>
          <w:cols w:space="708"/>
          <w:docGrid w:linePitch="360"/>
        </w:sectPr>
      </w:pPr>
    </w:p>
    <w:p w14:paraId="1734BFE8" w14:textId="77777777" w:rsidR="00FD1E19" w:rsidRDefault="00FD1E19" w:rsidP="00FD1E19">
      <w:pPr>
        <w:pStyle w:val="FIRSTCHAPTERPAGE1"/>
      </w:pPr>
    </w:p>
    <w:p w14:paraId="5DB2F08F" w14:textId="77777777" w:rsidR="00FD1E19" w:rsidRDefault="00FD1E19" w:rsidP="00FD1E19">
      <w:pPr>
        <w:pStyle w:val="FIRSTCHAPTERPAGE1"/>
      </w:pPr>
    </w:p>
    <w:p w14:paraId="34C39084" w14:textId="77777777" w:rsidR="00FD1E19" w:rsidRDefault="00FD1E19" w:rsidP="00FD1E19">
      <w:pPr>
        <w:pStyle w:val="FIRSTCHAPTERPAGE1"/>
      </w:pPr>
    </w:p>
    <w:p w14:paraId="4D8BE760" w14:textId="77777777" w:rsidR="00FD1E19" w:rsidRDefault="00FD1E19" w:rsidP="00FD1E19">
      <w:pPr>
        <w:pStyle w:val="FIRSTCHAPTERPAGE1"/>
      </w:pPr>
    </w:p>
    <w:p w14:paraId="0B383C66" w14:textId="77777777" w:rsidR="00FD1E19" w:rsidRDefault="00FD1E19" w:rsidP="00FD1E19">
      <w:pPr>
        <w:pStyle w:val="FIRSTCHAPTERPAGE1"/>
      </w:pPr>
    </w:p>
    <w:p w14:paraId="0771C576" w14:textId="77777777" w:rsidR="00FD1E19" w:rsidRPr="0071436D" w:rsidRDefault="00FD1E19" w:rsidP="00FD1E19">
      <w:pPr>
        <w:pStyle w:val="FIRSTCHAPTERPAGE1"/>
      </w:pPr>
      <w:bookmarkStart w:id="139" w:name="_Toc232609786"/>
      <w:bookmarkStart w:id="140" w:name="_Toc232611628"/>
      <w:r w:rsidRPr="0071436D">
        <w:t>FINANCIAL STATEMENT</w:t>
      </w:r>
      <w:r>
        <w:t>S OF THE BÊKOU EU TRUST FUND 2025</w:t>
      </w:r>
      <w:bookmarkEnd w:id="139"/>
      <w:bookmarkEnd w:id="140"/>
    </w:p>
    <w:p w14:paraId="32B10062" w14:textId="77777777" w:rsidR="00FD1E19" w:rsidRDefault="00FD1E19" w:rsidP="00FD1E19">
      <w:pPr>
        <w:pStyle w:val="FIRSTCHAPTERPAGE1"/>
      </w:pPr>
    </w:p>
    <w:p w14:paraId="4B687223" w14:textId="77777777" w:rsidR="00FD1E19" w:rsidRDefault="00FD1E19" w:rsidP="00FD1E19">
      <w:pPr>
        <w:pStyle w:val="FIRSTCHAPTERPAGE1"/>
      </w:pPr>
    </w:p>
    <w:p w14:paraId="00EF8DF2" w14:textId="77777777" w:rsidR="00FD1E19" w:rsidRDefault="00FD1E19" w:rsidP="00FD1E19">
      <w:pPr>
        <w:pStyle w:val="FIRSTCHAPTERPAGE1"/>
      </w:pPr>
    </w:p>
    <w:p w14:paraId="01253F9B" w14:textId="77777777" w:rsidR="00FD1E19" w:rsidRDefault="00FD1E19" w:rsidP="00FD1E19">
      <w:pPr>
        <w:pStyle w:val="FIRSTCHAPTERPAGE1"/>
      </w:pPr>
    </w:p>
    <w:p w14:paraId="0D05C3C0" w14:textId="77777777" w:rsidR="00FD1E19" w:rsidRDefault="00FD1E19" w:rsidP="00FD1E19">
      <w:pPr>
        <w:pStyle w:val="FIRSTCHAPTERPAGE1"/>
      </w:pPr>
    </w:p>
    <w:p w14:paraId="313362B2" w14:textId="77777777" w:rsidR="00FD1E19" w:rsidRDefault="00FD1E19" w:rsidP="00FD1E19">
      <w:pPr>
        <w:pStyle w:val="TOPHEADERNOTE"/>
        <w:rPr>
          <w:noProof/>
        </w:rPr>
      </w:pPr>
      <w:r>
        <w:rPr>
          <w:noProof/>
        </w:rPr>
        <w:t>It should be noted that due to the rounding of figures into thousands of euros (kEUR), some financial data in the tables may appear not to add-up.</w:t>
      </w:r>
    </w:p>
    <w:p w14:paraId="1B5E0BDF" w14:textId="77777777" w:rsidR="00FD1E19" w:rsidRDefault="00FD1E19" w:rsidP="00FD1E19">
      <w:pPr>
        <w:pStyle w:val="HEADERTITLE"/>
      </w:pPr>
      <w:r>
        <w:br w:type="page"/>
      </w:r>
      <w:bookmarkStart w:id="141" w:name="_Toc125449994"/>
      <w:bookmarkStart w:id="142" w:name="_Toc38970970"/>
      <w:r>
        <w:t>BACKGROUND INFORMATION</w:t>
      </w:r>
      <w:bookmarkEnd w:id="141"/>
      <w:r>
        <w:t xml:space="preserve"> </w:t>
      </w:r>
      <w:bookmarkEnd w:id="142"/>
    </w:p>
    <w:p w14:paraId="01FA3625" w14:textId="77777777" w:rsidR="00FD1E19" w:rsidRPr="000E34CA" w:rsidRDefault="00FD1E19" w:rsidP="00FD1E19">
      <w:pPr>
        <w:pStyle w:val="HEADERTITLE"/>
      </w:pPr>
      <w:r w:rsidRPr="000E34CA">
        <w:t>General background on Union Trust Funds</w:t>
      </w:r>
    </w:p>
    <w:p w14:paraId="76FBCB88" w14:textId="77777777" w:rsidR="00FD1E19" w:rsidRDefault="00FD1E19" w:rsidP="00FD1E19">
      <w:pPr>
        <w:pStyle w:val="HEADER5"/>
        <w:rPr>
          <w:noProof/>
        </w:rPr>
      </w:pPr>
      <w:r>
        <w:rPr>
          <w:noProof/>
        </w:rPr>
        <w:t>Establishment</w:t>
      </w:r>
    </w:p>
    <w:p w14:paraId="34BC130D" w14:textId="77777777" w:rsidR="00FD1E19" w:rsidRPr="00EA3A7F" w:rsidRDefault="00FD1E19" w:rsidP="00FD1E19">
      <w:pPr>
        <w:pStyle w:val="Textstand-alone"/>
      </w:pPr>
      <w:r w:rsidRPr="00EA3A7F">
        <w:t>In accordance with Articles 23</w:t>
      </w:r>
      <w:r>
        <w:t>8</w:t>
      </w:r>
      <w:r w:rsidRPr="00EA3A7F">
        <w:t xml:space="preserve"> and 23</w:t>
      </w:r>
      <w:r>
        <w:t>9</w:t>
      </w:r>
      <w:r w:rsidRPr="00EA3A7F">
        <w:t xml:space="preserve"> of the Financial Regulation applicable to the general budget of the Union (EU FR)</w:t>
      </w:r>
      <w:r>
        <w:rPr>
          <w:vertAlign w:val="superscript"/>
        </w:rPr>
        <w:footnoteReference w:id="3"/>
      </w:r>
      <w:r w:rsidRPr="00EA3A7F">
        <w:t xml:space="preserve"> and Article 35 of the Financial Regulation applicable to the 11</w:t>
      </w:r>
      <w:r w:rsidRPr="00EA3A7F">
        <w:rPr>
          <w:vertAlign w:val="superscript"/>
        </w:rPr>
        <w:t>th</w:t>
      </w:r>
      <w:r w:rsidRPr="00EA3A7F">
        <w:t xml:space="preserve"> European Development Fund (EDF FR)</w:t>
      </w:r>
      <w:r>
        <w:rPr>
          <w:vertAlign w:val="superscript"/>
        </w:rPr>
        <w:footnoteReference w:id="4"/>
      </w:r>
      <w:r w:rsidRPr="00EA3A7F">
        <w:t xml:space="preserve">, the European Commission may establish Union Trust Funds for external actions (‘EU Trust Funds/EUTFs’). The Union Trust Funds are constituted under an agreement concluded with other donors for emergency and post-emergency actions necessary to react to a crisis, or for thematic actions. </w:t>
      </w:r>
    </w:p>
    <w:p w14:paraId="2E33A0D5" w14:textId="77777777" w:rsidR="00FD1E19" w:rsidRPr="00EA3A7F" w:rsidRDefault="00FD1E19" w:rsidP="00FD1E19">
      <w:pPr>
        <w:spacing w:before="240"/>
        <w:rPr>
          <w:rFonts w:ascii="Verdana" w:hAnsi="Verdana"/>
          <w:noProof/>
          <w:sz w:val="18"/>
          <w:szCs w:val="18"/>
        </w:rPr>
      </w:pPr>
      <w:r w:rsidRPr="00EA3A7F">
        <w:rPr>
          <w:rFonts w:ascii="Verdana" w:hAnsi="Verdana"/>
          <w:noProof/>
          <w:sz w:val="18"/>
          <w:szCs w:val="18"/>
        </w:rPr>
        <w:t xml:space="preserve">Union Trust Funds are established by the European Commission by a decision after consultation or approval of the European Parliament and the Council. This decision includes the constitutive agreement with other donors. </w:t>
      </w:r>
    </w:p>
    <w:p w14:paraId="0DADCD52" w14:textId="77777777" w:rsidR="00FD1E19" w:rsidRPr="00EA3A7F" w:rsidRDefault="00FD1E19" w:rsidP="00FD1E19">
      <w:pPr>
        <w:spacing w:before="240"/>
        <w:rPr>
          <w:rFonts w:ascii="Verdana" w:hAnsi="Verdana"/>
          <w:noProof/>
          <w:sz w:val="18"/>
          <w:szCs w:val="18"/>
        </w:rPr>
      </w:pPr>
      <w:r w:rsidRPr="00EA3A7F">
        <w:rPr>
          <w:rFonts w:ascii="Verdana" w:hAnsi="Verdana"/>
          <w:noProof/>
          <w:sz w:val="18"/>
          <w:szCs w:val="18"/>
        </w:rPr>
        <w:t>Union Trust Funds are only established and implemented subject to the following conditions:</w:t>
      </w:r>
    </w:p>
    <w:p w14:paraId="5FAA7045" w14:textId="77777777" w:rsidR="00FD1E19" w:rsidRPr="00EA3A7F" w:rsidRDefault="00FD1E19" w:rsidP="00FD1E19">
      <w:pPr>
        <w:pStyle w:val="DGTextstand-alonedashesjustified"/>
        <w:rPr>
          <w:bdr w:val="none" w:sz="0" w:space="0" w:color="auto"/>
        </w:rPr>
      </w:pPr>
      <w:r w:rsidRPr="00EA3A7F">
        <w:rPr>
          <w:bdr w:val="none" w:sz="0" w:space="0" w:color="auto"/>
        </w:rPr>
        <w:t>There is added value of the Union intervention: the objectives of Union Trust Funds, in particular by reason of their scale or potential effects, may be better achieved at Union level than at national level and the use of the existing financing instruments would not be sufficient to achieve policy objectives of the Union;</w:t>
      </w:r>
    </w:p>
    <w:p w14:paraId="28A1EAB9" w14:textId="77777777" w:rsidR="00FD1E19" w:rsidRPr="00EA3A7F" w:rsidRDefault="00FD1E19" w:rsidP="00FD1E19">
      <w:pPr>
        <w:pStyle w:val="DGTextstand-alonedashesjustified"/>
        <w:rPr>
          <w:bdr w:val="none" w:sz="0" w:space="0" w:color="auto"/>
        </w:rPr>
      </w:pPr>
      <w:r w:rsidRPr="00EA3A7F">
        <w:rPr>
          <w:bdr w:val="none" w:sz="0" w:space="0" w:color="auto"/>
        </w:rPr>
        <w:t>Union Trust Funds bring clear political visibility for the Union and managerial advantages as well as better control by the Union of risks and disbursements of the Union and other donors’ contributions;</w:t>
      </w:r>
    </w:p>
    <w:p w14:paraId="66B68502" w14:textId="77777777" w:rsidR="00FD1E19" w:rsidRPr="00EA3A7F" w:rsidRDefault="00FD1E19" w:rsidP="00FD1E19">
      <w:pPr>
        <w:pStyle w:val="DGTextstand-alonedashesjustified"/>
        <w:rPr>
          <w:bdr w:val="none" w:sz="0" w:space="0" w:color="auto"/>
        </w:rPr>
      </w:pPr>
      <w:r w:rsidRPr="00EA3A7F">
        <w:rPr>
          <w:bdr w:val="none" w:sz="0" w:space="0" w:color="auto"/>
        </w:rPr>
        <w:t>Union Trust Funds do not duplicate other existing funding channels or similar instruments without providing any additionality;</w:t>
      </w:r>
    </w:p>
    <w:p w14:paraId="03199AB6" w14:textId="77777777" w:rsidR="00FD1E19" w:rsidRPr="00EA3A7F" w:rsidRDefault="00FD1E19" w:rsidP="00FD1E19">
      <w:pPr>
        <w:pStyle w:val="DGTextstand-alonedashesjustified"/>
        <w:rPr>
          <w:bdr w:val="none" w:sz="0" w:space="0" w:color="auto"/>
        </w:rPr>
      </w:pPr>
      <w:r w:rsidRPr="00EA3A7F">
        <w:rPr>
          <w:bdr w:val="none" w:sz="0" w:space="0" w:color="auto"/>
        </w:rPr>
        <w:t>The objectives of Union Trust Funds are aligned with the objectives of the Union instrument or budgetary item from which they are funded.</w:t>
      </w:r>
    </w:p>
    <w:p w14:paraId="0850EAB3" w14:textId="77777777" w:rsidR="00FD1E19" w:rsidRPr="00EA3A7F" w:rsidRDefault="00FD1E19" w:rsidP="00FD1E19">
      <w:pPr>
        <w:spacing w:before="240"/>
        <w:rPr>
          <w:rFonts w:ascii="Verdana" w:hAnsi="Verdana"/>
          <w:b/>
          <w:noProof/>
          <w:sz w:val="18"/>
          <w:szCs w:val="18"/>
        </w:rPr>
      </w:pPr>
      <w:r w:rsidRPr="00EA3A7F">
        <w:rPr>
          <w:rFonts w:ascii="Verdana" w:hAnsi="Verdana"/>
          <w:b/>
          <w:noProof/>
          <w:sz w:val="18"/>
          <w:szCs w:val="18"/>
        </w:rPr>
        <w:t>Current EU Trust Funds</w:t>
      </w:r>
    </w:p>
    <w:p w14:paraId="23487972" w14:textId="77777777" w:rsidR="00FD1E19" w:rsidRPr="00EA3A7F" w:rsidRDefault="00FD1E19" w:rsidP="00FD1E19">
      <w:pPr>
        <w:pStyle w:val="Textstand-alone"/>
      </w:pPr>
      <w:r w:rsidRPr="00EA3A7F">
        <w:t>To date, the Commission has set up four EUTFs:</w:t>
      </w:r>
    </w:p>
    <w:p w14:paraId="2E67DF86" w14:textId="77777777" w:rsidR="00FD1E19" w:rsidRPr="00EA3A7F" w:rsidRDefault="00FD1E19" w:rsidP="00FD1E19">
      <w:pPr>
        <w:pStyle w:val="DGTextstand-alonedashesjustified"/>
        <w:rPr>
          <w:bdr w:val="none" w:sz="0" w:space="0" w:color="auto"/>
        </w:rPr>
      </w:pPr>
      <w:r w:rsidRPr="00EA3A7F">
        <w:rPr>
          <w:bdr w:val="none" w:sz="0" w:space="0" w:color="auto"/>
        </w:rPr>
        <w:t>The EUTF BÊKOU, whose objective is to support all aspects of the Central African Republic's exit from crisis and its reconstruction efforts. Established on 15 July 2014;</w:t>
      </w:r>
    </w:p>
    <w:p w14:paraId="61F6EF75" w14:textId="77777777" w:rsidR="00FD1E19" w:rsidRPr="00EA3A7F" w:rsidRDefault="00FD1E19" w:rsidP="00FD1E19">
      <w:pPr>
        <w:pStyle w:val="DGTextstand-alonedashesjustified"/>
        <w:rPr>
          <w:bdr w:val="none" w:sz="0" w:space="0" w:color="auto"/>
        </w:rPr>
      </w:pPr>
      <w:r w:rsidRPr="00EA3A7F">
        <w:rPr>
          <w:bdr w:val="none" w:sz="0" w:space="0" w:color="auto"/>
        </w:rPr>
        <w:t>The EUTF MADAD, a European Union Regional Trust Fund in response to the Syrian crisis. Established on 15 December 2014;</w:t>
      </w:r>
    </w:p>
    <w:p w14:paraId="594D408B" w14:textId="77777777" w:rsidR="00FD1E19" w:rsidRPr="00EA3A7F" w:rsidRDefault="00FD1E19" w:rsidP="00FD1E19">
      <w:pPr>
        <w:pStyle w:val="DGTextstand-alonedashesjustified"/>
        <w:rPr>
          <w:bdr w:val="none" w:sz="0" w:space="0" w:color="auto"/>
        </w:rPr>
      </w:pPr>
      <w:r w:rsidRPr="00EA3A7F">
        <w:rPr>
          <w:bdr w:val="none" w:sz="0" w:space="0" w:color="auto"/>
        </w:rPr>
        <w:t>The EUTF AFRICA, a European Union Emergency Trust Fund for stability and addressing root causes of irregular migration and displaced persons in Africa. Established on 12 November 2015;</w:t>
      </w:r>
    </w:p>
    <w:p w14:paraId="03B1FF59" w14:textId="77777777" w:rsidR="00FD1E19" w:rsidRPr="00EA3A7F" w:rsidRDefault="00FD1E19" w:rsidP="00FD1E19">
      <w:pPr>
        <w:pStyle w:val="DGTextstand-alonedashesjustified"/>
        <w:rPr>
          <w:bdr w:val="none" w:sz="0" w:space="0" w:color="auto"/>
        </w:rPr>
      </w:pPr>
      <w:r w:rsidRPr="00EA3A7F">
        <w:rPr>
          <w:bdr w:val="none" w:sz="0" w:space="0" w:color="auto"/>
        </w:rPr>
        <w:t>The EUTF COLOMBIA, which supports the implementation of the peace agreement in the early recovery and stabilisation post conflict. Established on 12 December 2016.</w:t>
      </w:r>
    </w:p>
    <w:p w14:paraId="5E9DAD8E"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Mission</w:t>
      </w:r>
    </w:p>
    <w:p w14:paraId="62181193" w14:textId="77777777" w:rsidR="00FD1E19" w:rsidRPr="00EA3A7F" w:rsidRDefault="00FD1E19" w:rsidP="00FD1E19">
      <w:pPr>
        <w:pStyle w:val="Textstand-alone"/>
      </w:pPr>
      <w:r w:rsidRPr="00EA3A7F">
        <w:t>The EUTF Bêkou, was established, with the aim of promoting the stabilisation and reconstruction of the Central African Republic (CAR). Its main objective, as set out in the Constitutive Agreement, is “to provide consistent, targeted aid for the resilience of vulnerable groups and support for all aspects of the Central African Republic's exit from the crisis and reconstruction, to coordinate actions over the short, medium and long term and to help neighbouring countries cope with the consequences of the crisis”.</w:t>
      </w:r>
    </w:p>
    <w:p w14:paraId="5067314F" w14:textId="77777777" w:rsidR="00FD1E19" w:rsidRPr="00EA3A7F" w:rsidRDefault="00FD1E19" w:rsidP="00FD1E19">
      <w:pPr>
        <w:keepNext/>
        <w:rPr>
          <w:rFonts w:ascii="Verdana" w:hAnsi="Verdana"/>
          <w:b/>
          <w:noProof/>
          <w:color w:val="016794"/>
          <w:sz w:val="18"/>
          <w:szCs w:val="18"/>
        </w:rPr>
      </w:pPr>
      <w:r w:rsidRPr="00EA3A7F">
        <w:rPr>
          <w:rFonts w:ascii="Verdana" w:hAnsi="Verdana"/>
          <w:b/>
          <w:noProof/>
          <w:color w:val="016794"/>
          <w:sz w:val="18"/>
          <w:szCs w:val="18"/>
        </w:rPr>
        <w:t xml:space="preserve">Main operational activities </w:t>
      </w:r>
    </w:p>
    <w:p w14:paraId="21DB75AC" w14:textId="77777777" w:rsidR="00FD1E19" w:rsidRPr="00EA3A7F" w:rsidRDefault="00FD1E19" w:rsidP="00FD1E19">
      <w:pPr>
        <w:pStyle w:val="Textstand-alone"/>
      </w:pPr>
      <w:r w:rsidRPr="00EA3A7F">
        <w:t>The Union Trust Fund pools together resources from different donors to finance programmes on the basis of agreed objectives. Since its creation in July 2014, the EUTF Bêkou has adopted 22 programmes and has reached more than 2.5 million beneficiaries. The programmes are to assist the Central African Republic (CAR) and its population in the aftermath of the 2013 crisis. More specifically, the  EUTF Bêkou aims to ensure access to basic services (mainly health, water and sanitation), support economic recovery and job creation, and promote social cohesion and reconciliation.</w:t>
      </w:r>
    </w:p>
    <w:p w14:paraId="7B3E1661"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Governance</w:t>
      </w:r>
    </w:p>
    <w:p w14:paraId="17ED91B5" w14:textId="77777777" w:rsidR="00FD1E19" w:rsidRPr="00EA3A7F" w:rsidRDefault="00FD1E19" w:rsidP="00FD1E19">
      <w:pPr>
        <w:pStyle w:val="Textstand-alone"/>
      </w:pPr>
      <w:r w:rsidRPr="00EA3A7F">
        <w:t>The management of the EUTF Bêkou is ensured by the European Commission, which also acts as the secretariat of its two governing bodies – the Trust Fund Board and the Operational Committee. The Trust Fund Board and the Operational Committee of the EUTF Bêkou are composed of representatives of the donors, of the Commission, of the European Parliament, a representative of the Central African Republic’s authorities and observers. The rules for the composition of the board and its internal rules are laid down in the constitutive agreement of the Union Trust Fund.</w:t>
      </w:r>
    </w:p>
    <w:p w14:paraId="0FFB9A02" w14:textId="77777777" w:rsidR="00FD1E19" w:rsidRPr="00EA3A7F" w:rsidRDefault="00FD1E19" w:rsidP="00FD1E19">
      <w:pPr>
        <w:spacing w:before="240"/>
        <w:rPr>
          <w:rFonts w:ascii="Verdana" w:hAnsi="Verdana"/>
          <w:noProof/>
          <w:sz w:val="18"/>
          <w:szCs w:val="18"/>
        </w:rPr>
      </w:pPr>
      <w:r w:rsidRPr="00EA3A7F">
        <w:rPr>
          <w:rFonts w:ascii="Verdana" w:hAnsi="Verdana"/>
          <w:noProof/>
          <w:sz w:val="18"/>
          <w:szCs w:val="18"/>
        </w:rPr>
        <w:t>The main task of the Board is to establish and review the overall strategy of the Trust Fund. The Operational Board is responsible for the selection of the actions financed by the Fund and supervises their implementation. It also approves the annual accounts and the annual reports on the activities financed by the Trust Fund.</w:t>
      </w:r>
    </w:p>
    <w:p w14:paraId="424FFC9E"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Sources of financing</w:t>
      </w:r>
    </w:p>
    <w:p w14:paraId="119B1497" w14:textId="77777777" w:rsidR="00FD1E19" w:rsidRPr="00EA3A7F" w:rsidRDefault="00FD1E19" w:rsidP="00FD1E19">
      <w:pPr>
        <w:pStyle w:val="Textstand-alone"/>
      </w:pPr>
      <w:r w:rsidRPr="00EA3A7F">
        <w:t xml:space="preserve">The EUTF Bêkou is financed through contributions from donors. </w:t>
      </w:r>
    </w:p>
    <w:p w14:paraId="05719A82" w14:textId="77777777" w:rsidR="00FD1E19" w:rsidRPr="008B1768" w:rsidRDefault="00FD1E19" w:rsidP="00FD1E19">
      <w:pPr>
        <w:pStyle w:val="HEADERTITLE"/>
        <w:rPr>
          <w:lang w:val="en-IE" w:eastAsia="en-GB"/>
        </w:rPr>
      </w:pPr>
      <w:r w:rsidRPr="008B1768">
        <w:rPr>
          <w:lang w:val="en-IE" w:eastAsia="en-GB"/>
        </w:rPr>
        <w:t>Annual accounts</w:t>
      </w:r>
    </w:p>
    <w:p w14:paraId="724122CC"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Basis for preparation</w:t>
      </w:r>
    </w:p>
    <w:p w14:paraId="47E0E771" w14:textId="77777777" w:rsidR="00FD1E19" w:rsidRPr="00EA3A7F" w:rsidRDefault="00FD1E19" w:rsidP="00FD1E19">
      <w:pPr>
        <w:pStyle w:val="Textstand-alone"/>
      </w:pPr>
      <w:r w:rsidRPr="00EA3A7F">
        <w:t xml:space="preserve">The legal framework and the deadlines for the preparation of the annual accounts are set by the “Agreement establishing the European Union Trust Fund for the Central African Republic, ‘The Bêkou EU Trust Fund”, and its internal rules’ (‘Constitutive Agreement’). As per this Constitutive Agreement, the annual accounts are prepared in accordance with the rules adopted by the Accounting Officer of the Commission (EU Accounting Rules, EAR), which are based on internationally accepted accounting standards for the public sector (IPSAS). </w:t>
      </w:r>
    </w:p>
    <w:p w14:paraId="1A1BB34B"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Accounting Officer</w:t>
      </w:r>
    </w:p>
    <w:p w14:paraId="33BA0489" w14:textId="77777777" w:rsidR="00FD1E19" w:rsidRPr="00EA3A7F" w:rsidRDefault="00FD1E19" w:rsidP="00FD1E19">
      <w:pPr>
        <w:pStyle w:val="Textstand-alone"/>
      </w:pPr>
      <w:r w:rsidRPr="00EA3A7F">
        <w:t>The Accounting Officer of the Commission serves as the Accounting Officer of the Union Trust Funds. The Accounting Officer is responsible for laying down accounting procedures and chart of accounts common to all Union Trust Funds. The Commission’s Internal Auditor, OLAF and the Court of Auditors exercise the same powers over Union Trust Funds as they do in respect of other actions carried out by the Commission.  The Union Trust Funds are also subject to an independent external audit every year.</w:t>
      </w:r>
    </w:p>
    <w:p w14:paraId="024CCFC5"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Composition of the annual accounts</w:t>
      </w:r>
    </w:p>
    <w:p w14:paraId="57CB5D6E" w14:textId="77777777" w:rsidR="00FD1E19" w:rsidRPr="00EA3A7F" w:rsidRDefault="00FD1E19" w:rsidP="00FD1E19">
      <w:pPr>
        <w:pStyle w:val="Textstand-alone"/>
        <w:rPr>
          <w:lang w:val="en-IE"/>
        </w:rPr>
      </w:pPr>
      <w:r w:rsidRPr="00EA3A7F">
        <w:rPr>
          <w:lang w:val="en-IE"/>
        </w:rPr>
        <w:t>The annual accounts cover the period from 1 January to 31 December and comprise the financial statements and the reports on the implementation of the budget. While the financial statements and the complementary notes are prepared on an accrual accounting basis, the budget implementation reports are primarily based on movements of cash.</w:t>
      </w:r>
    </w:p>
    <w:p w14:paraId="2FCC2CE4"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Process from provisional accounts to discharge</w:t>
      </w:r>
    </w:p>
    <w:p w14:paraId="46E2EED6" w14:textId="77777777" w:rsidR="00FD1E19" w:rsidRPr="00EA3A7F" w:rsidRDefault="00FD1E19" w:rsidP="00FD1E19">
      <w:pPr>
        <w:pStyle w:val="Textstand-alone"/>
        <w:rPr>
          <w:lang w:val="en-IE"/>
        </w:rPr>
      </w:pPr>
      <w:r w:rsidRPr="00EA3A7F">
        <w:rPr>
          <w:lang w:val="en-IE"/>
        </w:rPr>
        <w:t>The annual accounts are subject to independent external audit. The provisional annual accounts prepared by the Accounting Officer are transmitted, by the 15</w:t>
      </w:r>
      <w:r w:rsidRPr="00EA3A7F">
        <w:rPr>
          <w:vertAlign w:val="superscript"/>
          <w:lang w:val="en-IE"/>
        </w:rPr>
        <w:t>th</w:t>
      </w:r>
      <w:r w:rsidRPr="00EA3A7F">
        <w:rPr>
          <w:lang w:val="en-IE"/>
        </w:rPr>
        <w:t xml:space="preserve"> of February of the following year, to the</w:t>
      </w:r>
      <w:r w:rsidRPr="00EA3A7F">
        <w:t xml:space="preserve"> </w:t>
      </w:r>
      <w:r w:rsidRPr="00EA3A7F">
        <w:rPr>
          <w:lang w:val="en-IE"/>
        </w:rPr>
        <w:t>Operational Committee who then transmits them to the audit company selected by the entity following a tender procedure. Following the audit, the Accounting Officer prepares the final annual accounts and submits them to the Operational Committee for approval (Article 8.3.4(c)).</w:t>
      </w:r>
    </w:p>
    <w:p w14:paraId="0AF15093" w14:textId="77777777" w:rsidR="00FD1E19" w:rsidRPr="00EA3A7F" w:rsidRDefault="00FD1E19" w:rsidP="00FD1E19">
      <w:pPr>
        <w:spacing w:before="240"/>
        <w:rPr>
          <w:rFonts w:ascii="Verdana" w:hAnsi="Verdana"/>
          <w:noProof/>
          <w:sz w:val="18"/>
          <w:szCs w:val="18"/>
        </w:rPr>
      </w:pPr>
      <w:r w:rsidRPr="00EA3A7F">
        <w:rPr>
          <w:rFonts w:ascii="Verdana" w:hAnsi="Verdana"/>
          <w:noProof/>
          <w:sz w:val="18"/>
          <w:szCs w:val="18"/>
        </w:rPr>
        <w:t xml:space="preserve">The annual accounts of the EUTF Bêkou are consolidated in the annual accounts of the European </w:t>
      </w:r>
      <w:r>
        <w:rPr>
          <w:rFonts w:ascii="Verdana" w:hAnsi="Verdana"/>
          <w:noProof/>
          <w:sz w:val="18"/>
          <w:szCs w:val="18"/>
        </w:rPr>
        <w:t>Development</w:t>
      </w:r>
      <w:r w:rsidRPr="00EA3A7F">
        <w:rPr>
          <w:rFonts w:ascii="Verdana" w:hAnsi="Verdana"/>
          <w:noProof/>
          <w:sz w:val="18"/>
          <w:szCs w:val="18"/>
        </w:rPr>
        <w:t xml:space="preserve"> Fund.</w:t>
      </w:r>
    </w:p>
    <w:p w14:paraId="66ACE028" w14:textId="77777777" w:rsidR="00FD1E19" w:rsidRPr="0044359F" w:rsidRDefault="00FD1E19" w:rsidP="00FD1E19">
      <w:pPr>
        <w:pStyle w:val="Textstand-alone"/>
        <w:rPr>
          <w:lang w:val="en-IE"/>
        </w:rPr>
        <w:sectPr w:rsidR="00FD1E19" w:rsidRPr="0044359F" w:rsidSect="00FD1E19">
          <w:headerReference w:type="even" r:id="rId94"/>
          <w:headerReference w:type="default" r:id="rId95"/>
          <w:footerReference w:type="even" r:id="rId96"/>
          <w:footerReference w:type="default" r:id="rId97"/>
          <w:headerReference w:type="first" r:id="rId98"/>
          <w:footerReference w:type="first" r:id="rId99"/>
          <w:pgSz w:w="11906" w:h="16838" w:code="9"/>
          <w:pgMar w:top="1134" w:right="1134" w:bottom="1134" w:left="1134" w:header="709" w:footer="709" w:gutter="0"/>
          <w:cols w:space="708"/>
          <w:docGrid w:linePitch="360"/>
        </w:sectPr>
      </w:pPr>
    </w:p>
    <w:p w14:paraId="112046AF" w14:textId="77777777" w:rsidR="00FD1E19" w:rsidRPr="008B1768" w:rsidRDefault="00FD1E19" w:rsidP="00FD1E19">
      <w:pPr>
        <w:pStyle w:val="HEADERTITLE"/>
        <w:rPr>
          <w:lang w:val="en-IE" w:eastAsia="en-GB"/>
        </w:rPr>
      </w:pPr>
      <w:bookmarkStart w:id="143" w:name="_CSF_TOC_1_0_0"/>
      <w:r w:rsidRPr="008B1768">
        <w:rPr>
          <w:lang w:val="en-IE" w:eastAsia="en-GB"/>
        </w:rPr>
        <w:t>Operational highlights</w:t>
      </w:r>
    </w:p>
    <w:p w14:paraId="1E446D7C" w14:textId="77777777" w:rsidR="00FD1E19" w:rsidRDefault="00FD1E19" w:rsidP="00FD1E19">
      <w:pPr>
        <w:rPr>
          <w:rFonts w:ascii="Verdana" w:hAnsi="Verdana"/>
          <w:b/>
          <w:noProof/>
          <w:color w:val="016794"/>
          <w:sz w:val="18"/>
          <w:szCs w:val="18"/>
          <w:lang w:val="en-IE"/>
        </w:rPr>
      </w:pPr>
      <w:r w:rsidRPr="008B1768">
        <w:rPr>
          <w:rFonts w:ascii="Verdana" w:hAnsi="Verdana"/>
          <w:b/>
          <w:noProof/>
          <w:color w:val="016794"/>
          <w:sz w:val="18"/>
          <w:szCs w:val="18"/>
          <w:lang w:val="en-IE"/>
        </w:rPr>
        <w:t>Achievements of the year</w:t>
      </w:r>
    </w:p>
    <w:p w14:paraId="4228F395" w14:textId="77777777" w:rsidR="00FD1E19" w:rsidRPr="00333815" w:rsidRDefault="00FD1E19" w:rsidP="00FD1E19">
      <w:pPr>
        <w:pStyle w:val="Textstand-alone"/>
        <w:rPr>
          <w:lang w:val="en-IE"/>
        </w:rPr>
      </w:pPr>
      <w:r w:rsidRPr="00333815">
        <w:rPr>
          <w:lang w:val="en-IE"/>
        </w:rPr>
        <w:t>The EU launched, in July 2014, its first ever Trust Fund, named Bêkou (meaning hope in the Sango language) to assist the Central African Republic and its population in the aftermath of the 2013 crisis. The EUTF Bêkou aims to ensure access to basic services (mainly health and water and sanitation), support rural development and economic recovery, and promote reconciliation. Since its creation, the EUTF Bêkou has financed 22 programmes divided in 125 projects and has reached more than half of the country’s population.</w:t>
      </w:r>
    </w:p>
    <w:p w14:paraId="3815642F" w14:textId="77777777" w:rsidR="00FD1E19" w:rsidRPr="00333815" w:rsidRDefault="00FD1E19" w:rsidP="00FD1E19">
      <w:pPr>
        <w:pStyle w:val="Textstand-alone"/>
        <w:rPr>
          <w:lang w:val="en-IE"/>
        </w:rPr>
      </w:pPr>
      <w:r w:rsidRPr="00333815">
        <w:rPr>
          <w:lang w:val="en-IE"/>
        </w:rPr>
        <w:t xml:space="preserve">The Central African Republic remains a fragile state from many points of view, particularly in terms of governance and local capacity. </w:t>
      </w:r>
    </w:p>
    <w:p w14:paraId="27B13CBD" w14:textId="77777777" w:rsidR="00FD1E19" w:rsidRPr="00333815" w:rsidRDefault="00FD1E19" w:rsidP="00FD1E19">
      <w:pPr>
        <w:pStyle w:val="Textstand-alone"/>
        <w:rPr>
          <w:lang w:val="en-IE"/>
        </w:rPr>
      </w:pPr>
      <w:r w:rsidRPr="00333815">
        <w:rPr>
          <w:lang w:val="en-IE"/>
        </w:rPr>
        <w:t>The security situation has gradually improved. However, the sub-region remains affected by the instability caused by the conflicts in Sudan, Democratic Republic of Congo (DRC) and Chad. This situation is causing refugee flows to the CAR, exacerbating the food insecurity.</w:t>
      </w:r>
    </w:p>
    <w:p w14:paraId="5573D415" w14:textId="77777777" w:rsidR="00FD1E19" w:rsidRPr="00333815" w:rsidRDefault="00FD1E19" w:rsidP="00FD1E19">
      <w:pPr>
        <w:pStyle w:val="Textstand-alone"/>
        <w:rPr>
          <w:lang w:val="en-IE"/>
        </w:rPr>
      </w:pPr>
      <w:r w:rsidRPr="00333815">
        <w:rPr>
          <w:lang w:val="en-IE"/>
        </w:rPr>
        <w:t xml:space="preserve">In 2025, the Central African economy was characterised by high inflation and shortages. However, the situation in the country is gradually improving based on the National Development Plan (NDP 2024-2028), which is a roadmap for the social and economic transformation of the CAR. This plan is gradually being put in place. This is demonstrated by the successes of the Donors’ Round Table held in Casablanca in September 2025. </w:t>
      </w:r>
    </w:p>
    <w:p w14:paraId="579C1706" w14:textId="77777777" w:rsidR="00FD1E19" w:rsidRPr="00333815" w:rsidRDefault="00FD1E19" w:rsidP="00FD1E19">
      <w:pPr>
        <w:pStyle w:val="Textstand-alone"/>
        <w:rPr>
          <w:lang w:val="en-IE"/>
        </w:rPr>
      </w:pPr>
      <w:r w:rsidRPr="00333815">
        <w:rPr>
          <w:lang w:val="en-IE"/>
        </w:rPr>
        <w:t xml:space="preserve">2025 was also marked by the grouped general elections in December (presidential, municipal, regional and legislative) with the logistical support of MINUSCA (Mission Multidimensionnelle intégrée des Nations Unies pour la Stabilisation en République Centrafricaine) and the financial support of the EU (electoral roll, National Elections Agency). The relationship with the EU remains cordial and stable. </w:t>
      </w:r>
    </w:p>
    <w:p w14:paraId="1A2C2284" w14:textId="77777777" w:rsidR="00FD1E19" w:rsidRPr="00333815" w:rsidRDefault="00FD1E19" w:rsidP="00FD1E19">
      <w:pPr>
        <w:pStyle w:val="Textstand-alone"/>
        <w:rPr>
          <w:lang w:val="en-IE"/>
        </w:rPr>
      </w:pPr>
      <w:r w:rsidRPr="00333815">
        <w:rPr>
          <w:lang w:val="en-IE"/>
        </w:rPr>
        <w:t>The Fund’s termination phase – characterised by closures and decommitments with audits and evaluations remaining until 2026 – is started with the end of the operational implementation of the last projects. It should be stressed that the continuity of actions will be preserved (Health and Education in particular), as far as possible, through NDICI projects, because of the lessons learned during the implementation of the Fund, in consultation with the Government and the technical and financial partners in line with the National Development Plan.</w:t>
      </w:r>
      <w:r w:rsidRPr="00333815">
        <w:rPr>
          <w:lang w:val="en-IE"/>
        </w:rPr>
        <w:tab/>
      </w:r>
    </w:p>
    <w:p w14:paraId="2A34D38F" w14:textId="77777777" w:rsidR="00FD1E19" w:rsidRPr="00EA3A7F" w:rsidRDefault="00FD1E19" w:rsidP="00FD1E19">
      <w:pPr>
        <w:rPr>
          <w:rFonts w:ascii="Verdana" w:hAnsi="Verdana"/>
          <w:b/>
          <w:noProof/>
          <w:color w:val="016794"/>
          <w:sz w:val="18"/>
          <w:szCs w:val="18"/>
        </w:rPr>
      </w:pPr>
      <w:r w:rsidRPr="00EA3A7F">
        <w:rPr>
          <w:rFonts w:ascii="Verdana" w:hAnsi="Verdana"/>
          <w:b/>
          <w:noProof/>
          <w:color w:val="016794"/>
          <w:sz w:val="18"/>
          <w:szCs w:val="18"/>
        </w:rPr>
        <w:t>Key achievements in specific focus areas</w:t>
      </w:r>
    </w:p>
    <w:p w14:paraId="47A4D1DE" w14:textId="77777777" w:rsidR="00FD1E19" w:rsidRPr="00333815" w:rsidRDefault="00FD1E19" w:rsidP="00FD1E19">
      <w:pPr>
        <w:pStyle w:val="Textstand-alone"/>
        <w:rPr>
          <w:lang w:val="en-IE"/>
        </w:rPr>
      </w:pPr>
      <w:r w:rsidRPr="00333815">
        <w:rPr>
          <w:lang w:val="en-IE"/>
        </w:rPr>
        <w:t xml:space="preserve">Key achievements of 2025 presented below reflect the main specific objectives/areas of intervention of the Trust Fund. </w:t>
      </w:r>
    </w:p>
    <w:p w14:paraId="1913FEFA" w14:textId="77777777" w:rsidR="00FD1E19" w:rsidRPr="00333815" w:rsidRDefault="00FD1E19" w:rsidP="00FD1E19">
      <w:pPr>
        <w:pStyle w:val="Textstand-alone"/>
        <w:rPr>
          <w:lang w:val="en-IE"/>
        </w:rPr>
      </w:pPr>
      <w:r w:rsidRPr="00333815">
        <w:rPr>
          <w:lang w:val="en-IE"/>
        </w:rPr>
        <w:t>In the area of access to services, 21 drillings were rehabilitated, improving access to Water, Hygiene and Sanitation (EHA) services by an additional 10 500 people in 2025, bringing the total to 1 197 087 additional beneficiaries since the beginning of the Fund.</w:t>
      </w:r>
    </w:p>
    <w:p w14:paraId="2F2981AE" w14:textId="77777777" w:rsidR="00FD1E19" w:rsidRPr="00333815" w:rsidRDefault="00FD1E19" w:rsidP="00FD1E19">
      <w:pPr>
        <w:pStyle w:val="Textstand-alone"/>
        <w:rPr>
          <w:lang w:val="en-IE"/>
        </w:rPr>
      </w:pPr>
      <w:r w:rsidRPr="00333815">
        <w:rPr>
          <w:lang w:val="en-IE"/>
        </w:rPr>
        <w:t>In the area of social cohesion, 1 450 women and girls benefited from economic empowerment activities, all under the DEVRUR II project implemented by Enabel in 2025. Of these, 865 received financial management training, 575 received training to get a job and 10 were supported to start their income-generating activity (AGR). This brings the number of women and girls participating in socioeconomic empowerment activities to 174 850 over the duration of the Fund.</w:t>
      </w:r>
    </w:p>
    <w:p w14:paraId="6660C747" w14:textId="77777777" w:rsidR="00FD1E19" w:rsidRPr="00333815" w:rsidRDefault="00FD1E19" w:rsidP="00FD1E19">
      <w:pPr>
        <w:pStyle w:val="Textstand-alone"/>
        <w:rPr>
          <w:lang w:val="en-IE"/>
        </w:rPr>
      </w:pPr>
      <w:r w:rsidRPr="00333815">
        <w:rPr>
          <w:lang w:val="en-IE"/>
        </w:rPr>
        <w:t xml:space="preserve">In the area of supporting economic and productive sectors’ recovery, 3 770 people benefited from technical and vocational training, all in the ‘Agropoles’ established by the DEVRUR II project, bringing the total number of people who benefited from skills development activities thanks to Bêkou funding to 121 900. In addition, 32 people found a job, 23 started an entrepreneurial project and 17 set up an AGR in 2025 thanks to the support of the DEVRUR project.  </w:t>
      </w:r>
    </w:p>
    <w:p w14:paraId="29C9CB2E" w14:textId="77777777" w:rsidR="00FD1E19" w:rsidRPr="00333815" w:rsidRDefault="00FD1E19" w:rsidP="00FD1E19">
      <w:pPr>
        <w:pStyle w:val="Textstand-alone"/>
        <w:rPr>
          <w:lang w:val="en-IE"/>
        </w:rPr>
      </w:pPr>
      <w:r w:rsidRPr="00333815">
        <w:rPr>
          <w:lang w:val="en-IE"/>
        </w:rPr>
        <w:t xml:space="preserve">In addition, Enabel also created 4 114 THIMO (Travaux à Haute Intensité de Main-d'œuvre) jobs in 2025 which enabled the finalisation of the last works for the construction of ‘Agropoles’ and trained 58 last staff (administrative, technical and trainers), bringing the total number of administrative staff or service providers whose capacities were reinforced by the Fund to 20 675.    </w:t>
      </w:r>
    </w:p>
    <w:p w14:paraId="3D847C20" w14:textId="77777777" w:rsidR="00FD1E19" w:rsidRDefault="00FD1E19" w:rsidP="00FD1E19">
      <w:pPr>
        <w:keepNext/>
        <w:keepLines/>
        <w:spacing w:before="100" w:beforeAutospacing="1" w:after="100" w:afterAutospacing="1"/>
        <w:rPr>
          <w:rFonts w:ascii="Verdana" w:hAnsi="Verdana"/>
          <w:b/>
          <w:noProof/>
          <w:color w:val="016794"/>
          <w:sz w:val="18"/>
          <w:szCs w:val="18"/>
          <w:lang w:val="en-IE"/>
        </w:rPr>
      </w:pPr>
      <w:r w:rsidRPr="008B1768">
        <w:rPr>
          <w:rFonts w:ascii="Verdana" w:hAnsi="Verdana"/>
          <w:b/>
          <w:noProof/>
          <w:color w:val="016794"/>
          <w:sz w:val="18"/>
          <w:szCs w:val="18"/>
          <w:lang w:val="en-IE"/>
        </w:rPr>
        <w:t>Budget and budget implementation</w:t>
      </w:r>
    </w:p>
    <w:bookmarkEnd w:id="143"/>
    <w:p w14:paraId="1E9ABE5B" w14:textId="77777777" w:rsidR="00FD1E19" w:rsidRPr="00F54DAF" w:rsidRDefault="00FD1E19" w:rsidP="00FD1E19">
      <w:pPr>
        <w:pStyle w:val="Textstand-alone"/>
        <w:keepNext/>
        <w:keepLines/>
        <w:spacing w:before="100" w:beforeAutospacing="1" w:after="100" w:afterAutospacing="1"/>
      </w:pPr>
      <w:r w:rsidRPr="00F54DAF">
        <w:t xml:space="preserve">By the end of 2025, the contributions to EUTF Bêkou amounted to over EUR 310 million, as in the previous year 2024. In addition to this amount, there were EUR 2.3 million for other income (interest and recovery orders cashed). The Trust fund finalised the commitments and contracting of all received contributions on 31 December 2021, with the exception of funds reserved for monitoring, evaluation, audit and communication that can still be contracted after this date. </w:t>
      </w:r>
    </w:p>
    <w:p w14:paraId="31855DA9" w14:textId="77777777" w:rsidR="00FD1E19" w:rsidRPr="0010686E" w:rsidRDefault="00FD1E19" w:rsidP="00FD1E19">
      <w:pPr>
        <w:pStyle w:val="Textstand-alone"/>
        <w:spacing w:before="100" w:beforeAutospacing="1" w:after="100" w:afterAutospacing="1"/>
      </w:pPr>
      <w:r w:rsidRPr="00F54DAF">
        <w:t>In 2025, 5 contracts were ongoing for a total budget around EUR 43.9 million including 3 operational projects (DEVRUR II Enabel, PAPEUR Rural &amp; WASH PEPEV).</w:t>
      </w:r>
      <w:r w:rsidRPr="00F42FDB">
        <w:rPr>
          <w:lang w:eastAsia="en-GB"/>
        </w:rPr>
        <w:t xml:space="preserve"> </w:t>
      </w:r>
    </w:p>
    <w:p w14:paraId="6466E380" w14:textId="77777777" w:rsidR="00FD1E19" w:rsidRDefault="00FD1E19" w:rsidP="00FD1E19">
      <w:pPr>
        <w:rPr>
          <w:rFonts w:ascii="Verdana" w:hAnsi="Verdana"/>
          <w:b/>
          <w:noProof/>
          <w:color w:val="016794"/>
          <w:sz w:val="18"/>
          <w:szCs w:val="18"/>
          <w:lang w:val="en-IE"/>
        </w:rPr>
      </w:pPr>
      <w:r w:rsidRPr="00141D25">
        <w:rPr>
          <w:rFonts w:ascii="Verdana" w:hAnsi="Verdana"/>
          <w:b/>
          <w:noProof/>
          <w:color w:val="016794"/>
          <w:sz w:val="18"/>
          <w:szCs w:val="18"/>
          <w:lang w:val="en-IE"/>
        </w:rPr>
        <w:t>Impact of the activities in the financial statements</w:t>
      </w:r>
    </w:p>
    <w:p w14:paraId="5A328DCD" w14:textId="77777777" w:rsidR="00FD1E19" w:rsidRPr="00500C42" w:rsidRDefault="00FD1E19" w:rsidP="00FD1E19">
      <w:pPr>
        <w:pStyle w:val="Textstand-alone"/>
      </w:pPr>
      <w:bookmarkStart w:id="144" w:name="_Hlk191969567"/>
      <w:bookmarkStart w:id="145" w:name="_Toc125448034"/>
      <w:bookmarkStart w:id="146" w:name="_Toc125449996"/>
      <w:r w:rsidRPr="00500C42">
        <w:t>In the financial statements, the impact of the above</w:t>
      </w:r>
      <w:r>
        <w:t>-</w:t>
      </w:r>
      <w:r w:rsidRPr="00500C42">
        <w:t>mentioned activities is most visible when looking at:</w:t>
      </w:r>
    </w:p>
    <w:p w14:paraId="6076C551" w14:textId="77777777" w:rsidR="00FD1E19" w:rsidRPr="00500C42" w:rsidRDefault="00FD1E19" w:rsidP="00FD1E19">
      <w:pPr>
        <w:pStyle w:val="Textstand-alone"/>
        <w:numPr>
          <w:ilvl w:val="0"/>
          <w:numId w:val="20"/>
        </w:numPr>
      </w:pPr>
      <w:r w:rsidRPr="00500C42">
        <w:t>Pre-financing: decreased by kEUR 2</w:t>
      </w:r>
      <w:r>
        <w:t> </w:t>
      </w:r>
      <w:r w:rsidRPr="00500C42">
        <w:t>183 as a result of the winding down of the Trust Fund and the conclusion of operating projects in 2025. As the Trust Fund reached the end of its implementation period on 31 December 2025, all operational contracts came to an end, leading to increased clearance of pre-financing balances</w:t>
      </w:r>
      <w:r>
        <w:t xml:space="preserve">. </w:t>
      </w:r>
      <w:r w:rsidRPr="0077313A">
        <w:t>The remaining balance relates to projects for which the final financial reports had not yet been received at year-end.</w:t>
      </w:r>
      <w:r w:rsidRPr="00500C42">
        <w:t xml:space="preserve"> </w:t>
      </w:r>
    </w:p>
    <w:p w14:paraId="477C9815" w14:textId="77777777" w:rsidR="00FD1E19" w:rsidRDefault="00FD1E19" w:rsidP="00FD1E19">
      <w:pPr>
        <w:pStyle w:val="Textstand-alone"/>
        <w:numPr>
          <w:ilvl w:val="0"/>
          <w:numId w:val="20"/>
        </w:numPr>
      </w:pPr>
      <w:r w:rsidRPr="00500C42">
        <w:t>Financial liabilities: decreased by kEUR 10</w:t>
      </w:r>
      <w:r>
        <w:t> </w:t>
      </w:r>
      <w:r w:rsidRPr="00500C42">
        <w:t>676 mainly due to the absence of cashed contributions during the year</w:t>
      </w:r>
      <w:r>
        <w:t>.</w:t>
      </w:r>
    </w:p>
    <w:p w14:paraId="11E32770" w14:textId="77777777" w:rsidR="00FD1E19" w:rsidRPr="00801FA4" w:rsidRDefault="00FD1E19" w:rsidP="00FD1E19">
      <w:pPr>
        <w:pStyle w:val="Textstand-alone"/>
        <w:numPr>
          <w:ilvl w:val="0"/>
          <w:numId w:val="20"/>
        </w:numPr>
        <w:rPr>
          <w:lang w:val="en-IE"/>
        </w:rPr>
      </w:pPr>
      <w:r w:rsidRPr="00500C42">
        <w:t xml:space="preserve">Operating expenses: </w:t>
      </w:r>
      <w:r w:rsidRPr="006A5241">
        <w:t>increased by kEUR 3</w:t>
      </w:r>
      <w:r>
        <w:t> </w:t>
      </w:r>
      <w:r w:rsidRPr="006A5241">
        <w:t>914, mainly due to higher actual and accrued costs recognised at project closure, the application of higher Trust Fund implementation and eligibility rates, and the finalisation of several projects following the end of the Trust Fund’s implementation period</w:t>
      </w:r>
      <w:r>
        <w:t>.</w:t>
      </w:r>
    </w:p>
    <w:bookmarkEnd w:id="144"/>
    <w:p w14:paraId="526CA3F1" w14:textId="77777777" w:rsidR="00FD1E19" w:rsidRPr="00EA3A7F" w:rsidRDefault="00FD1E19" w:rsidP="00FD1E19">
      <w:pPr>
        <w:spacing w:before="240"/>
        <w:rPr>
          <w:rFonts w:ascii="Verdana" w:hAnsi="Verdana"/>
          <w:noProof/>
          <w:sz w:val="18"/>
          <w:szCs w:val="18"/>
          <w:lang w:val="en-IE"/>
        </w:rPr>
      </w:pPr>
      <w:r>
        <w:rPr>
          <w:rFonts w:ascii="Verdana" w:hAnsi="Verdana"/>
          <w:noProof/>
          <w:sz w:val="18"/>
          <w:szCs w:val="18"/>
        </w:rPr>
        <w:br w:type="page"/>
      </w:r>
    </w:p>
    <w:p w14:paraId="2CDA2D7E" w14:textId="77777777" w:rsidR="00FD1E19" w:rsidRDefault="00FD1E19" w:rsidP="00FD1E19">
      <w:pPr>
        <w:pStyle w:val="HEADERTITLE1"/>
      </w:pPr>
      <w:bookmarkStart w:id="147" w:name="_Toc232609787"/>
      <w:r>
        <w:t>BALANCE SHEET</w:t>
      </w:r>
      <w:bookmarkEnd w:id="145"/>
      <w:bookmarkEnd w:id="146"/>
      <w:bookmarkEnd w:id="1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4"/>
        <w:gridCol w:w="1486"/>
        <w:gridCol w:w="1858"/>
      </w:tblGrid>
      <w:tr w:rsidR="00FD1E19" w14:paraId="161451EA"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4910058D" w14:textId="77777777" w:rsidR="00FD1E19" w:rsidRDefault="00FD1E19" w:rsidP="00BE7E4A">
            <w:pPr>
              <w:pStyle w:val="DMETW34652BIPBS"/>
              <w:rPr>
                <w:rFonts w:cs="Calibri"/>
                <w:noProof/>
                <w:color w:val="000000"/>
                <w:sz w:val="22"/>
                <w:lang w:bidi="en-GB"/>
              </w:rPr>
            </w:pPr>
          </w:p>
        </w:tc>
        <w:tc>
          <w:tcPr>
            <w:tcW w:w="1486" w:type="dxa"/>
            <w:tcBorders>
              <w:top w:val="nil"/>
              <w:left w:val="nil"/>
              <w:bottom w:val="nil"/>
              <w:right w:val="nil"/>
              <w:tl2br w:val="nil"/>
              <w:tr2bl w:val="nil"/>
            </w:tcBorders>
            <w:shd w:val="clear" w:color="auto" w:fill="auto"/>
            <w:tcMar>
              <w:left w:w="60" w:type="dxa"/>
              <w:right w:w="60" w:type="dxa"/>
            </w:tcMar>
            <w:vAlign w:val="bottom"/>
          </w:tcPr>
          <w:p w14:paraId="06B1D6B5" w14:textId="77777777" w:rsidR="00FD1E19" w:rsidRDefault="00FD1E19" w:rsidP="00BE7E4A">
            <w:pPr>
              <w:pStyle w:val="DMETW34652BIPBS"/>
              <w:jc w:val="right"/>
              <w:rPr>
                <w:rFonts w:cs="Calibri"/>
                <w:noProof/>
                <w:color w:val="000000"/>
                <w:sz w:val="22"/>
              </w:rPr>
            </w:pPr>
          </w:p>
        </w:tc>
        <w:tc>
          <w:tcPr>
            <w:tcW w:w="1858" w:type="dxa"/>
            <w:tcBorders>
              <w:top w:val="nil"/>
              <w:left w:val="nil"/>
              <w:bottom w:val="nil"/>
              <w:right w:val="nil"/>
              <w:tl2br w:val="nil"/>
              <w:tr2bl w:val="nil"/>
            </w:tcBorders>
            <w:shd w:val="clear" w:color="auto" w:fill="auto"/>
            <w:tcMar>
              <w:left w:w="60" w:type="dxa"/>
              <w:right w:w="60" w:type="dxa"/>
            </w:tcMar>
            <w:vAlign w:val="bottom"/>
          </w:tcPr>
          <w:p w14:paraId="6F86811E" w14:textId="77777777" w:rsidR="00FD1E19" w:rsidRDefault="00FD1E19" w:rsidP="00BE7E4A">
            <w:pPr>
              <w:pStyle w:val="DMETW34652BIPBS"/>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EUR '000</w:t>
            </w:r>
          </w:p>
        </w:tc>
      </w:tr>
      <w:tr w:rsidR="00FD1E19" w14:paraId="561BDBF1" w14:textId="77777777" w:rsidTr="00BE7E4A">
        <w:trPr>
          <w:trHeight w:hRule="exact" w:val="255"/>
        </w:trPr>
        <w:tc>
          <w:tcPr>
            <w:tcW w:w="6414" w:type="dxa"/>
            <w:tcBorders>
              <w:top w:val="nil"/>
              <w:left w:val="nil"/>
              <w:bottom w:val="nil"/>
              <w:right w:val="nil"/>
              <w:tl2br w:val="nil"/>
              <w:tr2bl w:val="nil"/>
            </w:tcBorders>
            <w:shd w:val="solid" w:color="016794" w:fill="FFFFFF"/>
            <w:tcMar>
              <w:left w:w="60" w:type="dxa"/>
              <w:right w:w="60" w:type="dxa"/>
            </w:tcMar>
            <w:vAlign w:val="bottom"/>
          </w:tcPr>
          <w:p w14:paraId="249734C8" w14:textId="77777777" w:rsidR="00FD1E19" w:rsidRDefault="00FD1E19" w:rsidP="00BE7E4A">
            <w:pPr>
              <w:pStyle w:val="DMETW34652BIPBS"/>
              <w:rPr>
                <w:rFonts w:ascii="Verdana" w:eastAsia="Verdana" w:hAnsi="Verdana" w:cs="Verdana"/>
                <w:noProof/>
                <w:color w:val="FFFFFF"/>
              </w:rPr>
            </w:pPr>
          </w:p>
        </w:tc>
        <w:tc>
          <w:tcPr>
            <w:tcW w:w="1486" w:type="dxa"/>
            <w:tcBorders>
              <w:top w:val="nil"/>
              <w:left w:val="nil"/>
              <w:bottom w:val="nil"/>
              <w:right w:val="nil"/>
              <w:tl2br w:val="nil"/>
              <w:tr2bl w:val="nil"/>
            </w:tcBorders>
            <w:shd w:val="solid" w:color="016794" w:fill="FFFFFF"/>
            <w:tcMar>
              <w:left w:w="60" w:type="dxa"/>
              <w:right w:w="60" w:type="dxa"/>
            </w:tcMar>
            <w:vAlign w:val="bottom"/>
          </w:tcPr>
          <w:p w14:paraId="57D0AE07" w14:textId="77777777" w:rsidR="00FD1E19" w:rsidRDefault="00FD1E19" w:rsidP="00BE7E4A">
            <w:pPr>
              <w:pStyle w:val="DMETW34652BIPBS"/>
              <w:jc w:val="right"/>
              <w:rPr>
                <w:rFonts w:ascii="Verdana" w:eastAsia="Verdana" w:hAnsi="Verdana" w:cs="Verdana"/>
                <w:noProof/>
                <w:color w:val="FFFFFF"/>
              </w:rPr>
            </w:pPr>
            <w:r>
              <w:rPr>
                <w:rFonts w:ascii="Verdana" w:eastAsia="Verdana" w:hAnsi="Verdana" w:cs="Verdana"/>
                <w:noProof/>
                <w:color w:val="FFFFFF"/>
              </w:rPr>
              <w:t>31.12.2025</w:t>
            </w:r>
          </w:p>
        </w:tc>
        <w:tc>
          <w:tcPr>
            <w:tcW w:w="1858" w:type="dxa"/>
            <w:tcBorders>
              <w:top w:val="nil"/>
              <w:left w:val="nil"/>
              <w:bottom w:val="nil"/>
              <w:right w:val="nil"/>
              <w:tl2br w:val="nil"/>
              <w:tr2bl w:val="nil"/>
            </w:tcBorders>
            <w:shd w:val="solid" w:color="016794" w:fill="FFFFFF"/>
            <w:tcMar>
              <w:left w:w="60" w:type="dxa"/>
              <w:right w:w="60" w:type="dxa"/>
            </w:tcMar>
            <w:vAlign w:val="bottom"/>
          </w:tcPr>
          <w:p w14:paraId="7BB1266B" w14:textId="77777777" w:rsidR="00FD1E19" w:rsidRDefault="00FD1E19" w:rsidP="00BE7E4A">
            <w:pPr>
              <w:pStyle w:val="DMETW34652BIPB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034E3933"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05D19D2C" w14:textId="77777777" w:rsidR="00FD1E19" w:rsidRDefault="00FD1E19" w:rsidP="00BE7E4A">
            <w:pPr>
              <w:pStyle w:val="DMETW34652BIPBS"/>
              <w:rPr>
                <w:rFonts w:ascii="Verdana" w:eastAsia="Verdana" w:hAnsi="Verdana" w:cs="Verdana"/>
                <w:b/>
                <w:noProof/>
                <w:color w:val="000000"/>
                <w:sz w:val="18"/>
              </w:rPr>
            </w:pPr>
            <w:r>
              <w:rPr>
                <w:rFonts w:ascii="Verdana" w:eastAsia="Verdana" w:hAnsi="Verdana" w:cs="Verdana"/>
                <w:b/>
                <w:noProof/>
                <w:color w:val="000000"/>
                <w:sz w:val="18"/>
              </w:rPr>
              <w:t>NON-CURRENT ASSETS</w:t>
            </w:r>
          </w:p>
        </w:tc>
        <w:tc>
          <w:tcPr>
            <w:tcW w:w="1486" w:type="dxa"/>
            <w:tcBorders>
              <w:top w:val="nil"/>
              <w:left w:val="nil"/>
              <w:bottom w:val="nil"/>
              <w:right w:val="nil"/>
              <w:tl2br w:val="nil"/>
              <w:tr2bl w:val="nil"/>
            </w:tcBorders>
            <w:shd w:val="clear" w:color="auto" w:fill="auto"/>
            <w:tcMar>
              <w:left w:w="60" w:type="dxa"/>
              <w:right w:w="60" w:type="dxa"/>
            </w:tcMar>
            <w:vAlign w:val="bottom"/>
          </w:tcPr>
          <w:p w14:paraId="558754AF" w14:textId="77777777" w:rsidR="00FD1E19" w:rsidRDefault="00FD1E19" w:rsidP="00BE7E4A">
            <w:pPr>
              <w:pStyle w:val="DMETW34652BIPBS"/>
              <w:jc w:val="right"/>
              <w:rPr>
                <w:rFonts w:ascii="Verdana" w:eastAsia="Verdana" w:hAnsi="Verdana" w:cs="Verdana"/>
                <w:b/>
                <w:noProof/>
                <w:color w:val="000000"/>
                <w:sz w:val="18"/>
              </w:rPr>
            </w:pPr>
          </w:p>
        </w:tc>
        <w:tc>
          <w:tcPr>
            <w:tcW w:w="1858" w:type="dxa"/>
            <w:tcBorders>
              <w:top w:val="nil"/>
              <w:left w:val="nil"/>
              <w:bottom w:val="nil"/>
              <w:right w:val="nil"/>
              <w:tl2br w:val="nil"/>
              <w:tr2bl w:val="nil"/>
            </w:tcBorders>
            <w:shd w:val="clear" w:color="auto" w:fill="auto"/>
            <w:tcMar>
              <w:left w:w="60" w:type="dxa"/>
              <w:right w:w="60" w:type="dxa"/>
            </w:tcMar>
            <w:vAlign w:val="bottom"/>
          </w:tcPr>
          <w:p w14:paraId="43C8A427" w14:textId="77777777" w:rsidR="00FD1E19" w:rsidRDefault="00FD1E19" w:rsidP="00BE7E4A">
            <w:pPr>
              <w:pStyle w:val="DMETW34652BIPBS"/>
              <w:jc w:val="right"/>
              <w:rPr>
                <w:rFonts w:ascii="Verdana" w:eastAsia="Verdana" w:hAnsi="Verdana" w:cs="Verdana"/>
                <w:b/>
                <w:noProof/>
                <w:color w:val="000000"/>
                <w:sz w:val="18"/>
                <w:lang w:bidi="en-GB"/>
              </w:rPr>
            </w:pPr>
          </w:p>
        </w:tc>
      </w:tr>
      <w:tr w:rsidR="00FD1E19" w14:paraId="58ABC066" w14:textId="77777777" w:rsidTr="00BE7E4A">
        <w:trPr>
          <w:trHeight w:hRule="exact" w:val="255"/>
        </w:trPr>
        <w:tc>
          <w:tcPr>
            <w:tcW w:w="6414" w:type="dxa"/>
            <w:tcBorders>
              <w:top w:val="nil"/>
              <w:left w:val="nil"/>
              <w:bottom w:val="single" w:sz="4" w:space="0" w:color="016794"/>
              <w:right w:val="nil"/>
              <w:tl2br w:val="nil"/>
              <w:tr2bl w:val="nil"/>
            </w:tcBorders>
            <w:shd w:val="clear" w:color="auto" w:fill="auto"/>
            <w:tcMar>
              <w:left w:w="60" w:type="dxa"/>
              <w:right w:w="60" w:type="dxa"/>
            </w:tcMar>
            <w:vAlign w:val="bottom"/>
          </w:tcPr>
          <w:p w14:paraId="6AF50283" w14:textId="77777777" w:rsidR="00FD1E19" w:rsidRDefault="00FD1E19" w:rsidP="00BE7E4A">
            <w:pPr>
              <w:pStyle w:val="DMETW34652BIP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486" w:type="dxa"/>
            <w:tcBorders>
              <w:top w:val="nil"/>
              <w:left w:val="nil"/>
              <w:bottom w:val="single" w:sz="4" w:space="0" w:color="016794"/>
              <w:right w:val="nil"/>
              <w:tl2br w:val="nil"/>
              <w:tr2bl w:val="nil"/>
            </w:tcBorders>
            <w:shd w:val="clear" w:color="auto" w:fill="auto"/>
            <w:tcMar>
              <w:left w:w="60" w:type="dxa"/>
              <w:right w:w="60" w:type="dxa"/>
            </w:tcMar>
            <w:vAlign w:val="bottom"/>
          </w:tcPr>
          <w:p w14:paraId="546E4324" w14:textId="77777777" w:rsidR="00FD1E19" w:rsidRDefault="00FD1E19" w:rsidP="00BE7E4A">
            <w:pPr>
              <w:pStyle w:val="DMETW34652BIPBS"/>
              <w:jc w:val="right"/>
              <w:rPr>
                <w:rFonts w:ascii="Verdana" w:eastAsia="Verdana" w:hAnsi="Verdana" w:cs="Verdana"/>
                <w:i/>
                <w:noProof/>
                <w:color w:val="000000"/>
                <w:sz w:val="18"/>
              </w:rPr>
            </w:pPr>
            <w:r w:rsidRPr="00500C42">
              <w:rPr>
                <w:rFonts w:ascii="Verdana" w:eastAsia="Verdana" w:hAnsi="Verdana" w:cs="Verdana"/>
                <w:i/>
                <w:noProof/>
                <w:color w:val="000000"/>
                <w:sz w:val="18"/>
              </w:rPr>
              <w:t>–</w:t>
            </w:r>
          </w:p>
        </w:tc>
        <w:tc>
          <w:tcPr>
            <w:tcW w:w="1858" w:type="dxa"/>
            <w:tcBorders>
              <w:top w:val="nil"/>
              <w:left w:val="nil"/>
              <w:bottom w:val="single" w:sz="4" w:space="0" w:color="016794"/>
              <w:right w:val="nil"/>
              <w:tl2br w:val="nil"/>
              <w:tr2bl w:val="nil"/>
            </w:tcBorders>
            <w:shd w:val="clear" w:color="auto" w:fill="auto"/>
            <w:tcMar>
              <w:left w:w="60" w:type="dxa"/>
              <w:right w:w="60" w:type="dxa"/>
            </w:tcMar>
            <w:vAlign w:val="bottom"/>
          </w:tcPr>
          <w:p w14:paraId="2512AE0C" w14:textId="77777777" w:rsidR="00FD1E19" w:rsidRDefault="00FD1E19" w:rsidP="00BE7E4A">
            <w:pPr>
              <w:pStyle w:val="DMETW34652BIPBS"/>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w:t>
            </w:r>
          </w:p>
        </w:tc>
      </w:tr>
      <w:tr w:rsidR="00FD1E19" w14:paraId="77037B6F" w14:textId="77777777" w:rsidTr="00BE7E4A">
        <w:trPr>
          <w:trHeight w:hRule="exact" w:val="255"/>
        </w:trPr>
        <w:tc>
          <w:tcPr>
            <w:tcW w:w="641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5000F22E" w14:textId="77777777" w:rsidR="00FD1E19" w:rsidRDefault="00FD1E19" w:rsidP="00BE7E4A">
            <w:pPr>
              <w:pStyle w:val="DMETW34652BIPBS"/>
              <w:rPr>
                <w:rFonts w:ascii="Verdana" w:eastAsia="Verdana" w:hAnsi="Verdana" w:cs="Verdana"/>
                <w:i/>
                <w:noProof/>
                <w:color w:val="000000"/>
                <w:sz w:val="18"/>
              </w:rPr>
            </w:pPr>
          </w:p>
        </w:tc>
        <w:tc>
          <w:tcPr>
            <w:tcW w:w="148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4F57A27B"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w:t>
            </w:r>
          </w:p>
        </w:tc>
        <w:tc>
          <w:tcPr>
            <w:tcW w:w="185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001255E" w14:textId="77777777" w:rsidR="00FD1E19" w:rsidRDefault="00FD1E19" w:rsidP="00BE7E4A">
            <w:pPr>
              <w:pStyle w:val="DMETW34652BIPBS"/>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w:t>
            </w:r>
          </w:p>
        </w:tc>
      </w:tr>
      <w:tr w:rsidR="00FD1E19" w14:paraId="0E4BAB66" w14:textId="77777777" w:rsidTr="00BE7E4A">
        <w:trPr>
          <w:trHeight w:hRule="exact" w:val="255"/>
        </w:trPr>
        <w:tc>
          <w:tcPr>
            <w:tcW w:w="6414" w:type="dxa"/>
            <w:tcBorders>
              <w:top w:val="single" w:sz="4" w:space="0" w:color="016794"/>
              <w:left w:val="nil"/>
              <w:bottom w:val="nil"/>
              <w:right w:val="nil"/>
              <w:tl2br w:val="nil"/>
              <w:tr2bl w:val="nil"/>
            </w:tcBorders>
            <w:shd w:val="clear" w:color="auto" w:fill="auto"/>
            <w:tcMar>
              <w:left w:w="60" w:type="dxa"/>
              <w:right w:w="60" w:type="dxa"/>
            </w:tcMar>
            <w:vAlign w:val="bottom"/>
          </w:tcPr>
          <w:p w14:paraId="5BA34DEE" w14:textId="77777777" w:rsidR="00FD1E19" w:rsidRDefault="00FD1E19" w:rsidP="00BE7E4A">
            <w:pPr>
              <w:pStyle w:val="DMETW34652BIPBS"/>
              <w:rPr>
                <w:rFonts w:ascii="Verdana" w:eastAsia="Verdana" w:hAnsi="Verdana" w:cs="Verdana"/>
                <w:b/>
                <w:noProof/>
                <w:color w:val="000000"/>
                <w:sz w:val="18"/>
              </w:rPr>
            </w:pPr>
            <w:r>
              <w:rPr>
                <w:rFonts w:ascii="Verdana" w:eastAsia="Verdana" w:hAnsi="Verdana" w:cs="Verdana"/>
                <w:b/>
                <w:noProof/>
                <w:color w:val="000000"/>
                <w:sz w:val="18"/>
              </w:rPr>
              <w:t>CURRENT ASSETS</w:t>
            </w:r>
          </w:p>
        </w:tc>
        <w:tc>
          <w:tcPr>
            <w:tcW w:w="1486" w:type="dxa"/>
            <w:tcBorders>
              <w:top w:val="single" w:sz="4" w:space="0" w:color="016794"/>
              <w:left w:val="nil"/>
              <w:bottom w:val="nil"/>
              <w:right w:val="nil"/>
              <w:tl2br w:val="nil"/>
              <w:tr2bl w:val="nil"/>
            </w:tcBorders>
            <w:shd w:val="clear" w:color="auto" w:fill="auto"/>
            <w:tcMar>
              <w:left w:w="60" w:type="dxa"/>
              <w:right w:w="60" w:type="dxa"/>
            </w:tcMar>
            <w:vAlign w:val="bottom"/>
          </w:tcPr>
          <w:p w14:paraId="22F18000" w14:textId="77777777" w:rsidR="00FD1E19" w:rsidRDefault="00FD1E19" w:rsidP="00BE7E4A">
            <w:pPr>
              <w:pStyle w:val="DMETW34652BIPBS"/>
              <w:jc w:val="right"/>
              <w:rPr>
                <w:rFonts w:ascii="Verdana" w:eastAsia="Verdana" w:hAnsi="Verdana" w:cs="Verdana"/>
                <w:b/>
                <w:noProof/>
                <w:color w:val="000000"/>
                <w:sz w:val="18"/>
              </w:rPr>
            </w:pPr>
          </w:p>
        </w:tc>
        <w:tc>
          <w:tcPr>
            <w:tcW w:w="1858" w:type="dxa"/>
            <w:tcBorders>
              <w:top w:val="single" w:sz="4" w:space="0" w:color="016794"/>
              <w:left w:val="nil"/>
              <w:bottom w:val="nil"/>
              <w:right w:val="nil"/>
              <w:tl2br w:val="nil"/>
              <w:tr2bl w:val="nil"/>
            </w:tcBorders>
            <w:shd w:val="clear" w:color="auto" w:fill="auto"/>
            <w:tcMar>
              <w:left w:w="60" w:type="dxa"/>
              <w:right w:w="60" w:type="dxa"/>
            </w:tcMar>
            <w:vAlign w:val="bottom"/>
          </w:tcPr>
          <w:p w14:paraId="25C83FFE" w14:textId="77777777" w:rsidR="00FD1E19" w:rsidRDefault="00FD1E19" w:rsidP="00BE7E4A">
            <w:pPr>
              <w:pStyle w:val="DMETW34652BIPBS"/>
              <w:jc w:val="right"/>
              <w:rPr>
                <w:rFonts w:ascii="Verdana" w:eastAsia="Verdana" w:hAnsi="Verdana" w:cs="Verdana"/>
                <w:b/>
                <w:noProof/>
                <w:color w:val="000000"/>
                <w:sz w:val="18"/>
                <w:lang w:bidi="en-GB"/>
              </w:rPr>
            </w:pPr>
          </w:p>
        </w:tc>
      </w:tr>
      <w:tr w:rsidR="00FD1E19" w14:paraId="0F22DA54"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07FB1D68" w14:textId="77777777" w:rsidR="00FD1E19" w:rsidRDefault="00FD1E19" w:rsidP="00BE7E4A">
            <w:pPr>
              <w:pStyle w:val="DMETW34652BIP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486" w:type="dxa"/>
            <w:tcBorders>
              <w:top w:val="nil"/>
              <w:left w:val="nil"/>
              <w:bottom w:val="nil"/>
              <w:right w:val="nil"/>
              <w:tl2br w:val="nil"/>
              <w:tr2bl w:val="nil"/>
            </w:tcBorders>
            <w:shd w:val="clear" w:color="auto" w:fill="auto"/>
            <w:tcMar>
              <w:left w:w="60" w:type="dxa"/>
              <w:right w:w="60" w:type="dxa"/>
            </w:tcMar>
            <w:vAlign w:val="bottom"/>
          </w:tcPr>
          <w:p w14:paraId="47A3DED8" w14:textId="77777777" w:rsidR="00FD1E19" w:rsidRDefault="00FD1E19" w:rsidP="00BE7E4A">
            <w:pPr>
              <w:pStyle w:val="DMETW34652BIPBS"/>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436</w:t>
            </w:r>
          </w:p>
        </w:tc>
        <w:tc>
          <w:tcPr>
            <w:tcW w:w="1858" w:type="dxa"/>
            <w:tcBorders>
              <w:top w:val="nil"/>
              <w:left w:val="nil"/>
              <w:bottom w:val="nil"/>
              <w:right w:val="nil"/>
              <w:tl2br w:val="nil"/>
              <w:tr2bl w:val="nil"/>
            </w:tcBorders>
            <w:shd w:val="clear" w:color="auto" w:fill="auto"/>
            <w:tcMar>
              <w:left w:w="60" w:type="dxa"/>
              <w:right w:w="60" w:type="dxa"/>
            </w:tcMar>
            <w:vAlign w:val="bottom"/>
          </w:tcPr>
          <w:p w14:paraId="74A8E9EB" w14:textId="77777777" w:rsidR="00FD1E19" w:rsidRDefault="00FD1E19" w:rsidP="00BE7E4A">
            <w:pPr>
              <w:pStyle w:val="DMETW34652BIPBS"/>
              <w:jc w:val="right"/>
              <w:rPr>
                <w:rFonts w:ascii="Verdana" w:eastAsia="Verdana" w:hAnsi="Verdana" w:cs="Verdana"/>
                <w:i/>
                <w:noProof/>
                <w:color w:val="000000"/>
                <w:sz w:val="18"/>
                <w:lang w:bidi="en-GB"/>
              </w:rPr>
            </w:pPr>
            <w:r w:rsidRPr="00D5206A">
              <w:rPr>
                <w:rFonts w:ascii="Verdana" w:eastAsia="Verdana" w:hAnsi="Verdana" w:cs="Verdana"/>
                <w:i/>
                <w:noProof/>
                <w:color w:val="000000"/>
                <w:sz w:val="18"/>
              </w:rPr>
              <w:t xml:space="preserve"> 2 619</w:t>
            </w:r>
          </w:p>
        </w:tc>
      </w:tr>
      <w:tr w:rsidR="00FD1E19" w14:paraId="62DC9AEA"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471E8907" w14:textId="77777777" w:rsidR="00FD1E19" w:rsidRDefault="00FD1E19" w:rsidP="00BE7E4A">
            <w:pPr>
              <w:pStyle w:val="DMETW34652BIPBS"/>
              <w:rPr>
                <w:rFonts w:ascii="Verdana" w:eastAsia="Verdana" w:hAnsi="Verdana" w:cs="Verdana"/>
                <w:i/>
                <w:noProof/>
                <w:color w:val="000000"/>
                <w:sz w:val="18"/>
              </w:rPr>
            </w:pPr>
            <w:r>
              <w:rPr>
                <w:rFonts w:ascii="Verdana" w:eastAsia="Verdana" w:hAnsi="Verdana" w:cs="Verdana"/>
                <w:i/>
                <w:noProof/>
                <w:color w:val="000000"/>
                <w:sz w:val="18"/>
              </w:rPr>
              <w:t>Exchange receivables and non-exchange recoverables</w:t>
            </w:r>
          </w:p>
        </w:tc>
        <w:tc>
          <w:tcPr>
            <w:tcW w:w="1486" w:type="dxa"/>
            <w:tcBorders>
              <w:top w:val="nil"/>
              <w:left w:val="nil"/>
              <w:bottom w:val="nil"/>
              <w:right w:val="nil"/>
              <w:tl2br w:val="nil"/>
              <w:tr2bl w:val="nil"/>
            </w:tcBorders>
            <w:shd w:val="clear" w:color="auto" w:fill="auto"/>
            <w:tcMar>
              <w:left w:w="60" w:type="dxa"/>
              <w:right w:w="60" w:type="dxa"/>
            </w:tcMar>
            <w:vAlign w:val="bottom"/>
          </w:tcPr>
          <w:p w14:paraId="797BBA70" w14:textId="77777777" w:rsidR="00FD1E19" w:rsidRDefault="00FD1E19" w:rsidP="00BE7E4A">
            <w:pPr>
              <w:pStyle w:val="DMETW34652BIPBS"/>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1 496</w:t>
            </w:r>
          </w:p>
        </w:tc>
        <w:tc>
          <w:tcPr>
            <w:tcW w:w="1858" w:type="dxa"/>
            <w:tcBorders>
              <w:top w:val="nil"/>
              <w:left w:val="nil"/>
              <w:bottom w:val="nil"/>
              <w:right w:val="nil"/>
              <w:tl2br w:val="nil"/>
              <w:tr2bl w:val="nil"/>
            </w:tcBorders>
            <w:shd w:val="clear" w:color="auto" w:fill="auto"/>
            <w:tcMar>
              <w:left w:w="60" w:type="dxa"/>
              <w:right w:w="60" w:type="dxa"/>
            </w:tcMar>
            <w:vAlign w:val="bottom"/>
          </w:tcPr>
          <w:p w14:paraId="1AAC6648" w14:textId="77777777" w:rsidR="00FD1E19" w:rsidRDefault="00FD1E19" w:rsidP="00BE7E4A">
            <w:pPr>
              <w:pStyle w:val="DMETW34652BIPBS"/>
              <w:jc w:val="right"/>
              <w:rPr>
                <w:rFonts w:ascii="Verdana" w:eastAsia="Verdana" w:hAnsi="Verdana" w:cs="Verdana"/>
                <w:i/>
                <w:noProof/>
                <w:color w:val="000000"/>
                <w:sz w:val="18"/>
                <w:lang w:bidi="en-GB"/>
              </w:rPr>
            </w:pPr>
            <w:r w:rsidRPr="00D5206A">
              <w:rPr>
                <w:rFonts w:ascii="Verdana" w:eastAsia="Verdana" w:hAnsi="Verdana" w:cs="Verdana"/>
                <w:i/>
                <w:noProof/>
                <w:color w:val="000000"/>
                <w:sz w:val="18"/>
              </w:rPr>
              <w:t xml:space="preserve"> 2 267</w:t>
            </w:r>
          </w:p>
        </w:tc>
      </w:tr>
      <w:tr w:rsidR="00FD1E19" w14:paraId="4FFC1B3B" w14:textId="77777777" w:rsidTr="00BE7E4A">
        <w:trPr>
          <w:trHeight w:hRule="exact" w:val="255"/>
        </w:trPr>
        <w:tc>
          <w:tcPr>
            <w:tcW w:w="6414" w:type="dxa"/>
            <w:tcBorders>
              <w:top w:val="nil"/>
              <w:left w:val="nil"/>
              <w:bottom w:val="single" w:sz="4" w:space="0" w:color="016794"/>
              <w:right w:val="nil"/>
              <w:tl2br w:val="nil"/>
              <w:tr2bl w:val="nil"/>
            </w:tcBorders>
            <w:shd w:val="clear" w:color="auto" w:fill="auto"/>
            <w:tcMar>
              <w:left w:w="60" w:type="dxa"/>
              <w:right w:w="60" w:type="dxa"/>
            </w:tcMar>
            <w:vAlign w:val="bottom"/>
          </w:tcPr>
          <w:p w14:paraId="442FFD24" w14:textId="77777777" w:rsidR="00FD1E19" w:rsidRDefault="00FD1E19" w:rsidP="00BE7E4A">
            <w:pPr>
              <w:pStyle w:val="DMETW34652BIPBS"/>
              <w:rPr>
                <w:rFonts w:ascii="Verdana" w:eastAsia="Verdana" w:hAnsi="Verdana" w:cs="Verdana"/>
                <w:i/>
                <w:noProof/>
                <w:color w:val="000000"/>
                <w:sz w:val="18"/>
              </w:rPr>
            </w:pPr>
            <w:r>
              <w:rPr>
                <w:rFonts w:ascii="Verdana" w:eastAsia="Verdana" w:hAnsi="Verdana" w:cs="Verdana"/>
                <w:i/>
                <w:noProof/>
                <w:color w:val="000000"/>
                <w:sz w:val="18"/>
              </w:rPr>
              <w:t xml:space="preserve">Cash and cash equivalents </w:t>
            </w:r>
          </w:p>
        </w:tc>
        <w:tc>
          <w:tcPr>
            <w:tcW w:w="1486" w:type="dxa"/>
            <w:tcBorders>
              <w:top w:val="nil"/>
              <w:left w:val="nil"/>
              <w:bottom w:val="single" w:sz="4" w:space="0" w:color="016794"/>
              <w:right w:val="nil"/>
              <w:tl2br w:val="nil"/>
              <w:tr2bl w:val="nil"/>
            </w:tcBorders>
            <w:shd w:val="clear" w:color="auto" w:fill="auto"/>
            <w:tcMar>
              <w:left w:w="60" w:type="dxa"/>
              <w:right w:w="60" w:type="dxa"/>
            </w:tcMar>
            <w:vAlign w:val="bottom"/>
          </w:tcPr>
          <w:p w14:paraId="000F2AC5" w14:textId="77777777" w:rsidR="00FD1E19" w:rsidRDefault="00FD1E19" w:rsidP="00BE7E4A">
            <w:pPr>
              <w:pStyle w:val="DMETW34652BIPBS"/>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14 498</w:t>
            </w:r>
          </w:p>
        </w:tc>
        <w:tc>
          <w:tcPr>
            <w:tcW w:w="1858" w:type="dxa"/>
            <w:tcBorders>
              <w:top w:val="nil"/>
              <w:left w:val="nil"/>
              <w:bottom w:val="single" w:sz="4" w:space="0" w:color="016794"/>
              <w:right w:val="nil"/>
              <w:tl2br w:val="nil"/>
              <w:tr2bl w:val="nil"/>
            </w:tcBorders>
            <w:shd w:val="clear" w:color="auto" w:fill="auto"/>
            <w:tcMar>
              <w:left w:w="60" w:type="dxa"/>
              <w:right w:w="60" w:type="dxa"/>
            </w:tcMar>
            <w:vAlign w:val="bottom"/>
          </w:tcPr>
          <w:p w14:paraId="60E86F20" w14:textId="77777777" w:rsidR="00FD1E19" w:rsidRDefault="00FD1E19" w:rsidP="00BE7E4A">
            <w:pPr>
              <w:pStyle w:val="DMETW34652BIPBS"/>
              <w:jc w:val="right"/>
              <w:rPr>
                <w:rFonts w:ascii="Verdana" w:eastAsia="Verdana" w:hAnsi="Verdana" w:cs="Verdana"/>
                <w:i/>
                <w:noProof/>
                <w:color w:val="000000"/>
                <w:sz w:val="18"/>
                <w:lang w:bidi="en-GB"/>
              </w:rPr>
            </w:pPr>
            <w:r w:rsidRPr="00D5206A">
              <w:rPr>
                <w:rFonts w:ascii="Verdana" w:eastAsia="Verdana" w:hAnsi="Verdana" w:cs="Verdana"/>
                <w:i/>
                <w:noProof/>
                <w:color w:val="000000"/>
                <w:sz w:val="18"/>
              </w:rPr>
              <w:t xml:space="preserve"> 23 465</w:t>
            </w:r>
          </w:p>
        </w:tc>
      </w:tr>
      <w:tr w:rsidR="00FD1E19" w14:paraId="1C2968F8" w14:textId="77777777" w:rsidTr="00BE7E4A">
        <w:trPr>
          <w:trHeight w:hRule="exact" w:val="255"/>
        </w:trPr>
        <w:tc>
          <w:tcPr>
            <w:tcW w:w="6414" w:type="dxa"/>
            <w:tcBorders>
              <w:top w:val="single" w:sz="4" w:space="0" w:color="016794"/>
              <w:left w:val="nil"/>
              <w:bottom w:val="nil"/>
              <w:right w:val="nil"/>
              <w:tl2br w:val="nil"/>
              <w:tr2bl w:val="nil"/>
            </w:tcBorders>
            <w:shd w:val="clear" w:color="auto" w:fill="auto"/>
            <w:tcMar>
              <w:left w:w="60" w:type="dxa"/>
              <w:right w:w="60" w:type="dxa"/>
            </w:tcMar>
            <w:vAlign w:val="bottom"/>
          </w:tcPr>
          <w:p w14:paraId="15AD9089" w14:textId="77777777" w:rsidR="00FD1E19" w:rsidRDefault="00FD1E19" w:rsidP="00BE7E4A">
            <w:pPr>
              <w:pStyle w:val="DMETW34652BIPBS"/>
              <w:rPr>
                <w:rFonts w:ascii="Verdana" w:eastAsia="Verdana" w:hAnsi="Verdana" w:cs="Verdana"/>
                <w:i/>
                <w:noProof/>
                <w:color w:val="000000"/>
                <w:sz w:val="18"/>
              </w:rPr>
            </w:pPr>
          </w:p>
        </w:tc>
        <w:tc>
          <w:tcPr>
            <w:tcW w:w="1486" w:type="dxa"/>
            <w:tcBorders>
              <w:top w:val="single" w:sz="4" w:space="0" w:color="016794"/>
              <w:left w:val="nil"/>
              <w:bottom w:val="nil"/>
              <w:right w:val="nil"/>
              <w:tl2br w:val="nil"/>
              <w:tr2bl w:val="nil"/>
            </w:tcBorders>
            <w:shd w:val="clear" w:color="auto" w:fill="auto"/>
            <w:tcMar>
              <w:left w:w="60" w:type="dxa"/>
              <w:right w:w="60" w:type="dxa"/>
            </w:tcMar>
            <w:vAlign w:val="bottom"/>
          </w:tcPr>
          <w:p w14:paraId="3E8E930A"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16 430</w:t>
            </w:r>
          </w:p>
        </w:tc>
        <w:tc>
          <w:tcPr>
            <w:tcW w:w="1858" w:type="dxa"/>
            <w:tcBorders>
              <w:top w:val="single" w:sz="4" w:space="0" w:color="016794"/>
              <w:left w:val="nil"/>
              <w:bottom w:val="nil"/>
              <w:right w:val="nil"/>
              <w:tl2br w:val="nil"/>
              <w:tr2bl w:val="nil"/>
            </w:tcBorders>
            <w:shd w:val="clear" w:color="auto" w:fill="auto"/>
            <w:tcMar>
              <w:left w:w="60" w:type="dxa"/>
              <w:right w:w="60" w:type="dxa"/>
            </w:tcMar>
            <w:vAlign w:val="bottom"/>
          </w:tcPr>
          <w:p w14:paraId="7EABB41B" w14:textId="77777777" w:rsidR="00FD1E19" w:rsidRDefault="00FD1E19" w:rsidP="00BE7E4A">
            <w:pPr>
              <w:pStyle w:val="DMETW34652BIPBS"/>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28 350</w:t>
            </w:r>
          </w:p>
        </w:tc>
      </w:tr>
      <w:tr w:rsidR="00FD1E19" w14:paraId="285731AA" w14:textId="77777777" w:rsidTr="00BE7E4A">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14:paraId="7BACC0FD" w14:textId="77777777" w:rsidR="00FD1E19" w:rsidRDefault="00FD1E19" w:rsidP="00BE7E4A">
            <w:pPr>
              <w:pStyle w:val="DMETW34652BIPBS"/>
              <w:rPr>
                <w:rFonts w:ascii="Verdana" w:eastAsia="Verdana" w:hAnsi="Verdana" w:cs="Verdana"/>
                <w:b/>
                <w:noProof/>
                <w:color w:val="000000"/>
                <w:sz w:val="18"/>
              </w:rPr>
            </w:pPr>
            <w:r>
              <w:rPr>
                <w:rFonts w:ascii="Verdana" w:eastAsia="Verdana" w:hAnsi="Verdana" w:cs="Verdana"/>
                <w:b/>
                <w:noProof/>
                <w:color w:val="000000"/>
                <w:sz w:val="18"/>
              </w:rPr>
              <w:t>TOTAL ASSETS</w:t>
            </w:r>
          </w:p>
        </w:tc>
        <w:tc>
          <w:tcPr>
            <w:tcW w:w="1486" w:type="dxa"/>
            <w:tcBorders>
              <w:top w:val="nil"/>
              <w:left w:val="nil"/>
              <w:bottom w:val="nil"/>
              <w:right w:val="nil"/>
              <w:tl2br w:val="nil"/>
              <w:tr2bl w:val="nil"/>
            </w:tcBorders>
            <w:shd w:val="solid" w:color="CCE1EA" w:fill="FFFFFF"/>
            <w:tcMar>
              <w:left w:w="60" w:type="dxa"/>
              <w:right w:w="60" w:type="dxa"/>
            </w:tcMar>
            <w:vAlign w:val="bottom"/>
          </w:tcPr>
          <w:p w14:paraId="2D74B461"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16 430</w:t>
            </w:r>
          </w:p>
        </w:tc>
        <w:tc>
          <w:tcPr>
            <w:tcW w:w="1858" w:type="dxa"/>
            <w:tcBorders>
              <w:top w:val="nil"/>
              <w:left w:val="nil"/>
              <w:bottom w:val="nil"/>
              <w:right w:val="nil"/>
              <w:tl2br w:val="nil"/>
              <w:tr2bl w:val="nil"/>
            </w:tcBorders>
            <w:shd w:val="solid" w:color="CCE1EA" w:fill="FFFFFF"/>
            <w:tcMar>
              <w:left w:w="60" w:type="dxa"/>
              <w:right w:w="60" w:type="dxa"/>
            </w:tcMar>
            <w:vAlign w:val="bottom"/>
          </w:tcPr>
          <w:p w14:paraId="7138BA7D" w14:textId="77777777" w:rsidR="00FD1E19" w:rsidRDefault="00FD1E19" w:rsidP="00BE7E4A">
            <w:pPr>
              <w:pStyle w:val="DMETW34652BIPBS"/>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28 350</w:t>
            </w:r>
          </w:p>
        </w:tc>
      </w:tr>
      <w:tr w:rsidR="00FD1E19" w14:paraId="4833AAA5"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34192219" w14:textId="77777777" w:rsidR="00FD1E19" w:rsidRDefault="00FD1E19" w:rsidP="00BE7E4A">
            <w:pPr>
              <w:pStyle w:val="DMETW34652BIPBS"/>
              <w:rPr>
                <w:rFonts w:cs="Calibri"/>
                <w:noProof/>
                <w:color w:val="000000"/>
                <w:sz w:val="22"/>
              </w:rPr>
            </w:pPr>
          </w:p>
        </w:tc>
        <w:tc>
          <w:tcPr>
            <w:tcW w:w="1486" w:type="dxa"/>
            <w:tcBorders>
              <w:top w:val="nil"/>
              <w:left w:val="nil"/>
              <w:bottom w:val="nil"/>
              <w:right w:val="nil"/>
              <w:tl2br w:val="nil"/>
              <w:tr2bl w:val="nil"/>
            </w:tcBorders>
            <w:shd w:val="clear" w:color="auto" w:fill="auto"/>
            <w:tcMar>
              <w:left w:w="60" w:type="dxa"/>
              <w:right w:w="60" w:type="dxa"/>
            </w:tcMar>
            <w:vAlign w:val="bottom"/>
          </w:tcPr>
          <w:p w14:paraId="433DDCAB" w14:textId="77777777" w:rsidR="00FD1E19" w:rsidRDefault="00FD1E19" w:rsidP="00BE7E4A">
            <w:pPr>
              <w:pStyle w:val="DMETW34652BIPBS"/>
              <w:jc w:val="right"/>
              <w:rPr>
                <w:rFonts w:cs="Calibri"/>
                <w:noProof/>
                <w:color w:val="000000"/>
                <w:sz w:val="22"/>
              </w:rPr>
            </w:pPr>
          </w:p>
        </w:tc>
        <w:tc>
          <w:tcPr>
            <w:tcW w:w="1858" w:type="dxa"/>
            <w:tcBorders>
              <w:top w:val="nil"/>
              <w:left w:val="nil"/>
              <w:bottom w:val="nil"/>
              <w:right w:val="nil"/>
              <w:tl2br w:val="nil"/>
              <w:tr2bl w:val="nil"/>
            </w:tcBorders>
            <w:shd w:val="clear" w:color="auto" w:fill="auto"/>
            <w:tcMar>
              <w:left w:w="60" w:type="dxa"/>
              <w:right w:w="60" w:type="dxa"/>
            </w:tcMar>
            <w:vAlign w:val="bottom"/>
          </w:tcPr>
          <w:p w14:paraId="37475FD1" w14:textId="77777777" w:rsidR="00FD1E19" w:rsidRDefault="00FD1E19" w:rsidP="00BE7E4A">
            <w:pPr>
              <w:pStyle w:val="DMETW34652BIPBS"/>
              <w:jc w:val="right"/>
              <w:rPr>
                <w:rFonts w:cs="Calibri"/>
                <w:noProof/>
                <w:color w:val="000000"/>
                <w:sz w:val="22"/>
                <w:lang w:bidi="en-GB"/>
              </w:rPr>
            </w:pPr>
          </w:p>
        </w:tc>
      </w:tr>
      <w:tr w:rsidR="00FD1E19" w14:paraId="0BC89EE3"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01264DFE" w14:textId="77777777" w:rsidR="00FD1E19" w:rsidRDefault="00FD1E19" w:rsidP="00BE7E4A">
            <w:pPr>
              <w:pStyle w:val="DMETW34652BIPBS"/>
              <w:rPr>
                <w:rFonts w:ascii="Verdana" w:eastAsia="Verdana" w:hAnsi="Verdana" w:cs="Verdana"/>
                <w:b/>
                <w:noProof/>
                <w:color w:val="000000"/>
                <w:sz w:val="18"/>
              </w:rPr>
            </w:pPr>
            <w:r>
              <w:rPr>
                <w:rFonts w:ascii="Verdana" w:eastAsia="Verdana" w:hAnsi="Verdana" w:cs="Verdana"/>
                <w:b/>
                <w:noProof/>
                <w:color w:val="000000"/>
                <w:sz w:val="18"/>
              </w:rPr>
              <w:t>NON-CURRENT LIABILITIES</w:t>
            </w:r>
          </w:p>
        </w:tc>
        <w:tc>
          <w:tcPr>
            <w:tcW w:w="1486" w:type="dxa"/>
            <w:tcBorders>
              <w:top w:val="nil"/>
              <w:left w:val="nil"/>
              <w:bottom w:val="nil"/>
              <w:right w:val="nil"/>
              <w:tl2br w:val="nil"/>
              <w:tr2bl w:val="nil"/>
            </w:tcBorders>
            <w:shd w:val="clear" w:color="auto" w:fill="auto"/>
            <w:tcMar>
              <w:left w:w="60" w:type="dxa"/>
              <w:right w:w="60" w:type="dxa"/>
            </w:tcMar>
            <w:vAlign w:val="bottom"/>
          </w:tcPr>
          <w:p w14:paraId="358AB8C7" w14:textId="77777777" w:rsidR="00FD1E19" w:rsidRDefault="00FD1E19" w:rsidP="00BE7E4A">
            <w:pPr>
              <w:pStyle w:val="DMETW34652BIPBS"/>
              <w:jc w:val="right"/>
              <w:rPr>
                <w:rFonts w:ascii="Verdana" w:eastAsia="Verdana" w:hAnsi="Verdana" w:cs="Verdana"/>
                <w:b/>
                <w:noProof/>
                <w:color w:val="000000"/>
                <w:sz w:val="18"/>
              </w:rPr>
            </w:pPr>
          </w:p>
        </w:tc>
        <w:tc>
          <w:tcPr>
            <w:tcW w:w="1858" w:type="dxa"/>
            <w:tcBorders>
              <w:top w:val="nil"/>
              <w:left w:val="nil"/>
              <w:bottom w:val="nil"/>
              <w:right w:val="nil"/>
              <w:tl2br w:val="nil"/>
              <w:tr2bl w:val="nil"/>
            </w:tcBorders>
            <w:shd w:val="clear" w:color="auto" w:fill="auto"/>
            <w:tcMar>
              <w:left w:w="60" w:type="dxa"/>
              <w:right w:w="60" w:type="dxa"/>
            </w:tcMar>
            <w:vAlign w:val="bottom"/>
          </w:tcPr>
          <w:p w14:paraId="25DF8A47" w14:textId="77777777" w:rsidR="00FD1E19" w:rsidRDefault="00FD1E19" w:rsidP="00BE7E4A">
            <w:pPr>
              <w:pStyle w:val="DMETW34652BIPBS"/>
              <w:jc w:val="right"/>
              <w:rPr>
                <w:rFonts w:ascii="Verdana" w:eastAsia="Verdana" w:hAnsi="Verdana" w:cs="Verdana"/>
                <w:b/>
                <w:noProof/>
                <w:color w:val="000000"/>
                <w:sz w:val="18"/>
                <w:lang w:bidi="en-GB"/>
              </w:rPr>
            </w:pPr>
          </w:p>
        </w:tc>
      </w:tr>
      <w:tr w:rsidR="00FD1E19" w14:paraId="2A506644" w14:textId="77777777" w:rsidTr="00BE7E4A">
        <w:trPr>
          <w:trHeight w:hRule="exact" w:val="255"/>
        </w:trPr>
        <w:tc>
          <w:tcPr>
            <w:tcW w:w="6414" w:type="dxa"/>
            <w:tcBorders>
              <w:top w:val="nil"/>
              <w:left w:val="nil"/>
              <w:bottom w:val="single" w:sz="4" w:space="0" w:color="016794"/>
              <w:right w:val="nil"/>
              <w:tl2br w:val="nil"/>
              <w:tr2bl w:val="nil"/>
            </w:tcBorders>
            <w:shd w:val="clear" w:color="auto" w:fill="auto"/>
            <w:tcMar>
              <w:left w:w="60" w:type="dxa"/>
              <w:right w:w="60" w:type="dxa"/>
            </w:tcMar>
            <w:vAlign w:val="bottom"/>
          </w:tcPr>
          <w:p w14:paraId="2A841CD1" w14:textId="77777777" w:rsidR="00FD1E19" w:rsidRDefault="00FD1E19" w:rsidP="00BE7E4A">
            <w:pPr>
              <w:pStyle w:val="DMETW34652BIPBS"/>
              <w:rPr>
                <w:rFonts w:ascii="Verdana" w:eastAsia="Verdana" w:hAnsi="Verdana" w:cs="Verdana"/>
                <w:i/>
                <w:noProof/>
                <w:color w:val="000000"/>
                <w:sz w:val="18"/>
              </w:rPr>
            </w:pPr>
            <w:r>
              <w:rPr>
                <w:rFonts w:ascii="Verdana" w:eastAsia="Verdana" w:hAnsi="Verdana" w:cs="Verdana"/>
                <w:i/>
                <w:noProof/>
                <w:color w:val="000000"/>
                <w:sz w:val="18"/>
              </w:rPr>
              <w:t>Financial liabilities</w:t>
            </w:r>
          </w:p>
        </w:tc>
        <w:tc>
          <w:tcPr>
            <w:tcW w:w="1486" w:type="dxa"/>
            <w:tcBorders>
              <w:top w:val="nil"/>
              <w:left w:val="nil"/>
              <w:bottom w:val="single" w:sz="4" w:space="0" w:color="016794"/>
              <w:right w:val="nil"/>
              <w:tl2br w:val="nil"/>
              <w:tr2bl w:val="nil"/>
            </w:tcBorders>
            <w:shd w:val="clear" w:color="auto" w:fill="auto"/>
            <w:tcMar>
              <w:left w:w="60" w:type="dxa"/>
              <w:right w:w="60" w:type="dxa"/>
            </w:tcMar>
            <w:vAlign w:val="bottom"/>
          </w:tcPr>
          <w:p w14:paraId="29525A2A" w14:textId="77777777" w:rsidR="00FD1E19" w:rsidRDefault="00FD1E19" w:rsidP="00BE7E4A">
            <w:pPr>
              <w:pStyle w:val="DMETW34652BIPBS"/>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(13 431)</w:t>
            </w:r>
          </w:p>
        </w:tc>
        <w:tc>
          <w:tcPr>
            <w:tcW w:w="1858" w:type="dxa"/>
            <w:tcBorders>
              <w:top w:val="nil"/>
              <w:left w:val="nil"/>
              <w:bottom w:val="single" w:sz="4" w:space="0" w:color="016794"/>
              <w:right w:val="nil"/>
              <w:tl2br w:val="nil"/>
              <w:tr2bl w:val="nil"/>
            </w:tcBorders>
            <w:shd w:val="clear" w:color="auto" w:fill="auto"/>
            <w:tcMar>
              <w:left w:w="60" w:type="dxa"/>
              <w:right w:w="60" w:type="dxa"/>
            </w:tcMar>
            <w:vAlign w:val="bottom"/>
          </w:tcPr>
          <w:p w14:paraId="5759C7BC" w14:textId="77777777" w:rsidR="00FD1E19" w:rsidRDefault="00FD1E19" w:rsidP="00BE7E4A">
            <w:pPr>
              <w:pStyle w:val="DMETW34652BIPBS"/>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(24 108)</w:t>
            </w:r>
          </w:p>
        </w:tc>
      </w:tr>
      <w:tr w:rsidR="00FD1E19" w14:paraId="4798DF54" w14:textId="77777777" w:rsidTr="00BE7E4A">
        <w:trPr>
          <w:trHeight w:hRule="exact" w:val="255"/>
        </w:trPr>
        <w:tc>
          <w:tcPr>
            <w:tcW w:w="641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697018EA" w14:textId="77777777" w:rsidR="00FD1E19" w:rsidRDefault="00FD1E19" w:rsidP="00BE7E4A">
            <w:pPr>
              <w:pStyle w:val="DMETW34652BIPBS"/>
              <w:rPr>
                <w:rFonts w:ascii="Verdana" w:eastAsia="Verdana" w:hAnsi="Verdana" w:cs="Verdana"/>
                <w:i/>
                <w:noProof/>
                <w:color w:val="000000"/>
                <w:sz w:val="18"/>
              </w:rPr>
            </w:pPr>
          </w:p>
        </w:tc>
        <w:tc>
          <w:tcPr>
            <w:tcW w:w="148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C78BD86"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(13 431)</w:t>
            </w:r>
          </w:p>
        </w:tc>
        <w:tc>
          <w:tcPr>
            <w:tcW w:w="185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F0B8278" w14:textId="77777777" w:rsidR="00FD1E19" w:rsidRDefault="00FD1E19" w:rsidP="00BE7E4A">
            <w:pPr>
              <w:pStyle w:val="DMETW34652BIPBS"/>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(24 108)</w:t>
            </w:r>
          </w:p>
        </w:tc>
      </w:tr>
      <w:tr w:rsidR="00FD1E19" w14:paraId="1783766D" w14:textId="77777777" w:rsidTr="00BE7E4A">
        <w:trPr>
          <w:trHeight w:hRule="exact" w:val="255"/>
        </w:trPr>
        <w:tc>
          <w:tcPr>
            <w:tcW w:w="6414" w:type="dxa"/>
            <w:tcBorders>
              <w:top w:val="single" w:sz="4" w:space="0" w:color="016794"/>
              <w:left w:val="nil"/>
              <w:bottom w:val="nil"/>
              <w:right w:val="nil"/>
              <w:tl2br w:val="nil"/>
              <w:tr2bl w:val="nil"/>
            </w:tcBorders>
            <w:shd w:val="clear" w:color="auto" w:fill="auto"/>
            <w:tcMar>
              <w:left w:w="60" w:type="dxa"/>
              <w:right w:w="60" w:type="dxa"/>
            </w:tcMar>
            <w:vAlign w:val="bottom"/>
          </w:tcPr>
          <w:p w14:paraId="4EBC7A06" w14:textId="77777777" w:rsidR="00FD1E19" w:rsidRDefault="00FD1E19" w:rsidP="00BE7E4A">
            <w:pPr>
              <w:pStyle w:val="DMETW34652BIPBS"/>
              <w:rPr>
                <w:rFonts w:ascii="Verdana" w:eastAsia="Verdana" w:hAnsi="Verdana" w:cs="Verdana"/>
                <w:b/>
                <w:noProof/>
                <w:color w:val="000000"/>
                <w:sz w:val="18"/>
              </w:rPr>
            </w:pPr>
            <w:r>
              <w:rPr>
                <w:rFonts w:ascii="Verdana" w:eastAsia="Verdana" w:hAnsi="Verdana" w:cs="Verdana"/>
                <w:b/>
                <w:noProof/>
                <w:color w:val="000000"/>
                <w:sz w:val="18"/>
              </w:rPr>
              <w:t>CURRENT LIABILITIES</w:t>
            </w:r>
          </w:p>
        </w:tc>
        <w:tc>
          <w:tcPr>
            <w:tcW w:w="1486" w:type="dxa"/>
            <w:tcBorders>
              <w:top w:val="single" w:sz="4" w:space="0" w:color="016794"/>
              <w:left w:val="nil"/>
              <w:bottom w:val="nil"/>
              <w:right w:val="nil"/>
              <w:tl2br w:val="nil"/>
              <w:tr2bl w:val="nil"/>
            </w:tcBorders>
            <w:shd w:val="clear" w:color="auto" w:fill="auto"/>
            <w:tcMar>
              <w:left w:w="60" w:type="dxa"/>
              <w:right w:w="60" w:type="dxa"/>
            </w:tcMar>
            <w:vAlign w:val="bottom"/>
          </w:tcPr>
          <w:p w14:paraId="2FA21039" w14:textId="77777777" w:rsidR="00FD1E19" w:rsidRDefault="00FD1E19" w:rsidP="00BE7E4A">
            <w:pPr>
              <w:pStyle w:val="DMETW34652BIPBS"/>
              <w:jc w:val="right"/>
              <w:rPr>
                <w:rFonts w:ascii="Verdana" w:eastAsia="Verdana" w:hAnsi="Verdana" w:cs="Verdana"/>
                <w:b/>
                <w:noProof/>
                <w:color w:val="000000"/>
                <w:sz w:val="18"/>
              </w:rPr>
            </w:pPr>
          </w:p>
        </w:tc>
        <w:tc>
          <w:tcPr>
            <w:tcW w:w="1858" w:type="dxa"/>
            <w:tcBorders>
              <w:top w:val="single" w:sz="4" w:space="0" w:color="016794"/>
              <w:left w:val="nil"/>
              <w:bottom w:val="nil"/>
              <w:right w:val="nil"/>
              <w:tl2br w:val="nil"/>
              <w:tr2bl w:val="nil"/>
            </w:tcBorders>
            <w:shd w:val="clear" w:color="auto" w:fill="auto"/>
            <w:tcMar>
              <w:left w:w="60" w:type="dxa"/>
              <w:right w:w="60" w:type="dxa"/>
            </w:tcMar>
            <w:vAlign w:val="bottom"/>
          </w:tcPr>
          <w:p w14:paraId="77551E97" w14:textId="77777777" w:rsidR="00FD1E19" w:rsidRDefault="00FD1E19" w:rsidP="00BE7E4A">
            <w:pPr>
              <w:pStyle w:val="DMETW34652BIPBS"/>
              <w:jc w:val="right"/>
              <w:rPr>
                <w:rFonts w:ascii="Verdana" w:eastAsia="Verdana" w:hAnsi="Verdana" w:cs="Verdana"/>
                <w:b/>
                <w:noProof/>
                <w:color w:val="000000"/>
                <w:sz w:val="18"/>
                <w:lang w:bidi="en-GB"/>
              </w:rPr>
            </w:pPr>
          </w:p>
        </w:tc>
      </w:tr>
      <w:tr w:rsidR="00FD1E19" w14:paraId="533E273B"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2962F8E8" w14:textId="77777777" w:rsidR="00FD1E19" w:rsidRDefault="00FD1E19" w:rsidP="00BE7E4A">
            <w:pPr>
              <w:pStyle w:val="DMETW34652BIPBS"/>
              <w:rPr>
                <w:rFonts w:ascii="Verdana" w:eastAsia="Verdana" w:hAnsi="Verdana" w:cs="Verdana"/>
                <w:i/>
                <w:noProof/>
                <w:color w:val="000000"/>
                <w:sz w:val="18"/>
              </w:rPr>
            </w:pPr>
            <w:r>
              <w:rPr>
                <w:rFonts w:ascii="Verdana" w:eastAsia="Verdana" w:hAnsi="Verdana" w:cs="Verdana"/>
                <w:i/>
                <w:noProof/>
                <w:color w:val="000000"/>
                <w:sz w:val="18"/>
              </w:rPr>
              <w:t xml:space="preserve">Payables </w:t>
            </w:r>
          </w:p>
        </w:tc>
        <w:tc>
          <w:tcPr>
            <w:tcW w:w="1486" w:type="dxa"/>
            <w:tcBorders>
              <w:top w:val="nil"/>
              <w:left w:val="nil"/>
              <w:bottom w:val="nil"/>
              <w:right w:val="nil"/>
              <w:tl2br w:val="nil"/>
              <w:tr2bl w:val="nil"/>
            </w:tcBorders>
            <w:shd w:val="clear" w:color="auto" w:fill="auto"/>
            <w:tcMar>
              <w:left w:w="60" w:type="dxa"/>
              <w:right w:w="60" w:type="dxa"/>
            </w:tcMar>
            <w:vAlign w:val="bottom"/>
          </w:tcPr>
          <w:p w14:paraId="54F3B6CB" w14:textId="77777777" w:rsidR="00FD1E19" w:rsidRDefault="00FD1E19" w:rsidP="00BE7E4A">
            <w:pPr>
              <w:pStyle w:val="DMETW34652BIPBS"/>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(1 927)</w:t>
            </w:r>
          </w:p>
        </w:tc>
        <w:tc>
          <w:tcPr>
            <w:tcW w:w="1858" w:type="dxa"/>
            <w:tcBorders>
              <w:top w:val="nil"/>
              <w:left w:val="nil"/>
              <w:bottom w:val="nil"/>
              <w:right w:val="nil"/>
              <w:tl2br w:val="nil"/>
              <w:tr2bl w:val="nil"/>
            </w:tcBorders>
            <w:shd w:val="clear" w:color="auto" w:fill="auto"/>
            <w:tcMar>
              <w:left w:w="60" w:type="dxa"/>
              <w:right w:w="60" w:type="dxa"/>
            </w:tcMar>
            <w:vAlign w:val="bottom"/>
          </w:tcPr>
          <w:p w14:paraId="24B873C6" w14:textId="77777777" w:rsidR="00FD1E19" w:rsidRDefault="00FD1E19" w:rsidP="00BE7E4A">
            <w:pPr>
              <w:pStyle w:val="DMETW34652BIPBS"/>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(2 536)</w:t>
            </w:r>
          </w:p>
        </w:tc>
      </w:tr>
      <w:tr w:rsidR="00FD1E19" w14:paraId="216EC2AB" w14:textId="77777777" w:rsidTr="00BE7E4A">
        <w:trPr>
          <w:trHeight w:hRule="exact" w:val="255"/>
        </w:trPr>
        <w:tc>
          <w:tcPr>
            <w:tcW w:w="6414" w:type="dxa"/>
            <w:tcBorders>
              <w:top w:val="nil"/>
              <w:left w:val="nil"/>
              <w:bottom w:val="single" w:sz="4" w:space="0" w:color="016794"/>
              <w:right w:val="nil"/>
              <w:tl2br w:val="nil"/>
              <w:tr2bl w:val="nil"/>
            </w:tcBorders>
            <w:shd w:val="clear" w:color="auto" w:fill="auto"/>
            <w:tcMar>
              <w:left w:w="60" w:type="dxa"/>
              <w:right w:w="60" w:type="dxa"/>
            </w:tcMar>
            <w:vAlign w:val="bottom"/>
          </w:tcPr>
          <w:p w14:paraId="1273D409" w14:textId="77777777" w:rsidR="00FD1E19" w:rsidRDefault="00FD1E19" w:rsidP="00BE7E4A">
            <w:pPr>
              <w:pStyle w:val="DMETW34652BIPBS"/>
              <w:rPr>
                <w:rFonts w:ascii="Verdana" w:eastAsia="Verdana" w:hAnsi="Verdana" w:cs="Verdana"/>
                <w:i/>
                <w:noProof/>
                <w:color w:val="000000"/>
                <w:sz w:val="18"/>
              </w:rPr>
            </w:pPr>
            <w:r>
              <w:rPr>
                <w:rFonts w:ascii="Verdana" w:eastAsia="Verdana" w:hAnsi="Verdana" w:cs="Verdana"/>
                <w:i/>
                <w:noProof/>
                <w:color w:val="000000"/>
                <w:sz w:val="18"/>
              </w:rPr>
              <w:t xml:space="preserve">Accrued charges </w:t>
            </w:r>
          </w:p>
        </w:tc>
        <w:tc>
          <w:tcPr>
            <w:tcW w:w="1486" w:type="dxa"/>
            <w:tcBorders>
              <w:top w:val="nil"/>
              <w:left w:val="nil"/>
              <w:bottom w:val="single" w:sz="4" w:space="0" w:color="016794"/>
              <w:right w:val="nil"/>
              <w:tl2br w:val="nil"/>
              <w:tr2bl w:val="nil"/>
            </w:tcBorders>
            <w:shd w:val="clear" w:color="auto" w:fill="auto"/>
            <w:tcMar>
              <w:left w:w="60" w:type="dxa"/>
              <w:right w:w="60" w:type="dxa"/>
            </w:tcMar>
            <w:vAlign w:val="bottom"/>
          </w:tcPr>
          <w:p w14:paraId="009A0955" w14:textId="77777777" w:rsidR="00FD1E19" w:rsidRDefault="00FD1E19" w:rsidP="00BE7E4A">
            <w:pPr>
              <w:pStyle w:val="DMETW34652BIPBS"/>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(1 072)</w:t>
            </w:r>
          </w:p>
        </w:tc>
        <w:tc>
          <w:tcPr>
            <w:tcW w:w="1858" w:type="dxa"/>
            <w:tcBorders>
              <w:top w:val="nil"/>
              <w:left w:val="nil"/>
              <w:bottom w:val="single" w:sz="4" w:space="0" w:color="016794"/>
              <w:right w:val="nil"/>
              <w:tl2br w:val="nil"/>
              <w:tr2bl w:val="nil"/>
            </w:tcBorders>
            <w:shd w:val="clear" w:color="auto" w:fill="auto"/>
            <w:tcMar>
              <w:left w:w="60" w:type="dxa"/>
              <w:right w:w="60" w:type="dxa"/>
            </w:tcMar>
            <w:vAlign w:val="bottom"/>
          </w:tcPr>
          <w:p w14:paraId="3064ADDD" w14:textId="77777777" w:rsidR="00FD1E19" w:rsidRDefault="00FD1E19" w:rsidP="00BE7E4A">
            <w:pPr>
              <w:pStyle w:val="DMETW34652BIPBS"/>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(1 707)</w:t>
            </w:r>
          </w:p>
        </w:tc>
      </w:tr>
      <w:tr w:rsidR="00FD1E19" w14:paraId="70F0A2D7" w14:textId="77777777" w:rsidTr="00BE7E4A">
        <w:trPr>
          <w:trHeight w:hRule="exact" w:val="255"/>
        </w:trPr>
        <w:tc>
          <w:tcPr>
            <w:tcW w:w="6414" w:type="dxa"/>
            <w:tcBorders>
              <w:top w:val="single" w:sz="4" w:space="0" w:color="016794"/>
              <w:left w:val="nil"/>
              <w:bottom w:val="nil"/>
              <w:right w:val="nil"/>
              <w:tl2br w:val="nil"/>
              <w:tr2bl w:val="nil"/>
            </w:tcBorders>
            <w:shd w:val="clear" w:color="auto" w:fill="auto"/>
            <w:tcMar>
              <w:left w:w="60" w:type="dxa"/>
              <w:right w:w="60" w:type="dxa"/>
            </w:tcMar>
            <w:vAlign w:val="bottom"/>
          </w:tcPr>
          <w:p w14:paraId="312ECEC2" w14:textId="77777777" w:rsidR="00FD1E19" w:rsidRDefault="00FD1E19" w:rsidP="00BE7E4A">
            <w:pPr>
              <w:pStyle w:val="DMETW34652BIPBS"/>
              <w:rPr>
                <w:rFonts w:ascii="Verdana" w:eastAsia="Verdana" w:hAnsi="Verdana" w:cs="Verdana"/>
                <w:i/>
                <w:noProof/>
                <w:color w:val="000000"/>
                <w:sz w:val="18"/>
              </w:rPr>
            </w:pPr>
          </w:p>
        </w:tc>
        <w:tc>
          <w:tcPr>
            <w:tcW w:w="1486" w:type="dxa"/>
            <w:tcBorders>
              <w:top w:val="single" w:sz="4" w:space="0" w:color="016794"/>
              <w:left w:val="nil"/>
              <w:bottom w:val="nil"/>
              <w:right w:val="nil"/>
              <w:tl2br w:val="nil"/>
              <w:tr2bl w:val="nil"/>
            </w:tcBorders>
            <w:shd w:val="clear" w:color="auto" w:fill="auto"/>
            <w:tcMar>
              <w:left w:w="60" w:type="dxa"/>
              <w:right w:w="60" w:type="dxa"/>
            </w:tcMar>
            <w:vAlign w:val="bottom"/>
          </w:tcPr>
          <w:p w14:paraId="6BBEC63F"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(2 998)</w:t>
            </w:r>
          </w:p>
        </w:tc>
        <w:tc>
          <w:tcPr>
            <w:tcW w:w="1858" w:type="dxa"/>
            <w:tcBorders>
              <w:top w:val="single" w:sz="4" w:space="0" w:color="016794"/>
              <w:left w:val="nil"/>
              <w:bottom w:val="nil"/>
              <w:right w:val="nil"/>
              <w:tl2br w:val="nil"/>
              <w:tr2bl w:val="nil"/>
            </w:tcBorders>
            <w:shd w:val="clear" w:color="auto" w:fill="auto"/>
            <w:tcMar>
              <w:left w:w="60" w:type="dxa"/>
              <w:right w:w="60" w:type="dxa"/>
            </w:tcMar>
            <w:vAlign w:val="bottom"/>
          </w:tcPr>
          <w:p w14:paraId="10C85850" w14:textId="77777777" w:rsidR="00FD1E19" w:rsidRDefault="00FD1E19" w:rsidP="00BE7E4A">
            <w:pPr>
              <w:pStyle w:val="DMETW34652BIPBS"/>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(4 243)</w:t>
            </w:r>
          </w:p>
        </w:tc>
      </w:tr>
      <w:tr w:rsidR="00FD1E19" w14:paraId="53AA5119" w14:textId="77777777" w:rsidTr="00BE7E4A">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14:paraId="5AA411A2" w14:textId="77777777" w:rsidR="00FD1E19" w:rsidRDefault="00FD1E19" w:rsidP="00BE7E4A">
            <w:pPr>
              <w:pStyle w:val="DMETW34652BIPBS"/>
              <w:rPr>
                <w:rFonts w:ascii="Verdana" w:eastAsia="Verdana" w:hAnsi="Verdana" w:cs="Verdana"/>
                <w:b/>
                <w:noProof/>
                <w:color w:val="000000"/>
                <w:sz w:val="18"/>
              </w:rPr>
            </w:pPr>
            <w:r>
              <w:rPr>
                <w:rFonts w:ascii="Verdana" w:eastAsia="Verdana" w:hAnsi="Verdana" w:cs="Verdana"/>
                <w:b/>
                <w:noProof/>
                <w:color w:val="000000"/>
                <w:sz w:val="18"/>
              </w:rPr>
              <w:t>TOTAL LIABILITIES</w:t>
            </w:r>
          </w:p>
        </w:tc>
        <w:tc>
          <w:tcPr>
            <w:tcW w:w="1486" w:type="dxa"/>
            <w:tcBorders>
              <w:top w:val="nil"/>
              <w:left w:val="nil"/>
              <w:bottom w:val="nil"/>
              <w:right w:val="nil"/>
              <w:tl2br w:val="nil"/>
              <w:tr2bl w:val="nil"/>
            </w:tcBorders>
            <w:shd w:val="solid" w:color="CCE1EA" w:fill="FFFFFF"/>
            <w:tcMar>
              <w:left w:w="60" w:type="dxa"/>
              <w:right w:w="60" w:type="dxa"/>
            </w:tcMar>
            <w:vAlign w:val="bottom"/>
          </w:tcPr>
          <w:p w14:paraId="634553AF"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(16 430)</w:t>
            </w:r>
          </w:p>
        </w:tc>
        <w:tc>
          <w:tcPr>
            <w:tcW w:w="1858" w:type="dxa"/>
            <w:tcBorders>
              <w:top w:val="nil"/>
              <w:left w:val="nil"/>
              <w:bottom w:val="nil"/>
              <w:right w:val="nil"/>
              <w:tl2br w:val="nil"/>
              <w:tr2bl w:val="nil"/>
            </w:tcBorders>
            <w:shd w:val="solid" w:color="CCE1EA" w:fill="FFFFFF"/>
            <w:tcMar>
              <w:left w:w="60" w:type="dxa"/>
              <w:right w:w="60" w:type="dxa"/>
            </w:tcMar>
            <w:vAlign w:val="bottom"/>
          </w:tcPr>
          <w:p w14:paraId="75A846A0" w14:textId="77777777" w:rsidR="00FD1E19" w:rsidRDefault="00FD1E19" w:rsidP="00BE7E4A">
            <w:pPr>
              <w:pStyle w:val="DMETW34652BIPBS"/>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(28 350)</w:t>
            </w:r>
          </w:p>
        </w:tc>
      </w:tr>
      <w:tr w:rsidR="00FD1E19" w14:paraId="0F74CB18" w14:textId="77777777" w:rsidTr="00BE7E4A">
        <w:trPr>
          <w:trHeight w:hRule="exact" w:val="255"/>
        </w:trPr>
        <w:tc>
          <w:tcPr>
            <w:tcW w:w="6414" w:type="dxa"/>
            <w:tcBorders>
              <w:top w:val="nil"/>
              <w:left w:val="nil"/>
              <w:bottom w:val="nil"/>
              <w:right w:val="nil"/>
              <w:tl2br w:val="nil"/>
              <w:tr2bl w:val="nil"/>
            </w:tcBorders>
            <w:shd w:val="clear" w:color="auto" w:fill="auto"/>
            <w:tcMar>
              <w:left w:w="60" w:type="dxa"/>
              <w:right w:w="60" w:type="dxa"/>
            </w:tcMar>
            <w:vAlign w:val="bottom"/>
          </w:tcPr>
          <w:p w14:paraId="47F6185A" w14:textId="77777777" w:rsidR="00FD1E19" w:rsidRDefault="00FD1E19" w:rsidP="00BE7E4A">
            <w:pPr>
              <w:pStyle w:val="DMETW34652BIPBS"/>
              <w:rPr>
                <w:rFonts w:ascii="Verdana" w:eastAsia="Verdana" w:hAnsi="Verdana" w:cs="Verdana"/>
                <w:i/>
                <w:noProof/>
                <w:color w:val="000000"/>
                <w:sz w:val="18"/>
              </w:rPr>
            </w:pPr>
          </w:p>
        </w:tc>
        <w:tc>
          <w:tcPr>
            <w:tcW w:w="1486" w:type="dxa"/>
            <w:tcBorders>
              <w:top w:val="nil"/>
              <w:left w:val="nil"/>
              <w:bottom w:val="nil"/>
              <w:right w:val="nil"/>
              <w:tl2br w:val="nil"/>
              <w:tr2bl w:val="nil"/>
            </w:tcBorders>
            <w:shd w:val="clear" w:color="auto" w:fill="auto"/>
            <w:tcMar>
              <w:left w:w="60" w:type="dxa"/>
              <w:right w:w="60" w:type="dxa"/>
            </w:tcMar>
            <w:vAlign w:val="bottom"/>
          </w:tcPr>
          <w:p w14:paraId="47112098" w14:textId="77777777" w:rsidR="00FD1E19" w:rsidRDefault="00FD1E19" w:rsidP="00BE7E4A">
            <w:pPr>
              <w:pStyle w:val="DMETW34652BIPBS"/>
              <w:jc w:val="right"/>
              <w:rPr>
                <w:rFonts w:ascii="Verdana" w:eastAsia="Verdana" w:hAnsi="Verdana" w:cs="Verdana"/>
                <w:i/>
                <w:noProof/>
                <w:color w:val="000000"/>
                <w:sz w:val="18"/>
              </w:rPr>
            </w:pPr>
          </w:p>
        </w:tc>
        <w:tc>
          <w:tcPr>
            <w:tcW w:w="1858" w:type="dxa"/>
            <w:tcBorders>
              <w:top w:val="nil"/>
              <w:left w:val="nil"/>
              <w:bottom w:val="nil"/>
              <w:right w:val="nil"/>
              <w:tl2br w:val="nil"/>
              <w:tr2bl w:val="nil"/>
            </w:tcBorders>
            <w:shd w:val="clear" w:color="auto" w:fill="auto"/>
            <w:tcMar>
              <w:left w:w="60" w:type="dxa"/>
              <w:right w:w="60" w:type="dxa"/>
            </w:tcMar>
            <w:vAlign w:val="bottom"/>
          </w:tcPr>
          <w:p w14:paraId="771C3045" w14:textId="77777777" w:rsidR="00FD1E19" w:rsidRDefault="00FD1E19" w:rsidP="00BE7E4A">
            <w:pPr>
              <w:pStyle w:val="DMETW34652BIPBS"/>
              <w:jc w:val="right"/>
              <w:rPr>
                <w:rFonts w:ascii="Verdana" w:eastAsia="Verdana" w:hAnsi="Verdana" w:cs="Verdana"/>
                <w:i/>
                <w:noProof/>
                <w:color w:val="000000"/>
                <w:sz w:val="18"/>
                <w:lang w:bidi="en-GB"/>
              </w:rPr>
            </w:pPr>
          </w:p>
        </w:tc>
      </w:tr>
      <w:tr w:rsidR="00FD1E19" w14:paraId="169B4942" w14:textId="77777777" w:rsidTr="00BE7E4A">
        <w:trPr>
          <w:trHeight w:hRule="exact" w:val="255"/>
        </w:trPr>
        <w:tc>
          <w:tcPr>
            <w:tcW w:w="6414" w:type="dxa"/>
            <w:tcBorders>
              <w:top w:val="nil"/>
              <w:left w:val="nil"/>
              <w:bottom w:val="nil"/>
              <w:right w:val="nil"/>
              <w:tl2br w:val="nil"/>
              <w:tr2bl w:val="nil"/>
            </w:tcBorders>
            <w:shd w:val="solid" w:color="CCE1EA" w:fill="FFFFFF"/>
            <w:tcMar>
              <w:left w:w="60" w:type="dxa"/>
              <w:right w:w="60" w:type="dxa"/>
            </w:tcMar>
            <w:vAlign w:val="bottom"/>
          </w:tcPr>
          <w:p w14:paraId="0EA00D4C" w14:textId="77777777" w:rsidR="00FD1E19" w:rsidRDefault="00FD1E19" w:rsidP="00BE7E4A">
            <w:pPr>
              <w:pStyle w:val="DMETW34652BIP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1486" w:type="dxa"/>
            <w:tcBorders>
              <w:top w:val="nil"/>
              <w:left w:val="nil"/>
              <w:bottom w:val="nil"/>
              <w:right w:val="nil"/>
              <w:tl2br w:val="nil"/>
              <w:tr2bl w:val="nil"/>
            </w:tcBorders>
            <w:shd w:val="solid" w:color="CCE1EA" w:fill="FFFFFF"/>
            <w:tcMar>
              <w:left w:w="60" w:type="dxa"/>
              <w:right w:w="60" w:type="dxa"/>
            </w:tcMar>
            <w:vAlign w:val="bottom"/>
          </w:tcPr>
          <w:p w14:paraId="2D2ACB37"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w:t>
            </w:r>
          </w:p>
        </w:tc>
        <w:tc>
          <w:tcPr>
            <w:tcW w:w="1858" w:type="dxa"/>
            <w:tcBorders>
              <w:top w:val="nil"/>
              <w:left w:val="nil"/>
              <w:bottom w:val="nil"/>
              <w:right w:val="nil"/>
              <w:tl2br w:val="nil"/>
              <w:tr2bl w:val="nil"/>
            </w:tcBorders>
            <w:shd w:val="solid" w:color="CCE1EA" w:fill="FFFFFF"/>
            <w:tcMar>
              <w:left w:w="60" w:type="dxa"/>
              <w:right w:w="60" w:type="dxa"/>
            </w:tcMar>
            <w:vAlign w:val="bottom"/>
          </w:tcPr>
          <w:p w14:paraId="5DC2D612" w14:textId="77777777" w:rsidR="00FD1E19" w:rsidRDefault="00FD1E19" w:rsidP="00BE7E4A">
            <w:pPr>
              <w:pStyle w:val="DMETW34652BIPBS"/>
              <w:jc w:val="right"/>
              <w:rPr>
                <w:rFonts w:ascii="Verdana" w:eastAsia="Verdana" w:hAnsi="Verdana" w:cs="Verdana"/>
                <w:b/>
                <w:noProof/>
                <w:color w:val="000000"/>
                <w:sz w:val="18"/>
              </w:rPr>
            </w:pPr>
            <w:r w:rsidRPr="00500C42">
              <w:rPr>
                <w:rFonts w:ascii="Verdana" w:eastAsia="Verdana" w:hAnsi="Verdana" w:cs="Verdana"/>
                <w:b/>
                <w:noProof/>
                <w:color w:val="000000"/>
                <w:sz w:val="18"/>
              </w:rPr>
              <w:t>–</w:t>
            </w:r>
          </w:p>
        </w:tc>
      </w:tr>
    </w:tbl>
    <w:p w14:paraId="5E561ED9" w14:textId="77777777" w:rsidR="00FD1E19" w:rsidRDefault="00FD1E19" w:rsidP="00FD1E19">
      <w:pPr>
        <w:pStyle w:val="Textstand-alone"/>
        <w:sectPr w:rsidR="00FD1E19" w:rsidSect="00FD1E19">
          <w:headerReference w:type="even" r:id="rId100"/>
          <w:headerReference w:type="default" r:id="rId101"/>
          <w:footerReference w:type="even" r:id="rId102"/>
          <w:footerReference w:type="default" r:id="rId103"/>
          <w:headerReference w:type="first" r:id="rId104"/>
          <w:footerReference w:type="first" r:id="rId105"/>
          <w:pgSz w:w="11906" w:h="16838" w:code="9"/>
          <w:pgMar w:top="1134" w:right="1134" w:bottom="1134" w:left="1134" w:header="709" w:footer="709" w:gutter="0"/>
          <w:cols w:space="708"/>
          <w:docGrid w:linePitch="360"/>
        </w:sectPr>
      </w:pPr>
    </w:p>
    <w:p w14:paraId="28EA5BAD" w14:textId="77777777" w:rsidR="00FD1E19" w:rsidRDefault="00FD1E19" w:rsidP="00FD1E19">
      <w:pPr>
        <w:pStyle w:val="HEADERTITLE1"/>
      </w:pPr>
      <w:bookmarkStart w:id="148" w:name="_Toc125448035"/>
      <w:bookmarkStart w:id="149" w:name="_Toc125449997"/>
      <w:bookmarkStart w:id="150" w:name="_Toc232609788"/>
      <w:r>
        <w:t>STATEMENT OF FINANCIAL PERFORMANCE</w:t>
      </w:r>
      <w:bookmarkEnd w:id="148"/>
      <w:bookmarkEnd w:id="149"/>
      <w:bookmarkEnd w:id="1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3"/>
        <w:gridCol w:w="1938"/>
        <w:gridCol w:w="1447"/>
      </w:tblGrid>
      <w:tr w:rsidR="00FD1E19" w14:paraId="4799D967" w14:textId="77777777" w:rsidTr="00BE7E4A">
        <w:trPr>
          <w:trHeight w:hRule="exact" w:val="255"/>
        </w:trPr>
        <w:tc>
          <w:tcPr>
            <w:tcW w:w="6373" w:type="dxa"/>
            <w:tcBorders>
              <w:top w:val="nil"/>
              <w:left w:val="nil"/>
              <w:bottom w:val="nil"/>
              <w:right w:val="nil"/>
              <w:tl2br w:val="nil"/>
              <w:tr2bl w:val="nil"/>
            </w:tcBorders>
            <w:shd w:val="clear" w:color="auto" w:fill="auto"/>
            <w:tcMar>
              <w:left w:w="60" w:type="dxa"/>
              <w:right w:w="60" w:type="dxa"/>
            </w:tcMar>
            <w:vAlign w:val="bottom"/>
          </w:tcPr>
          <w:p w14:paraId="41CBC474" w14:textId="77777777" w:rsidR="00FD1E19" w:rsidRPr="00B45F71" w:rsidRDefault="00FD1E19" w:rsidP="00BE7E4A">
            <w:pPr>
              <w:rPr>
                <w:rFonts w:ascii="Verdana" w:eastAsia="Verdana" w:hAnsi="Verdana" w:cs="Verdana"/>
                <w:noProof/>
                <w:color w:val="000000"/>
                <w:sz w:val="20"/>
                <w:lang w:bidi="en-GB"/>
              </w:rPr>
            </w:pPr>
          </w:p>
        </w:tc>
        <w:tc>
          <w:tcPr>
            <w:tcW w:w="1938" w:type="dxa"/>
            <w:tcBorders>
              <w:top w:val="nil"/>
              <w:left w:val="nil"/>
              <w:bottom w:val="nil"/>
              <w:right w:val="nil"/>
              <w:tl2br w:val="nil"/>
              <w:tr2bl w:val="nil"/>
            </w:tcBorders>
            <w:shd w:val="clear" w:color="auto" w:fill="auto"/>
            <w:tcMar>
              <w:left w:w="60" w:type="dxa"/>
              <w:right w:w="60" w:type="dxa"/>
            </w:tcMar>
            <w:vAlign w:val="bottom"/>
          </w:tcPr>
          <w:p w14:paraId="413C705B" w14:textId="77777777" w:rsidR="00FD1E19" w:rsidRPr="00B45F71" w:rsidRDefault="00FD1E19" w:rsidP="00BE7E4A">
            <w:pPr>
              <w:jc w:val="right"/>
              <w:rPr>
                <w:rFonts w:ascii="Verdana" w:eastAsia="Verdana" w:hAnsi="Verdana" w:cs="Verdana"/>
                <w:noProof/>
                <w:color w:val="000000"/>
                <w:sz w:val="20"/>
              </w:rPr>
            </w:pPr>
          </w:p>
        </w:tc>
        <w:tc>
          <w:tcPr>
            <w:tcW w:w="1447" w:type="dxa"/>
            <w:tcBorders>
              <w:top w:val="nil"/>
              <w:left w:val="nil"/>
              <w:bottom w:val="nil"/>
              <w:right w:val="nil"/>
              <w:tl2br w:val="nil"/>
              <w:tr2bl w:val="nil"/>
            </w:tcBorders>
            <w:shd w:val="clear" w:color="auto" w:fill="auto"/>
            <w:tcMar>
              <w:left w:w="60" w:type="dxa"/>
              <w:right w:w="60" w:type="dxa"/>
            </w:tcMar>
            <w:vAlign w:val="bottom"/>
          </w:tcPr>
          <w:p w14:paraId="46AF2135" w14:textId="77777777" w:rsidR="00FD1E19" w:rsidRPr="00B45F71" w:rsidRDefault="00FD1E19" w:rsidP="00BE7E4A">
            <w:pPr>
              <w:jc w:val="right"/>
              <w:rPr>
                <w:rFonts w:ascii="Verdana" w:eastAsia="Verdana" w:hAnsi="Verdana" w:cs="Verdana"/>
                <w:i/>
                <w:noProof/>
                <w:color w:val="000000"/>
                <w:sz w:val="16"/>
                <w:lang w:bidi="en-GB"/>
              </w:rPr>
            </w:pPr>
            <w:r w:rsidRPr="00B45F71">
              <w:rPr>
                <w:rFonts w:ascii="Verdana" w:eastAsia="Verdana" w:hAnsi="Verdana" w:cs="Verdana"/>
                <w:i/>
                <w:noProof/>
                <w:color w:val="000000"/>
                <w:sz w:val="16"/>
              </w:rPr>
              <w:t>EUR '000</w:t>
            </w:r>
          </w:p>
        </w:tc>
      </w:tr>
      <w:tr w:rsidR="00FD1E19" w14:paraId="3E84A888" w14:textId="77777777" w:rsidTr="00BE7E4A">
        <w:trPr>
          <w:trHeight w:hRule="exact" w:val="255"/>
        </w:trPr>
        <w:tc>
          <w:tcPr>
            <w:tcW w:w="6373" w:type="dxa"/>
            <w:tcBorders>
              <w:top w:val="nil"/>
              <w:left w:val="nil"/>
              <w:bottom w:val="nil"/>
              <w:right w:val="nil"/>
              <w:tl2br w:val="nil"/>
              <w:tr2bl w:val="nil"/>
            </w:tcBorders>
            <w:shd w:val="solid" w:color="016794" w:fill="FFFFFF"/>
            <w:tcMar>
              <w:left w:w="60" w:type="dxa"/>
              <w:right w:w="60" w:type="dxa"/>
            </w:tcMar>
            <w:vAlign w:val="bottom"/>
          </w:tcPr>
          <w:p w14:paraId="74361483" w14:textId="77777777" w:rsidR="00FD1E19" w:rsidRPr="00B45F71" w:rsidRDefault="00FD1E19" w:rsidP="00BE7E4A">
            <w:pPr>
              <w:rPr>
                <w:rFonts w:ascii="Verdana" w:eastAsia="Verdana" w:hAnsi="Verdana" w:cs="Verdana"/>
                <w:noProof/>
                <w:color w:val="FFFFFF"/>
                <w:sz w:val="20"/>
              </w:rPr>
            </w:pPr>
          </w:p>
        </w:tc>
        <w:tc>
          <w:tcPr>
            <w:tcW w:w="1938" w:type="dxa"/>
            <w:tcBorders>
              <w:top w:val="nil"/>
              <w:left w:val="nil"/>
              <w:bottom w:val="nil"/>
              <w:right w:val="nil"/>
              <w:tl2br w:val="nil"/>
              <w:tr2bl w:val="nil"/>
            </w:tcBorders>
            <w:shd w:val="solid" w:color="016794" w:fill="FFFFFF"/>
            <w:tcMar>
              <w:left w:w="60" w:type="dxa"/>
              <w:right w:w="60" w:type="dxa"/>
            </w:tcMar>
            <w:vAlign w:val="bottom"/>
          </w:tcPr>
          <w:p w14:paraId="59BDEC76" w14:textId="77777777" w:rsidR="00FD1E19" w:rsidRPr="00B45F71" w:rsidRDefault="00FD1E19" w:rsidP="00BE7E4A">
            <w:pPr>
              <w:jc w:val="right"/>
              <w:rPr>
                <w:rFonts w:ascii="Verdana" w:eastAsia="Verdana" w:hAnsi="Verdana" w:cs="Verdana"/>
                <w:noProof/>
                <w:color w:val="FFFFFF"/>
                <w:sz w:val="20"/>
              </w:rPr>
            </w:pPr>
            <w:r w:rsidRPr="00500C42">
              <w:rPr>
                <w:rFonts w:ascii="Verdana" w:eastAsia="Verdana" w:hAnsi="Verdana" w:cs="Verdana"/>
                <w:noProof/>
                <w:color w:val="FFFFFF"/>
              </w:rPr>
              <w:t>2025</w:t>
            </w:r>
          </w:p>
        </w:tc>
        <w:tc>
          <w:tcPr>
            <w:tcW w:w="1447" w:type="dxa"/>
            <w:tcBorders>
              <w:top w:val="nil"/>
              <w:left w:val="nil"/>
              <w:bottom w:val="nil"/>
              <w:right w:val="nil"/>
              <w:tl2br w:val="nil"/>
              <w:tr2bl w:val="nil"/>
            </w:tcBorders>
            <w:shd w:val="solid" w:color="016794" w:fill="FFFFFF"/>
            <w:tcMar>
              <w:left w:w="60" w:type="dxa"/>
              <w:right w:w="60" w:type="dxa"/>
            </w:tcMar>
            <w:vAlign w:val="bottom"/>
          </w:tcPr>
          <w:p w14:paraId="662542E8" w14:textId="77777777" w:rsidR="00FD1E19" w:rsidRPr="00B45F71" w:rsidRDefault="00FD1E19" w:rsidP="00BE7E4A">
            <w:pPr>
              <w:jc w:val="right"/>
              <w:rPr>
                <w:rFonts w:ascii="Verdana" w:eastAsia="Verdana" w:hAnsi="Verdana" w:cs="Verdana"/>
                <w:noProof/>
                <w:color w:val="FFFFFF"/>
                <w:sz w:val="20"/>
                <w:lang w:bidi="en-GB"/>
              </w:rPr>
            </w:pPr>
            <w:r w:rsidRPr="00500C42">
              <w:rPr>
                <w:rFonts w:ascii="Verdana" w:eastAsia="Verdana" w:hAnsi="Verdana" w:cs="Verdana"/>
                <w:noProof/>
                <w:color w:val="FFFFFF"/>
              </w:rPr>
              <w:t>2024</w:t>
            </w:r>
          </w:p>
        </w:tc>
      </w:tr>
      <w:tr w:rsidR="00FD1E19" w14:paraId="2AC14DD2" w14:textId="77777777" w:rsidTr="00BE7E4A">
        <w:trPr>
          <w:trHeight w:hRule="exact" w:val="255"/>
        </w:trPr>
        <w:tc>
          <w:tcPr>
            <w:tcW w:w="6373" w:type="dxa"/>
            <w:tcBorders>
              <w:top w:val="nil"/>
              <w:left w:val="nil"/>
              <w:bottom w:val="nil"/>
              <w:right w:val="nil"/>
              <w:tl2br w:val="nil"/>
              <w:tr2bl w:val="nil"/>
            </w:tcBorders>
            <w:shd w:val="clear" w:color="auto" w:fill="auto"/>
            <w:tcMar>
              <w:left w:w="60" w:type="dxa"/>
              <w:right w:w="60" w:type="dxa"/>
            </w:tcMar>
            <w:vAlign w:val="bottom"/>
          </w:tcPr>
          <w:p w14:paraId="0242329E" w14:textId="77777777" w:rsidR="00FD1E19" w:rsidRPr="00B45F71" w:rsidRDefault="00FD1E19" w:rsidP="00BE7E4A">
            <w:pPr>
              <w:rPr>
                <w:rFonts w:ascii="Verdana" w:eastAsia="Verdana" w:hAnsi="Verdana" w:cs="Verdana"/>
                <w:b/>
                <w:noProof/>
                <w:color w:val="000000"/>
                <w:sz w:val="18"/>
              </w:rPr>
            </w:pPr>
            <w:r w:rsidRPr="00B45F71">
              <w:rPr>
                <w:rFonts w:ascii="Verdana" w:eastAsia="Verdana" w:hAnsi="Verdana" w:cs="Verdana"/>
                <w:b/>
                <w:noProof/>
                <w:color w:val="000000"/>
                <w:sz w:val="18"/>
              </w:rPr>
              <w:t>REVENUE</w:t>
            </w:r>
          </w:p>
        </w:tc>
        <w:tc>
          <w:tcPr>
            <w:tcW w:w="1938" w:type="dxa"/>
            <w:tcBorders>
              <w:top w:val="nil"/>
              <w:left w:val="nil"/>
              <w:bottom w:val="nil"/>
              <w:right w:val="nil"/>
              <w:tl2br w:val="nil"/>
              <w:tr2bl w:val="nil"/>
            </w:tcBorders>
            <w:shd w:val="clear" w:color="auto" w:fill="auto"/>
            <w:tcMar>
              <w:left w:w="60" w:type="dxa"/>
              <w:right w:w="60" w:type="dxa"/>
            </w:tcMar>
            <w:vAlign w:val="bottom"/>
          </w:tcPr>
          <w:p w14:paraId="409C7645" w14:textId="77777777" w:rsidR="00FD1E19" w:rsidRPr="00B45F71" w:rsidRDefault="00FD1E19" w:rsidP="00BE7E4A">
            <w:pPr>
              <w:jc w:val="right"/>
              <w:rPr>
                <w:rFonts w:ascii="Verdana" w:eastAsia="Verdana" w:hAnsi="Verdana" w:cs="Verdana"/>
                <w:b/>
                <w:noProof/>
                <w:color w:val="000000"/>
                <w:sz w:val="18"/>
              </w:rPr>
            </w:pPr>
          </w:p>
        </w:tc>
        <w:tc>
          <w:tcPr>
            <w:tcW w:w="1447" w:type="dxa"/>
            <w:tcBorders>
              <w:top w:val="nil"/>
              <w:left w:val="nil"/>
              <w:bottom w:val="nil"/>
              <w:right w:val="nil"/>
              <w:tl2br w:val="nil"/>
              <w:tr2bl w:val="nil"/>
            </w:tcBorders>
            <w:shd w:val="clear" w:color="auto" w:fill="auto"/>
            <w:tcMar>
              <w:left w:w="60" w:type="dxa"/>
              <w:right w:w="60" w:type="dxa"/>
            </w:tcMar>
            <w:vAlign w:val="bottom"/>
          </w:tcPr>
          <w:p w14:paraId="4D72089D" w14:textId="77777777" w:rsidR="00FD1E19" w:rsidRPr="00B45F71" w:rsidRDefault="00FD1E19" w:rsidP="00BE7E4A">
            <w:pPr>
              <w:jc w:val="right"/>
              <w:rPr>
                <w:rFonts w:ascii="Verdana" w:eastAsia="Verdana" w:hAnsi="Verdana" w:cs="Verdana"/>
                <w:b/>
                <w:noProof/>
                <w:color w:val="000000"/>
                <w:sz w:val="18"/>
                <w:lang w:bidi="en-GB"/>
              </w:rPr>
            </w:pPr>
          </w:p>
        </w:tc>
      </w:tr>
      <w:tr w:rsidR="00FD1E19" w14:paraId="0DEA73EE" w14:textId="77777777" w:rsidTr="00BE7E4A">
        <w:trPr>
          <w:trHeight w:hRule="exact" w:val="255"/>
        </w:trPr>
        <w:tc>
          <w:tcPr>
            <w:tcW w:w="6373" w:type="dxa"/>
            <w:tcBorders>
              <w:top w:val="nil"/>
              <w:left w:val="nil"/>
              <w:bottom w:val="nil"/>
              <w:right w:val="nil"/>
              <w:tl2br w:val="nil"/>
              <w:tr2bl w:val="nil"/>
            </w:tcBorders>
            <w:shd w:val="clear" w:color="auto" w:fill="auto"/>
            <w:tcMar>
              <w:left w:w="60" w:type="dxa"/>
              <w:right w:w="60" w:type="dxa"/>
            </w:tcMar>
            <w:vAlign w:val="bottom"/>
          </w:tcPr>
          <w:p w14:paraId="54D34283" w14:textId="77777777" w:rsidR="00FD1E19" w:rsidRPr="00B45F71" w:rsidRDefault="00FD1E19" w:rsidP="00BE7E4A">
            <w:pPr>
              <w:rPr>
                <w:rFonts w:ascii="Verdana" w:eastAsia="Verdana" w:hAnsi="Verdana" w:cs="Verdana"/>
                <w:b/>
                <w:noProof/>
                <w:color w:val="000000"/>
                <w:sz w:val="18"/>
              </w:rPr>
            </w:pPr>
            <w:r w:rsidRPr="00B45F71">
              <w:rPr>
                <w:rFonts w:ascii="Verdana" w:eastAsia="Verdana" w:hAnsi="Verdana" w:cs="Verdana"/>
                <w:b/>
                <w:noProof/>
                <w:color w:val="000000"/>
                <w:sz w:val="18"/>
              </w:rPr>
              <w:t>Revenue from non-exchange transactions</w:t>
            </w:r>
          </w:p>
        </w:tc>
        <w:tc>
          <w:tcPr>
            <w:tcW w:w="1938" w:type="dxa"/>
            <w:tcBorders>
              <w:top w:val="nil"/>
              <w:left w:val="nil"/>
              <w:bottom w:val="nil"/>
              <w:right w:val="nil"/>
              <w:tl2br w:val="nil"/>
              <w:tr2bl w:val="nil"/>
            </w:tcBorders>
            <w:shd w:val="clear" w:color="auto" w:fill="auto"/>
            <w:tcMar>
              <w:left w:w="60" w:type="dxa"/>
              <w:right w:w="60" w:type="dxa"/>
            </w:tcMar>
            <w:vAlign w:val="bottom"/>
          </w:tcPr>
          <w:p w14:paraId="47AB7188" w14:textId="77777777" w:rsidR="00FD1E19" w:rsidRPr="00B45F71" w:rsidRDefault="00FD1E19" w:rsidP="00BE7E4A">
            <w:pPr>
              <w:jc w:val="right"/>
              <w:rPr>
                <w:rFonts w:ascii="Verdana" w:eastAsia="Verdana" w:hAnsi="Verdana" w:cs="Verdana"/>
                <w:b/>
                <w:noProof/>
                <w:color w:val="000000"/>
                <w:sz w:val="18"/>
              </w:rPr>
            </w:pPr>
          </w:p>
        </w:tc>
        <w:tc>
          <w:tcPr>
            <w:tcW w:w="1447" w:type="dxa"/>
            <w:tcBorders>
              <w:top w:val="nil"/>
              <w:left w:val="nil"/>
              <w:bottom w:val="nil"/>
              <w:right w:val="nil"/>
              <w:tl2br w:val="nil"/>
              <w:tr2bl w:val="nil"/>
            </w:tcBorders>
            <w:shd w:val="clear" w:color="auto" w:fill="auto"/>
            <w:tcMar>
              <w:left w:w="60" w:type="dxa"/>
              <w:right w:w="60" w:type="dxa"/>
            </w:tcMar>
            <w:vAlign w:val="bottom"/>
          </w:tcPr>
          <w:p w14:paraId="172F555C" w14:textId="77777777" w:rsidR="00FD1E19" w:rsidRPr="00B45F71" w:rsidRDefault="00FD1E19" w:rsidP="00BE7E4A">
            <w:pPr>
              <w:jc w:val="right"/>
              <w:rPr>
                <w:rFonts w:ascii="Verdana" w:eastAsia="Verdana" w:hAnsi="Verdana" w:cs="Verdana"/>
                <w:b/>
                <w:noProof/>
                <w:color w:val="000000"/>
                <w:sz w:val="18"/>
                <w:lang w:bidi="en-GB"/>
              </w:rPr>
            </w:pPr>
          </w:p>
        </w:tc>
      </w:tr>
      <w:tr w:rsidR="00FD1E19" w14:paraId="24ECB7E7" w14:textId="77777777" w:rsidTr="00BE7E4A">
        <w:trPr>
          <w:trHeight w:hRule="exact" w:val="255"/>
        </w:trPr>
        <w:tc>
          <w:tcPr>
            <w:tcW w:w="6373" w:type="dxa"/>
            <w:tcBorders>
              <w:top w:val="nil"/>
              <w:left w:val="nil"/>
              <w:bottom w:val="nil"/>
              <w:right w:val="nil"/>
              <w:tl2br w:val="nil"/>
              <w:tr2bl w:val="nil"/>
            </w:tcBorders>
            <w:shd w:val="clear" w:color="auto" w:fill="auto"/>
            <w:tcMar>
              <w:left w:w="60" w:type="dxa"/>
              <w:right w:w="60" w:type="dxa"/>
            </w:tcMar>
            <w:vAlign w:val="bottom"/>
          </w:tcPr>
          <w:p w14:paraId="766E2C34" w14:textId="77777777" w:rsidR="00FD1E19" w:rsidRPr="00B45F71" w:rsidRDefault="00FD1E19" w:rsidP="00BE7E4A">
            <w:pPr>
              <w:rPr>
                <w:rFonts w:ascii="Verdana" w:eastAsia="Verdana" w:hAnsi="Verdana" w:cs="Verdana"/>
                <w:i/>
                <w:noProof/>
                <w:color w:val="000000"/>
                <w:sz w:val="18"/>
              </w:rPr>
            </w:pPr>
            <w:r w:rsidRPr="00B45F71">
              <w:rPr>
                <w:rFonts w:ascii="Verdana" w:eastAsia="Verdana" w:hAnsi="Verdana" w:cs="Verdana"/>
                <w:i/>
                <w:noProof/>
                <w:color w:val="000000"/>
                <w:sz w:val="18"/>
              </w:rPr>
              <w:t>Revenue from donations</w:t>
            </w:r>
          </w:p>
        </w:tc>
        <w:tc>
          <w:tcPr>
            <w:tcW w:w="1938" w:type="dxa"/>
            <w:tcBorders>
              <w:top w:val="nil"/>
              <w:left w:val="nil"/>
              <w:bottom w:val="nil"/>
              <w:right w:val="nil"/>
              <w:tl2br w:val="nil"/>
              <w:tr2bl w:val="nil"/>
            </w:tcBorders>
            <w:shd w:val="clear" w:color="auto" w:fill="auto"/>
            <w:tcMar>
              <w:left w:w="60" w:type="dxa"/>
              <w:right w:w="60" w:type="dxa"/>
            </w:tcMar>
            <w:vAlign w:val="bottom"/>
          </w:tcPr>
          <w:p w14:paraId="7BA2B050" w14:textId="77777777" w:rsidR="00FD1E19" w:rsidRPr="00B45F71" w:rsidRDefault="00FD1E19" w:rsidP="00BE7E4A">
            <w:pPr>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10 676</w:t>
            </w:r>
          </w:p>
        </w:tc>
        <w:tc>
          <w:tcPr>
            <w:tcW w:w="1447" w:type="dxa"/>
            <w:tcBorders>
              <w:top w:val="nil"/>
              <w:left w:val="nil"/>
              <w:bottom w:val="nil"/>
              <w:right w:val="nil"/>
              <w:tl2br w:val="nil"/>
              <w:tr2bl w:val="nil"/>
            </w:tcBorders>
            <w:shd w:val="clear" w:color="auto" w:fill="auto"/>
            <w:tcMar>
              <w:left w:w="60" w:type="dxa"/>
              <w:right w:w="60" w:type="dxa"/>
            </w:tcMar>
            <w:vAlign w:val="bottom"/>
          </w:tcPr>
          <w:p w14:paraId="2B52DCC8" w14:textId="77777777" w:rsidR="00FD1E19" w:rsidRPr="00B45F71" w:rsidRDefault="00FD1E19" w:rsidP="00BE7E4A">
            <w:pPr>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6 894</w:t>
            </w:r>
          </w:p>
        </w:tc>
      </w:tr>
      <w:tr w:rsidR="00FD1E19" w14:paraId="3656E4E9" w14:textId="77777777" w:rsidTr="00BE7E4A">
        <w:trPr>
          <w:trHeight w:hRule="exact" w:val="255"/>
        </w:trPr>
        <w:tc>
          <w:tcPr>
            <w:tcW w:w="6373" w:type="dxa"/>
            <w:tcBorders>
              <w:top w:val="nil"/>
              <w:left w:val="nil"/>
              <w:bottom w:val="single" w:sz="4" w:space="0" w:color="016794"/>
              <w:right w:val="nil"/>
              <w:tl2br w:val="nil"/>
              <w:tr2bl w:val="nil"/>
            </w:tcBorders>
            <w:shd w:val="clear" w:color="auto" w:fill="auto"/>
            <w:tcMar>
              <w:left w:w="60" w:type="dxa"/>
              <w:right w:w="60" w:type="dxa"/>
            </w:tcMar>
            <w:vAlign w:val="bottom"/>
          </w:tcPr>
          <w:p w14:paraId="2857EB31" w14:textId="77777777" w:rsidR="00FD1E19" w:rsidRPr="00B45F71" w:rsidRDefault="00FD1E19" w:rsidP="00BE7E4A">
            <w:pPr>
              <w:rPr>
                <w:rFonts w:ascii="Verdana" w:eastAsia="Verdana" w:hAnsi="Verdana" w:cs="Verdana"/>
                <w:i/>
                <w:noProof/>
                <w:color w:val="000000"/>
                <w:sz w:val="18"/>
              </w:rPr>
            </w:pPr>
            <w:r w:rsidRPr="00B45F71">
              <w:rPr>
                <w:rFonts w:ascii="Verdana" w:eastAsia="Verdana" w:hAnsi="Verdana" w:cs="Verdana"/>
                <w:i/>
                <w:noProof/>
                <w:color w:val="000000"/>
                <w:sz w:val="18"/>
              </w:rPr>
              <w:t>Recovery of expenses</w:t>
            </w:r>
          </w:p>
        </w:tc>
        <w:tc>
          <w:tcPr>
            <w:tcW w:w="1938" w:type="dxa"/>
            <w:tcBorders>
              <w:top w:val="nil"/>
              <w:left w:val="nil"/>
              <w:bottom w:val="single" w:sz="4" w:space="0" w:color="016794"/>
              <w:right w:val="nil"/>
              <w:tl2br w:val="nil"/>
              <w:tr2bl w:val="nil"/>
            </w:tcBorders>
            <w:shd w:val="clear" w:color="auto" w:fill="auto"/>
            <w:tcMar>
              <w:left w:w="60" w:type="dxa"/>
              <w:right w:w="60" w:type="dxa"/>
            </w:tcMar>
            <w:vAlign w:val="bottom"/>
          </w:tcPr>
          <w:p w14:paraId="4FE67B36" w14:textId="77777777" w:rsidR="00FD1E19" w:rsidRPr="00B45F71" w:rsidRDefault="00FD1E19" w:rsidP="00BE7E4A">
            <w:pPr>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448</w:t>
            </w:r>
          </w:p>
        </w:tc>
        <w:tc>
          <w:tcPr>
            <w:tcW w:w="1447" w:type="dxa"/>
            <w:tcBorders>
              <w:top w:val="nil"/>
              <w:left w:val="nil"/>
              <w:bottom w:val="single" w:sz="4" w:space="0" w:color="016794"/>
              <w:right w:val="nil"/>
              <w:tl2br w:val="nil"/>
              <w:tr2bl w:val="nil"/>
            </w:tcBorders>
            <w:shd w:val="clear" w:color="auto" w:fill="auto"/>
            <w:tcMar>
              <w:left w:w="60" w:type="dxa"/>
              <w:right w:w="60" w:type="dxa"/>
            </w:tcMar>
            <w:vAlign w:val="bottom"/>
          </w:tcPr>
          <w:p w14:paraId="58119A3C" w14:textId="77777777" w:rsidR="00FD1E19" w:rsidRPr="00B45F71" w:rsidRDefault="00FD1E19" w:rsidP="00BE7E4A">
            <w:pPr>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183</w:t>
            </w:r>
          </w:p>
        </w:tc>
      </w:tr>
      <w:tr w:rsidR="00FD1E19" w14:paraId="22E1BC17" w14:textId="77777777" w:rsidTr="00BE7E4A">
        <w:trPr>
          <w:trHeight w:hRule="exact" w:val="255"/>
        </w:trPr>
        <w:tc>
          <w:tcPr>
            <w:tcW w:w="637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3E9894D0" w14:textId="77777777" w:rsidR="00FD1E19" w:rsidRPr="00B45F71" w:rsidRDefault="00FD1E19" w:rsidP="00BE7E4A">
            <w:pPr>
              <w:rPr>
                <w:rFonts w:ascii="Verdana" w:eastAsia="Verdana" w:hAnsi="Verdana" w:cs="Verdana"/>
                <w:b/>
                <w:noProof/>
                <w:color w:val="000000"/>
                <w:sz w:val="18"/>
              </w:rPr>
            </w:pPr>
          </w:p>
        </w:tc>
        <w:tc>
          <w:tcPr>
            <w:tcW w:w="193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E91C50D" w14:textId="77777777" w:rsidR="00FD1E19" w:rsidRPr="00B45F71" w:rsidRDefault="00FD1E19" w:rsidP="00BE7E4A">
            <w:pPr>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11 125</w:t>
            </w:r>
          </w:p>
        </w:tc>
        <w:tc>
          <w:tcPr>
            <w:tcW w:w="144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39418D97" w14:textId="77777777" w:rsidR="00FD1E19" w:rsidRPr="00B45F71" w:rsidRDefault="00FD1E19" w:rsidP="00BE7E4A">
            <w:pPr>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7 076</w:t>
            </w:r>
          </w:p>
        </w:tc>
      </w:tr>
      <w:tr w:rsidR="00FD1E19" w14:paraId="4F82DA58" w14:textId="77777777" w:rsidTr="00BE7E4A">
        <w:trPr>
          <w:trHeight w:hRule="exact" w:val="255"/>
        </w:trPr>
        <w:tc>
          <w:tcPr>
            <w:tcW w:w="6373" w:type="dxa"/>
            <w:tcBorders>
              <w:top w:val="single" w:sz="4" w:space="0" w:color="016794"/>
              <w:left w:val="nil"/>
              <w:bottom w:val="nil"/>
              <w:right w:val="nil"/>
              <w:tl2br w:val="nil"/>
              <w:tr2bl w:val="nil"/>
            </w:tcBorders>
            <w:shd w:val="clear" w:color="auto" w:fill="auto"/>
            <w:tcMar>
              <w:left w:w="60" w:type="dxa"/>
              <w:right w:w="60" w:type="dxa"/>
            </w:tcMar>
            <w:vAlign w:val="bottom"/>
          </w:tcPr>
          <w:p w14:paraId="48F976DA" w14:textId="77777777" w:rsidR="00FD1E19" w:rsidRPr="00B45F71" w:rsidRDefault="00FD1E19" w:rsidP="00BE7E4A">
            <w:pPr>
              <w:rPr>
                <w:rFonts w:ascii="Verdana" w:eastAsia="Verdana" w:hAnsi="Verdana" w:cs="Verdana"/>
                <w:b/>
                <w:noProof/>
                <w:color w:val="000000"/>
                <w:sz w:val="18"/>
              </w:rPr>
            </w:pPr>
            <w:r w:rsidRPr="00B45F71">
              <w:rPr>
                <w:rFonts w:ascii="Verdana" w:eastAsia="Verdana" w:hAnsi="Verdana" w:cs="Verdana"/>
                <w:b/>
                <w:noProof/>
                <w:color w:val="000000"/>
                <w:sz w:val="18"/>
              </w:rPr>
              <w:t>Revenue from exchange transactions</w:t>
            </w:r>
          </w:p>
        </w:tc>
        <w:tc>
          <w:tcPr>
            <w:tcW w:w="1938" w:type="dxa"/>
            <w:tcBorders>
              <w:top w:val="single" w:sz="4" w:space="0" w:color="016794"/>
              <w:left w:val="nil"/>
              <w:bottom w:val="nil"/>
              <w:right w:val="nil"/>
              <w:tl2br w:val="nil"/>
              <w:tr2bl w:val="nil"/>
            </w:tcBorders>
            <w:shd w:val="clear" w:color="auto" w:fill="auto"/>
            <w:tcMar>
              <w:left w:w="60" w:type="dxa"/>
              <w:right w:w="60" w:type="dxa"/>
            </w:tcMar>
            <w:vAlign w:val="bottom"/>
          </w:tcPr>
          <w:p w14:paraId="25516163" w14:textId="77777777" w:rsidR="00FD1E19" w:rsidRPr="00B45F71" w:rsidRDefault="00FD1E19" w:rsidP="00BE7E4A">
            <w:pPr>
              <w:jc w:val="right"/>
              <w:rPr>
                <w:rFonts w:ascii="Verdana" w:eastAsia="Verdana" w:hAnsi="Verdana" w:cs="Verdana"/>
                <w:b/>
                <w:noProof/>
                <w:color w:val="000000"/>
                <w:sz w:val="18"/>
              </w:rPr>
            </w:pPr>
          </w:p>
        </w:tc>
        <w:tc>
          <w:tcPr>
            <w:tcW w:w="1447" w:type="dxa"/>
            <w:tcBorders>
              <w:top w:val="single" w:sz="4" w:space="0" w:color="016794"/>
              <w:left w:val="nil"/>
              <w:bottom w:val="nil"/>
              <w:right w:val="nil"/>
              <w:tl2br w:val="nil"/>
              <w:tr2bl w:val="nil"/>
            </w:tcBorders>
            <w:shd w:val="clear" w:color="auto" w:fill="auto"/>
            <w:tcMar>
              <w:left w:w="60" w:type="dxa"/>
              <w:right w:w="60" w:type="dxa"/>
            </w:tcMar>
            <w:vAlign w:val="bottom"/>
          </w:tcPr>
          <w:p w14:paraId="3E11E4C9" w14:textId="77777777" w:rsidR="00FD1E19" w:rsidRPr="00B45F71" w:rsidRDefault="00FD1E19" w:rsidP="00BE7E4A">
            <w:pPr>
              <w:jc w:val="right"/>
              <w:rPr>
                <w:rFonts w:ascii="Verdana" w:eastAsia="Verdana" w:hAnsi="Verdana" w:cs="Verdana"/>
                <w:b/>
                <w:noProof/>
                <w:color w:val="000000"/>
                <w:sz w:val="18"/>
                <w:lang w:bidi="en-GB"/>
              </w:rPr>
            </w:pPr>
          </w:p>
        </w:tc>
      </w:tr>
      <w:tr w:rsidR="00FD1E19" w14:paraId="7D2180BA" w14:textId="77777777" w:rsidTr="00BE7E4A">
        <w:trPr>
          <w:trHeight w:hRule="exact" w:val="255"/>
        </w:trPr>
        <w:tc>
          <w:tcPr>
            <w:tcW w:w="6373" w:type="dxa"/>
            <w:tcBorders>
              <w:top w:val="nil"/>
              <w:left w:val="nil"/>
              <w:bottom w:val="single" w:sz="4" w:space="0" w:color="016794"/>
              <w:right w:val="nil"/>
              <w:tl2br w:val="nil"/>
              <w:tr2bl w:val="nil"/>
            </w:tcBorders>
            <w:shd w:val="clear" w:color="auto" w:fill="auto"/>
            <w:tcMar>
              <w:left w:w="60" w:type="dxa"/>
              <w:right w:w="60" w:type="dxa"/>
            </w:tcMar>
            <w:vAlign w:val="bottom"/>
          </w:tcPr>
          <w:p w14:paraId="69FF4E50" w14:textId="77777777" w:rsidR="00FD1E19" w:rsidRPr="00B45F71" w:rsidRDefault="00FD1E19" w:rsidP="00BE7E4A">
            <w:pPr>
              <w:rPr>
                <w:rFonts w:ascii="Verdana" w:eastAsia="Verdana" w:hAnsi="Verdana" w:cs="Verdana"/>
                <w:i/>
                <w:noProof/>
                <w:color w:val="000000"/>
                <w:sz w:val="18"/>
              </w:rPr>
            </w:pPr>
            <w:r w:rsidRPr="00B45F71">
              <w:rPr>
                <w:rFonts w:ascii="Verdana" w:eastAsia="Verdana" w:hAnsi="Verdana" w:cs="Verdana"/>
                <w:i/>
                <w:noProof/>
                <w:color w:val="000000"/>
                <w:sz w:val="18"/>
              </w:rPr>
              <w:t>Financial revenue</w:t>
            </w:r>
          </w:p>
        </w:tc>
        <w:tc>
          <w:tcPr>
            <w:tcW w:w="1938" w:type="dxa"/>
            <w:tcBorders>
              <w:top w:val="nil"/>
              <w:left w:val="nil"/>
              <w:bottom w:val="single" w:sz="4" w:space="0" w:color="016794"/>
              <w:right w:val="nil"/>
              <w:tl2br w:val="nil"/>
              <w:tr2bl w:val="nil"/>
            </w:tcBorders>
            <w:shd w:val="clear" w:color="auto" w:fill="auto"/>
            <w:tcMar>
              <w:left w:w="60" w:type="dxa"/>
              <w:right w:w="60" w:type="dxa"/>
            </w:tcMar>
            <w:vAlign w:val="bottom"/>
          </w:tcPr>
          <w:p w14:paraId="026C45EF" w14:textId="77777777" w:rsidR="00FD1E19" w:rsidRPr="00B45F71" w:rsidRDefault="00FD1E19" w:rsidP="00BE7E4A">
            <w:pPr>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400</w:t>
            </w:r>
          </w:p>
        </w:tc>
        <w:tc>
          <w:tcPr>
            <w:tcW w:w="1447" w:type="dxa"/>
            <w:tcBorders>
              <w:top w:val="nil"/>
              <w:left w:val="nil"/>
              <w:bottom w:val="single" w:sz="4" w:space="0" w:color="016794"/>
              <w:right w:val="nil"/>
              <w:tl2br w:val="nil"/>
              <w:tr2bl w:val="nil"/>
            </w:tcBorders>
            <w:shd w:val="clear" w:color="auto" w:fill="auto"/>
            <w:tcMar>
              <w:left w:w="60" w:type="dxa"/>
              <w:right w:w="60" w:type="dxa"/>
            </w:tcMar>
            <w:vAlign w:val="bottom"/>
          </w:tcPr>
          <w:p w14:paraId="0EC38066" w14:textId="77777777" w:rsidR="00FD1E19" w:rsidRPr="00B45F71" w:rsidRDefault="00FD1E19" w:rsidP="00BE7E4A">
            <w:pPr>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884</w:t>
            </w:r>
          </w:p>
        </w:tc>
      </w:tr>
      <w:tr w:rsidR="00FD1E19" w14:paraId="2CBF6689" w14:textId="77777777" w:rsidTr="00BE7E4A">
        <w:trPr>
          <w:trHeight w:hRule="exact" w:val="255"/>
        </w:trPr>
        <w:tc>
          <w:tcPr>
            <w:tcW w:w="637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9544ED8" w14:textId="77777777" w:rsidR="00FD1E19" w:rsidRPr="00B45F71" w:rsidRDefault="00FD1E19" w:rsidP="00BE7E4A">
            <w:pPr>
              <w:rPr>
                <w:rFonts w:ascii="Verdana" w:eastAsia="Verdana" w:hAnsi="Verdana" w:cs="Verdana"/>
                <w:b/>
                <w:noProof/>
                <w:color w:val="000000"/>
                <w:sz w:val="18"/>
              </w:rPr>
            </w:pPr>
          </w:p>
        </w:tc>
        <w:tc>
          <w:tcPr>
            <w:tcW w:w="193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2615DE8" w14:textId="77777777" w:rsidR="00FD1E19" w:rsidRPr="00B45F71" w:rsidRDefault="00FD1E19" w:rsidP="00BE7E4A">
            <w:pPr>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400</w:t>
            </w:r>
          </w:p>
        </w:tc>
        <w:tc>
          <w:tcPr>
            <w:tcW w:w="144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6C5C51EA" w14:textId="77777777" w:rsidR="00FD1E19" w:rsidRPr="00B45F71" w:rsidRDefault="00FD1E19" w:rsidP="00BE7E4A">
            <w:pPr>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884</w:t>
            </w:r>
          </w:p>
        </w:tc>
      </w:tr>
      <w:tr w:rsidR="00FD1E19" w14:paraId="6C2C6881" w14:textId="77777777" w:rsidTr="00BE7E4A">
        <w:trPr>
          <w:trHeight w:hRule="exact" w:val="255"/>
        </w:trPr>
        <w:tc>
          <w:tcPr>
            <w:tcW w:w="637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45CD6F29" w14:textId="77777777" w:rsidR="00FD1E19" w:rsidRPr="00B45F71" w:rsidRDefault="00FD1E19" w:rsidP="00BE7E4A">
            <w:pPr>
              <w:rPr>
                <w:rFonts w:ascii="Verdana" w:eastAsia="Verdana" w:hAnsi="Verdana" w:cs="Verdana"/>
                <w:b/>
                <w:noProof/>
                <w:color w:val="000000"/>
                <w:sz w:val="18"/>
              </w:rPr>
            </w:pPr>
            <w:r w:rsidRPr="00B45F71">
              <w:rPr>
                <w:rFonts w:ascii="Verdana" w:eastAsia="Verdana" w:hAnsi="Verdana" w:cs="Verdana"/>
                <w:b/>
                <w:noProof/>
                <w:color w:val="000000"/>
                <w:sz w:val="18"/>
              </w:rPr>
              <w:t>Total revenue</w:t>
            </w:r>
          </w:p>
        </w:tc>
        <w:tc>
          <w:tcPr>
            <w:tcW w:w="193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52E461E" w14:textId="77777777" w:rsidR="00FD1E19" w:rsidRPr="00B45F71" w:rsidRDefault="00FD1E19" w:rsidP="00BE7E4A">
            <w:pPr>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11 525</w:t>
            </w:r>
          </w:p>
        </w:tc>
        <w:tc>
          <w:tcPr>
            <w:tcW w:w="1447"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B44DF05" w14:textId="77777777" w:rsidR="00FD1E19" w:rsidRPr="00B45F71" w:rsidRDefault="00FD1E19" w:rsidP="00BE7E4A">
            <w:pPr>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7 961</w:t>
            </w:r>
          </w:p>
        </w:tc>
      </w:tr>
      <w:tr w:rsidR="00FD1E19" w14:paraId="640DF6AF" w14:textId="77777777" w:rsidTr="00BE7E4A">
        <w:trPr>
          <w:trHeight w:hRule="exact" w:val="255"/>
        </w:trPr>
        <w:tc>
          <w:tcPr>
            <w:tcW w:w="6373" w:type="dxa"/>
            <w:tcBorders>
              <w:top w:val="single" w:sz="4" w:space="0" w:color="016794"/>
              <w:left w:val="nil"/>
              <w:bottom w:val="nil"/>
              <w:right w:val="nil"/>
              <w:tl2br w:val="nil"/>
              <w:tr2bl w:val="nil"/>
            </w:tcBorders>
            <w:shd w:val="clear" w:color="auto" w:fill="auto"/>
            <w:tcMar>
              <w:left w:w="60" w:type="dxa"/>
              <w:right w:w="60" w:type="dxa"/>
            </w:tcMar>
            <w:vAlign w:val="bottom"/>
          </w:tcPr>
          <w:p w14:paraId="7EB204B6" w14:textId="77777777" w:rsidR="00FD1E19" w:rsidRPr="00B45F71" w:rsidRDefault="00FD1E19" w:rsidP="00BE7E4A">
            <w:pPr>
              <w:rPr>
                <w:rFonts w:ascii="Verdana" w:eastAsia="Verdana" w:hAnsi="Verdana" w:cs="Verdana"/>
                <w:b/>
                <w:noProof/>
                <w:color w:val="000000"/>
                <w:sz w:val="18"/>
              </w:rPr>
            </w:pPr>
            <w:r w:rsidRPr="00B45F71">
              <w:rPr>
                <w:rFonts w:ascii="Verdana" w:eastAsia="Verdana" w:hAnsi="Verdana" w:cs="Verdana"/>
                <w:b/>
                <w:noProof/>
                <w:color w:val="000000"/>
                <w:sz w:val="18"/>
              </w:rPr>
              <w:t>EXPENSES</w:t>
            </w:r>
          </w:p>
        </w:tc>
        <w:tc>
          <w:tcPr>
            <w:tcW w:w="1938" w:type="dxa"/>
            <w:tcBorders>
              <w:top w:val="single" w:sz="4" w:space="0" w:color="016794"/>
              <w:left w:val="nil"/>
              <w:bottom w:val="nil"/>
              <w:right w:val="nil"/>
              <w:tl2br w:val="nil"/>
              <w:tr2bl w:val="nil"/>
            </w:tcBorders>
            <w:shd w:val="clear" w:color="auto" w:fill="auto"/>
            <w:tcMar>
              <w:left w:w="60" w:type="dxa"/>
              <w:right w:w="60" w:type="dxa"/>
            </w:tcMar>
            <w:vAlign w:val="bottom"/>
          </w:tcPr>
          <w:p w14:paraId="0E6BB108" w14:textId="77777777" w:rsidR="00FD1E19" w:rsidRPr="00B45F71" w:rsidRDefault="00FD1E19" w:rsidP="00BE7E4A">
            <w:pPr>
              <w:jc w:val="right"/>
              <w:rPr>
                <w:rFonts w:ascii="Verdana" w:eastAsia="Verdana" w:hAnsi="Verdana" w:cs="Verdana"/>
                <w:b/>
                <w:noProof/>
                <w:color w:val="000000"/>
                <w:sz w:val="18"/>
              </w:rPr>
            </w:pPr>
          </w:p>
        </w:tc>
        <w:tc>
          <w:tcPr>
            <w:tcW w:w="1447" w:type="dxa"/>
            <w:tcBorders>
              <w:top w:val="single" w:sz="4" w:space="0" w:color="016794"/>
              <w:left w:val="nil"/>
              <w:bottom w:val="nil"/>
              <w:right w:val="nil"/>
              <w:tl2br w:val="nil"/>
              <w:tr2bl w:val="nil"/>
            </w:tcBorders>
            <w:shd w:val="clear" w:color="auto" w:fill="auto"/>
            <w:tcMar>
              <w:left w:w="60" w:type="dxa"/>
              <w:right w:w="60" w:type="dxa"/>
            </w:tcMar>
            <w:vAlign w:val="bottom"/>
          </w:tcPr>
          <w:p w14:paraId="54733D92" w14:textId="77777777" w:rsidR="00FD1E19" w:rsidRPr="00B45F71" w:rsidRDefault="00FD1E19" w:rsidP="00BE7E4A">
            <w:pPr>
              <w:jc w:val="right"/>
              <w:rPr>
                <w:rFonts w:ascii="Verdana" w:eastAsia="Verdana" w:hAnsi="Verdana" w:cs="Verdana"/>
                <w:b/>
                <w:noProof/>
                <w:color w:val="000000"/>
                <w:sz w:val="18"/>
                <w:lang w:bidi="en-GB"/>
              </w:rPr>
            </w:pPr>
          </w:p>
        </w:tc>
      </w:tr>
      <w:tr w:rsidR="00FD1E19" w14:paraId="6AAE0A01" w14:textId="77777777" w:rsidTr="00BE7E4A">
        <w:trPr>
          <w:trHeight w:hRule="exact" w:val="255"/>
        </w:trPr>
        <w:tc>
          <w:tcPr>
            <w:tcW w:w="6373" w:type="dxa"/>
            <w:tcBorders>
              <w:top w:val="nil"/>
              <w:left w:val="nil"/>
              <w:bottom w:val="nil"/>
              <w:right w:val="nil"/>
              <w:tl2br w:val="nil"/>
              <w:tr2bl w:val="nil"/>
            </w:tcBorders>
            <w:shd w:val="clear" w:color="auto" w:fill="auto"/>
            <w:tcMar>
              <w:left w:w="60" w:type="dxa"/>
              <w:right w:w="60" w:type="dxa"/>
            </w:tcMar>
            <w:vAlign w:val="bottom"/>
          </w:tcPr>
          <w:p w14:paraId="06BD7FF4" w14:textId="77777777" w:rsidR="00FD1E19" w:rsidRPr="00B45F71" w:rsidRDefault="00FD1E19" w:rsidP="00BE7E4A">
            <w:pPr>
              <w:rPr>
                <w:rFonts w:ascii="Verdana" w:eastAsia="Verdana" w:hAnsi="Verdana" w:cs="Verdana"/>
                <w:i/>
                <w:noProof/>
                <w:color w:val="000000"/>
                <w:sz w:val="18"/>
              </w:rPr>
            </w:pPr>
            <w:r w:rsidRPr="00B45F71">
              <w:rPr>
                <w:rFonts w:ascii="Verdana" w:eastAsia="Verdana" w:hAnsi="Verdana" w:cs="Verdana"/>
                <w:i/>
                <w:noProof/>
                <w:color w:val="000000"/>
                <w:sz w:val="18"/>
              </w:rPr>
              <w:t>Operating expenses</w:t>
            </w:r>
          </w:p>
        </w:tc>
        <w:tc>
          <w:tcPr>
            <w:tcW w:w="1938" w:type="dxa"/>
            <w:tcBorders>
              <w:top w:val="nil"/>
              <w:left w:val="nil"/>
              <w:bottom w:val="nil"/>
              <w:right w:val="nil"/>
              <w:tl2br w:val="nil"/>
              <w:tr2bl w:val="nil"/>
            </w:tcBorders>
            <w:shd w:val="clear" w:color="auto" w:fill="auto"/>
            <w:tcMar>
              <w:left w:w="60" w:type="dxa"/>
              <w:right w:w="60" w:type="dxa"/>
            </w:tcMar>
            <w:vAlign w:val="bottom"/>
          </w:tcPr>
          <w:p w14:paraId="2EE26818" w14:textId="77777777" w:rsidR="00FD1E19" w:rsidRPr="00B45F71" w:rsidRDefault="00FD1E19" w:rsidP="00BE7E4A">
            <w:pPr>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(10 224)</w:t>
            </w:r>
          </w:p>
        </w:tc>
        <w:tc>
          <w:tcPr>
            <w:tcW w:w="1447" w:type="dxa"/>
            <w:tcBorders>
              <w:top w:val="nil"/>
              <w:left w:val="nil"/>
              <w:bottom w:val="nil"/>
              <w:right w:val="nil"/>
              <w:tl2br w:val="nil"/>
              <w:tr2bl w:val="nil"/>
            </w:tcBorders>
            <w:shd w:val="clear" w:color="auto" w:fill="auto"/>
            <w:tcMar>
              <w:left w:w="60" w:type="dxa"/>
              <w:right w:w="60" w:type="dxa"/>
            </w:tcMar>
            <w:vAlign w:val="bottom"/>
          </w:tcPr>
          <w:p w14:paraId="3EC019E4" w14:textId="77777777" w:rsidR="00FD1E19" w:rsidRPr="00B45F71" w:rsidRDefault="00FD1E19" w:rsidP="00BE7E4A">
            <w:pPr>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(6 310)</w:t>
            </w:r>
          </w:p>
        </w:tc>
      </w:tr>
      <w:tr w:rsidR="00FD1E19" w14:paraId="6E5B3C2E" w14:textId="77777777" w:rsidTr="00BE7E4A">
        <w:trPr>
          <w:trHeight w:hRule="exact" w:val="255"/>
        </w:trPr>
        <w:tc>
          <w:tcPr>
            <w:tcW w:w="6373" w:type="dxa"/>
            <w:tcBorders>
              <w:top w:val="nil"/>
              <w:left w:val="nil"/>
              <w:bottom w:val="nil"/>
              <w:right w:val="nil"/>
              <w:tl2br w:val="nil"/>
              <w:tr2bl w:val="nil"/>
            </w:tcBorders>
            <w:shd w:val="clear" w:color="auto" w:fill="auto"/>
            <w:tcMar>
              <w:left w:w="60" w:type="dxa"/>
              <w:right w:w="60" w:type="dxa"/>
            </w:tcMar>
            <w:vAlign w:val="bottom"/>
          </w:tcPr>
          <w:p w14:paraId="31C2C1D3" w14:textId="77777777" w:rsidR="00FD1E19" w:rsidRPr="00B45F71" w:rsidRDefault="00FD1E19" w:rsidP="00BE7E4A">
            <w:pPr>
              <w:rPr>
                <w:rFonts w:ascii="Verdana" w:eastAsia="Verdana" w:hAnsi="Verdana" w:cs="Verdana"/>
                <w:i/>
                <w:noProof/>
                <w:color w:val="000000"/>
                <w:sz w:val="18"/>
              </w:rPr>
            </w:pPr>
            <w:r w:rsidRPr="00B45F71">
              <w:rPr>
                <w:rFonts w:ascii="Verdana" w:eastAsia="Verdana" w:hAnsi="Verdana" w:cs="Verdana"/>
                <w:i/>
                <w:noProof/>
                <w:color w:val="000000"/>
                <w:sz w:val="18"/>
              </w:rPr>
              <w:t>Finance costs</w:t>
            </w:r>
          </w:p>
        </w:tc>
        <w:tc>
          <w:tcPr>
            <w:tcW w:w="1938" w:type="dxa"/>
            <w:tcBorders>
              <w:top w:val="nil"/>
              <w:left w:val="nil"/>
              <w:bottom w:val="nil"/>
              <w:right w:val="nil"/>
              <w:tl2br w:val="nil"/>
              <w:tr2bl w:val="nil"/>
            </w:tcBorders>
            <w:shd w:val="clear" w:color="auto" w:fill="auto"/>
            <w:tcMar>
              <w:left w:w="60" w:type="dxa"/>
              <w:right w:w="60" w:type="dxa"/>
            </w:tcMar>
            <w:vAlign w:val="bottom"/>
          </w:tcPr>
          <w:p w14:paraId="17927FFD" w14:textId="77777777" w:rsidR="00FD1E19" w:rsidRPr="00B45F71" w:rsidRDefault="00FD1E19" w:rsidP="00BE7E4A">
            <w:pPr>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(2)</w:t>
            </w:r>
          </w:p>
        </w:tc>
        <w:tc>
          <w:tcPr>
            <w:tcW w:w="1447" w:type="dxa"/>
            <w:tcBorders>
              <w:top w:val="nil"/>
              <w:left w:val="nil"/>
              <w:bottom w:val="nil"/>
              <w:right w:val="nil"/>
              <w:tl2br w:val="nil"/>
              <w:tr2bl w:val="nil"/>
            </w:tcBorders>
            <w:shd w:val="clear" w:color="auto" w:fill="auto"/>
            <w:tcMar>
              <w:left w:w="60" w:type="dxa"/>
              <w:right w:w="60" w:type="dxa"/>
            </w:tcMar>
            <w:vAlign w:val="bottom"/>
          </w:tcPr>
          <w:p w14:paraId="6A44D98F" w14:textId="77777777" w:rsidR="00FD1E19" w:rsidRPr="00B45F71" w:rsidRDefault="00FD1E19" w:rsidP="00BE7E4A">
            <w:pPr>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(166)</w:t>
            </w:r>
          </w:p>
        </w:tc>
      </w:tr>
      <w:tr w:rsidR="00FD1E19" w14:paraId="1712FF1D" w14:textId="77777777" w:rsidTr="00BE7E4A">
        <w:trPr>
          <w:trHeight w:hRule="exact" w:val="255"/>
        </w:trPr>
        <w:tc>
          <w:tcPr>
            <w:tcW w:w="6373" w:type="dxa"/>
            <w:tcBorders>
              <w:top w:val="nil"/>
              <w:left w:val="nil"/>
              <w:bottom w:val="single" w:sz="4" w:space="0" w:color="016794"/>
              <w:right w:val="nil"/>
              <w:tl2br w:val="nil"/>
              <w:tr2bl w:val="nil"/>
            </w:tcBorders>
            <w:shd w:val="clear" w:color="auto" w:fill="auto"/>
            <w:tcMar>
              <w:left w:w="60" w:type="dxa"/>
              <w:right w:w="60" w:type="dxa"/>
            </w:tcMar>
            <w:vAlign w:val="bottom"/>
          </w:tcPr>
          <w:p w14:paraId="3D20ACDE" w14:textId="77777777" w:rsidR="00FD1E19" w:rsidRPr="00B45F71" w:rsidRDefault="00FD1E19" w:rsidP="00BE7E4A">
            <w:pPr>
              <w:rPr>
                <w:rFonts w:ascii="Verdana" w:eastAsia="Verdana" w:hAnsi="Verdana" w:cs="Verdana"/>
                <w:i/>
                <w:noProof/>
                <w:color w:val="000000"/>
                <w:sz w:val="18"/>
              </w:rPr>
            </w:pPr>
            <w:r w:rsidRPr="00B45F71">
              <w:rPr>
                <w:rFonts w:ascii="Verdana" w:eastAsia="Verdana" w:hAnsi="Verdana" w:cs="Verdana"/>
                <w:i/>
                <w:noProof/>
                <w:color w:val="000000"/>
                <w:sz w:val="18"/>
              </w:rPr>
              <w:t>Other expenses</w:t>
            </w:r>
          </w:p>
        </w:tc>
        <w:tc>
          <w:tcPr>
            <w:tcW w:w="1938" w:type="dxa"/>
            <w:tcBorders>
              <w:top w:val="nil"/>
              <w:left w:val="nil"/>
              <w:bottom w:val="single" w:sz="4" w:space="0" w:color="016794"/>
              <w:right w:val="nil"/>
              <w:tl2br w:val="nil"/>
              <w:tr2bl w:val="nil"/>
            </w:tcBorders>
            <w:shd w:val="clear" w:color="auto" w:fill="auto"/>
            <w:tcMar>
              <w:left w:w="60" w:type="dxa"/>
              <w:right w:w="60" w:type="dxa"/>
            </w:tcMar>
            <w:vAlign w:val="bottom"/>
          </w:tcPr>
          <w:p w14:paraId="299499BD" w14:textId="77777777" w:rsidR="00FD1E19" w:rsidRPr="00B45F71" w:rsidRDefault="00FD1E19" w:rsidP="00BE7E4A">
            <w:pPr>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(1 300)</w:t>
            </w:r>
          </w:p>
        </w:tc>
        <w:tc>
          <w:tcPr>
            <w:tcW w:w="1447" w:type="dxa"/>
            <w:tcBorders>
              <w:top w:val="nil"/>
              <w:left w:val="nil"/>
              <w:bottom w:val="single" w:sz="4" w:space="0" w:color="016794"/>
              <w:right w:val="nil"/>
              <w:tl2br w:val="nil"/>
              <w:tr2bl w:val="nil"/>
            </w:tcBorders>
            <w:shd w:val="clear" w:color="auto" w:fill="auto"/>
            <w:tcMar>
              <w:left w:w="60" w:type="dxa"/>
              <w:right w:w="60" w:type="dxa"/>
            </w:tcMar>
            <w:vAlign w:val="bottom"/>
          </w:tcPr>
          <w:p w14:paraId="44DAC060" w14:textId="77777777" w:rsidR="00FD1E19" w:rsidRPr="00B45F71" w:rsidRDefault="00FD1E19" w:rsidP="00BE7E4A">
            <w:pPr>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(1 485)</w:t>
            </w:r>
          </w:p>
        </w:tc>
      </w:tr>
      <w:tr w:rsidR="00FD1E19" w14:paraId="08FD2CE9" w14:textId="77777777" w:rsidTr="00BE7E4A">
        <w:trPr>
          <w:trHeight w:hRule="exact" w:val="255"/>
        </w:trPr>
        <w:tc>
          <w:tcPr>
            <w:tcW w:w="6373" w:type="dxa"/>
            <w:tcBorders>
              <w:top w:val="single" w:sz="4" w:space="0" w:color="016794"/>
              <w:left w:val="nil"/>
              <w:bottom w:val="nil"/>
              <w:right w:val="nil"/>
              <w:tl2br w:val="nil"/>
              <w:tr2bl w:val="nil"/>
            </w:tcBorders>
            <w:shd w:val="clear" w:color="auto" w:fill="auto"/>
            <w:tcMar>
              <w:left w:w="60" w:type="dxa"/>
              <w:right w:w="60" w:type="dxa"/>
            </w:tcMar>
            <w:vAlign w:val="bottom"/>
          </w:tcPr>
          <w:p w14:paraId="4ED1C603" w14:textId="77777777" w:rsidR="00FD1E19" w:rsidRPr="00B45F71" w:rsidRDefault="00FD1E19" w:rsidP="00BE7E4A">
            <w:pPr>
              <w:rPr>
                <w:rFonts w:ascii="Verdana" w:eastAsia="Verdana" w:hAnsi="Verdana" w:cs="Verdana"/>
                <w:b/>
                <w:noProof/>
                <w:color w:val="000000"/>
                <w:sz w:val="18"/>
              </w:rPr>
            </w:pPr>
            <w:r w:rsidRPr="00B45F71">
              <w:rPr>
                <w:rFonts w:ascii="Verdana" w:eastAsia="Verdana" w:hAnsi="Verdana" w:cs="Verdana"/>
                <w:b/>
                <w:noProof/>
                <w:color w:val="000000"/>
                <w:sz w:val="18"/>
              </w:rPr>
              <w:t>Total expenses</w:t>
            </w:r>
          </w:p>
        </w:tc>
        <w:tc>
          <w:tcPr>
            <w:tcW w:w="1938" w:type="dxa"/>
            <w:tcBorders>
              <w:top w:val="single" w:sz="4" w:space="0" w:color="016794"/>
              <w:left w:val="nil"/>
              <w:bottom w:val="nil"/>
              <w:right w:val="nil"/>
              <w:tl2br w:val="nil"/>
              <w:tr2bl w:val="nil"/>
            </w:tcBorders>
            <w:shd w:val="clear" w:color="auto" w:fill="auto"/>
            <w:tcMar>
              <w:left w:w="60" w:type="dxa"/>
              <w:right w:w="60" w:type="dxa"/>
            </w:tcMar>
            <w:vAlign w:val="bottom"/>
          </w:tcPr>
          <w:p w14:paraId="60A6500F" w14:textId="77777777" w:rsidR="00FD1E19" w:rsidRPr="00B45F71" w:rsidRDefault="00FD1E19" w:rsidP="00BE7E4A">
            <w:pPr>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(11 525)</w:t>
            </w:r>
          </w:p>
        </w:tc>
        <w:tc>
          <w:tcPr>
            <w:tcW w:w="1447" w:type="dxa"/>
            <w:tcBorders>
              <w:top w:val="single" w:sz="4" w:space="0" w:color="016794"/>
              <w:left w:val="nil"/>
              <w:bottom w:val="nil"/>
              <w:right w:val="nil"/>
              <w:tl2br w:val="nil"/>
              <w:tr2bl w:val="nil"/>
            </w:tcBorders>
            <w:shd w:val="clear" w:color="auto" w:fill="auto"/>
            <w:tcMar>
              <w:left w:w="60" w:type="dxa"/>
              <w:right w:w="60" w:type="dxa"/>
            </w:tcMar>
            <w:vAlign w:val="bottom"/>
          </w:tcPr>
          <w:p w14:paraId="675A29A9" w14:textId="77777777" w:rsidR="00FD1E19" w:rsidRPr="00B45F71" w:rsidRDefault="00FD1E19" w:rsidP="00BE7E4A">
            <w:pPr>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(7 961)</w:t>
            </w:r>
          </w:p>
        </w:tc>
      </w:tr>
      <w:tr w:rsidR="00FD1E19" w14:paraId="0674B4EB" w14:textId="77777777" w:rsidTr="00BE7E4A">
        <w:trPr>
          <w:trHeight w:hRule="exact" w:val="255"/>
        </w:trPr>
        <w:tc>
          <w:tcPr>
            <w:tcW w:w="6373" w:type="dxa"/>
            <w:tcBorders>
              <w:top w:val="nil"/>
              <w:left w:val="nil"/>
              <w:bottom w:val="nil"/>
              <w:right w:val="nil"/>
              <w:tl2br w:val="nil"/>
              <w:tr2bl w:val="nil"/>
            </w:tcBorders>
            <w:shd w:val="solid" w:color="CCE1EA" w:fill="FFFFFF"/>
            <w:tcMar>
              <w:left w:w="60" w:type="dxa"/>
              <w:right w:w="60" w:type="dxa"/>
            </w:tcMar>
            <w:vAlign w:val="bottom"/>
          </w:tcPr>
          <w:p w14:paraId="73B0AB6D" w14:textId="77777777" w:rsidR="00FD1E19" w:rsidRPr="00B45F71" w:rsidRDefault="00FD1E19" w:rsidP="00BE7E4A">
            <w:pPr>
              <w:rPr>
                <w:rFonts w:ascii="Verdana" w:eastAsia="Verdana" w:hAnsi="Verdana" w:cs="Verdana"/>
                <w:b/>
                <w:noProof/>
                <w:color w:val="000000"/>
                <w:sz w:val="18"/>
              </w:rPr>
            </w:pPr>
            <w:r w:rsidRPr="00B45F71">
              <w:rPr>
                <w:rFonts w:ascii="Verdana" w:eastAsia="Verdana" w:hAnsi="Verdana" w:cs="Verdana"/>
                <w:b/>
                <w:noProof/>
                <w:color w:val="000000"/>
                <w:sz w:val="18"/>
              </w:rPr>
              <w:t>ECONOMIC RESULT OF THE YEAR</w:t>
            </w:r>
          </w:p>
        </w:tc>
        <w:tc>
          <w:tcPr>
            <w:tcW w:w="1938" w:type="dxa"/>
            <w:tcBorders>
              <w:top w:val="nil"/>
              <w:left w:val="nil"/>
              <w:bottom w:val="nil"/>
              <w:right w:val="nil"/>
              <w:tl2br w:val="nil"/>
              <w:tr2bl w:val="nil"/>
            </w:tcBorders>
            <w:shd w:val="solid" w:color="CCE1EA" w:fill="FFFFFF"/>
            <w:tcMar>
              <w:left w:w="60" w:type="dxa"/>
              <w:right w:w="60" w:type="dxa"/>
            </w:tcMar>
            <w:vAlign w:val="bottom"/>
          </w:tcPr>
          <w:p w14:paraId="5BAD6B0F" w14:textId="77777777" w:rsidR="00FD1E19" w:rsidRPr="00B45F71" w:rsidRDefault="00FD1E19" w:rsidP="00BE7E4A">
            <w:pPr>
              <w:jc w:val="right"/>
              <w:rPr>
                <w:rFonts w:ascii="Verdana" w:eastAsia="Verdana" w:hAnsi="Verdana" w:cs="Verdana"/>
                <w:b/>
                <w:noProof/>
                <w:color w:val="000000"/>
                <w:sz w:val="18"/>
              </w:rPr>
            </w:pPr>
            <w:r w:rsidRPr="00500C42">
              <w:rPr>
                <w:rFonts w:ascii="Verdana" w:eastAsia="Verdana" w:hAnsi="Verdana" w:cs="Verdana"/>
                <w:b/>
                <w:noProof/>
                <w:color w:val="000000"/>
                <w:sz w:val="18"/>
              </w:rPr>
              <w:t>–</w:t>
            </w:r>
          </w:p>
        </w:tc>
        <w:tc>
          <w:tcPr>
            <w:tcW w:w="1447" w:type="dxa"/>
            <w:tcBorders>
              <w:top w:val="nil"/>
              <w:left w:val="nil"/>
              <w:bottom w:val="nil"/>
              <w:right w:val="nil"/>
              <w:tl2br w:val="nil"/>
              <w:tr2bl w:val="nil"/>
            </w:tcBorders>
            <w:shd w:val="solid" w:color="CCE1EA" w:fill="FFFFFF"/>
            <w:tcMar>
              <w:left w:w="60" w:type="dxa"/>
              <w:right w:w="60" w:type="dxa"/>
            </w:tcMar>
            <w:vAlign w:val="bottom"/>
          </w:tcPr>
          <w:p w14:paraId="26F0FF09" w14:textId="77777777" w:rsidR="00FD1E19" w:rsidRPr="00B45F71" w:rsidRDefault="00FD1E19" w:rsidP="00BE7E4A">
            <w:pPr>
              <w:jc w:val="right"/>
              <w:rPr>
                <w:rFonts w:ascii="Verdana" w:eastAsia="Verdana" w:hAnsi="Verdana" w:cs="Verdana"/>
                <w:b/>
                <w:noProof/>
                <w:color w:val="000000"/>
                <w:sz w:val="18"/>
              </w:rPr>
            </w:pPr>
            <w:r w:rsidRPr="00500C42">
              <w:rPr>
                <w:rFonts w:ascii="Verdana" w:eastAsia="Verdana" w:hAnsi="Verdana" w:cs="Verdana"/>
                <w:b/>
                <w:noProof/>
                <w:color w:val="000000"/>
                <w:sz w:val="18"/>
              </w:rPr>
              <w:t>–</w:t>
            </w:r>
          </w:p>
        </w:tc>
      </w:tr>
    </w:tbl>
    <w:p w14:paraId="464D5B23" w14:textId="77777777" w:rsidR="00FD1E19" w:rsidRPr="00D27646" w:rsidRDefault="00FD1E19" w:rsidP="00FD1E19">
      <w:pPr>
        <w:pStyle w:val="Textstand-alone"/>
      </w:pPr>
    </w:p>
    <w:p w14:paraId="20AE174C" w14:textId="77777777" w:rsidR="00FD1E19" w:rsidRPr="00D27646" w:rsidRDefault="00FD1E19" w:rsidP="00FD1E19">
      <w:pPr>
        <w:pStyle w:val="Textstand-alone"/>
      </w:pPr>
    </w:p>
    <w:p w14:paraId="51C08052" w14:textId="77777777" w:rsidR="00FD1E19" w:rsidRPr="00D27646" w:rsidRDefault="00FD1E19" w:rsidP="00FD1E19">
      <w:pPr>
        <w:pStyle w:val="Textstand-alone"/>
        <w:sectPr w:rsidR="00FD1E19" w:rsidRPr="00D27646" w:rsidSect="00FD1E19">
          <w:headerReference w:type="default" r:id="rId106"/>
          <w:footerReference w:type="default" r:id="rId107"/>
          <w:pgSz w:w="11906" w:h="16838" w:code="9"/>
          <w:pgMar w:top="1134" w:right="1134" w:bottom="1134" w:left="1134" w:header="709" w:footer="709" w:gutter="0"/>
          <w:cols w:space="708"/>
          <w:docGrid w:linePitch="360"/>
        </w:sectPr>
      </w:pPr>
    </w:p>
    <w:p w14:paraId="6107AF17" w14:textId="77777777" w:rsidR="00FD1E19" w:rsidRDefault="00FD1E19" w:rsidP="00FD1E19">
      <w:pPr>
        <w:pStyle w:val="HEADERTITLE1"/>
      </w:pPr>
      <w:bookmarkStart w:id="151" w:name="_Toc125448036"/>
      <w:bookmarkStart w:id="152" w:name="_Toc125449998"/>
      <w:bookmarkStart w:id="153" w:name="_Toc232609789"/>
      <w:r>
        <w:t>CASHFLOW STATEMENT</w:t>
      </w:r>
      <w:bookmarkEnd w:id="151"/>
      <w:bookmarkEnd w:id="152"/>
      <w:bookmarkEnd w:id="153"/>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82"/>
        <w:gridCol w:w="1488"/>
        <w:gridCol w:w="1488"/>
      </w:tblGrid>
      <w:tr w:rsidR="00FD1E19" w14:paraId="3D2D2356"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7ED4F55F" w14:textId="77777777" w:rsidR="00FD1E19" w:rsidRDefault="00FD1E19" w:rsidP="00BE7E4A">
            <w:pPr>
              <w:pStyle w:val="DMETW34652BIPCF"/>
              <w:rPr>
                <w:rFonts w:cs="Calibri"/>
                <w:noProof/>
                <w:color w:val="000000"/>
                <w:lang w:bidi="en-GB"/>
              </w:rPr>
            </w:pPr>
          </w:p>
        </w:tc>
        <w:tc>
          <w:tcPr>
            <w:tcW w:w="1488" w:type="dxa"/>
            <w:tcBorders>
              <w:top w:val="nil"/>
              <w:left w:val="nil"/>
              <w:bottom w:val="nil"/>
              <w:right w:val="nil"/>
              <w:tl2br w:val="nil"/>
              <w:tr2bl w:val="nil"/>
            </w:tcBorders>
            <w:shd w:val="clear" w:color="auto" w:fill="auto"/>
            <w:tcMar>
              <w:left w:w="60" w:type="dxa"/>
              <w:right w:w="60" w:type="dxa"/>
            </w:tcMar>
            <w:vAlign w:val="bottom"/>
          </w:tcPr>
          <w:p w14:paraId="4AD62C8E" w14:textId="77777777" w:rsidR="00FD1E19" w:rsidRDefault="00FD1E19" w:rsidP="00BE7E4A">
            <w:pPr>
              <w:pStyle w:val="DMETW34652BIPCF"/>
              <w:jc w:val="right"/>
              <w:rPr>
                <w:rFonts w:cs="Calibri"/>
                <w:i/>
                <w:noProof/>
                <w:color w:val="000000"/>
              </w:rPr>
            </w:pPr>
          </w:p>
        </w:tc>
        <w:tc>
          <w:tcPr>
            <w:tcW w:w="1488" w:type="dxa"/>
            <w:tcBorders>
              <w:top w:val="nil"/>
              <w:left w:val="nil"/>
              <w:bottom w:val="nil"/>
              <w:right w:val="nil"/>
              <w:tl2br w:val="nil"/>
              <w:tr2bl w:val="nil"/>
            </w:tcBorders>
            <w:shd w:val="clear" w:color="auto" w:fill="auto"/>
            <w:tcMar>
              <w:left w:w="60" w:type="dxa"/>
              <w:right w:w="60" w:type="dxa"/>
            </w:tcMar>
            <w:vAlign w:val="bottom"/>
          </w:tcPr>
          <w:p w14:paraId="157824EC" w14:textId="77777777" w:rsidR="00FD1E19" w:rsidRDefault="00FD1E19" w:rsidP="00BE7E4A">
            <w:pPr>
              <w:pStyle w:val="DMETW34652BIPCF"/>
              <w:jc w:val="right"/>
              <w:rPr>
                <w:rFonts w:ascii="Verdana" w:eastAsia="Verdana" w:hAnsi="Verdana" w:cs="Verdana"/>
                <w:i/>
                <w:noProof/>
                <w:color w:val="000000"/>
                <w:sz w:val="16"/>
                <w:lang w:bidi="en-GB"/>
              </w:rPr>
            </w:pPr>
            <w:r>
              <w:rPr>
                <w:rFonts w:ascii="Verdana" w:eastAsia="Verdana" w:hAnsi="Verdana" w:cs="Verdana"/>
                <w:i/>
                <w:noProof/>
                <w:color w:val="000000"/>
                <w:sz w:val="16"/>
              </w:rPr>
              <w:t>EUR '000</w:t>
            </w:r>
          </w:p>
        </w:tc>
      </w:tr>
      <w:tr w:rsidR="00FD1E19" w14:paraId="6833618F" w14:textId="77777777" w:rsidTr="00BE7E4A">
        <w:trPr>
          <w:trHeight w:hRule="exact" w:val="255"/>
        </w:trPr>
        <w:tc>
          <w:tcPr>
            <w:tcW w:w="6782" w:type="dxa"/>
            <w:tcBorders>
              <w:top w:val="nil"/>
              <w:left w:val="nil"/>
              <w:bottom w:val="nil"/>
              <w:right w:val="nil"/>
              <w:tl2br w:val="nil"/>
              <w:tr2bl w:val="nil"/>
            </w:tcBorders>
            <w:shd w:val="solid" w:color="016794" w:fill="FFFFFF"/>
            <w:tcMar>
              <w:left w:w="60" w:type="dxa"/>
              <w:right w:w="60" w:type="dxa"/>
            </w:tcMar>
            <w:vAlign w:val="bottom"/>
          </w:tcPr>
          <w:p w14:paraId="07B17D87" w14:textId="77777777" w:rsidR="00FD1E19" w:rsidRDefault="00FD1E19" w:rsidP="00BE7E4A">
            <w:pPr>
              <w:pStyle w:val="DMETW34652BIPCF"/>
              <w:rPr>
                <w:rFonts w:ascii="Verdana" w:eastAsia="Verdana" w:hAnsi="Verdana" w:cs="Verdana"/>
                <w:noProof/>
                <w:color w:val="FFFFFF"/>
              </w:rPr>
            </w:pPr>
          </w:p>
        </w:tc>
        <w:tc>
          <w:tcPr>
            <w:tcW w:w="1488" w:type="dxa"/>
            <w:tcBorders>
              <w:top w:val="nil"/>
              <w:left w:val="nil"/>
              <w:bottom w:val="nil"/>
              <w:right w:val="nil"/>
              <w:tl2br w:val="nil"/>
              <w:tr2bl w:val="nil"/>
            </w:tcBorders>
            <w:shd w:val="solid" w:color="016794" w:fill="FFFFFF"/>
            <w:tcMar>
              <w:left w:w="60" w:type="dxa"/>
              <w:right w:w="60" w:type="dxa"/>
            </w:tcMar>
            <w:vAlign w:val="bottom"/>
          </w:tcPr>
          <w:p w14:paraId="3F294B02" w14:textId="77777777" w:rsidR="00FD1E19" w:rsidRDefault="00FD1E19" w:rsidP="00BE7E4A">
            <w:pPr>
              <w:pStyle w:val="DMETW34652BIPCF"/>
              <w:jc w:val="right"/>
              <w:rPr>
                <w:rFonts w:ascii="Verdana" w:eastAsia="Verdana" w:hAnsi="Verdana" w:cs="Verdana"/>
                <w:noProof/>
                <w:color w:val="FFFFFF"/>
              </w:rPr>
            </w:pPr>
            <w:r w:rsidRPr="00500C42">
              <w:rPr>
                <w:rFonts w:ascii="Verdana" w:eastAsia="Verdana" w:hAnsi="Verdana" w:cs="Verdana"/>
                <w:noProof/>
                <w:color w:val="FFFFFF"/>
              </w:rPr>
              <w:t>2025</w:t>
            </w:r>
          </w:p>
        </w:tc>
        <w:tc>
          <w:tcPr>
            <w:tcW w:w="1488" w:type="dxa"/>
            <w:tcBorders>
              <w:top w:val="nil"/>
              <w:left w:val="nil"/>
              <w:bottom w:val="nil"/>
              <w:right w:val="nil"/>
              <w:tl2br w:val="nil"/>
              <w:tr2bl w:val="nil"/>
            </w:tcBorders>
            <w:shd w:val="solid" w:color="016794" w:fill="FFFFFF"/>
            <w:tcMar>
              <w:left w:w="60" w:type="dxa"/>
              <w:right w:w="60" w:type="dxa"/>
            </w:tcMar>
            <w:vAlign w:val="bottom"/>
          </w:tcPr>
          <w:p w14:paraId="2E2F5096" w14:textId="77777777" w:rsidR="00FD1E19" w:rsidRDefault="00FD1E19" w:rsidP="00BE7E4A">
            <w:pPr>
              <w:pStyle w:val="DMETW34652BIPCF"/>
              <w:jc w:val="right"/>
              <w:rPr>
                <w:rFonts w:ascii="Verdana" w:eastAsia="Verdana" w:hAnsi="Verdana" w:cs="Verdana"/>
                <w:noProof/>
                <w:color w:val="FFFFFF"/>
                <w:lang w:bidi="en-GB"/>
              </w:rPr>
            </w:pPr>
            <w:r w:rsidRPr="00500C42">
              <w:rPr>
                <w:rFonts w:ascii="Verdana" w:eastAsia="Verdana" w:hAnsi="Verdana" w:cs="Verdana"/>
                <w:noProof/>
                <w:color w:val="FFFFFF"/>
              </w:rPr>
              <w:t>2024</w:t>
            </w:r>
          </w:p>
        </w:tc>
      </w:tr>
      <w:tr w:rsidR="00FD1E19" w14:paraId="17884A71"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16328757"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2B7EC6A9"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399801C2"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w:t>
            </w:r>
          </w:p>
        </w:tc>
      </w:tr>
      <w:tr w:rsidR="00FD1E19" w14:paraId="7A245F5C"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629C9828"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(Increase)/decrease in pre-financing</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2C861ED5"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2 183</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3059A53A"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1 126</w:t>
            </w:r>
          </w:p>
        </w:tc>
      </w:tr>
      <w:tr w:rsidR="00FD1E19" w14:paraId="607E1939"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606B3C96"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(Increase)/decrease in exchange receivables and non-exchange recoverables</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0D00438D"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771</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5E2C31C4"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1 196</w:t>
            </w:r>
          </w:p>
        </w:tc>
      </w:tr>
      <w:tr w:rsidR="00FD1E19" w14:paraId="0B5D0925"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609A848F"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Increase/(decrease) in financial liabilities</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22DC4E86"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(10 676)</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78BD25B8"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(6 894)</w:t>
            </w:r>
          </w:p>
        </w:tc>
      </w:tr>
      <w:tr w:rsidR="00FD1E19" w14:paraId="416AF5DD"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0B348951"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Increase/(decrease) in payables</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798496BA"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(609)</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6E976783"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2 536</w:t>
            </w:r>
          </w:p>
        </w:tc>
      </w:tr>
      <w:tr w:rsidR="00FD1E19" w14:paraId="38CA4ECB"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3F670111"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 xml:space="preserve">Increase/(decrease) in accrued charges </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6DA0C496"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(635)</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4BA29F69"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(2 919)</w:t>
            </w:r>
          </w:p>
        </w:tc>
      </w:tr>
      <w:tr w:rsidR="00FD1E19" w14:paraId="1F61EE40" w14:textId="77777777" w:rsidTr="00BE7E4A">
        <w:trPr>
          <w:trHeight w:hRule="exact" w:val="255"/>
        </w:trPr>
        <w:tc>
          <w:tcPr>
            <w:tcW w:w="6782" w:type="dxa"/>
            <w:tcBorders>
              <w:top w:val="nil"/>
              <w:left w:val="nil"/>
              <w:bottom w:val="nil"/>
              <w:right w:val="nil"/>
              <w:tl2br w:val="nil"/>
              <w:tr2bl w:val="nil"/>
            </w:tcBorders>
            <w:shd w:val="solid" w:color="CCE1EA" w:fill="FFFFFF"/>
            <w:tcMar>
              <w:left w:w="60" w:type="dxa"/>
              <w:right w:w="60" w:type="dxa"/>
            </w:tcMar>
            <w:vAlign w:val="bottom"/>
          </w:tcPr>
          <w:p w14:paraId="443D9ECF" w14:textId="77777777" w:rsidR="00FD1E19" w:rsidRDefault="00FD1E19" w:rsidP="00BE7E4A">
            <w:pPr>
              <w:pStyle w:val="DMETW34652BIPCF"/>
              <w:rPr>
                <w:rFonts w:ascii="Verdana" w:eastAsia="Verdana" w:hAnsi="Verdana" w:cs="Verdana"/>
                <w:b/>
                <w:noProof/>
                <w:color w:val="000000"/>
                <w:sz w:val="18"/>
              </w:rPr>
            </w:pPr>
            <w:r>
              <w:rPr>
                <w:rFonts w:ascii="Verdana" w:eastAsia="Verdana" w:hAnsi="Verdana" w:cs="Verdana"/>
                <w:b/>
                <w:noProof/>
                <w:color w:val="000000"/>
                <w:sz w:val="18"/>
              </w:rPr>
              <w:t>NET CASHFLOW</w:t>
            </w:r>
          </w:p>
        </w:tc>
        <w:tc>
          <w:tcPr>
            <w:tcW w:w="1488" w:type="dxa"/>
            <w:tcBorders>
              <w:top w:val="nil"/>
              <w:left w:val="nil"/>
              <w:bottom w:val="nil"/>
              <w:right w:val="nil"/>
              <w:tl2br w:val="nil"/>
              <w:tr2bl w:val="nil"/>
            </w:tcBorders>
            <w:shd w:val="solid" w:color="CCE1EA" w:fill="FFFFFF"/>
            <w:tcMar>
              <w:left w:w="60" w:type="dxa"/>
              <w:right w:w="60" w:type="dxa"/>
            </w:tcMar>
            <w:vAlign w:val="bottom"/>
          </w:tcPr>
          <w:p w14:paraId="0B02359B" w14:textId="77777777" w:rsidR="00FD1E19" w:rsidRDefault="00FD1E19" w:rsidP="00BE7E4A">
            <w:pPr>
              <w:pStyle w:val="DMETW34652BIPCF"/>
              <w:jc w:val="right"/>
              <w:rPr>
                <w:rFonts w:ascii="Verdana" w:eastAsia="Verdana" w:hAnsi="Verdana" w:cs="Verdana"/>
                <w:b/>
                <w:noProof/>
                <w:color w:val="000000"/>
                <w:sz w:val="18"/>
              </w:rPr>
            </w:pPr>
            <w:r w:rsidRPr="00500C42">
              <w:rPr>
                <w:rFonts w:ascii="Verdana" w:eastAsia="Verdana" w:hAnsi="Verdana" w:cs="Verdana"/>
                <w:b/>
                <w:noProof/>
                <w:color w:val="000000"/>
                <w:sz w:val="18"/>
              </w:rPr>
              <w:t xml:space="preserve"> (8 967)</w:t>
            </w:r>
          </w:p>
        </w:tc>
        <w:tc>
          <w:tcPr>
            <w:tcW w:w="1488" w:type="dxa"/>
            <w:tcBorders>
              <w:top w:val="nil"/>
              <w:left w:val="nil"/>
              <w:bottom w:val="nil"/>
              <w:right w:val="nil"/>
              <w:tl2br w:val="nil"/>
              <w:tr2bl w:val="nil"/>
            </w:tcBorders>
            <w:shd w:val="solid" w:color="CCE1EA" w:fill="FFFFFF"/>
            <w:tcMar>
              <w:left w:w="60" w:type="dxa"/>
              <w:right w:w="60" w:type="dxa"/>
            </w:tcMar>
            <w:vAlign w:val="bottom"/>
          </w:tcPr>
          <w:p w14:paraId="6ECF3CF1" w14:textId="77777777" w:rsidR="00FD1E19" w:rsidRDefault="00FD1E19" w:rsidP="00BE7E4A">
            <w:pPr>
              <w:pStyle w:val="DMETW34652BIPCF"/>
              <w:jc w:val="right"/>
              <w:rPr>
                <w:rFonts w:ascii="Verdana" w:eastAsia="Verdana" w:hAnsi="Verdana" w:cs="Verdana"/>
                <w:b/>
                <w:noProof/>
                <w:color w:val="000000"/>
                <w:sz w:val="18"/>
                <w:lang w:bidi="en-GB"/>
              </w:rPr>
            </w:pPr>
            <w:r w:rsidRPr="00500C42">
              <w:rPr>
                <w:rFonts w:ascii="Verdana" w:eastAsia="Verdana" w:hAnsi="Verdana" w:cs="Verdana"/>
                <w:b/>
                <w:noProof/>
                <w:color w:val="000000"/>
                <w:sz w:val="18"/>
              </w:rPr>
              <w:t xml:space="preserve"> (4 955)</w:t>
            </w:r>
          </w:p>
        </w:tc>
      </w:tr>
      <w:tr w:rsidR="00FD1E19" w14:paraId="65EF969B"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0AFDDB1B" w14:textId="77777777" w:rsidR="00FD1E19" w:rsidRDefault="00FD1E19" w:rsidP="00BE7E4A">
            <w:pPr>
              <w:pStyle w:val="DMETW34652BIPCF"/>
              <w:rPr>
                <w:rFonts w:cs="Calibri"/>
                <w:b/>
                <w:noProof/>
                <w:color w:val="000000"/>
              </w:rPr>
            </w:pPr>
          </w:p>
        </w:tc>
        <w:tc>
          <w:tcPr>
            <w:tcW w:w="1488" w:type="dxa"/>
            <w:tcBorders>
              <w:top w:val="nil"/>
              <w:left w:val="nil"/>
              <w:bottom w:val="nil"/>
              <w:right w:val="nil"/>
              <w:tl2br w:val="nil"/>
              <w:tr2bl w:val="nil"/>
            </w:tcBorders>
            <w:shd w:val="clear" w:color="auto" w:fill="auto"/>
            <w:tcMar>
              <w:left w:w="60" w:type="dxa"/>
              <w:right w:w="60" w:type="dxa"/>
            </w:tcMar>
            <w:vAlign w:val="bottom"/>
          </w:tcPr>
          <w:p w14:paraId="47CB43B8" w14:textId="77777777" w:rsidR="00FD1E19" w:rsidRDefault="00FD1E19" w:rsidP="00BE7E4A">
            <w:pPr>
              <w:pStyle w:val="DMETW34652BIPCF"/>
              <w:jc w:val="right"/>
              <w:rPr>
                <w:rFonts w:cs="Calibri"/>
                <w:noProof/>
                <w:color w:val="000000"/>
              </w:rPr>
            </w:pPr>
          </w:p>
        </w:tc>
        <w:tc>
          <w:tcPr>
            <w:tcW w:w="1488" w:type="dxa"/>
            <w:tcBorders>
              <w:top w:val="nil"/>
              <w:left w:val="nil"/>
              <w:bottom w:val="nil"/>
              <w:right w:val="nil"/>
              <w:tl2br w:val="nil"/>
              <w:tr2bl w:val="nil"/>
            </w:tcBorders>
            <w:shd w:val="clear" w:color="auto" w:fill="auto"/>
            <w:tcMar>
              <w:left w:w="60" w:type="dxa"/>
              <w:right w:w="60" w:type="dxa"/>
            </w:tcMar>
            <w:vAlign w:val="bottom"/>
          </w:tcPr>
          <w:p w14:paraId="5BF1CA6D" w14:textId="77777777" w:rsidR="00FD1E19" w:rsidRDefault="00FD1E19" w:rsidP="00BE7E4A">
            <w:pPr>
              <w:pStyle w:val="DMETW34652BIPCF"/>
              <w:jc w:val="right"/>
              <w:rPr>
                <w:rFonts w:cs="Calibri"/>
                <w:noProof/>
                <w:color w:val="000000"/>
                <w:lang w:bidi="en-GB"/>
              </w:rPr>
            </w:pPr>
          </w:p>
        </w:tc>
      </w:tr>
      <w:tr w:rsidR="00FD1E19" w14:paraId="6BC82798"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33719E70"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Net increase/(decrease) in cash and cash equivalents</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28D7F845"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(8 967)</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005C30C8"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(4 955)</w:t>
            </w:r>
          </w:p>
        </w:tc>
      </w:tr>
      <w:tr w:rsidR="00FD1E19" w14:paraId="007E60AF"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78A3E23C"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Cash and cash equivalents at the beginning of the year</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422B154D"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23 465</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09DD0E68" w14:textId="77777777" w:rsidR="00FD1E19" w:rsidRDefault="00FD1E19" w:rsidP="00BE7E4A">
            <w:pPr>
              <w:pStyle w:val="DMETW34652BIPCF"/>
              <w:jc w:val="right"/>
              <w:rPr>
                <w:rFonts w:ascii="Verdana" w:eastAsia="Verdana" w:hAnsi="Verdana" w:cs="Verdana"/>
                <w:i/>
                <w:noProof/>
                <w:color w:val="000000"/>
                <w:sz w:val="18"/>
                <w:lang w:bidi="en-GB"/>
              </w:rPr>
            </w:pPr>
            <w:r w:rsidRPr="00500C42">
              <w:rPr>
                <w:rFonts w:ascii="Verdana" w:eastAsia="Verdana" w:hAnsi="Verdana" w:cs="Verdana"/>
                <w:i/>
                <w:noProof/>
                <w:color w:val="000000"/>
                <w:sz w:val="18"/>
              </w:rPr>
              <w:t xml:space="preserve"> 28 420</w:t>
            </w:r>
          </w:p>
        </w:tc>
      </w:tr>
      <w:tr w:rsidR="00FD1E19" w14:paraId="18BCD9BE" w14:textId="77777777" w:rsidTr="00BE7E4A">
        <w:trPr>
          <w:trHeight w:hRule="exact" w:val="255"/>
        </w:trPr>
        <w:tc>
          <w:tcPr>
            <w:tcW w:w="6782" w:type="dxa"/>
            <w:tcBorders>
              <w:top w:val="nil"/>
              <w:left w:val="nil"/>
              <w:bottom w:val="nil"/>
              <w:right w:val="nil"/>
              <w:tl2br w:val="nil"/>
              <w:tr2bl w:val="nil"/>
            </w:tcBorders>
            <w:shd w:val="clear" w:color="auto" w:fill="auto"/>
            <w:tcMar>
              <w:left w:w="60" w:type="dxa"/>
              <w:right w:w="60" w:type="dxa"/>
            </w:tcMar>
            <w:vAlign w:val="bottom"/>
          </w:tcPr>
          <w:p w14:paraId="0B4FD632" w14:textId="77777777" w:rsidR="00FD1E19" w:rsidRDefault="00FD1E19" w:rsidP="00BE7E4A">
            <w:pPr>
              <w:pStyle w:val="DMETW34652BIPCF"/>
              <w:rPr>
                <w:rFonts w:ascii="Verdana" w:eastAsia="Verdana" w:hAnsi="Verdana" w:cs="Verdana"/>
                <w:i/>
                <w:noProof/>
                <w:color w:val="000000"/>
                <w:sz w:val="18"/>
              </w:rPr>
            </w:pPr>
            <w:r>
              <w:rPr>
                <w:rFonts w:ascii="Verdana" w:eastAsia="Verdana" w:hAnsi="Verdana" w:cs="Verdana"/>
                <w:i/>
                <w:noProof/>
                <w:color w:val="000000"/>
                <w:sz w:val="18"/>
              </w:rPr>
              <w:t>Cash and cash equivalents at year-end</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10D8ED9F"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14 498</w:t>
            </w:r>
          </w:p>
        </w:tc>
        <w:tc>
          <w:tcPr>
            <w:tcW w:w="1488" w:type="dxa"/>
            <w:tcBorders>
              <w:top w:val="nil"/>
              <w:left w:val="nil"/>
              <w:bottom w:val="nil"/>
              <w:right w:val="nil"/>
              <w:tl2br w:val="nil"/>
              <w:tr2bl w:val="nil"/>
            </w:tcBorders>
            <w:shd w:val="clear" w:color="auto" w:fill="auto"/>
            <w:tcMar>
              <w:left w:w="60" w:type="dxa"/>
              <w:right w:w="60" w:type="dxa"/>
            </w:tcMar>
            <w:vAlign w:val="bottom"/>
          </w:tcPr>
          <w:p w14:paraId="6D20A73E" w14:textId="77777777" w:rsidR="00FD1E19" w:rsidRDefault="00FD1E19" w:rsidP="00BE7E4A">
            <w:pPr>
              <w:pStyle w:val="DMETW34652BIPCF"/>
              <w:jc w:val="right"/>
              <w:rPr>
                <w:rFonts w:ascii="Verdana" w:eastAsia="Verdana" w:hAnsi="Verdana" w:cs="Verdana"/>
                <w:i/>
                <w:noProof/>
                <w:color w:val="000000"/>
                <w:sz w:val="18"/>
              </w:rPr>
            </w:pPr>
            <w:r w:rsidRPr="00500C42">
              <w:rPr>
                <w:rFonts w:ascii="Verdana" w:eastAsia="Verdana" w:hAnsi="Verdana" w:cs="Verdana"/>
                <w:i/>
                <w:noProof/>
                <w:color w:val="000000"/>
                <w:sz w:val="18"/>
              </w:rPr>
              <w:t xml:space="preserve"> 23 465</w:t>
            </w:r>
          </w:p>
        </w:tc>
      </w:tr>
    </w:tbl>
    <w:p w14:paraId="1FFA1296" w14:textId="77777777" w:rsidR="00FD1E19" w:rsidRPr="00D27646" w:rsidRDefault="00FD1E19" w:rsidP="00FD1E19">
      <w:pPr>
        <w:pStyle w:val="Textstand-alone"/>
      </w:pPr>
    </w:p>
    <w:p w14:paraId="57A7BFAF" w14:textId="77777777" w:rsidR="00FD1E19" w:rsidRDefault="00FD1E19" w:rsidP="00FD1E19">
      <w:pPr>
        <w:pStyle w:val="HEADERTITLE"/>
      </w:pPr>
    </w:p>
    <w:p w14:paraId="59718972" w14:textId="77777777" w:rsidR="00FD1E19" w:rsidRDefault="00FD1E19" w:rsidP="00FD1E19">
      <w:pPr>
        <w:pStyle w:val="HEADERTITLE"/>
      </w:pPr>
      <w:r>
        <w:t xml:space="preserve"> </w:t>
      </w:r>
    </w:p>
    <w:p w14:paraId="73B2B154" w14:textId="77777777" w:rsidR="00FD1E19" w:rsidRDefault="00FD1E19" w:rsidP="00FD1E19">
      <w:pPr>
        <w:pStyle w:val="HEADERTITLE1"/>
        <w:sectPr w:rsidR="00FD1E19" w:rsidSect="00FD1E19">
          <w:headerReference w:type="even" r:id="rId108"/>
          <w:headerReference w:type="default" r:id="rId109"/>
          <w:footerReference w:type="even" r:id="rId110"/>
          <w:footerReference w:type="default" r:id="rId111"/>
          <w:headerReference w:type="first" r:id="rId112"/>
          <w:footerReference w:type="first" r:id="rId113"/>
          <w:pgSz w:w="11906" w:h="16838" w:code="9"/>
          <w:pgMar w:top="1134" w:right="1134" w:bottom="1134" w:left="1134" w:header="708" w:footer="708" w:gutter="0"/>
          <w:cols w:space="708"/>
          <w:docGrid w:linePitch="360"/>
        </w:sectPr>
      </w:pPr>
    </w:p>
    <w:p w14:paraId="2949D855" w14:textId="77777777" w:rsidR="00FD1E19" w:rsidRDefault="00FD1E19" w:rsidP="00FD1E19">
      <w:pPr>
        <w:pStyle w:val="FIRSTCHAPTERPAGE1"/>
      </w:pPr>
      <w:bookmarkStart w:id="154" w:name="_Toc9948400"/>
      <w:bookmarkStart w:id="155" w:name="_Toc9959664"/>
    </w:p>
    <w:p w14:paraId="10FCEF40" w14:textId="77777777" w:rsidR="00FD1E19" w:rsidRDefault="00FD1E19" w:rsidP="00FD1E19">
      <w:pPr>
        <w:pStyle w:val="FIRSTCHAPTERPAGE1"/>
      </w:pPr>
    </w:p>
    <w:p w14:paraId="527330D5" w14:textId="77777777" w:rsidR="00FD1E19" w:rsidRDefault="00FD1E19" w:rsidP="00FD1E19">
      <w:pPr>
        <w:pStyle w:val="FIRSTCHAPTERPAGE1"/>
      </w:pPr>
    </w:p>
    <w:p w14:paraId="28253944" w14:textId="77777777" w:rsidR="00FD1E19" w:rsidRDefault="00FD1E19" w:rsidP="00FD1E19">
      <w:pPr>
        <w:pStyle w:val="FIRSTCHAPTERPAGE1"/>
      </w:pPr>
    </w:p>
    <w:p w14:paraId="3712B008" w14:textId="77777777" w:rsidR="00FD1E19" w:rsidRDefault="00FD1E19" w:rsidP="00FD1E19">
      <w:pPr>
        <w:pStyle w:val="FIRSTCHAPTERPAGE1"/>
      </w:pPr>
    </w:p>
    <w:p w14:paraId="62F803F0" w14:textId="77777777" w:rsidR="00FD1E19" w:rsidRDefault="00FD1E19" w:rsidP="00FD1E19">
      <w:pPr>
        <w:pStyle w:val="FIRSTCHAPTERPAGE1"/>
      </w:pPr>
      <w:bookmarkStart w:id="156" w:name="_Toc232609790"/>
      <w:bookmarkStart w:id="157" w:name="_Toc232611629"/>
      <w:r w:rsidRPr="0071436D">
        <w:t xml:space="preserve">FINANCIAL STATEMENTS </w:t>
      </w:r>
      <w:r>
        <w:t>OF THE EUTF AFRICA 20</w:t>
      </w:r>
      <w:bookmarkEnd w:id="154"/>
      <w:bookmarkEnd w:id="155"/>
      <w:r>
        <w:t>25</w:t>
      </w:r>
      <w:bookmarkEnd w:id="156"/>
      <w:bookmarkEnd w:id="157"/>
    </w:p>
    <w:p w14:paraId="5FBBF0A4" w14:textId="77777777" w:rsidR="00FD1E19" w:rsidRDefault="00FD1E19" w:rsidP="00FD1E19">
      <w:pPr>
        <w:pStyle w:val="FIRSTCHAPTERPAGE"/>
        <w:rPr>
          <w:noProof/>
        </w:rPr>
      </w:pPr>
    </w:p>
    <w:p w14:paraId="480BB758" w14:textId="77777777" w:rsidR="00FD1E19" w:rsidRDefault="00FD1E19" w:rsidP="00FD1E19">
      <w:pPr>
        <w:pStyle w:val="FIRSTCHAPTERPAGE"/>
        <w:rPr>
          <w:noProof/>
        </w:rPr>
      </w:pPr>
    </w:p>
    <w:p w14:paraId="048576CD" w14:textId="77777777" w:rsidR="00FD1E19" w:rsidRDefault="00FD1E19" w:rsidP="00FD1E19">
      <w:pPr>
        <w:pStyle w:val="FIRSTCHAPTERPAGE"/>
        <w:rPr>
          <w:noProof/>
        </w:rPr>
      </w:pPr>
    </w:p>
    <w:p w14:paraId="0F2B430F" w14:textId="77777777" w:rsidR="00FD1E19" w:rsidRDefault="00FD1E19" w:rsidP="00FD1E19">
      <w:pPr>
        <w:pStyle w:val="FIRSTCHAPTERPAGE"/>
        <w:rPr>
          <w:noProof/>
        </w:rPr>
      </w:pPr>
    </w:p>
    <w:p w14:paraId="09B84CDA" w14:textId="77777777" w:rsidR="00FD1E19" w:rsidRDefault="00FD1E19" w:rsidP="00FD1E19">
      <w:pPr>
        <w:pStyle w:val="FIRSTCHAPTERPAGE"/>
        <w:rPr>
          <w:noProof/>
        </w:rPr>
      </w:pPr>
    </w:p>
    <w:p w14:paraId="7E68F5B9" w14:textId="77777777" w:rsidR="00FD1E19" w:rsidRDefault="00FD1E19" w:rsidP="00FD1E19">
      <w:pPr>
        <w:pStyle w:val="TOPHEADERNOTE"/>
        <w:rPr>
          <w:noProof/>
        </w:rPr>
      </w:pPr>
      <w:r>
        <w:rPr>
          <w:noProof/>
        </w:rPr>
        <w:t>It should be noted that due to the rounding of figures into thousands of euros (kEUR), some financial data in the tables may appear not to add-up.</w:t>
      </w:r>
    </w:p>
    <w:p w14:paraId="1BA7B2B2" w14:textId="77777777" w:rsidR="00FD1E19" w:rsidRDefault="00FD1E19" w:rsidP="00FD1E19">
      <w:pPr>
        <w:pStyle w:val="TOPHEADERNOTE"/>
        <w:rPr>
          <w:noProof/>
        </w:rPr>
        <w:sectPr w:rsidR="00FD1E19" w:rsidSect="00FD1E19">
          <w:headerReference w:type="even" r:id="rId114"/>
          <w:headerReference w:type="default" r:id="rId115"/>
          <w:footerReference w:type="even" r:id="rId116"/>
          <w:footerReference w:type="default" r:id="rId117"/>
          <w:headerReference w:type="first" r:id="rId118"/>
          <w:footerReference w:type="first" r:id="rId119"/>
          <w:pgSz w:w="11906" w:h="16838" w:code="9"/>
          <w:pgMar w:top="1134" w:right="1134" w:bottom="1134" w:left="1134" w:header="709" w:footer="709" w:gutter="0"/>
          <w:cols w:space="708"/>
          <w:docGrid w:linePitch="360"/>
        </w:sectPr>
      </w:pPr>
    </w:p>
    <w:p w14:paraId="0B7F0D24" w14:textId="77777777" w:rsidR="00FD1E19" w:rsidRDefault="00FD1E19" w:rsidP="00FD1E19">
      <w:pPr>
        <w:pStyle w:val="HEADERTITLE"/>
      </w:pPr>
      <w:r>
        <w:t>BACKGROUND INFORMATION ON THE EUTF AFRICA</w:t>
      </w:r>
    </w:p>
    <w:p w14:paraId="2427D394" w14:textId="77777777" w:rsidR="00FD1E19" w:rsidRPr="00F46790" w:rsidRDefault="00FD1E19" w:rsidP="00FD1E19">
      <w:pPr>
        <w:pStyle w:val="HEADERTITLE"/>
        <w:rPr>
          <w:lang w:val="en-IE"/>
        </w:rPr>
      </w:pPr>
      <w:r w:rsidRPr="00FD665C">
        <w:rPr>
          <w:lang w:val="en-IE"/>
        </w:rPr>
        <w:t>General background on Union Trust Funds</w:t>
      </w:r>
    </w:p>
    <w:p w14:paraId="26ECA2C5" w14:textId="77777777" w:rsidR="00FD1E19" w:rsidRPr="00181CFC" w:rsidRDefault="00FD1E19" w:rsidP="00FD1E19">
      <w:pPr>
        <w:pStyle w:val="HEADER5"/>
        <w:rPr>
          <w:noProof/>
        </w:rPr>
      </w:pPr>
      <w:r w:rsidRPr="00181CFC">
        <w:rPr>
          <w:noProof/>
        </w:rPr>
        <w:t>Establishment</w:t>
      </w:r>
    </w:p>
    <w:p w14:paraId="5F2D166A" w14:textId="77777777" w:rsidR="00FD1E19" w:rsidRPr="00041993" w:rsidRDefault="00FD1E19" w:rsidP="00FD1E19">
      <w:pPr>
        <w:pStyle w:val="Textstand-alone"/>
      </w:pPr>
      <w:r w:rsidRPr="00041993">
        <w:t>In accordance with Articles 23</w:t>
      </w:r>
      <w:r>
        <w:t>8</w:t>
      </w:r>
      <w:r w:rsidRPr="00041993">
        <w:t xml:space="preserve"> and 23</w:t>
      </w:r>
      <w:r>
        <w:t>9</w:t>
      </w:r>
      <w:r w:rsidRPr="00041993">
        <w:t xml:space="preserve"> of the Financial Regulation applicable to the general budget of the Union (EU FR)</w:t>
      </w:r>
      <w:r>
        <w:rPr>
          <w:vertAlign w:val="superscript"/>
        </w:rPr>
        <w:footnoteReference w:id="5"/>
      </w:r>
      <w:r w:rsidRPr="00041993">
        <w:t xml:space="preserve"> and Article 35 of the Financial Regulation applicable to the 11</w:t>
      </w:r>
      <w:r w:rsidRPr="00041993">
        <w:rPr>
          <w:vertAlign w:val="superscript"/>
        </w:rPr>
        <w:t>th</w:t>
      </w:r>
      <w:r w:rsidRPr="00041993">
        <w:t xml:space="preserve"> European Development Fund (EDF FR)</w:t>
      </w:r>
      <w:r>
        <w:rPr>
          <w:vertAlign w:val="superscript"/>
        </w:rPr>
        <w:footnoteReference w:id="6"/>
      </w:r>
      <w:r w:rsidRPr="00041993">
        <w:t xml:space="preserve">, the European Commission may establish Union Trust Funds for external actions (‘EU Trust funds/EUTFs’). The Union Trust Funds are constituted under an agreement concluded with other donors for emergency and post-emergency actions necessary to react to a crisis, or for thematic actions. </w:t>
      </w:r>
    </w:p>
    <w:p w14:paraId="5FC1B8D9" w14:textId="77777777" w:rsidR="00FD1E19" w:rsidRPr="00041993" w:rsidRDefault="00FD1E19" w:rsidP="00FD1E19">
      <w:pPr>
        <w:spacing w:before="240"/>
        <w:rPr>
          <w:rFonts w:ascii="Verdana" w:hAnsi="Verdana"/>
          <w:noProof/>
          <w:sz w:val="18"/>
          <w:szCs w:val="18"/>
        </w:rPr>
      </w:pPr>
      <w:r w:rsidRPr="00041993">
        <w:rPr>
          <w:rFonts w:ascii="Verdana" w:hAnsi="Verdana"/>
          <w:noProof/>
          <w:sz w:val="18"/>
          <w:szCs w:val="18"/>
        </w:rPr>
        <w:t xml:space="preserve">Union Trust Funds are established by the European Commission by a decision after consultation or approval of the European Parliament and the Council. This decision includes the constitutive agreement with other donors. </w:t>
      </w:r>
    </w:p>
    <w:p w14:paraId="25DD3C98" w14:textId="77777777" w:rsidR="00FD1E19" w:rsidRPr="00041993" w:rsidRDefault="00FD1E19" w:rsidP="00FD1E19">
      <w:pPr>
        <w:spacing w:before="240"/>
        <w:rPr>
          <w:rFonts w:ascii="Verdana" w:hAnsi="Verdana"/>
          <w:noProof/>
          <w:sz w:val="18"/>
          <w:szCs w:val="18"/>
        </w:rPr>
      </w:pPr>
      <w:r w:rsidRPr="00041993">
        <w:rPr>
          <w:rFonts w:ascii="Verdana" w:hAnsi="Verdana"/>
          <w:noProof/>
          <w:sz w:val="18"/>
          <w:szCs w:val="18"/>
        </w:rPr>
        <w:t>Union Trust funds are only established and implemented subject to the following conditions:</w:t>
      </w:r>
    </w:p>
    <w:p w14:paraId="336A4BF1" w14:textId="77777777" w:rsidR="00FD1E19" w:rsidRPr="00041993" w:rsidRDefault="00FD1E19" w:rsidP="00FD1E19">
      <w:pPr>
        <w:pStyle w:val="DGTextstand-alonedashesjustified"/>
        <w:rPr>
          <w:bdr w:val="none" w:sz="0" w:space="0" w:color="auto"/>
        </w:rPr>
      </w:pPr>
      <w:r w:rsidRPr="00041993">
        <w:rPr>
          <w:bdr w:val="none" w:sz="0" w:space="0" w:color="auto"/>
        </w:rPr>
        <w:t>There is added value of the Union intervention: the objectives of Union Trust Funds, in particular by reason of their scale or potential effects, may be better achieved at Union level than at national level and the use of the existing financing instruments would not be sufficient to achieve policy objectives of the Union;</w:t>
      </w:r>
    </w:p>
    <w:p w14:paraId="0FF02349" w14:textId="77777777" w:rsidR="00FD1E19" w:rsidRPr="00041993" w:rsidRDefault="00FD1E19" w:rsidP="00FD1E19">
      <w:pPr>
        <w:pStyle w:val="DGTextstand-alonedashesjustified"/>
        <w:rPr>
          <w:bdr w:val="none" w:sz="0" w:space="0" w:color="auto"/>
        </w:rPr>
      </w:pPr>
      <w:r w:rsidRPr="00041993">
        <w:rPr>
          <w:bdr w:val="none" w:sz="0" w:space="0" w:color="auto"/>
        </w:rPr>
        <w:t>Union Trust Funds bring clear political visibility for the Union and managerial advantages as well as better control by the Union of risks and disbursements of the Union and other donors’ contributions;</w:t>
      </w:r>
    </w:p>
    <w:p w14:paraId="0A866CFB" w14:textId="77777777" w:rsidR="00FD1E19" w:rsidRPr="00041993" w:rsidRDefault="00FD1E19" w:rsidP="00FD1E19">
      <w:pPr>
        <w:pStyle w:val="DGTextstand-alonedashesjustified"/>
        <w:rPr>
          <w:bdr w:val="none" w:sz="0" w:space="0" w:color="auto"/>
        </w:rPr>
      </w:pPr>
      <w:r w:rsidRPr="00041993">
        <w:rPr>
          <w:bdr w:val="none" w:sz="0" w:space="0" w:color="auto"/>
        </w:rPr>
        <w:t>Union Trust Funds do not duplicate other existing funding channels or similar instruments without providing any additionality;</w:t>
      </w:r>
    </w:p>
    <w:p w14:paraId="620F9B45" w14:textId="77777777" w:rsidR="00FD1E19" w:rsidRPr="00041993" w:rsidRDefault="00FD1E19" w:rsidP="00FD1E19">
      <w:pPr>
        <w:pStyle w:val="DGTextstand-alonedashesjustified"/>
        <w:rPr>
          <w:bdr w:val="none" w:sz="0" w:space="0" w:color="auto"/>
        </w:rPr>
      </w:pPr>
      <w:r w:rsidRPr="00041993">
        <w:rPr>
          <w:bdr w:val="none" w:sz="0" w:space="0" w:color="auto"/>
        </w:rPr>
        <w:t>The objectives of Union Trust Funds are aligned with the objectives of the Union instrument or budgetary item from which they are funded.</w:t>
      </w:r>
    </w:p>
    <w:p w14:paraId="0BC487DA" w14:textId="77777777" w:rsidR="00FD1E19" w:rsidRPr="00041993" w:rsidRDefault="00FD1E19" w:rsidP="00FD1E19">
      <w:pPr>
        <w:spacing w:before="240"/>
        <w:rPr>
          <w:rFonts w:ascii="Verdana" w:hAnsi="Verdana"/>
          <w:b/>
          <w:noProof/>
          <w:sz w:val="18"/>
          <w:szCs w:val="18"/>
        </w:rPr>
      </w:pPr>
      <w:r w:rsidRPr="00041993">
        <w:rPr>
          <w:rFonts w:ascii="Verdana" w:hAnsi="Verdana"/>
          <w:b/>
          <w:noProof/>
          <w:sz w:val="18"/>
          <w:szCs w:val="18"/>
        </w:rPr>
        <w:t>Current EU Trust Funds</w:t>
      </w:r>
    </w:p>
    <w:p w14:paraId="0D9C6B3F" w14:textId="77777777" w:rsidR="00FD1E19" w:rsidRPr="00041993" w:rsidRDefault="00FD1E19" w:rsidP="00FD1E19">
      <w:pPr>
        <w:pStyle w:val="Textstand-alone"/>
      </w:pPr>
      <w:r w:rsidRPr="00041993">
        <w:t>To date, the Commission has set up four EUTFs:</w:t>
      </w:r>
    </w:p>
    <w:p w14:paraId="44CB1A71" w14:textId="77777777" w:rsidR="00FD1E19" w:rsidRPr="00041993" w:rsidRDefault="00FD1E19" w:rsidP="00FD1E19">
      <w:pPr>
        <w:pStyle w:val="DGTextstand-alonedashesjustified"/>
        <w:rPr>
          <w:bdr w:val="none" w:sz="0" w:space="0" w:color="auto"/>
        </w:rPr>
      </w:pPr>
      <w:r w:rsidRPr="00041993">
        <w:rPr>
          <w:bdr w:val="none" w:sz="0" w:space="0" w:color="auto"/>
        </w:rPr>
        <w:t>The EUTF BÊKOU, whose objective is to support all aspects of the Central African Republic's exit from crisis and its reconstruction efforts. Established on 15 July 2014;</w:t>
      </w:r>
    </w:p>
    <w:p w14:paraId="3EC230A0" w14:textId="77777777" w:rsidR="00FD1E19" w:rsidRPr="00041993" w:rsidRDefault="00FD1E19" w:rsidP="00FD1E19">
      <w:pPr>
        <w:pStyle w:val="DGTextstand-alonedashesjustified"/>
        <w:rPr>
          <w:bdr w:val="none" w:sz="0" w:space="0" w:color="auto"/>
        </w:rPr>
      </w:pPr>
      <w:r w:rsidRPr="00041993">
        <w:rPr>
          <w:bdr w:val="none" w:sz="0" w:space="0" w:color="auto"/>
        </w:rPr>
        <w:t>The EUTF MADAD, a European Union Regional Trust Fund in response to the Syrian crisis. Established on 15 December 2014;</w:t>
      </w:r>
    </w:p>
    <w:p w14:paraId="3AD04038" w14:textId="77777777" w:rsidR="00FD1E19" w:rsidRPr="00041993" w:rsidRDefault="00FD1E19" w:rsidP="00FD1E19">
      <w:pPr>
        <w:pStyle w:val="DGTextstand-alonedashesjustified"/>
        <w:rPr>
          <w:bdr w:val="none" w:sz="0" w:space="0" w:color="auto"/>
        </w:rPr>
      </w:pPr>
      <w:r w:rsidRPr="00041993">
        <w:rPr>
          <w:bdr w:val="none" w:sz="0" w:space="0" w:color="auto"/>
        </w:rPr>
        <w:t>The EUTF AFRICA, a European Union Emergency Trust Fund for stability and addressing root causes of irregular migration and displaced persons in Africa. Established on 12 November 2015;</w:t>
      </w:r>
    </w:p>
    <w:p w14:paraId="623C72DE" w14:textId="77777777" w:rsidR="00FD1E19" w:rsidRPr="00041993" w:rsidRDefault="00FD1E19" w:rsidP="00FD1E19">
      <w:pPr>
        <w:pStyle w:val="DGTextstand-alonedashesjustified"/>
        <w:rPr>
          <w:bdr w:val="none" w:sz="0" w:space="0" w:color="auto"/>
        </w:rPr>
      </w:pPr>
      <w:r w:rsidRPr="00041993">
        <w:rPr>
          <w:bdr w:val="none" w:sz="0" w:space="0" w:color="auto"/>
        </w:rPr>
        <w:t>The EUTF COLOMBIA, which supports the implementation of the peace agreement in the early recovery and stabilisation post conflict. Established on 12 December 2016.</w:t>
      </w:r>
    </w:p>
    <w:p w14:paraId="440F9646" w14:textId="77777777" w:rsidR="00FD1E19" w:rsidRPr="00041993" w:rsidRDefault="00FD1E19" w:rsidP="00FD1E19">
      <w:pPr>
        <w:rPr>
          <w:rFonts w:ascii="Verdana" w:hAnsi="Verdana"/>
          <w:b/>
          <w:noProof/>
          <w:color w:val="016794"/>
          <w:sz w:val="18"/>
          <w:szCs w:val="18"/>
        </w:rPr>
      </w:pPr>
      <w:r w:rsidRPr="00041993">
        <w:rPr>
          <w:rFonts w:ascii="Verdana" w:hAnsi="Verdana"/>
          <w:b/>
          <w:noProof/>
          <w:color w:val="016794"/>
          <w:sz w:val="18"/>
          <w:szCs w:val="18"/>
        </w:rPr>
        <w:t>Mission</w:t>
      </w:r>
    </w:p>
    <w:p w14:paraId="2504DD4A" w14:textId="77777777" w:rsidR="00FD1E19" w:rsidRPr="00041993" w:rsidRDefault="00FD1E19" w:rsidP="00FD1E19">
      <w:pPr>
        <w:pStyle w:val="Textstand-alone"/>
        <w:rPr>
          <w:b/>
        </w:rPr>
      </w:pPr>
      <w:r w:rsidRPr="00041993">
        <w:t>The main objectives of the EUTF Africa are to support all aspects of stability and contribute to better migration management as well as addressing the root causes of destabilisation, forced displacement and irregular migration, in particular by promoting resilience, economic and equal opportunities, security and development and addressing human rights abuses.</w:t>
      </w:r>
    </w:p>
    <w:p w14:paraId="46AA1BE6" w14:textId="77777777" w:rsidR="00FD1E19" w:rsidRPr="00041993" w:rsidRDefault="00FD1E19" w:rsidP="00FD1E19">
      <w:pPr>
        <w:rPr>
          <w:rFonts w:ascii="Verdana" w:hAnsi="Verdana"/>
          <w:b/>
          <w:noProof/>
          <w:color w:val="016794"/>
          <w:sz w:val="18"/>
          <w:szCs w:val="18"/>
        </w:rPr>
      </w:pPr>
      <w:r w:rsidRPr="00041993">
        <w:rPr>
          <w:rFonts w:ascii="Verdana" w:hAnsi="Verdana"/>
          <w:b/>
          <w:noProof/>
          <w:color w:val="016794"/>
          <w:sz w:val="18"/>
          <w:szCs w:val="18"/>
        </w:rPr>
        <w:t xml:space="preserve">Main operational activities </w:t>
      </w:r>
    </w:p>
    <w:p w14:paraId="06FD335B" w14:textId="77777777" w:rsidR="00FD1E19" w:rsidRPr="00041993" w:rsidRDefault="00FD1E19" w:rsidP="00FD1E19">
      <w:pPr>
        <w:pStyle w:val="Textstand-alone"/>
        <w:rPr>
          <w:b/>
        </w:rPr>
      </w:pPr>
      <w:r w:rsidRPr="00041993">
        <w:t>The Union Trust Fund pools together resources from different donors to finance an action on the basis of agreed objectives. EUTF Africa operates in three main geographic areas, namely the Sahel region and Lake Chad area, the Horn of Africa and the North of Africa. The neighbouring countries of the eligible countries may benefit, on a case by case basis, from the Trust Fund's projects. The Trust Fund is established for a limited period, in order to provide a short and medium-term response to the challenges of the regions.</w:t>
      </w:r>
    </w:p>
    <w:p w14:paraId="3AA7D3A5" w14:textId="77777777" w:rsidR="00FD1E19" w:rsidRPr="00041993" w:rsidRDefault="00FD1E19" w:rsidP="00FD1E19">
      <w:pPr>
        <w:rPr>
          <w:rFonts w:ascii="Verdana" w:hAnsi="Verdana"/>
          <w:b/>
          <w:noProof/>
          <w:color w:val="016794"/>
          <w:sz w:val="18"/>
          <w:szCs w:val="18"/>
        </w:rPr>
      </w:pPr>
      <w:r w:rsidRPr="00041993">
        <w:rPr>
          <w:rFonts w:ascii="Verdana" w:hAnsi="Verdana"/>
          <w:b/>
          <w:noProof/>
          <w:color w:val="016794"/>
          <w:sz w:val="18"/>
          <w:szCs w:val="18"/>
        </w:rPr>
        <w:t>Governance</w:t>
      </w:r>
    </w:p>
    <w:p w14:paraId="536F3383" w14:textId="77777777" w:rsidR="00FD1E19" w:rsidRPr="00041993" w:rsidRDefault="00FD1E19" w:rsidP="00FD1E19">
      <w:pPr>
        <w:pStyle w:val="Textstand-alone"/>
      </w:pPr>
      <w:r w:rsidRPr="00041993">
        <w:t>The management of the EUTF Africa is ensured by the European Commission, which also acts as the secretariat of its two governing bodies – the Trust Fund Board and the Operational Committee. The Trust Fund Board and the Operational Committee of the EUTF Africa are composed of representatives of the donors and of the Commission, as well as representatives of non-contributing EU Member States, authorities of eligible countries' and regional organisations as observers. The rules for the composition of the board and its internal rules are laid down in the constitutive agreement of the Union Trust Fund.</w:t>
      </w:r>
    </w:p>
    <w:p w14:paraId="6C1808DF" w14:textId="77777777" w:rsidR="00FD1E19" w:rsidRPr="00041993" w:rsidRDefault="00FD1E19" w:rsidP="00FD1E19">
      <w:pPr>
        <w:spacing w:before="240"/>
        <w:rPr>
          <w:rFonts w:ascii="Verdana" w:hAnsi="Verdana"/>
          <w:b/>
          <w:noProof/>
          <w:sz w:val="18"/>
          <w:szCs w:val="18"/>
        </w:rPr>
      </w:pPr>
      <w:r w:rsidRPr="00041993">
        <w:rPr>
          <w:rFonts w:ascii="Verdana" w:hAnsi="Verdana"/>
          <w:noProof/>
          <w:sz w:val="18"/>
          <w:szCs w:val="18"/>
        </w:rPr>
        <w:t>The main task of the Board is to establish and review the overall strategy of the Trust Fund. The Operational Board is responsible for the selection of the actions financed by the Fund and supervises their implementation. It also approves the annual accounts and the annual reports on the activities financed by the Trust Fund.</w:t>
      </w:r>
    </w:p>
    <w:p w14:paraId="71193C82" w14:textId="77777777" w:rsidR="00FD1E19" w:rsidRPr="00041993" w:rsidRDefault="00FD1E19" w:rsidP="00FD1E19">
      <w:pPr>
        <w:rPr>
          <w:rFonts w:ascii="Verdana" w:hAnsi="Verdana"/>
          <w:b/>
          <w:noProof/>
          <w:color w:val="016794"/>
          <w:sz w:val="18"/>
          <w:szCs w:val="18"/>
        </w:rPr>
      </w:pPr>
      <w:r w:rsidRPr="00041993">
        <w:rPr>
          <w:rFonts w:ascii="Verdana" w:hAnsi="Verdana"/>
          <w:b/>
          <w:noProof/>
          <w:color w:val="016794"/>
          <w:sz w:val="18"/>
          <w:szCs w:val="18"/>
        </w:rPr>
        <w:t>Sources of financing</w:t>
      </w:r>
    </w:p>
    <w:p w14:paraId="70333DD6" w14:textId="77777777" w:rsidR="00FD1E19" w:rsidRPr="00041993" w:rsidRDefault="00FD1E19" w:rsidP="00FD1E19">
      <w:pPr>
        <w:pStyle w:val="Textstand-alone"/>
      </w:pPr>
      <w:r w:rsidRPr="00041993">
        <w:t xml:space="preserve">The EUTF Africa is financed through contributions from donors. </w:t>
      </w:r>
    </w:p>
    <w:p w14:paraId="78D82942" w14:textId="77777777" w:rsidR="00FD1E19" w:rsidRPr="00181CFC" w:rsidRDefault="00FD1E19" w:rsidP="00FD1E19">
      <w:pPr>
        <w:pStyle w:val="HEADER5"/>
        <w:rPr>
          <w:noProof/>
        </w:rPr>
      </w:pPr>
      <w:r w:rsidRPr="00181CFC">
        <w:rPr>
          <w:noProof/>
        </w:rPr>
        <w:t>Basis for preparation</w:t>
      </w:r>
    </w:p>
    <w:p w14:paraId="17B3C62F" w14:textId="77777777" w:rsidR="00FD1E19" w:rsidRPr="00041993" w:rsidRDefault="00FD1E19" w:rsidP="00FD1E19">
      <w:pPr>
        <w:pStyle w:val="Textstand-alone"/>
        <w:rPr>
          <w:color w:val="FF0000"/>
          <w:lang w:val="en-IE"/>
        </w:rPr>
      </w:pPr>
      <w:r w:rsidRPr="00041993">
        <w:t xml:space="preserve">The legal framework and the deadlines for the preparation of the annual accounts are set by the ‘Agreement establishing the European Union emergency Trust Fund for stability and addressing root causes of irregular migration and displaced persons in Africa and its internal rules’ (‘Constitutive Agreement’). As per this Constitutive Agreement, the annual accounts are prepared in accordance with the rules adopted by the Accounting Officer of the Commission (EU Accounting Rules, EAR), which are based on internationally accepted accounting standards for the public sector (IPSAS). </w:t>
      </w:r>
    </w:p>
    <w:p w14:paraId="66C6C0A1" w14:textId="77777777" w:rsidR="00FD1E19" w:rsidRPr="00041993" w:rsidRDefault="00FD1E19" w:rsidP="00FD1E19">
      <w:pPr>
        <w:rPr>
          <w:rFonts w:ascii="Verdana" w:hAnsi="Verdana"/>
          <w:b/>
          <w:noProof/>
          <w:color w:val="016794"/>
          <w:sz w:val="18"/>
          <w:szCs w:val="18"/>
        </w:rPr>
      </w:pPr>
      <w:r w:rsidRPr="00041993">
        <w:rPr>
          <w:rFonts w:ascii="Verdana" w:hAnsi="Verdana"/>
          <w:b/>
          <w:noProof/>
          <w:color w:val="016794"/>
          <w:sz w:val="18"/>
          <w:szCs w:val="18"/>
        </w:rPr>
        <w:t>Accounting Officer</w:t>
      </w:r>
    </w:p>
    <w:p w14:paraId="71D8CC3C" w14:textId="77777777" w:rsidR="00FD1E19" w:rsidRPr="00041993" w:rsidRDefault="00FD1E19" w:rsidP="00FD1E19">
      <w:pPr>
        <w:pStyle w:val="Textstand-alone"/>
      </w:pPr>
      <w:r w:rsidRPr="00041993">
        <w:t xml:space="preserve">Based on the Constitutive Agreement, the Accounting Officer of the Commission serves as the Accounting Officer of the Trust Fund. </w:t>
      </w:r>
    </w:p>
    <w:p w14:paraId="251FFB48" w14:textId="77777777" w:rsidR="00FD1E19" w:rsidRPr="00041993" w:rsidRDefault="00FD1E19" w:rsidP="00FD1E19">
      <w:pPr>
        <w:rPr>
          <w:rFonts w:ascii="Verdana" w:hAnsi="Verdana"/>
          <w:b/>
          <w:noProof/>
          <w:color w:val="016794"/>
          <w:sz w:val="18"/>
          <w:szCs w:val="18"/>
        </w:rPr>
      </w:pPr>
      <w:r w:rsidRPr="00041993">
        <w:rPr>
          <w:rFonts w:ascii="Verdana" w:hAnsi="Verdana"/>
          <w:b/>
          <w:noProof/>
          <w:color w:val="016794"/>
          <w:sz w:val="18"/>
          <w:szCs w:val="18"/>
        </w:rPr>
        <w:t>Composition of the annual accounts</w:t>
      </w:r>
    </w:p>
    <w:p w14:paraId="56F7B8C5" w14:textId="77777777" w:rsidR="00FD1E19" w:rsidRPr="00041993" w:rsidRDefault="00FD1E19" w:rsidP="00FD1E19">
      <w:pPr>
        <w:pStyle w:val="Textstand-alone"/>
        <w:rPr>
          <w:lang w:val="en-IE"/>
        </w:rPr>
      </w:pPr>
      <w:r w:rsidRPr="00041993">
        <w:rPr>
          <w:lang w:val="en-IE"/>
        </w:rPr>
        <w:t>The annual accounts cover the period from 1 January to 31 December and comprise the financial statements and the reports on the implementation of the budget. While the financial statements and the complementary notes are prepared on an accrual accounting basis, the budget implementation reports are primarily based on movements of cash.</w:t>
      </w:r>
    </w:p>
    <w:p w14:paraId="78783F92" w14:textId="77777777" w:rsidR="00FD1E19" w:rsidRPr="00041993" w:rsidRDefault="00FD1E19" w:rsidP="00FD1E19">
      <w:pPr>
        <w:rPr>
          <w:rFonts w:ascii="Verdana" w:hAnsi="Verdana"/>
          <w:b/>
          <w:noProof/>
          <w:color w:val="016794"/>
          <w:sz w:val="18"/>
          <w:szCs w:val="18"/>
        </w:rPr>
      </w:pPr>
      <w:r w:rsidRPr="00041993">
        <w:rPr>
          <w:rFonts w:ascii="Verdana" w:hAnsi="Verdana"/>
          <w:b/>
          <w:noProof/>
          <w:color w:val="016794"/>
          <w:sz w:val="18"/>
          <w:szCs w:val="18"/>
        </w:rPr>
        <w:t>Process from provisional accounts to discharge</w:t>
      </w:r>
    </w:p>
    <w:p w14:paraId="382BB45B" w14:textId="77777777" w:rsidR="00FD1E19" w:rsidRPr="00041993" w:rsidRDefault="00FD1E19" w:rsidP="00FD1E19">
      <w:pPr>
        <w:pStyle w:val="Textstand-alone"/>
        <w:rPr>
          <w:lang w:val="en-IE"/>
        </w:rPr>
      </w:pPr>
      <w:r w:rsidRPr="00041993">
        <w:rPr>
          <w:lang w:val="en-IE"/>
        </w:rPr>
        <w:t>The annual accounts are subject to independent external audit. The provisional annual accounts prepared by the Accounting Officer are transmitted, by the 15</w:t>
      </w:r>
      <w:r w:rsidRPr="00041993">
        <w:rPr>
          <w:vertAlign w:val="superscript"/>
          <w:lang w:val="en-IE"/>
        </w:rPr>
        <w:t>th</w:t>
      </w:r>
      <w:r w:rsidRPr="00041993">
        <w:rPr>
          <w:lang w:val="en-IE"/>
        </w:rPr>
        <w:t xml:space="preserve"> of February of the following year, to the</w:t>
      </w:r>
      <w:r w:rsidRPr="00041993">
        <w:t xml:space="preserve"> </w:t>
      </w:r>
      <w:r w:rsidRPr="00041993">
        <w:rPr>
          <w:lang w:val="en-IE"/>
        </w:rPr>
        <w:t>Operational Committee who then transmits them to the audit company selected by the entity following a tender procedure. Following the audit, the Accounting Officer prepares the final annual accounts and submits them to the Operational Committee for approval.</w:t>
      </w:r>
    </w:p>
    <w:p w14:paraId="7FB2EBAF" w14:textId="77777777" w:rsidR="00FD1E19" w:rsidRPr="00041993" w:rsidRDefault="00FD1E19" w:rsidP="00FD1E19">
      <w:pPr>
        <w:spacing w:before="240"/>
        <w:rPr>
          <w:rFonts w:ascii="Verdana" w:hAnsi="Verdana"/>
          <w:noProof/>
          <w:sz w:val="18"/>
          <w:szCs w:val="18"/>
        </w:rPr>
      </w:pPr>
      <w:r w:rsidRPr="00041993">
        <w:rPr>
          <w:rFonts w:ascii="Verdana" w:hAnsi="Verdana"/>
          <w:noProof/>
          <w:sz w:val="18"/>
          <w:szCs w:val="18"/>
        </w:rPr>
        <w:t>The annual accounts of the EUTF Africa are consolidated in the annual accounts of the European Development Fund.</w:t>
      </w:r>
    </w:p>
    <w:p w14:paraId="0E08969B" w14:textId="77777777" w:rsidR="00FD1E19" w:rsidRPr="00F46790" w:rsidRDefault="00FD1E19" w:rsidP="00FD1E19">
      <w:pPr>
        <w:spacing w:before="240"/>
        <w:rPr>
          <w:rFonts w:ascii="Verdana" w:hAnsi="Verdana"/>
          <w:noProof/>
          <w:sz w:val="18"/>
          <w:szCs w:val="18"/>
          <w:lang w:val="en-IE"/>
        </w:rPr>
        <w:sectPr w:rsidR="00FD1E19" w:rsidRPr="00F46790" w:rsidSect="00FD1E19">
          <w:headerReference w:type="default" r:id="rId120"/>
          <w:footerReference w:type="default" r:id="rId121"/>
          <w:pgSz w:w="11906" w:h="16838" w:code="9"/>
          <w:pgMar w:top="1134" w:right="1134" w:bottom="1134" w:left="1134" w:header="709" w:footer="709" w:gutter="0"/>
          <w:cols w:space="708"/>
          <w:docGrid w:linePitch="360"/>
        </w:sectPr>
      </w:pPr>
    </w:p>
    <w:p w14:paraId="7A867FDD" w14:textId="77777777" w:rsidR="00FD1E19" w:rsidRPr="00F46790" w:rsidRDefault="00FD1E19" w:rsidP="00FD1E19">
      <w:pPr>
        <w:pStyle w:val="HEADERTITLE"/>
        <w:rPr>
          <w:lang w:val="en-IE" w:eastAsia="en-GB"/>
        </w:rPr>
      </w:pPr>
      <w:r w:rsidRPr="00F46790">
        <w:rPr>
          <w:lang w:val="en-IE" w:eastAsia="en-GB"/>
        </w:rPr>
        <w:t>Operational highlights</w:t>
      </w:r>
    </w:p>
    <w:p w14:paraId="14E42D09" w14:textId="77777777" w:rsidR="00FD1E19" w:rsidRPr="00F46790" w:rsidRDefault="00FD1E19" w:rsidP="00FD1E19">
      <w:pPr>
        <w:rPr>
          <w:rFonts w:ascii="Verdana" w:hAnsi="Verdana"/>
          <w:b/>
          <w:noProof/>
          <w:color w:val="016794"/>
          <w:sz w:val="18"/>
          <w:szCs w:val="18"/>
          <w:lang w:val="en-IE"/>
        </w:rPr>
      </w:pPr>
      <w:r w:rsidRPr="00F46790">
        <w:rPr>
          <w:rFonts w:ascii="Verdana" w:hAnsi="Verdana"/>
          <w:b/>
          <w:noProof/>
          <w:color w:val="016794"/>
          <w:sz w:val="18"/>
          <w:szCs w:val="18"/>
          <w:lang w:val="en-IE"/>
        </w:rPr>
        <w:t>Achievements of the year</w:t>
      </w:r>
    </w:p>
    <w:p w14:paraId="10A06D8B" w14:textId="77777777" w:rsidR="00FD1E19" w:rsidRPr="00B32A51" w:rsidRDefault="00FD1E19" w:rsidP="00FD1E19">
      <w:pPr>
        <w:pStyle w:val="Textstand-alone"/>
      </w:pPr>
      <w:r w:rsidRPr="00B32A51">
        <w:t xml:space="preserve">In line with the end of the contracting period on 31 December 2021, as of January 2022 the EU Trust Fund for Africa has not funded any new financial commitments or budgetary top-ups. Financial commitments related to administrative activities such as audits, evaluations, monitoring and communication activities are the only ones that have been contracted. The EUTF Africa programmes continued to be implemented up to end 2025. The EUTF will enter in its closure phase as from 1 January 2026. </w:t>
      </w:r>
    </w:p>
    <w:p w14:paraId="7597149B" w14:textId="77777777" w:rsidR="00FD1E19" w:rsidRPr="00B32A51" w:rsidRDefault="00FD1E19" w:rsidP="00FD1E19">
      <w:pPr>
        <w:pStyle w:val="Textstand-alone"/>
      </w:pPr>
      <w:r w:rsidRPr="00B32A51">
        <w:t>Throughout 2025, the EUTF for Africa further demonstrated that it is a flexible and effective implementation tool, facilitating policy dialogue with African partner countries, applying innovative approaches, and producing tangible results across the three regions (Sahel and Lake Chad, Horn of Africa and North of Africa).  </w:t>
      </w:r>
    </w:p>
    <w:p w14:paraId="3FFE7778" w14:textId="77777777" w:rsidR="00FD1E19" w:rsidRPr="00B32A51" w:rsidRDefault="00FD1E19" w:rsidP="00FD1E19">
      <w:pPr>
        <w:pStyle w:val="Textstand-alone"/>
      </w:pPr>
      <w:r w:rsidRPr="00B32A51">
        <w:t xml:space="preserve">In 2025, the Horn of Africa (HoA) region remains one of the most acutely affected areas in the world, grappling with the compounding effects of large-scale armed conflict, persistent drought resulting from climate change, mass displacement, and a deepening humanitarian emergency. </w:t>
      </w:r>
    </w:p>
    <w:p w14:paraId="203A057F" w14:textId="77777777" w:rsidR="00FD1E19" w:rsidRPr="00B32A51" w:rsidRDefault="00FD1E19" w:rsidP="00FD1E19">
      <w:pPr>
        <w:pStyle w:val="Textstand-alone"/>
      </w:pPr>
      <w:r w:rsidRPr="00B32A51">
        <w:t xml:space="preserve">Against this complex regional backdrop, the EUTF continued to have a meaningful impact articulated through its four Strategic Objectives (SO). </w:t>
      </w:r>
      <w:bookmarkStart w:id="158" w:name="_Hlk219306892"/>
      <w:r w:rsidRPr="00B32A51">
        <w:t>While the final year of implementation naturally saw a reduction in the number of active projects and indicators</w:t>
      </w:r>
      <w:bookmarkEnd w:id="158"/>
      <w:r w:rsidRPr="00B32A51">
        <w:t>, the EUTF sustained targeted actions to address these specific challenges.</w:t>
      </w:r>
    </w:p>
    <w:p w14:paraId="6CF196E0" w14:textId="77777777" w:rsidR="00FD1E19" w:rsidRPr="00B32A51" w:rsidRDefault="00FD1E19" w:rsidP="00FD1E19">
      <w:pPr>
        <w:pStyle w:val="Textstand-alone"/>
      </w:pPr>
      <w:r w:rsidRPr="00B32A51">
        <w:t>Through initiatives such as ILED in Somalia, the EUTF expanded economic and employment opportunities (in line with Strategic Objective 1) by supporting income generating activities, skills development, and job creation, contributing to broader livelihood efforts.</w:t>
      </w:r>
    </w:p>
    <w:p w14:paraId="0B3602FE" w14:textId="77777777" w:rsidR="00FD1E19" w:rsidRPr="00B32A51" w:rsidRDefault="00FD1E19" w:rsidP="00FD1E19">
      <w:pPr>
        <w:pStyle w:val="Textstand-alone"/>
      </w:pPr>
      <w:r w:rsidRPr="00B32A51">
        <w:t>In the challenging Sudanese context, projects such as STARS MDTE and RDPP SD continued to deliver essential social services in education and healthcare, alongside food security assistance, thereby strengthening community resilience (in line with Strategic Objective 2).</w:t>
      </w:r>
    </w:p>
    <w:p w14:paraId="321D883E" w14:textId="77777777" w:rsidR="00FD1E19" w:rsidRPr="00B32A51" w:rsidRDefault="00FD1E19" w:rsidP="00FD1E19">
      <w:pPr>
        <w:pStyle w:val="Textstand-alone"/>
      </w:pPr>
      <w:r w:rsidRPr="00B32A51">
        <w:t>The PROTECT project in Sudan strengthened migration management (Strategic Objective 3) by protecting people fleeing conflict through assistance to migrants in transit, refugees, asylum seekers, and internally displaced persons in shelters with food and non-food items. It also enhanced the capacity of civil society organi</w:t>
      </w:r>
      <w:r>
        <w:t>s</w:t>
      </w:r>
      <w:r w:rsidRPr="00B32A51">
        <w:t>ations and shelter staff to support survivors of gender-based violence and trafficking and to prevent sexual exploitation and abuse.</w:t>
      </w:r>
    </w:p>
    <w:p w14:paraId="32006E51" w14:textId="77777777" w:rsidR="00FD1E19" w:rsidRPr="00B32A51" w:rsidRDefault="00FD1E19" w:rsidP="00FD1E19">
      <w:pPr>
        <w:pStyle w:val="Textstand-alone"/>
      </w:pPr>
      <w:r w:rsidRPr="00B32A51">
        <w:t xml:space="preserve">In the area of governance and conflict prevention (Strategic Objective 4), the STABILITY project in the Tigray Region for example supported community recovery by training religious leaders to help communities heal from the trauma of the recent war </w:t>
      </w:r>
    </w:p>
    <w:p w14:paraId="5594F151" w14:textId="77777777" w:rsidR="00FD1E19" w:rsidRPr="00B32A51" w:rsidRDefault="00FD1E19" w:rsidP="00FD1E19">
      <w:pPr>
        <w:pStyle w:val="Textstand-alone"/>
      </w:pPr>
      <w:r w:rsidRPr="00B32A51">
        <w:t>With the completion of the EUTF, programmes in the HoA region have delivered significant cumulative results over the last 10 years. Over the portfolio lifetime, EUTF-funded interventions have created or supported over 150,000 jobs (EUTF indicator 1.1) and assisted approximately 750,000 individuals in developing income-generating activities (EUTF indicator 1.3), including substantial support to refugee populations. Just under 15,000 micro, small, and medium enterprises have been created or supported (EUTF indicator 1.2). In the health sector, EUTF programmes have delivered more than 11 million health-related services (EUTF indicator 2.2) and improved access to health services for 3.7 million people (EUTF indicator 2.9). Nutrition assistance has reached 3 million individuals (EUTF indicator 2.3), and nearly 195,000 migrants and displaced persons have received critical assistance and protection while migration management was improved. Peace-building initiatives have engaged over 1.39 million participants in conflict prevention and human rights activities. These results highlight both the scale of delivery achieved under the EUTF and the continued relevance of such interventions in a context where needs remain high and structural challenges persist.</w:t>
      </w:r>
    </w:p>
    <w:p w14:paraId="4DFA8CBD" w14:textId="77777777" w:rsidR="00FD1E19" w:rsidRPr="00B32A51" w:rsidRDefault="00FD1E19" w:rsidP="00FD1E19">
      <w:pPr>
        <w:pStyle w:val="Textstand-alone"/>
      </w:pPr>
      <w:r w:rsidRPr="00B32A51">
        <w:t xml:space="preserve">In 2025, the Sahel and Lake Chad (SLC) region continued to face high levels of instability, driven by persistent armed conflict, deepening political fragmentation, climate shocks, and a deepening humanitarian crisis. </w:t>
      </w:r>
    </w:p>
    <w:p w14:paraId="1FF6001C" w14:textId="77777777" w:rsidR="00FD1E19" w:rsidRPr="00B32A51" w:rsidRDefault="00FD1E19" w:rsidP="00FD1E19">
      <w:pPr>
        <w:pStyle w:val="Textstand-alone"/>
      </w:pPr>
      <w:r w:rsidRPr="00B32A51">
        <w:t>As most activities under the EUTF SLC projects were completed by end of 2024, only minimal achievements can be reported for 2025.</w:t>
      </w:r>
    </w:p>
    <w:p w14:paraId="3B6EF6A8" w14:textId="77777777" w:rsidR="00FD1E19" w:rsidRPr="00B32A51" w:rsidRDefault="00FD1E19" w:rsidP="00FD1E19">
      <w:pPr>
        <w:pStyle w:val="Textstand-alone"/>
      </w:pPr>
      <w:r w:rsidRPr="00B32A51">
        <w:t>For the Strategic Objective 1 (greater economic and employment opportunities) the programme  “Acceleration in the Sahel”  continued to support  access to long term financing for entrepreneurs and very small and medium-sized enterprises (SMSEs) in West Africa.  The project  has achieved its objectives in terms of the number of jobs created entrepreneurs and SMSEs supported.</w:t>
      </w:r>
    </w:p>
    <w:p w14:paraId="2AF9659F" w14:textId="77777777" w:rsidR="00FD1E19" w:rsidRPr="00B32A51" w:rsidRDefault="00FD1E19" w:rsidP="00FD1E19">
      <w:pPr>
        <w:pStyle w:val="Textstand-alone"/>
      </w:pPr>
      <w:r w:rsidRPr="00B32A51">
        <w:t>Under the Strategic Objective 4 (improved governance and conflict prevention) the project «Programme d’appui au renforcement du système d’information de l’état civil au Sénégal” aiming to support the strengthening of the civil registration information system and the consolidation of a national biometric identity file in Senegal showed some results in 2025 with the rehabilitation of governmental infrastructures supported to strengthen governance and the provision of equipment with the infrastructure of two town halls supported to strengthen governance.</w:t>
      </w:r>
    </w:p>
    <w:p w14:paraId="3CBC4F64" w14:textId="77777777" w:rsidR="00FD1E19" w:rsidRPr="00B32A51" w:rsidRDefault="00FD1E19" w:rsidP="00FD1E19">
      <w:pPr>
        <w:pStyle w:val="Textstand-alone"/>
      </w:pPr>
      <w:r w:rsidRPr="00B32A51">
        <w:t>Over the programme's lifetime, EUTF-funded interventions have supported more than 839,927 individuals in developing income-generating activities (EUTF indicator 1.3), a large part in Ghana (GrEEn programme</w:t>
      </w:r>
      <w:r>
        <w:rPr>
          <w:rStyle w:val="FootnoteReference"/>
        </w:rPr>
        <w:footnoteReference w:id="7"/>
      </w:r>
      <w:r w:rsidRPr="00B32A51">
        <w:t>) and significant numbers in Mali, Niger, Chad and Burkina Faso; they provided technical and vocational education and training (TVET) and skills development to over 240,000 beneficiaries (EUTF indicator 1.4) in all countries of the SLC window, thanks to nearly 50 programmes, among which Développer l’Emploi au Sénégal</w:t>
      </w:r>
      <w:r>
        <w:rPr>
          <w:rStyle w:val="FootnoteReference"/>
        </w:rPr>
        <w:footnoteReference w:id="8"/>
      </w:r>
      <w:r w:rsidRPr="00B32A51">
        <w:t>, INTEGRA</w:t>
      </w:r>
      <w:r>
        <w:rPr>
          <w:rStyle w:val="FootnoteReference"/>
        </w:rPr>
        <w:footnoteReference w:id="9"/>
      </w:r>
      <w:r w:rsidRPr="00B32A51">
        <w:t xml:space="preserve"> in Ghana, ARCHIPELAGO</w:t>
      </w:r>
      <w:r>
        <w:rPr>
          <w:rStyle w:val="FootnoteReference"/>
        </w:rPr>
        <w:footnoteReference w:id="10"/>
      </w:r>
      <w:r w:rsidRPr="00B32A51">
        <w:t xml:space="preserve"> or GrEEn</w:t>
      </w:r>
      <w:r>
        <w:rPr>
          <w:rStyle w:val="FootnoteReference"/>
        </w:rPr>
        <w:footnoteReference w:id="11"/>
      </w:r>
      <w:r w:rsidRPr="00B32A51">
        <w:t xml:space="preserve">. </w:t>
      </w:r>
    </w:p>
    <w:p w14:paraId="1F3E85DF" w14:textId="77777777" w:rsidR="00FD1E19" w:rsidRPr="00B32A51" w:rsidRDefault="00FD1E19" w:rsidP="00FD1E19">
      <w:pPr>
        <w:pStyle w:val="Textstand-alone"/>
      </w:pPr>
      <w:r w:rsidRPr="00B32A51">
        <w:t>Peacebuilding and conflict prevention activities have engaged 7.1 million participants (EUTF indicator 4.3), most notably in Burkina Faso thanks to PEV</w:t>
      </w:r>
      <w:r>
        <w:rPr>
          <w:rStyle w:val="FootnoteReference"/>
        </w:rPr>
        <w:footnoteReference w:id="12"/>
      </w:r>
      <w:r w:rsidRPr="00B32A51">
        <w:t xml:space="preserve"> and PDU</w:t>
      </w:r>
      <w:r>
        <w:rPr>
          <w:rStyle w:val="FootnoteReference"/>
        </w:rPr>
        <w:footnoteReference w:id="13"/>
      </w:r>
      <w:r w:rsidRPr="00B32A51">
        <w:t>, but also in Niger (PDU, PAIERA</w:t>
      </w:r>
      <w:r>
        <w:rPr>
          <w:rStyle w:val="FootnoteReference"/>
        </w:rPr>
        <w:footnoteReference w:id="14"/>
      </w:r>
      <w:r w:rsidRPr="00B32A51">
        <w:t xml:space="preserve"> and SHIMODU</w:t>
      </w:r>
      <w:r>
        <w:rPr>
          <w:rStyle w:val="FootnoteReference"/>
        </w:rPr>
        <w:footnoteReference w:id="15"/>
      </w:r>
      <w:r w:rsidRPr="00B32A51">
        <w:t>), 21,000 individuals have been trained in migration management and protection in all countries of the Window (EUTF indicator 3.7). Food security-related assistance has reached 3.6 million people (EUTF indicator 2.4), in particular in Burkina Faso, Mali, Nigeria and Chad, and nutrition assistance has benefited 2.8 million individuals in Burkina Faso, Senegal, Mali, Cameroon and Niger (EUTF indicator 2.3). These achievements represent a significant contribution to resilience and stability across the region, even as the humanitarian context remains exceptionally challenging and the need for continued international engagement becomes ever more critical.</w:t>
      </w:r>
    </w:p>
    <w:p w14:paraId="3CA28DFC" w14:textId="77777777" w:rsidR="00FD1E19" w:rsidRPr="00B32A51" w:rsidRDefault="00FD1E19" w:rsidP="00FD1E19">
      <w:pPr>
        <w:pStyle w:val="Textstand-alone"/>
      </w:pPr>
      <w:r w:rsidRPr="00B32A51">
        <w:t>The North Africa (NoA) region continued to face intertwined geopolitical, socioeconomic, and environmental challenges that further influenced migration dynamics. North African countries remain key points of origin, transit, and destination for migrants, with several also hosting substantial refugee populations.</w:t>
      </w:r>
    </w:p>
    <w:p w14:paraId="432DCB72" w14:textId="77777777" w:rsidR="00FD1E19" w:rsidRPr="00B32A51" w:rsidRDefault="00FD1E19" w:rsidP="00FD1E19">
      <w:pPr>
        <w:pStyle w:val="Textstand-alone"/>
      </w:pPr>
      <w:r w:rsidRPr="00B32A51">
        <w:t>As of May 2025</w:t>
      </w:r>
      <w:r>
        <w:rPr>
          <w:rStyle w:val="FootnoteReference"/>
        </w:rPr>
        <w:footnoteReference w:id="16"/>
      </w:r>
      <w:r w:rsidRPr="00B32A51">
        <w:t>, out of the 4.94 billion committed by EUTF for Africa, the NoA region accounts for EUR 905 million, channelled through 118 contracts (90 operational and 28 technical support). These interventions contributed to achieve tangible results in the North of Africa from 2017 to May 2025. Considering the EUTF Strategic Objectives, the NoA window focuses on SO3 "improved migration management in countries of origin, transit and destination” across four strategic priorities. Under the Strategic Priority 1 (Protection of Vulnerable Migrants, Asylum seekers and Refugees) EUTF interventions expanded protection and community stabilisation by implementing 64 contracts that rehabilitated or constructed nearly 1,600 infrastructures. Through Strategic Priority 3 (Support to Labour Migration) funding amounting to EUR 35 million supported labour migration governance by strengthening 23 institutions, developing 19 national strategies and enabling legal mobility for over 7,000 individuals across the NoA region.</w:t>
      </w:r>
    </w:p>
    <w:p w14:paraId="4EE2B885" w14:textId="77777777" w:rsidR="00FD1E19" w:rsidRPr="00B32A51" w:rsidRDefault="00FD1E19" w:rsidP="00FD1E19">
      <w:pPr>
        <w:pStyle w:val="Textstand-alone"/>
      </w:pPr>
      <w:r w:rsidRPr="00B32A51">
        <w:t>Overall, despite the complex environment, our EUTF partners reported improving the access of 5.49 million people to basic social services, delivering 2.78 million basic social services and providing post-return assistance to 4,510 returning migrants. In addition, awareness raising efforts continued with 10.4 million potential migrants reached by resilience and basic rights campaigns and 27 688 beneficiaries participating in professional trainings.</w:t>
      </w:r>
    </w:p>
    <w:p w14:paraId="6ACD9391" w14:textId="77777777" w:rsidR="00FD1E19" w:rsidRDefault="00FD1E19" w:rsidP="00FD1E19">
      <w:pPr>
        <w:pStyle w:val="Textstand-alone"/>
        <w:keepNext/>
        <w:keepLines/>
      </w:pPr>
      <w:r>
        <w:rPr>
          <w:b/>
          <w:color w:val="016794"/>
        </w:rPr>
        <w:t>Budget and budget implementation</w:t>
      </w:r>
    </w:p>
    <w:p w14:paraId="6BA305ED" w14:textId="77777777" w:rsidR="00FD1E19" w:rsidRPr="0014360F" w:rsidRDefault="00FD1E19" w:rsidP="00FD1E19">
      <w:pPr>
        <w:pStyle w:val="Textstand-alone"/>
        <w:keepNext/>
        <w:keepLines/>
      </w:pPr>
      <w:r w:rsidRPr="0014360F">
        <w:t>In 2025</w:t>
      </w:r>
      <w:r>
        <w:rPr>
          <w:rStyle w:val="FootnoteReference"/>
        </w:rPr>
        <w:footnoteReference w:id="17"/>
      </w:r>
      <w:r w:rsidRPr="0014360F">
        <w:t xml:space="preserve">, no new program or budgetary top-up took place in any of the three regions of the EUTF for Africa, in line with the end of the contracting period on 31 December 2021. The total amount committed for operational and administrative expenditure since the beginning of the EUTF for Africa amounts to </w:t>
      </w:r>
      <w:r>
        <w:t>EUR </w:t>
      </w:r>
      <w:r w:rsidRPr="0014360F">
        <w:t>5</w:t>
      </w:r>
      <w:r>
        <w:t xml:space="preserve"> </w:t>
      </w:r>
      <w:r w:rsidRPr="0014360F">
        <w:t>0</w:t>
      </w:r>
      <w:r>
        <w:t>53</w:t>
      </w:r>
      <w:r w:rsidRPr="0014360F">
        <w:t>.</w:t>
      </w:r>
      <w:r>
        <w:t>56</w:t>
      </w:r>
      <w:r w:rsidRPr="0014360F">
        <w:t xml:space="preserve"> million. The amount of approved operational programmes since the beginning of the EUTF Africa amounts to EUR 1 810 million for the Horn of Africa region; EUR 2 217.8 million for the Sahel and Lake Chad region and EUR 907.3 million for the North of Africa region. </w:t>
      </w:r>
    </w:p>
    <w:p w14:paraId="682756CC" w14:textId="77777777" w:rsidR="00FD1E19" w:rsidRPr="0014360F" w:rsidRDefault="00FD1E19" w:rsidP="00FD1E19">
      <w:pPr>
        <w:pStyle w:val="Textstand-alone"/>
      </w:pPr>
      <w:r w:rsidRPr="0014360F">
        <w:t>37 new contracts for a total amount of EUR 139</w:t>
      </w:r>
      <w:r>
        <w:t xml:space="preserve"> </w:t>
      </w:r>
      <w:r w:rsidRPr="0014360F">
        <w:t>562</w:t>
      </w:r>
      <w:r>
        <w:t xml:space="preserve"> </w:t>
      </w:r>
      <w:r w:rsidRPr="0014360F">
        <w:t xml:space="preserve">266 were contracted in 2025, considering net committed amount and no de-commitments. These contracts were only related to administrative activities (audit, evaluation, communication, monitoring), as operational programmes or activities cannot be funded any longer from 31 December 2021. </w:t>
      </w:r>
    </w:p>
    <w:p w14:paraId="4839BA22" w14:textId="77777777" w:rsidR="00FD1E19" w:rsidRDefault="00FD1E19" w:rsidP="00FD1E19">
      <w:pPr>
        <w:pStyle w:val="Textstand-alone"/>
      </w:pPr>
      <w:r w:rsidRPr="0014360F">
        <w:t>The payments in 2025 reached EUR 84.32 million, which was EUR 78.68 million lower than in 2024. Payments are lower in 2025 due to several projects reaching the end of their implementation period.</w:t>
      </w:r>
    </w:p>
    <w:p w14:paraId="69A68503" w14:textId="77777777" w:rsidR="00FD1E19" w:rsidRDefault="00FD1E19" w:rsidP="00FD1E19">
      <w:pPr>
        <w:pStyle w:val="Textstand-alone"/>
      </w:pPr>
      <w:r w:rsidRPr="001B6198">
        <w:rPr>
          <w:b/>
          <w:color w:val="016794"/>
        </w:rPr>
        <w:t>Impact of the activities in the financial statements</w:t>
      </w:r>
    </w:p>
    <w:p w14:paraId="3449BC0D" w14:textId="77777777" w:rsidR="00FD1E19" w:rsidRDefault="00FD1E19" w:rsidP="00FD1E19">
      <w:pPr>
        <w:pStyle w:val="Textstand-alone"/>
        <w:rPr>
          <w:lang w:val="en-IE"/>
        </w:rPr>
      </w:pPr>
      <w:r>
        <w:rPr>
          <w:lang w:val="en-IE"/>
        </w:rPr>
        <w:t>In the financial statements, the impact of the above mentioned activities is most visible when looking at:</w:t>
      </w:r>
    </w:p>
    <w:p w14:paraId="0BC01126" w14:textId="77777777" w:rsidR="00FD1E19" w:rsidRPr="00052584" w:rsidRDefault="00FD1E19" w:rsidP="00FD1E19">
      <w:pPr>
        <w:pStyle w:val="Textstand-alone"/>
        <w:numPr>
          <w:ilvl w:val="0"/>
          <w:numId w:val="20"/>
        </w:numPr>
      </w:pPr>
      <w:r w:rsidRPr="007D23CA">
        <w:rPr>
          <w:bCs/>
        </w:rPr>
        <w:t>Pre-financing</w:t>
      </w:r>
      <w:r w:rsidRPr="00181CFC">
        <w:t xml:space="preserve">: </w:t>
      </w:r>
      <w:r w:rsidRPr="00935D8C">
        <w:t xml:space="preserve">decreased by kEUR </w:t>
      </w:r>
      <w:r>
        <w:t>107 330</w:t>
      </w:r>
      <w:r w:rsidRPr="00935D8C">
        <w:t xml:space="preserve"> as a result of the winding down of the Trust Fund and the conclusion of operating projects in 2025. As the Trust Fund reached the end of its implementation period on 31 December 2025, all operational contracts came to an end, leading to increased clearance of pre-financing balances</w:t>
      </w:r>
      <w:r>
        <w:t xml:space="preserve">. </w:t>
      </w:r>
      <w:r w:rsidRPr="002E1D12">
        <w:t>The remaining balance relates to projects for which the final financial reports had not yet been received at year-end</w:t>
      </w:r>
      <w:r w:rsidRPr="00935D8C">
        <w:t>;</w:t>
      </w:r>
    </w:p>
    <w:p w14:paraId="625E8AC9" w14:textId="77777777" w:rsidR="00FD1E19" w:rsidRPr="00052584" w:rsidRDefault="00FD1E19" w:rsidP="00FD1E19">
      <w:pPr>
        <w:pStyle w:val="Textstand-alone"/>
        <w:numPr>
          <w:ilvl w:val="0"/>
          <w:numId w:val="20"/>
        </w:numPr>
      </w:pPr>
      <w:r w:rsidRPr="007D23CA">
        <w:rPr>
          <w:bCs/>
        </w:rPr>
        <w:t>Financial liabilities</w:t>
      </w:r>
      <w:r w:rsidRPr="00181CFC">
        <w:t xml:space="preserve">: </w:t>
      </w:r>
      <w:r w:rsidRPr="00935D8C">
        <w:t xml:space="preserve">decreased by kEUR </w:t>
      </w:r>
      <w:r>
        <w:t>138</w:t>
      </w:r>
      <w:r w:rsidRPr="00935D8C">
        <w:t xml:space="preserve"> </w:t>
      </w:r>
      <w:r>
        <w:t>236</w:t>
      </w:r>
      <w:r w:rsidRPr="00935D8C">
        <w:t xml:space="preserve"> mainly due to the absence of cashed contributions during the year;</w:t>
      </w:r>
    </w:p>
    <w:p w14:paraId="5FFF32C2" w14:textId="77777777" w:rsidR="00FD1E19" w:rsidRDefault="00FD1E19" w:rsidP="00FD1E19">
      <w:pPr>
        <w:pStyle w:val="Textstand-alone"/>
        <w:numPr>
          <w:ilvl w:val="0"/>
          <w:numId w:val="20"/>
        </w:numPr>
      </w:pPr>
      <w:r w:rsidRPr="007D23CA">
        <w:rPr>
          <w:bCs/>
        </w:rPr>
        <w:t>Operating expenses</w:t>
      </w:r>
      <w:r w:rsidRPr="00181CFC">
        <w:t>:</w:t>
      </w:r>
      <w:r>
        <w:t xml:space="preserve"> </w:t>
      </w:r>
      <w:r w:rsidRPr="00181CFC">
        <w:t xml:space="preserve">decreased by kEUR </w:t>
      </w:r>
      <w:r>
        <w:t xml:space="preserve">38 674 </w:t>
      </w:r>
      <w:r w:rsidRPr="00181CFC">
        <w:t xml:space="preserve">as a result of </w:t>
      </w:r>
      <w:r w:rsidRPr="00052584">
        <w:t>the winding down of the Trust Fund</w:t>
      </w:r>
      <w:r>
        <w:t xml:space="preserve"> </w:t>
      </w:r>
      <w:r w:rsidRPr="00052584">
        <w:t xml:space="preserve">which led to a </w:t>
      </w:r>
      <w:r>
        <w:t>reduction</w:t>
      </w:r>
      <w:r w:rsidRPr="00052584">
        <w:t xml:space="preserve"> in the number of open contracts and thus to </w:t>
      </w:r>
      <w:r>
        <w:t>lower</w:t>
      </w:r>
      <w:r w:rsidRPr="00052584">
        <w:t xml:space="preserve"> expenses</w:t>
      </w:r>
      <w:r>
        <w:t>.</w:t>
      </w:r>
      <w:r w:rsidRPr="00052584">
        <w:t xml:space="preserve"> </w:t>
      </w:r>
    </w:p>
    <w:p w14:paraId="5C4B3256" w14:textId="77777777" w:rsidR="00FD1E19" w:rsidRPr="00052584" w:rsidRDefault="00FD1E19" w:rsidP="00FD1E19">
      <w:pPr>
        <w:pStyle w:val="Textstand-alone"/>
      </w:pPr>
    </w:p>
    <w:p w14:paraId="4BD702BB" w14:textId="77777777" w:rsidR="00FD1E19" w:rsidRPr="00613AF8" w:rsidRDefault="00FD1E19" w:rsidP="00FD1E19">
      <w:pPr>
        <w:spacing w:before="240"/>
        <w:ind w:left="360"/>
        <w:rPr>
          <w:rFonts w:ascii="Verdana" w:hAnsi="Verdana"/>
          <w:noProof/>
          <w:sz w:val="18"/>
          <w:szCs w:val="18"/>
        </w:rPr>
      </w:pPr>
      <w:r>
        <w:rPr>
          <w:rFonts w:ascii="Verdana" w:hAnsi="Verdana"/>
          <w:b/>
          <w:noProof/>
          <w:sz w:val="18"/>
          <w:szCs w:val="18"/>
        </w:rPr>
        <w:br w:type="page"/>
      </w:r>
    </w:p>
    <w:p w14:paraId="12909295" w14:textId="77777777" w:rsidR="00FD1E19" w:rsidRDefault="00FD1E19" w:rsidP="00FD1E19">
      <w:pPr>
        <w:pStyle w:val="HEADERTITLE1"/>
      </w:pPr>
      <w:bookmarkStart w:id="159" w:name="_Toc232609791"/>
      <w:r w:rsidRPr="004C0804">
        <w:t>BALANCE SHEET</w:t>
      </w:r>
      <w:bookmarkEnd w:id="159"/>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2"/>
        <w:gridCol w:w="1564"/>
        <w:gridCol w:w="1692"/>
      </w:tblGrid>
      <w:tr w:rsidR="00FD1E19" w14:paraId="25AFBFED"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4F541F04" w14:textId="77777777" w:rsidR="00FD1E19" w:rsidRDefault="00FD1E19" w:rsidP="00BE7E4A">
            <w:pPr>
              <w:pStyle w:val="DMETW36958BIPBS"/>
              <w:rPr>
                <w:rFonts w:cs="Calibri"/>
                <w:noProof/>
                <w:color w:val="000000"/>
                <w:sz w:val="22"/>
                <w:lang w:bidi="en-GB"/>
              </w:rPr>
            </w:pPr>
            <w:bookmarkStart w:id="160" w:name="DOC_TBL00054_1_1"/>
            <w:bookmarkEnd w:id="160"/>
          </w:p>
        </w:tc>
        <w:tc>
          <w:tcPr>
            <w:tcW w:w="1429" w:type="dxa"/>
            <w:tcBorders>
              <w:top w:val="nil"/>
              <w:left w:val="nil"/>
              <w:bottom w:val="nil"/>
              <w:right w:val="nil"/>
              <w:tl2br w:val="nil"/>
              <w:tr2bl w:val="nil"/>
            </w:tcBorders>
            <w:shd w:val="clear" w:color="auto" w:fill="auto"/>
            <w:tcMar>
              <w:left w:w="60" w:type="dxa"/>
              <w:right w:w="60" w:type="dxa"/>
            </w:tcMar>
            <w:vAlign w:val="bottom"/>
          </w:tcPr>
          <w:p w14:paraId="6936C1D4" w14:textId="77777777" w:rsidR="00FD1E19" w:rsidRDefault="00FD1E19" w:rsidP="00BE7E4A">
            <w:pPr>
              <w:pStyle w:val="DMETW36958BIPBS"/>
              <w:jc w:val="right"/>
              <w:rPr>
                <w:rFonts w:cs="Calibri"/>
                <w:noProof/>
                <w:color w:val="000000"/>
                <w:sz w:val="22"/>
              </w:rPr>
            </w:pPr>
          </w:p>
        </w:tc>
        <w:tc>
          <w:tcPr>
            <w:tcW w:w="1546" w:type="dxa"/>
            <w:tcBorders>
              <w:top w:val="nil"/>
              <w:left w:val="nil"/>
              <w:bottom w:val="nil"/>
              <w:right w:val="nil"/>
              <w:tl2br w:val="nil"/>
              <w:tr2bl w:val="nil"/>
            </w:tcBorders>
            <w:shd w:val="clear" w:color="auto" w:fill="auto"/>
            <w:tcMar>
              <w:left w:w="60" w:type="dxa"/>
              <w:right w:w="60" w:type="dxa"/>
            </w:tcMar>
            <w:vAlign w:val="bottom"/>
          </w:tcPr>
          <w:p w14:paraId="74B6D900" w14:textId="77777777" w:rsidR="00FD1E19" w:rsidRDefault="00FD1E19" w:rsidP="00BE7E4A">
            <w:pPr>
              <w:pStyle w:val="DMETW36958BIPBS"/>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EUR '000</w:t>
            </w:r>
          </w:p>
        </w:tc>
      </w:tr>
      <w:tr w:rsidR="00FD1E19" w14:paraId="6D06ADA2" w14:textId="77777777" w:rsidTr="00BE7E4A">
        <w:trPr>
          <w:trHeight w:hRule="exact" w:val="280"/>
        </w:trPr>
        <w:tc>
          <w:tcPr>
            <w:tcW w:w="5940" w:type="dxa"/>
            <w:tcBorders>
              <w:top w:val="nil"/>
              <w:left w:val="nil"/>
              <w:bottom w:val="nil"/>
              <w:right w:val="nil"/>
              <w:tl2br w:val="nil"/>
              <w:tr2bl w:val="nil"/>
            </w:tcBorders>
            <w:shd w:val="solid" w:color="016794" w:fill="FFFFFF"/>
            <w:tcMar>
              <w:left w:w="60" w:type="dxa"/>
              <w:right w:w="60" w:type="dxa"/>
            </w:tcMar>
            <w:vAlign w:val="bottom"/>
          </w:tcPr>
          <w:p w14:paraId="6262A25D" w14:textId="77777777" w:rsidR="00FD1E19" w:rsidRDefault="00FD1E19" w:rsidP="00BE7E4A">
            <w:pPr>
              <w:pStyle w:val="DMETW36958BIPBS"/>
              <w:rPr>
                <w:rFonts w:ascii="Verdana" w:eastAsia="Verdana" w:hAnsi="Verdana" w:cs="Verdana"/>
                <w:noProof/>
                <w:color w:val="FFFFFF"/>
              </w:rPr>
            </w:pPr>
          </w:p>
        </w:tc>
        <w:tc>
          <w:tcPr>
            <w:tcW w:w="1429" w:type="dxa"/>
            <w:tcBorders>
              <w:top w:val="nil"/>
              <w:left w:val="nil"/>
              <w:bottom w:val="nil"/>
              <w:right w:val="nil"/>
              <w:tl2br w:val="nil"/>
              <w:tr2bl w:val="nil"/>
            </w:tcBorders>
            <w:shd w:val="solid" w:color="016794" w:fill="FFFFFF"/>
            <w:tcMar>
              <w:left w:w="60" w:type="dxa"/>
              <w:right w:w="60" w:type="dxa"/>
            </w:tcMar>
            <w:vAlign w:val="bottom"/>
          </w:tcPr>
          <w:p w14:paraId="7CFBBD9F" w14:textId="77777777" w:rsidR="00FD1E19" w:rsidRDefault="00FD1E19" w:rsidP="00BE7E4A">
            <w:pPr>
              <w:pStyle w:val="DMETW36958BIPBS"/>
              <w:jc w:val="right"/>
              <w:rPr>
                <w:rFonts w:ascii="Verdana" w:eastAsia="Verdana" w:hAnsi="Verdana" w:cs="Verdana"/>
                <w:noProof/>
                <w:color w:val="FFFFFF"/>
              </w:rPr>
            </w:pPr>
            <w:r>
              <w:rPr>
                <w:rFonts w:ascii="Verdana" w:eastAsia="Verdana" w:hAnsi="Verdana" w:cs="Verdana"/>
                <w:noProof/>
                <w:color w:val="FFFFFF"/>
              </w:rPr>
              <w:t>31.12.2025</w:t>
            </w:r>
          </w:p>
        </w:tc>
        <w:tc>
          <w:tcPr>
            <w:tcW w:w="1546" w:type="dxa"/>
            <w:tcBorders>
              <w:top w:val="nil"/>
              <w:left w:val="nil"/>
              <w:bottom w:val="nil"/>
              <w:right w:val="nil"/>
              <w:tl2br w:val="nil"/>
              <w:tr2bl w:val="nil"/>
            </w:tcBorders>
            <w:shd w:val="solid" w:color="016794" w:fill="FFFFFF"/>
            <w:tcMar>
              <w:left w:w="60" w:type="dxa"/>
              <w:right w:w="60" w:type="dxa"/>
            </w:tcMar>
            <w:vAlign w:val="bottom"/>
          </w:tcPr>
          <w:p w14:paraId="60A675EB" w14:textId="77777777" w:rsidR="00FD1E19" w:rsidRDefault="00FD1E19" w:rsidP="00BE7E4A">
            <w:pPr>
              <w:pStyle w:val="DMETW36958BIPB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33394FD6"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344003F5" w14:textId="77777777" w:rsidR="00FD1E19" w:rsidRDefault="00FD1E19" w:rsidP="00BE7E4A">
            <w:pPr>
              <w:pStyle w:val="DMETW36958BIPBS"/>
              <w:rPr>
                <w:rFonts w:ascii="Verdana" w:eastAsia="Verdana" w:hAnsi="Verdana" w:cs="Verdana"/>
                <w:b/>
                <w:noProof/>
                <w:color w:val="000000"/>
                <w:sz w:val="18"/>
              </w:rPr>
            </w:pPr>
            <w:r>
              <w:rPr>
                <w:rFonts w:ascii="Verdana" w:eastAsia="Verdana" w:hAnsi="Verdana" w:cs="Verdana"/>
                <w:b/>
                <w:noProof/>
                <w:color w:val="000000"/>
                <w:sz w:val="18"/>
              </w:rPr>
              <w:t>NON-CURRENT ASSETS</w:t>
            </w:r>
          </w:p>
        </w:tc>
        <w:tc>
          <w:tcPr>
            <w:tcW w:w="1429" w:type="dxa"/>
            <w:tcBorders>
              <w:top w:val="nil"/>
              <w:left w:val="nil"/>
              <w:bottom w:val="nil"/>
              <w:right w:val="nil"/>
              <w:tl2br w:val="nil"/>
              <w:tr2bl w:val="nil"/>
            </w:tcBorders>
            <w:shd w:val="clear" w:color="auto" w:fill="auto"/>
            <w:tcMar>
              <w:left w:w="60" w:type="dxa"/>
              <w:right w:w="60" w:type="dxa"/>
            </w:tcMar>
            <w:vAlign w:val="bottom"/>
          </w:tcPr>
          <w:p w14:paraId="16E49B42" w14:textId="77777777" w:rsidR="00FD1E19" w:rsidRDefault="00FD1E19" w:rsidP="00BE7E4A">
            <w:pPr>
              <w:pStyle w:val="DMETW36958BIPBS"/>
              <w:jc w:val="right"/>
              <w:rPr>
                <w:rFonts w:ascii="Verdana" w:eastAsia="Verdana" w:hAnsi="Verdana" w:cs="Verdana"/>
                <w:b/>
                <w:noProof/>
                <w:color w:val="000000"/>
                <w:sz w:val="18"/>
              </w:rPr>
            </w:pPr>
          </w:p>
        </w:tc>
        <w:tc>
          <w:tcPr>
            <w:tcW w:w="1546" w:type="dxa"/>
            <w:tcBorders>
              <w:top w:val="nil"/>
              <w:left w:val="nil"/>
              <w:bottom w:val="nil"/>
              <w:right w:val="nil"/>
              <w:tl2br w:val="nil"/>
              <w:tr2bl w:val="nil"/>
            </w:tcBorders>
            <w:shd w:val="clear" w:color="auto" w:fill="auto"/>
            <w:tcMar>
              <w:left w:w="60" w:type="dxa"/>
              <w:right w:w="60" w:type="dxa"/>
            </w:tcMar>
            <w:vAlign w:val="bottom"/>
          </w:tcPr>
          <w:p w14:paraId="5B24F0DE" w14:textId="77777777" w:rsidR="00FD1E19" w:rsidRDefault="00FD1E19" w:rsidP="00BE7E4A">
            <w:pPr>
              <w:pStyle w:val="DMETW36958BIPBS"/>
              <w:jc w:val="right"/>
              <w:rPr>
                <w:rFonts w:ascii="Verdana" w:eastAsia="Verdana" w:hAnsi="Verdana" w:cs="Verdana"/>
                <w:b/>
                <w:noProof/>
                <w:color w:val="000000"/>
                <w:sz w:val="18"/>
                <w:lang w:bidi="en-GB"/>
              </w:rPr>
            </w:pPr>
          </w:p>
        </w:tc>
      </w:tr>
      <w:tr w:rsidR="00FD1E19" w14:paraId="3E20D264"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38B8A0C1"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1429" w:type="dxa"/>
            <w:tcBorders>
              <w:top w:val="nil"/>
              <w:left w:val="nil"/>
              <w:bottom w:val="nil"/>
              <w:right w:val="nil"/>
              <w:tl2br w:val="nil"/>
              <w:tr2bl w:val="nil"/>
            </w:tcBorders>
            <w:shd w:val="clear" w:color="auto" w:fill="auto"/>
            <w:tcMar>
              <w:left w:w="60" w:type="dxa"/>
              <w:right w:w="60" w:type="dxa"/>
            </w:tcMar>
            <w:vAlign w:val="bottom"/>
          </w:tcPr>
          <w:p w14:paraId="1DFBE80D"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3 014</w:t>
            </w:r>
          </w:p>
        </w:tc>
        <w:tc>
          <w:tcPr>
            <w:tcW w:w="1546" w:type="dxa"/>
            <w:tcBorders>
              <w:top w:val="nil"/>
              <w:left w:val="nil"/>
              <w:bottom w:val="nil"/>
              <w:right w:val="nil"/>
              <w:tl2br w:val="nil"/>
              <w:tr2bl w:val="nil"/>
            </w:tcBorders>
            <w:shd w:val="clear" w:color="auto" w:fill="auto"/>
            <w:tcMar>
              <w:left w:w="60" w:type="dxa"/>
              <w:right w:w="60" w:type="dxa"/>
            </w:tcMar>
            <w:vAlign w:val="bottom"/>
          </w:tcPr>
          <w:p w14:paraId="64020FB1"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3 950</w:t>
            </w:r>
          </w:p>
        </w:tc>
      </w:tr>
      <w:tr w:rsidR="00FD1E19" w14:paraId="224BC167" w14:textId="77777777" w:rsidTr="00BE7E4A">
        <w:trPr>
          <w:trHeight w:hRule="exact" w:val="280"/>
        </w:trPr>
        <w:tc>
          <w:tcPr>
            <w:tcW w:w="5940" w:type="dxa"/>
            <w:tcBorders>
              <w:top w:val="nil"/>
              <w:left w:val="nil"/>
              <w:bottom w:val="single" w:sz="4" w:space="0" w:color="016794"/>
              <w:right w:val="nil"/>
              <w:tl2br w:val="nil"/>
              <w:tr2bl w:val="nil"/>
            </w:tcBorders>
            <w:shd w:val="clear" w:color="auto" w:fill="auto"/>
            <w:tcMar>
              <w:left w:w="60" w:type="dxa"/>
              <w:right w:w="60" w:type="dxa"/>
            </w:tcMar>
            <w:vAlign w:val="bottom"/>
          </w:tcPr>
          <w:p w14:paraId="0C341F0C"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429" w:type="dxa"/>
            <w:tcBorders>
              <w:top w:val="nil"/>
              <w:left w:val="nil"/>
              <w:bottom w:val="single" w:sz="4" w:space="0" w:color="016794"/>
              <w:right w:val="nil"/>
              <w:tl2br w:val="nil"/>
              <w:tr2bl w:val="nil"/>
            </w:tcBorders>
            <w:shd w:val="clear" w:color="auto" w:fill="auto"/>
            <w:tcMar>
              <w:left w:w="60" w:type="dxa"/>
              <w:right w:w="60" w:type="dxa"/>
            </w:tcMar>
            <w:vAlign w:val="bottom"/>
          </w:tcPr>
          <w:p w14:paraId="4697C53C"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123</w:t>
            </w:r>
          </w:p>
        </w:tc>
        <w:tc>
          <w:tcPr>
            <w:tcW w:w="1546" w:type="dxa"/>
            <w:tcBorders>
              <w:top w:val="nil"/>
              <w:left w:val="nil"/>
              <w:bottom w:val="single" w:sz="4" w:space="0" w:color="016794"/>
              <w:right w:val="nil"/>
              <w:tl2br w:val="nil"/>
              <w:tr2bl w:val="nil"/>
            </w:tcBorders>
            <w:shd w:val="clear" w:color="auto" w:fill="auto"/>
            <w:tcMar>
              <w:left w:w="60" w:type="dxa"/>
              <w:right w:w="60" w:type="dxa"/>
            </w:tcMar>
            <w:vAlign w:val="bottom"/>
          </w:tcPr>
          <w:p w14:paraId="47765947"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02B8F43E" w14:textId="77777777" w:rsidTr="00BE7E4A">
        <w:trPr>
          <w:trHeight w:hRule="exact" w:val="280"/>
        </w:trPr>
        <w:tc>
          <w:tcPr>
            <w:tcW w:w="594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4F474045" w14:textId="77777777" w:rsidR="00FD1E19" w:rsidRDefault="00FD1E19" w:rsidP="00BE7E4A">
            <w:pPr>
              <w:pStyle w:val="DMETW36958BIPBS"/>
              <w:rPr>
                <w:rFonts w:ascii="Verdana" w:eastAsia="Verdana" w:hAnsi="Verdana" w:cs="Verdana"/>
                <w:i/>
                <w:noProof/>
                <w:color w:val="000000"/>
                <w:sz w:val="18"/>
              </w:rPr>
            </w:pPr>
          </w:p>
        </w:tc>
        <w:tc>
          <w:tcPr>
            <w:tcW w:w="142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B796537"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 xml:space="preserve"> 3 137</w:t>
            </w:r>
          </w:p>
        </w:tc>
        <w:tc>
          <w:tcPr>
            <w:tcW w:w="154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B2CDA20" w14:textId="77777777" w:rsidR="00FD1E19" w:rsidRDefault="00FD1E19" w:rsidP="00BE7E4A">
            <w:pPr>
              <w:pStyle w:val="DMETW36958BIP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3 950</w:t>
            </w:r>
          </w:p>
        </w:tc>
      </w:tr>
      <w:tr w:rsidR="00FD1E19" w14:paraId="024E9230" w14:textId="77777777" w:rsidTr="00BE7E4A">
        <w:trPr>
          <w:trHeight w:hRule="exact" w:val="280"/>
        </w:trPr>
        <w:tc>
          <w:tcPr>
            <w:tcW w:w="5940" w:type="dxa"/>
            <w:tcBorders>
              <w:top w:val="single" w:sz="4" w:space="0" w:color="016794"/>
              <w:left w:val="nil"/>
              <w:bottom w:val="nil"/>
              <w:right w:val="nil"/>
              <w:tl2br w:val="nil"/>
              <w:tr2bl w:val="nil"/>
            </w:tcBorders>
            <w:shd w:val="clear" w:color="auto" w:fill="auto"/>
            <w:tcMar>
              <w:left w:w="60" w:type="dxa"/>
              <w:right w:w="60" w:type="dxa"/>
            </w:tcMar>
            <w:vAlign w:val="bottom"/>
          </w:tcPr>
          <w:p w14:paraId="0C7E9052" w14:textId="77777777" w:rsidR="00FD1E19" w:rsidRDefault="00FD1E19" w:rsidP="00BE7E4A">
            <w:pPr>
              <w:pStyle w:val="DMETW36958BIPBS"/>
              <w:rPr>
                <w:rFonts w:ascii="Verdana" w:eastAsia="Verdana" w:hAnsi="Verdana" w:cs="Verdana"/>
                <w:b/>
                <w:noProof/>
                <w:color w:val="000000"/>
                <w:sz w:val="18"/>
              </w:rPr>
            </w:pPr>
            <w:r>
              <w:rPr>
                <w:rFonts w:ascii="Verdana" w:eastAsia="Verdana" w:hAnsi="Verdana" w:cs="Verdana"/>
                <w:b/>
                <w:noProof/>
                <w:color w:val="000000"/>
                <w:sz w:val="18"/>
              </w:rPr>
              <w:t>CURRENT ASSETS</w:t>
            </w:r>
          </w:p>
        </w:tc>
        <w:tc>
          <w:tcPr>
            <w:tcW w:w="1429" w:type="dxa"/>
            <w:tcBorders>
              <w:top w:val="single" w:sz="4" w:space="0" w:color="016794"/>
              <w:left w:val="nil"/>
              <w:bottom w:val="nil"/>
              <w:right w:val="nil"/>
              <w:tl2br w:val="nil"/>
              <w:tr2bl w:val="nil"/>
            </w:tcBorders>
            <w:shd w:val="clear" w:color="auto" w:fill="auto"/>
            <w:tcMar>
              <w:left w:w="60" w:type="dxa"/>
              <w:right w:w="60" w:type="dxa"/>
            </w:tcMar>
            <w:vAlign w:val="bottom"/>
          </w:tcPr>
          <w:p w14:paraId="6E734A31" w14:textId="77777777" w:rsidR="00FD1E19" w:rsidRDefault="00FD1E19" w:rsidP="00BE7E4A">
            <w:pPr>
              <w:pStyle w:val="DMETW36958BIPBS"/>
              <w:jc w:val="right"/>
              <w:rPr>
                <w:rFonts w:ascii="Verdana" w:eastAsia="Verdana" w:hAnsi="Verdana" w:cs="Verdana"/>
                <w:b/>
                <w:noProof/>
                <w:color w:val="000000"/>
                <w:sz w:val="18"/>
              </w:rPr>
            </w:pPr>
          </w:p>
        </w:tc>
        <w:tc>
          <w:tcPr>
            <w:tcW w:w="1546" w:type="dxa"/>
            <w:tcBorders>
              <w:top w:val="single" w:sz="4" w:space="0" w:color="016794"/>
              <w:left w:val="nil"/>
              <w:bottom w:val="nil"/>
              <w:right w:val="nil"/>
              <w:tl2br w:val="nil"/>
              <w:tr2bl w:val="nil"/>
            </w:tcBorders>
            <w:shd w:val="clear" w:color="auto" w:fill="auto"/>
            <w:tcMar>
              <w:left w:w="60" w:type="dxa"/>
              <w:right w:w="60" w:type="dxa"/>
            </w:tcMar>
            <w:vAlign w:val="bottom"/>
          </w:tcPr>
          <w:p w14:paraId="57F237AB" w14:textId="77777777" w:rsidR="00FD1E19" w:rsidRDefault="00FD1E19" w:rsidP="00BE7E4A">
            <w:pPr>
              <w:pStyle w:val="DMETW36958BIPBS"/>
              <w:jc w:val="right"/>
              <w:rPr>
                <w:rFonts w:ascii="Verdana" w:eastAsia="Verdana" w:hAnsi="Verdana" w:cs="Verdana"/>
                <w:b/>
                <w:noProof/>
                <w:color w:val="000000"/>
                <w:sz w:val="18"/>
                <w:lang w:bidi="en-GB"/>
              </w:rPr>
            </w:pPr>
          </w:p>
        </w:tc>
      </w:tr>
      <w:tr w:rsidR="00FD1E19" w14:paraId="59AB57BD"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1B4AE09B"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429" w:type="dxa"/>
            <w:tcBorders>
              <w:top w:val="nil"/>
              <w:left w:val="nil"/>
              <w:bottom w:val="nil"/>
              <w:right w:val="nil"/>
              <w:tl2br w:val="nil"/>
              <w:tr2bl w:val="nil"/>
            </w:tcBorders>
            <w:shd w:val="clear" w:color="auto" w:fill="auto"/>
            <w:tcMar>
              <w:left w:w="60" w:type="dxa"/>
              <w:right w:w="60" w:type="dxa"/>
            </w:tcMar>
            <w:vAlign w:val="bottom"/>
          </w:tcPr>
          <w:p w14:paraId="22975163"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24 436</w:t>
            </w:r>
          </w:p>
        </w:tc>
        <w:tc>
          <w:tcPr>
            <w:tcW w:w="1546" w:type="dxa"/>
            <w:tcBorders>
              <w:top w:val="nil"/>
              <w:left w:val="nil"/>
              <w:bottom w:val="nil"/>
              <w:right w:val="nil"/>
              <w:tl2br w:val="nil"/>
              <w:tr2bl w:val="nil"/>
            </w:tcBorders>
            <w:shd w:val="clear" w:color="auto" w:fill="auto"/>
            <w:tcMar>
              <w:left w:w="60" w:type="dxa"/>
              <w:right w:w="60" w:type="dxa"/>
            </w:tcMar>
            <w:vAlign w:val="bottom"/>
          </w:tcPr>
          <w:p w14:paraId="2219FA7D"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131 889</w:t>
            </w:r>
          </w:p>
        </w:tc>
      </w:tr>
      <w:tr w:rsidR="00FD1E19" w14:paraId="77C03490"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1D51CEB2"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Exchange receivables and non-exchange recoverables</w:t>
            </w:r>
          </w:p>
        </w:tc>
        <w:tc>
          <w:tcPr>
            <w:tcW w:w="1429" w:type="dxa"/>
            <w:tcBorders>
              <w:top w:val="nil"/>
              <w:left w:val="nil"/>
              <w:bottom w:val="nil"/>
              <w:right w:val="nil"/>
              <w:tl2br w:val="nil"/>
              <w:tr2bl w:val="nil"/>
            </w:tcBorders>
            <w:shd w:val="clear" w:color="auto" w:fill="auto"/>
            <w:tcMar>
              <w:left w:w="60" w:type="dxa"/>
              <w:right w:w="60" w:type="dxa"/>
            </w:tcMar>
            <w:vAlign w:val="bottom"/>
          </w:tcPr>
          <w:p w14:paraId="66733EC1"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16 651</w:t>
            </w:r>
          </w:p>
        </w:tc>
        <w:tc>
          <w:tcPr>
            <w:tcW w:w="1546" w:type="dxa"/>
            <w:tcBorders>
              <w:top w:val="nil"/>
              <w:left w:val="nil"/>
              <w:bottom w:val="nil"/>
              <w:right w:val="nil"/>
              <w:tl2br w:val="nil"/>
              <w:tr2bl w:val="nil"/>
            </w:tcBorders>
            <w:shd w:val="clear" w:color="auto" w:fill="auto"/>
            <w:tcMar>
              <w:left w:w="60" w:type="dxa"/>
              <w:right w:w="60" w:type="dxa"/>
            </w:tcMar>
            <w:vAlign w:val="bottom"/>
          </w:tcPr>
          <w:p w14:paraId="6E3B65E0"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24 314</w:t>
            </w:r>
          </w:p>
        </w:tc>
      </w:tr>
      <w:tr w:rsidR="00FD1E19" w14:paraId="525D4D6A" w14:textId="77777777" w:rsidTr="00BE7E4A">
        <w:trPr>
          <w:trHeight w:hRule="exact" w:val="280"/>
        </w:trPr>
        <w:tc>
          <w:tcPr>
            <w:tcW w:w="5940" w:type="dxa"/>
            <w:tcBorders>
              <w:top w:val="nil"/>
              <w:left w:val="nil"/>
              <w:bottom w:val="single" w:sz="4" w:space="0" w:color="016794"/>
              <w:right w:val="nil"/>
              <w:tl2br w:val="nil"/>
              <w:tr2bl w:val="nil"/>
            </w:tcBorders>
            <w:shd w:val="clear" w:color="auto" w:fill="auto"/>
            <w:tcMar>
              <w:left w:w="60" w:type="dxa"/>
              <w:right w:w="60" w:type="dxa"/>
            </w:tcMar>
            <w:vAlign w:val="bottom"/>
          </w:tcPr>
          <w:p w14:paraId="23AD71A0"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 xml:space="preserve">Cash and cash equivalents </w:t>
            </w:r>
          </w:p>
        </w:tc>
        <w:tc>
          <w:tcPr>
            <w:tcW w:w="1429" w:type="dxa"/>
            <w:tcBorders>
              <w:top w:val="nil"/>
              <w:left w:val="nil"/>
              <w:bottom w:val="single" w:sz="4" w:space="0" w:color="016794"/>
              <w:right w:val="nil"/>
              <w:tl2br w:val="nil"/>
              <w:tr2bl w:val="nil"/>
            </w:tcBorders>
            <w:shd w:val="clear" w:color="auto" w:fill="auto"/>
            <w:tcMar>
              <w:left w:w="60" w:type="dxa"/>
              <w:right w:w="60" w:type="dxa"/>
            </w:tcMar>
            <w:vAlign w:val="bottom"/>
          </w:tcPr>
          <w:p w14:paraId="4FECBD99"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120 097</w:t>
            </w:r>
          </w:p>
        </w:tc>
        <w:tc>
          <w:tcPr>
            <w:tcW w:w="1546" w:type="dxa"/>
            <w:tcBorders>
              <w:top w:val="nil"/>
              <w:left w:val="nil"/>
              <w:bottom w:val="single" w:sz="4" w:space="0" w:color="016794"/>
              <w:right w:val="nil"/>
              <w:tl2br w:val="nil"/>
              <w:tr2bl w:val="nil"/>
            </w:tcBorders>
            <w:shd w:val="clear" w:color="auto" w:fill="auto"/>
            <w:tcMar>
              <w:left w:w="60" w:type="dxa"/>
              <w:right w:w="60" w:type="dxa"/>
            </w:tcMar>
            <w:vAlign w:val="bottom"/>
          </w:tcPr>
          <w:p w14:paraId="48327272"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187 539</w:t>
            </w:r>
          </w:p>
        </w:tc>
      </w:tr>
      <w:tr w:rsidR="00FD1E19" w14:paraId="36CE6777" w14:textId="77777777" w:rsidTr="00BE7E4A">
        <w:trPr>
          <w:trHeight w:hRule="exact" w:val="280"/>
        </w:trPr>
        <w:tc>
          <w:tcPr>
            <w:tcW w:w="5940" w:type="dxa"/>
            <w:tcBorders>
              <w:top w:val="single" w:sz="4" w:space="0" w:color="016794"/>
              <w:left w:val="nil"/>
              <w:bottom w:val="nil"/>
              <w:right w:val="nil"/>
              <w:tl2br w:val="nil"/>
              <w:tr2bl w:val="nil"/>
            </w:tcBorders>
            <w:shd w:val="clear" w:color="auto" w:fill="auto"/>
            <w:tcMar>
              <w:left w:w="60" w:type="dxa"/>
              <w:right w:w="60" w:type="dxa"/>
            </w:tcMar>
            <w:vAlign w:val="bottom"/>
          </w:tcPr>
          <w:p w14:paraId="606FB8B8" w14:textId="77777777" w:rsidR="00FD1E19" w:rsidRDefault="00FD1E19" w:rsidP="00BE7E4A">
            <w:pPr>
              <w:pStyle w:val="DMETW36958BIPBS"/>
              <w:rPr>
                <w:rFonts w:ascii="Verdana" w:eastAsia="Verdana" w:hAnsi="Verdana" w:cs="Verdana"/>
                <w:i/>
                <w:noProof/>
                <w:color w:val="000000"/>
                <w:sz w:val="18"/>
              </w:rPr>
            </w:pPr>
          </w:p>
        </w:tc>
        <w:tc>
          <w:tcPr>
            <w:tcW w:w="1429" w:type="dxa"/>
            <w:tcBorders>
              <w:top w:val="single" w:sz="4" w:space="0" w:color="016794"/>
              <w:left w:val="nil"/>
              <w:bottom w:val="nil"/>
              <w:right w:val="nil"/>
              <w:tl2br w:val="nil"/>
              <w:tr2bl w:val="nil"/>
            </w:tcBorders>
            <w:shd w:val="clear" w:color="auto" w:fill="auto"/>
            <w:tcMar>
              <w:left w:w="60" w:type="dxa"/>
              <w:right w:w="60" w:type="dxa"/>
            </w:tcMar>
            <w:vAlign w:val="bottom"/>
          </w:tcPr>
          <w:p w14:paraId="390E432F"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 xml:space="preserve"> 161 185</w:t>
            </w:r>
          </w:p>
        </w:tc>
        <w:tc>
          <w:tcPr>
            <w:tcW w:w="1546" w:type="dxa"/>
            <w:tcBorders>
              <w:top w:val="single" w:sz="4" w:space="0" w:color="016794"/>
              <w:left w:val="nil"/>
              <w:bottom w:val="nil"/>
              <w:right w:val="nil"/>
              <w:tl2br w:val="nil"/>
              <w:tr2bl w:val="nil"/>
            </w:tcBorders>
            <w:shd w:val="clear" w:color="auto" w:fill="auto"/>
            <w:tcMar>
              <w:left w:w="60" w:type="dxa"/>
              <w:right w:w="60" w:type="dxa"/>
            </w:tcMar>
            <w:vAlign w:val="bottom"/>
          </w:tcPr>
          <w:p w14:paraId="733441D4" w14:textId="77777777" w:rsidR="00FD1E19" w:rsidRDefault="00FD1E19" w:rsidP="00BE7E4A">
            <w:pPr>
              <w:pStyle w:val="DMETW36958BIP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343 742</w:t>
            </w:r>
          </w:p>
        </w:tc>
      </w:tr>
      <w:tr w:rsidR="00FD1E19" w14:paraId="5E9E3A73" w14:textId="77777777" w:rsidTr="00BE7E4A">
        <w:trPr>
          <w:trHeight w:hRule="exact" w:val="280"/>
        </w:trPr>
        <w:tc>
          <w:tcPr>
            <w:tcW w:w="5940" w:type="dxa"/>
            <w:tcBorders>
              <w:top w:val="nil"/>
              <w:left w:val="nil"/>
              <w:bottom w:val="nil"/>
              <w:right w:val="nil"/>
              <w:tl2br w:val="nil"/>
              <w:tr2bl w:val="nil"/>
            </w:tcBorders>
            <w:shd w:val="solid" w:color="CCE1EA" w:fill="FFFFFF"/>
            <w:tcMar>
              <w:left w:w="60" w:type="dxa"/>
              <w:right w:w="60" w:type="dxa"/>
            </w:tcMar>
            <w:vAlign w:val="bottom"/>
          </w:tcPr>
          <w:p w14:paraId="2764070A" w14:textId="77777777" w:rsidR="00FD1E19" w:rsidRDefault="00FD1E19" w:rsidP="00BE7E4A">
            <w:pPr>
              <w:pStyle w:val="DMETW36958BIPBS"/>
              <w:rPr>
                <w:rFonts w:ascii="Verdana" w:eastAsia="Verdana" w:hAnsi="Verdana" w:cs="Verdana"/>
                <w:b/>
                <w:noProof/>
                <w:color w:val="000000"/>
                <w:sz w:val="18"/>
              </w:rPr>
            </w:pPr>
            <w:r>
              <w:rPr>
                <w:rFonts w:ascii="Verdana" w:eastAsia="Verdana" w:hAnsi="Verdana" w:cs="Verdana"/>
                <w:b/>
                <w:noProof/>
                <w:color w:val="000000"/>
                <w:sz w:val="18"/>
              </w:rPr>
              <w:t>TOTAL ASSETS</w:t>
            </w:r>
          </w:p>
        </w:tc>
        <w:tc>
          <w:tcPr>
            <w:tcW w:w="1429" w:type="dxa"/>
            <w:tcBorders>
              <w:top w:val="nil"/>
              <w:left w:val="nil"/>
              <w:bottom w:val="nil"/>
              <w:right w:val="nil"/>
              <w:tl2br w:val="nil"/>
              <w:tr2bl w:val="nil"/>
            </w:tcBorders>
            <w:shd w:val="solid" w:color="CCE1EA" w:fill="FFFFFF"/>
            <w:tcMar>
              <w:left w:w="60" w:type="dxa"/>
              <w:right w:w="60" w:type="dxa"/>
            </w:tcMar>
            <w:vAlign w:val="bottom"/>
          </w:tcPr>
          <w:p w14:paraId="436ED70F"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 xml:space="preserve"> 164 322</w:t>
            </w:r>
          </w:p>
        </w:tc>
        <w:tc>
          <w:tcPr>
            <w:tcW w:w="1546" w:type="dxa"/>
            <w:tcBorders>
              <w:top w:val="nil"/>
              <w:left w:val="nil"/>
              <w:bottom w:val="nil"/>
              <w:right w:val="nil"/>
              <w:tl2br w:val="nil"/>
              <w:tr2bl w:val="nil"/>
            </w:tcBorders>
            <w:shd w:val="solid" w:color="CCE1EA" w:fill="FFFFFF"/>
            <w:tcMar>
              <w:left w:w="60" w:type="dxa"/>
              <w:right w:w="60" w:type="dxa"/>
            </w:tcMar>
            <w:vAlign w:val="bottom"/>
          </w:tcPr>
          <w:p w14:paraId="0E3D3EC8" w14:textId="77777777" w:rsidR="00FD1E19" w:rsidRDefault="00FD1E19" w:rsidP="00BE7E4A">
            <w:pPr>
              <w:pStyle w:val="DMETW36958BIP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347 691</w:t>
            </w:r>
          </w:p>
        </w:tc>
      </w:tr>
      <w:tr w:rsidR="00FD1E19" w14:paraId="6AA44C69"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773525AA" w14:textId="77777777" w:rsidR="00FD1E19" w:rsidRDefault="00FD1E19" w:rsidP="00BE7E4A">
            <w:pPr>
              <w:pStyle w:val="DMETW36958BIPBS"/>
              <w:rPr>
                <w:rFonts w:cs="Calibri"/>
                <w:noProof/>
                <w:color w:val="000000"/>
                <w:sz w:val="22"/>
              </w:rPr>
            </w:pPr>
          </w:p>
        </w:tc>
        <w:tc>
          <w:tcPr>
            <w:tcW w:w="1429" w:type="dxa"/>
            <w:tcBorders>
              <w:top w:val="nil"/>
              <w:left w:val="nil"/>
              <w:bottom w:val="nil"/>
              <w:right w:val="nil"/>
              <w:tl2br w:val="nil"/>
              <w:tr2bl w:val="nil"/>
            </w:tcBorders>
            <w:shd w:val="clear" w:color="auto" w:fill="auto"/>
            <w:tcMar>
              <w:left w:w="60" w:type="dxa"/>
              <w:right w:w="60" w:type="dxa"/>
            </w:tcMar>
            <w:vAlign w:val="bottom"/>
          </w:tcPr>
          <w:p w14:paraId="4CF2ED6F" w14:textId="77777777" w:rsidR="00FD1E19" w:rsidRDefault="00FD1E19" w:rsidP="00BE7E4A">
            <w:pPr>
              <w:pStyle w:val="DMETW36958BIPBS"/>
              <w:jc w:val="right"/>
              <w:rPr>
                <w:rFonts w:cs="Calibri"/>
                <w:noProof/>
                <w:color w:val="000000"/>
                <w:sz w:val="22"/>
              </w:rPr>
            </w:pPr>
          </w:p>
        </w:tc>
        <w:tc>
          <w:tcPr>
            <w:tcW w:w="1546" w:type="dxa"/>
            <w:tcBorders>
              <w:top w:val="nil"/>
              <w:left w:val="nil"/>
              <w:bottom w:val="nil"/>
              <w:right w:val="nil"/>
              <w:tl2br w:val="nil"/>
              <w:tr2bl w:val="nil"/>
            </w:tcBorders>
            <w:shd w:val="clear" w:color="auto" w:fill="auto"/>
            <w:tcMar>
              <w:left w:w="60" w:type="dxa"/>
              <w:right w:w="60" w:type="dxa"/>
            </w:tcMar>
            <w:vAlign w:val="bottom"/>
          </w:tcPr>
          <w:p w14:paraId="1E8B8CC6" w14:textId="77777777" w:rsidR="00FD1E19" w:rsidRDefault="00FD1E19" w:rsidP="00BE7E4A">
            <w:pPr>
              <w:pStyle w:val="DMETW36958BIPBS"/>
              <w:jc w:val="right"/>
              <w:rPr>
                <w:rFonts w:cs="Calibri"/>
                <w:noProof/>
                <w:color w:val="000000"/>
                <w:sz w:val="22"/>
                <w:lang w:bidi="en-GB"/>
              </w:rPr>
            </w:pPr>
          </w:p>
        </w:tc>
      </w:tr>
      <w:tr w:rsidR="00FD1E19" w14:paraId="05EE9F72"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3C145919" w14:textId="77777777" w:rsidR="00FD1E19" w:rsidRDefault="00FD1E19" w:rsidP="00BE7E4A">
            <w:pPr>
              <w:pStyle w:val="DMETW36958BIPBS"/>
              <w:rPr>
                <w:rFonts w:ascii="Verdana" w:eastAsia="Verdana" w:hAnsi="Verdana" w:cs="Verdana"/>
                <w:b/>
                <w:noProof/>
                <w:color w:val="000000"/>
                <w:sz w:val="18"/>
              </w:rPr>
            </w:pPr>
            <w:r>
              <w:rPr>
                <w:rFonts w:ascii="Verdana" w:eastAsia="Verdana" w:hAnsi="Verdana" w:cs="Verdana"/>
                <w:b/>
                <w:noProof/>
                <w:color w:val="000000"/>
                <w:sz w:val="18"/>
              </w:rPr>
              <w:t>NON-CURRENT LIABILITIES</w:t>
            </w:r>
          </w:p>
        </w:tc>
        <w:tc>
          <w:tcPr>
            <w:tcW w:w="1429" w:type="dxa"/>
            <w:tcBorders>
              <w:top w:val="nil"/>
              <w:left w:val="nil"/>
              <w:bottom w:val="nil"/>
              <w:right w:val="nil"/>
              <w:tl2br w:val="nil"/>
              <w:tr2bl w:val="nil"/>
            </w:tcBorders>
            <w:shd w:val="clear" w:color="auto" w:fill="auto"/>
            <w:tcMar>
              <w:left w:w="60" w:type="dxa"/>
              <w:right w:w="60" w:type="dxa"/>
            </w:tcMar>
            <w:vAlign w:val="bottom"/>
          </w:tcPr>
          <w:p w14:paraId="73AADEB5" w14:textId="77777777" w:rsidR="00FD1E19" w:rsidRDefault="00FD1E19" w:rsidP="00BE7E4A">
            <w:pPr>
              <w:pStyle w:val="DMETW36958BIPBS"/>
              <w:jc w:val="right"/>
              <w:rPr>
                <w:rFonts w:ascii="Verdana" w:eastAsia="Verdana" w:hAnsi="Verdana" w:cs="Verdana"/>
                <w:b/>
                <w:noProof/>
                <w:color w:val="000000"/>
                <w:sz w:val="18"/>
              </w:rPr>
            </w:pPr>
          </w:p>
        </w:tc>
        <w:tc>
          <w:tcPr>
            <w:tcW w:w="1546" w:type="dxa"/>
            <w:tcBorders>
              <w:top w:val="nil"/>
              <w:left w:val="nil"/>
              <w:bottom w:val="nil"/>
              <w:right w:val="nil"/>
              <w:tl2br w:val="nil"/>
              <w:tr2bl w:val="nil"/>
            </w:tcBorders>
            <w:shd w:val="clear" w:color="auto" w:fill="auto"/>
            <w:tcMar>
              <w:left w:w="60" w:type="dxa"/>
              <w:right w:w="60" w:type="dxa"/>
            </w:tcMar>
            <w:vAlign w:val="bottom"/>
          </w:tcPr>
          <w:p w14:paraId="7D2EC2A8" w14:textId="77777777" w:rsidR="00FD1E19" w:rsidRDefault="00FD1E19" w:rsidP="00BE7E4A">
            <w:pPr>
              <w:pStyle w:val="DMETW36958BIPBS"/>
              <w:jc w:val="right"/>
              <w:rPr>
                <w:rFonts w:ascii="Verdana" w:eastAsia="Verdana" w:hAnsi="Verdana" w:cs="Verdana"/>
                <w:b/>
                <w:noProof/>
                <w:color w:val="000000"/>
                <w:sz w:val="18"/>
                <w:lang w:bidi="en-GB"/>
              </w:rPr>
            </w:pPr>
          </w:p>
        </w:tc>
      </w:tr>
      <w:tr w:rsidR="00FD1E19" w14:paraId="74E8CC82" w14:textId="77777777" w:rsidTr="00BE7E4A">
        <w:trPr>
          <w:trHeight w:hRule="exact" w:val="280"/>
        </w:trPr>
        <w:tc>
          <w:tcPr>
            <w:tcW w:w="5940" w:type="dxa"/>
            <w:tcBorders>
              <w:top w:val="nil"/>
              <w:left w:val="nil"/>
              <w:bottom w:val="single" w:sz="4" w:space="0" w:color="016794"/>
              <w:right w:val="nil"/>
              <w:tl2br w:val="nil"/>
              <w:tr2bl w:val="nil"/>
            </w:tcBorders>
            <w:shd w:val="clear" w:color="auto" w:fill="auto"/>
            <w:tcMar>
              <w:left w:w="60" w:type="dxa"/>
              <w:right w:w="60" w:type="dxa"/>
            </w:tcMar>
            <w:vAlign w:val="bottom"/>
          </w:tcPr>
          <w:p w14:paraId="2E6787FF"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Financial liabilities</w:t>
            </w:r>
          </w:p>
        </w:tc>
        <w:tc>
          <w:tcPr>
            <w:tcW w:w="1429" w:type="dxa"/>
            <w:tcBorders>
              <w:top w:val="nil"/>
              <w:left w:val="nil"/>
              <w:bottom w:val="single" w:sz="4" w:space="0" w:color="016794"/>
              <w:right w:val="nil"/>
              <w:tl2br w:val="nil"/>
              <w:tr2bl w:val="nil"/>
            </w:tcBorders>
            <w:shd w:val="clear" w:color="auto" w:fill="auto"/>
            <w:tcMar>
              <w:left w:w="60" w:type="dxa"/>
              <w:right w:w="60" w:type="dxa"/>
            </w:tcMar>
            <w:vAlign w:val="bottom"/>
          </w:tcPr>
          <w:p w14:paraId="54D90239"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(113 103)</w:t>
            </w:r>
          </w:p>
        </w:tc>
        <w:tc>
          <w:tcPr>
            <w:tcW w:w="1546" w:type="dxa"/>
            <w:tcBorders>
              <w:top w:val="nil"/>
              <w:left w:val="nil"/>
              <w:bottom w:val="single" w:sz="4" w:space="0" w:color="016794"/>
              <w:right w:val="nil"/>
              <w:tl2br w:val="nil"/>
              <w:tr2bl w:val="nil"/>
            </w:tcBorders>
            <w:shd w:val="clear" w:color="auto" w:fill="auto"/>
            <w:tcMar>
              <w:left w:w="60" w:type="dxa"/>
              <w:right w:w="60" w:type="dxa"/>
            </w:tcMar>
            <w:vAlign w:val="bottom"/>
          </w:tcPr>
          <w:p w14:paraId="24373494"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(251 339)</w:t>
            </w:r>
          </w:p>
        </w:tc>
      </w:tr>
      <w:tr w:rsidR="00FD1E19" w14:paraId="41B14D00" w14:textId="77777777" w:rsidTr="00BE7E4A">
        <w:trPr>
          <w:trHeight w:hRule="exact" w:val="280"/>
        </w:trPr>
        <w:tc>
          <w:tcPr>
            <w:tcW w:w="594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21FA80A7" w14:textId="77777777" w:rsidR="00FD1E19" w:rsidRDefault="00FD1E19" w:rsidP="00BE7E4A">
            <w:pPr>
              <w:pStyle w:val="DMETW36958BIPBS"/>
              <w:rPr>
                <w:rFonts w:ascii="Verdana" w:eastAsia="Verdana" w:hAnsi="Verdana" w:cs="Verdana"/>
                <w:i/>
                <w:noProof/>
                <w:color w:val="000000"/>
                <w:sz w:val="18"/>
              </w:rPr>
            </w:pPr>
          </w:p>
        </w:tc>
        <w:tc>
          <w:tcPr>
            <w:tcW w:w="1429"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22265006"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 xml:space="preserve"> (113 103)</w:t>
            </w:r>
          </w:p>
        </w:tc>
        <w:tc>
          <w:tcPr>
            <w:tcW w:w="1546"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32D8C95A" w14:textId="77777777" w:rsidR="00FD1E19" w:rsidRDefault="00FD1E19" w:rsidP="00BE7E4A">
            <w:pPr>
              <w:pStyle w:val="DMETW36958BIP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(251 339)</w:t>
            </w:r>
          </w:p>
        </w:tc>
      </w:tr>
      <w:tr w:rsidR="00FD1E19" w14:paraId="25B0F2F6" w14:textId="77777777" w:rsidTr="00BE7E4A">
        <w:trPr>
          <w:trHeight w:hRule="exact" w:val="280"/>
        </w:trPr>
        <w:tc>
          <w:tcPr>
            <w:tcW w:w="5940" w:type="dxa"/>
            <w:tcBorders>
              <w:top w:val="single" w:sz="4" w:space="0" w:color="016794"/>
              <w:left w:val="nil"/>
              <w:bottom w:val="nil"/>
              <w:right w:val="nil"/>
              <w:tl2br w:val="nil"/>
              <w:tr2bl w:val="nil"/>
            </w:tcBorders>
            <w:shd w:val="clear" w:color="auto" w:fill="auto"/>
            <w:tcMar>
              <w:left w:w="60" w:type="dxa"/>
              <w:right w:w="60" w:type="dxa"/>
            </w:tcMar>
            <w:vAlign w:val="bottom"/>
          </w:tcPr>
          <w:p w14:paraId="49E3C188" w14:textId="77777777" w:rsidR="00FD1E19" w:rsidRDefault="00FD1E19" w:rsidP="00BE7E4A">
            <w:pPr>
              <w:pStyle w:val="DMETW36958BIPBS"/>
              <w:rPr>
                <w:rFonts w:ascii="Verdana" w:eastAsia="Verdana" w:hAnsi="Verdana" w:cs="Verdana"/>
                <w:b/>
                <w:noProof/>
                <w:color w:val="000000"/>
                <w:sz w:val="18"/>
              </w:rPr>
            </w:pPr>
            <w:r>
              <w:rPr>
                <w:rFonts w:ascii="Verdana" w:eastAsia="Verdana" w:hAnsi="Verdana" w:cs="Verdana"/>
                <w:b/>
                <w:noProof/>
                <w:color w:val="000000"/>
                <w:sz w:val="18"/>
              </w:rPr>
              <w:t>CURRENT LIABILITIES</w:t>
            </w:r>
          </w:p>
        </w:tc>
        <w:tc>
          <w:tcPr>
            <w:tcW w:w="1429" w:type="dxa"/>
            <w:tcBorders>
              <w:top w:val="single" w:sz="4" w:space="0" w:color="016794"/>
              <w:left w:val="nil"/>
              <w:bottom w:val="nil"/>
              <w:right w:val="nil"/>
              <w:tl2br w:val="nil"/>
              <w:tr2bl w:val="nil"/>
            </w:tcBorders>
            <w:shd w:val="clear" w:color="auto" w:fill="auto"/>
            <w:tcMar>
              <w:left w:w="60" w:type="dxa"/>
              <w:right w:w="60" w:type="dxa"/>
            </w:tcMar>
            <w:vAlign w:val="bottom"/>
          </w:tcPr>
          <w:p w14:paraId="418451A7" w14:textId="77777777" w:rsidR="00FD1E19" w:rsidRDefault="00FD1E19" w:rsidP="00BE7E4A">
            <w:pPr>
              <w:pStyle w:val="DMETW36958BIPBS"/>
              <w:jc w:val="right"/>
              <w:rPr>
                <w:rFonts w:ascii="Verdana" w:eastAsia="Verdana" w:hAnsi="Verdana" w:cs="Verdana"/>
                <w:b/>
                <w:noProof/>
                <w:color w:val="000000"/>
                <w:sz w:val="18"/>
              </w:rPr>
            </w:pPr>
          </w:p>
        </w:tc>
        <w:tc>
          <w:tcPr>
            <w:tcW w:w="1546" w:type="dxa"/>
            <w:tcBorders>
              <w:top w:val="single" w:sz="4" w:space="0" w:color="016794"/>
              <w:left w:val="nil"/>
              <w:bottom w:val="nil"/>
              <w:right w:val="nil"/>
              <w:tl2br w:val="nil"/>
              <w:tr2bl w:val="nil"/>
            </w:tcBorders>
            <w:shd w:val="clear" w:color="auto" w:fill="auto"/>
            <w:tcMar>
              <w:left w:w="60" w:type="dxa"/>
              <w:right w:w="60" w:type="dxa"/>
            </w:tcMar>
            <w:vAlign w:val="bottom"/>
          </w:tcPr>
          <w:p w14:paraId="0C3D45F1" w14:textId="77777777" w:rsidR="00FD1E19" w:rsidRDefault="00FD1E19" w:rsidP="00BE7E4A">
            <w:pPr>
              <w:pStyle w:val="DMETW36958BIPBS"/>
              <w:jc w:val="right"/>
              <w:rPr>
                <w:rFonts w:ascii="Verdana" w:eastAsia="Verdana" w:hAnsi="Verdana" w:cs="Verdana"/>
                <w:b/>
                <w:noProof/>
                <w:color w:val="000000"/>
                <w:sz w:val="18"/>
                <w:lang w:bidi="en-GB"/>
              </w:rPr>
            </w:pPr>
          </w:p>
        </w:tc>
      </w:tr>
      <w:tr w:rsidR="00FD1E19" w14:paraId="570BC8CE"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10659AFE"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 xml:space="preserve">Payables </w:t>
            </w:r>
          </w:p>
        </w:tc>
        <w:tc>
          <w:tcPr>
            <w:tcW w:w="1429" w:type="dxa"/>
            <w:tcBorders>
              <w:top w:val="nil"/>
              <w:left w:val="nil"/>
              <w:bottom w:val="nil"/>
              <w:right w:val="nil"/>
              <w:tl2br w:val="nil"/>
              <w:tr2bl w:val="nil"/>
            </w:tcBorders>
            <w:shd w:val="clear" w:color="auto" w:fill="auto"/>
            <w:tcMar>
              <w:left w:w="60" w:type="dxa"/>
              <w:right w:w="60" w:type="dxa"/>
            </w:tcMar>
            <w:vAlign w:val="bottom"/>
          </w:tcPr>
          <w:p w14:paraId="24F7AAA9"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(14 500)</w:t>
            </w:r>
          </w:p>
        </w:tc>
        <w:tc>
          <w:tcPr>
            <w:tcW w:w="1546" w:type="dxa"/>
            <w:tcBorders>
              <w:top w:val="nil"/>
              <w:left w:val="nil"/>
              <w:bottom w:val="nil"/>
              <w:right w:val="nil"/>
              <w:tl2br w:val="nil"/>
              <w:tr2bl w:val="nil"/>
            </w:tcBorders>
            <w:shd w:val="clear" w:color="auto" w:fill="auto"/>
            <w:tcMar>
              <w:left w:w="60" w:type="dxa"/>
              <w:right w:w="60" w:type="dxa"/>
            </w:tcMar>
            <w:vAlign w:val="bottom"/>
          </w:tcPr>
          <w:p w14:paraId="4C5AEB90"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(13 774)</w:t>
            </w:r>
          </w:p>
        </w:tc>
      </w:tr>
      <w:tr w:rsidR="00FD1E19" w14:paraId="50739102" w14:textId="77777777" w:rsidTr="00BE7E4A">
        <w:trPr>
          <w:trHeight w:hRule="exact" w:val="280"/>
        </w:trPr>
        <w:tc>
          <w:tcPr>
            <w:tcW w:w="5940" w:type="dxa"/>
            <w:tcBorders>
              <w:top w:val="nil"/>
              <w:left w:val="nil"/>
              <w:bottom w:val="single" w:sz="4" w:space="0" w:color="016794"/>
              <w:right w:val="nil"/>
              <w:tl2br w:val="nil"/>
              <w:tr2bl w:val="nil"/>
            </w:tcBorders>
            <w:shd w:val="clear" w:color="auto" w:fill="auto"/>
            <w:tcMar>
              <w:left w:w="60" w:type="dxa"/>
              <w:right w:w="60" w:type="dxa"/>
            </w:tcMar>
            <w:vAlign w:val="bottom"/>
          </w:tcPr>
          <w:p w14:paraId="7A236A56" w14:textId="77777777" w:rsidR="00FD1E19" w:rsidRDefault="00FD1E19" w:rsidP="00BE7E4A">
            <w:pPr>
              <w:pStyle w:val="DMETW36958BIPBS"/>
              <w:rPr>
                <w:rFonts w:ascii="Verdana" w:eastAsia="Verdana" w:hAnsi="Verdana" w:cs="Verdana"/>
                <w:i/>
                <w:noProof/>
                <w:color w:val="000000"/>
                <w:sz w:val="18"/>
              </w:rPr>
            </w:pPr>
            <w:r>
              <w:rPr>
                <w:rFonts w:ascii="Verdana" w:eastAsia="Verdana" w:hAnsi="Verdana" w:cs="Verdana"/>
                <w:i/>
                <w:noProof/>
                <w:color w:val="000000"/>
                <w:sz w:val="18"/>
              </w:rPr>
              <w:t xml:space="preserve">Accrued charges </w:t>
            </w:r>
          </w:p>
        </w:tc>
        <w:tc>
          <w:tcPr>
            <w:tcW w:w="1429" w:type="dxa"/>
            <w:tcBorders>
              <w:top w:val="nil"/>
              <w:left w:val="nil"/>
              <w:bottom w:val="single" w:sz="4" w:space="0" w:color="016794"/>
              <w:right w:val="nil"/>
              <w:tl2br w:val="nil"/>
              <w:tr2bl w:val="nil"/>
            </w:tcBorders>
            <w:shd w:val="clear" w:color="auto" w:fill="auto"/>
            <w:tcMar>
              <w:left w:w="60" w:type="dxa"/>
              <w:right w:w="60" w:type="dxa"/>
            </w:tcMar>
            <w:vAlign w:val="bottom"/>
          </w:tcPr>
          <w:p w14:paraId="3BB36DD6" w14:textId="77777777" w:rsidR="00FD1E19" w:rsidRDefault="00FD1E19" w:rsidP="00BE7E4A">
            <w:pPr>
              <w:pStyle w:val="DMETW36958BIPBS"/>
              <w:jc w:val="right"/>
              <w:rPr>
                <w:rFonts w:ascii="Verdana" w:eastAsia="Verdana" w:hAnsi="Verdana" w:cs="Verdana"/>
                <w:i/>
                <w:noProof/>
                <w:color w:val="000000"/>
                <w:sz w:val="18"/>
              </w:rPr>
            </w:pPr>
            <w:r>
              <w:rPr>
                <w:rFonts w:ascii="Verdana" w:eastAsia="Verdana" w:hAnsi="Verdana" w:cs="Verdana"/>
                <w:i/>
                <w:noProof/>
                <w:color w:val="000000"/>
                <w:sz w:val="18"/>
              </w:rPr>
              <w:t xml:space="preserve"> (36 719)</w:t>
            </w:r>
          </w:p>
        </w:tc>
        <w:tc>
          <w:tcPr>
            <w:tcW w:w="1546" w:type="dxa"/>
            <w:tcBorders>
              <w:top w:val="nil"/>
              <w:left w:val="nil"/>
              <w:bottom w:val="single" w:sz="4" w:space="0" w:color="016794"/>
              <w:right w:val="nil"/>
              <w:tl2br w:val="nil"/>
              <w:tr2bl w:val="nil"/>
            </w:tcBorders>
            <w:shd w:val="clear" w:color="auto" w:fill="auto"/>
            <w:tcMar>
              <w:left w:w="60" w:type="dxa"/>
              <w:right w:w="60" w:type="dxa"/>
            </w:tcMar>
            <w:vAlign w:val="bottom"/>
          </w:tcPr>
          <w:p w14:paraId="6D8989AD" w14:textId="77777777" w:rsidR="00FD1E19" w:rsidRDefault="00FD1E19" w:rsidP="00BE7E4A">
            <w:pPr>
              <w:pStyle w:val="DMETW36958BIP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(82 578)</w:t>
            </w:r>
          </w:p>
        </w:tc>
      </w:tr>
      <w:tr w:rsidR="00FD1E19" w14:paraId="771744BA" w14:textId="77777777" w:rsidTr="00BE7E4A">
        <w:trPr>
          <w:trHeight w:hRule="exact" w:val="280"/>
        </w:trPr>
        <w:tc>
          <w:tcPr>
            <w:tcW w:w="5940" w:type="dxa"/>
            <w:tcBorders>
              <w:top w:val="single" w:sz="4" w:space="0" w:color="016794"/>
              <w:left w:val="nil"/>
              <w:bottom w:val="nil"/>
              <w:right w:val="nil"/>
              <w:tl2br w:val="nil"/>
              <w:tr2bl w:val="nil"/>
            </w:tcBorders>
            <w:shd w:val="clear" w:color="auto" w:fill="auto"/>
            <w:tcMar>
              <w:left w:w="60" w:type="dxa"/>
              <w:right w:w="60" w:type="dxa"/>
            </w:tcMar>
            <w:vAlign w:val="bottom"/>
          </w:tcPr>
          <w:p w14:paraId="7C8EC793" w14:textId="77777777" w:rsidR="00FD1E19" w:rsidRDefault="00FD1E19" w:rsidP="00BE7E4A">
            <w:pPr>
              <w:pStyle w:val="DMETW36958BIPBS"/>
              <w:rPr>
                <w:rFonts w:ascii="Verdana" w:eastAsia="Verdana" w:hAnsi="Verdana" w:cs="Verdana"/>
                <w:i/>
                <w:noProof/>
                <w:color w:val="000000"/>
                <w:sz w:val="18"/>
              </w:rPr>
            </w:pPr>
          </w:p>
        </w:tc>
        <w:tc>
          <w:tcPr>
            <w:tcW w:w="1429" w:type="dxa"/>
            <w:tcBorders>
              <w:top w:val="single" w:sz="4" w:space="0" w:color="016794"/>
              <w:left w:val="nil"/>
              <w:bottom w:val="nil"/>
              <w:right w:val="nil"/>
              <w:tl2br w:val="nil"/>
              <w:tr2bl w:val="nil"/>
            </w:tcBorders>
            <w:shd w:val="clear" w:color="auto" w:fill="auto"/>
            <w:tcMar>
              <w:left w:w="60" w:type="dxa"/>
              <w:right w:w="60" w:type="dxa"/>
            </w:tcMar>
            <w:vAlign w:val="bottom"/>
          </w:tcPr>
          <w:p w14:paraId="0C8B480B"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 xml:space="preserve"> (51 219)</w:t>
            </w:r>
          </w:p>
        </w:tc>
        <w:tc>
          <w:tcPr>
            <w:tcW w:w="1546" w:type="dxa"/>
            <w:tcBorders>
              <w:top w:val="single" w:sz="4" w:space="0" w:color="016794"/>
              <w:left w:val="nil"/>
              <w:bottom w:val="nil"/>
              <w:right w:val="nil"/>
              <w:tl2br w:val="nil"/>
              <w:tr2bl w:val="nil"/>
            </w:tcBorders>
            <w:shd w:val="clear" w:color="auto" w:fill="auto"/>
            <w:tcMar>
              <w:left w:w="60" w:type="dxa"/>
              <w:right w:w="60" w:type="dxa"/>
            </w:tcMar>
            <w:vAlign w:val="bottom"/>
          </w:tcPr>
          <w:p w14:paraId="5657885D" w14:textId="77777777" w:rsidR="00FD1E19" w:rsidRDefault="00FD1E19" w:rsidP="00BE7E4A">
            <w:pPr>
              <w:pStyle w:val="DMETW36958BIP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(96 352)</w:t>
            </w:r>
          </w:p>
        </w:tc>
      </w:tr>
      <w:tr w:rsidR="00FD1E19" w14:paraId="3BB8234F" w14:textId="77777777" w:rsidTr="00BE7E4A">
        <w:trPr>
          <w:trHeight w:hRule="exact" w:val="280"/>
        </w:trPr>
        <w:tc>
          <w:tcPr>
            <w:tcW w:w="5940" w:type="dxa"/>
            <w:tcBorders>
              <w:top w:val="nil"/>
              <w:left w:val="nil"/>
              <w:bottom w:val="nil"/>
              <w:right w:val="nil"/>
              <w:tl2br w:val="nil"/>
              <w:tr2bl w:val="nil"/>
            </w:tcBorders>
            <w:shd w:val="solid" w:color="CCE1EA" w:fill="FFFFFF"/>
            <w:tcMar>
              <w:left w:w="60" w:type="dxa"/>
              <w:right w:w="60" w:type="dxa"/>
            </w:tcMar>
            <w:vAlign w:val="bottom"/>
          </w:tcPr>
          <w:p w14:paraId="52B497D1" w14:textId="77777777" w:rsidR="00FD1E19" w:rsidRDefault="00FD1E19" w:rsidP="00BE7E4A">
            <w:pPr>
              <w:pStyle w:val="DMETW36958BIPBS"/>
              <w:rPr>
                <w:rFonts w:ascii="Verdana" w:eastAsia="Verdana" w:hAnsi="Verdana" w:cs="Verdana"/>
                <w:b/>
                <w:noProof/>
                <w:color w:val="000000"/>
                <w:sz w:val="18"/>
              </w:rPr>
            </w:pPr>
            <w:r>
              <w:rPr>
                <w:rFonts w:ascii="Verdana" w:eastAsia="Verdana" w:hAnsi="Verdana" w:cs="Verdana"/>
                <w:b/>
                <w:noProof/>
                <w:color w:val="000000"/>
                <w:sz w:val="18"/>
              </w:rPr>
              <w:t>TOTAL LIABILITIES</w:t>
            </w:r>
          </w:p>
        </w:tc>
        <w:tc>
          <w:tcPr>
            <w:tcW w:w="1429" w:type="dxa"/>
            <w:tcBorders>
              <w:top w:val="nil"/>
              <w:left w:val="nil"/>
              <w:bottom w:val="nil"/>
              <w:right w:val="nil"/>
              <w:tl2br w:val="nil"/>
              <w:tr2bl w:val="nil"/>
            </w:tcBorders>
            <w:shd w:val="solid" w:color="CCE1EA" w:fill="FFFFFF"/>
            <w:tcMar>
              <w:left w:w="60" w:type="dxa"/>
              <w:right w:w="60" w:type="dxa"/>
            </w:tcMar>
            <w:vAlign w:val="bottom"/>
          </w:tcPr>
          <w:p w14:paraId="75311DB1"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 xml:space="preserve"> (164 322)</w:t>
            </w:r>
          </w:p>
        </w:tc>
        <w:tc>
          <w:tcPr>
            <w:tcW w:w="1546" w:type="dxa"/>
            <w:tcBorders>
              <w:top w:val="nil"/>
              <w:left w:val="nil"/>
              <w:bottom w:val="nil"/>
              <w:right w:val="nil"/>
              <w:tl2br w:val="nil"/>
              <w:tr2bl w:val="nil"/>
            </w:tcBorders>
            <w:shd w:val="solid" w:color="CCE1EA" w:fill="FFFFFF"/>
            <w:tcMar>
              <w:left w:w="60" w:type="dxa"/>
              <w:right w:w="60" w:type="dxa"/>
            </w:tcMar>
            <w:vAlign w:val="bottom"/>
          </w:tcPr>
          <w:p w14:paraId="784CF74C" w14:textId="77777777" w:rsidR="00FD1E19" w:rsidRDefault="00FD1E19" w:rsidP="00BE7E4A">
            <w:pPr>
              <w:pStyle w:val="DMETW36958BIP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(347 691)</w:t>
            </w:r>
          </w:p>
        </w:tc>
      </w:tr>
      <w:tr w:rsidR="00FD1E19" w14:paraId="4909F0DA" w14:textId="77777777" w:rsidTr="00BE7E4A">
        <w:trPr>
          <w:trHeight w:hRule="exact" w:val="280"/>
        </w:trPr>
        <w:tc>
          <w:tcPr>
            <w:tcW w:w="5940" w:type="dxa"/>
            <w:tcBorders>
              <w:top w:val="nil"/>
              <w:left w:val="nil"/>
              <w:bottom w:val="nil"/>
              <w:right w:val="nil"/>
              <w:tl2br w:val="nil"/>
              <w:tr2bl w:val="nil"/>
            </w:tcBorders>
            <w:shd w:val="clear" w:color="auto" w:fill="auto"/>
            <w:tcMar>
              <w:left w:w="60" w:type="dxa"/>
              <w:right w:w="60" w:type="dxa"/>
            </w:tcMar>
            <w:vAlign w:val="bottom"/>
          </w:tcPr>
          <w:p w14:paraId="222F5B8D" w14:textId="77777777" w:rsidR="00FD1E19" w:rsidRDefault="00FD1E19" w:rsidP="00BE7E4A">
            <w:pPr>
              <w:pStyle w:val="DMETW36958BIPBS"/>
              <w:rPr>
                <w:rFonts w:ascii="Verdana" w:eastAsia="Verdana" w:hAnsi="Verdana" w:cs="Verdana"/>
                <w:i/>
                <w:noProof/>
                <w:color w:val="000000"/>
                <w:sz w:val="18"/>
              </w:rPr>
            </w:pPr>
          </w:p>
        </w:tc>
        <w:tc>
          <w:tcPr>
            <w:tcW w:w="1429" w:type="dxa"/>
            <w:tcBorders>
              <w:top w:val="nil"/>
              <w:left w:val="nil"/>
              <w:bottom w:val="nil"/>
              <w:right w:val="nil"/>
              <w:tl2br w:val="nil"/>
              <w:tr2bl w:val="nil"/>
            </w:tcBorders>
            <w:shd w:val="clear" w:color="auto" w:fill="auto"/>
            <w:tcMar>
              <w:left w:w="60" w:type="dxa"/>
              <w:right w:w="60" w:type="dxa"/>
            </w:tcMar>
            <w:vAlign w:val="bottom"/>
          </w:tcPr>
          <w:p w14:paraId="0DD7FF80" w14:textId="77777777" w:rsidR="00FD1E19" w:rsidRDefault="00FD1E19" w:rsidP="00BE7E4A">
            <w:pPr>
              <w:pStyle w:val="DMETW36958BIPBS"/>
              <w:jc w:val="right"/>
              <w:rPr>
                <w:rFonts w:ascii="Verdana" w:eastAsia="Verdana" w:hAnsi="Verdana" w:cs="Verdana"/>
                <w:i/>
                <w:noProof/>
                <w:color w:val="000000"/>
                <w:sz w:val="18"/>
              </w:rPr>
            </w:pPr>
          </w:p>
        </w:tc>
        <w:tc>
          <w:tcPr>
            <w:tcW w:w="1546" w:type="dxa"/>
            <w:tcBorders>
              <w:top w:val="nil"/>
              <w:left w:val="nil"/>
              <w:bottom w:val="nil"/>
              <w:right w:val="nil"/>
              <w:tl2br w:val="nil"/>
              <w:tr2bl w:val="nil"/>
            </w:tcBorders>
            <w:shd w:val="clear" w:color="auto" w:fill="auto"/>
            <w:tcMar>
              <w:left w:w="60" w:type="dxa"/>
              <w:right w:w="60" w:type="dxa"/>
            </w:tcMar>
            <w:vAlign w:val="bottom"/>
          </w:tcPr>
          <w:p w14:paraId="32718BB8" w14:textId="77777777" w:rsidR="00FD1E19" w:rsidRDefault="00FD1E19" w:rsidP="00BE7E4A">
            <w:pPr>
              <w:pStyle w:val="DMETW36958BIPBS"/>
              <w:jc w:val="right"/>
              <w:rPr>
                <w:rFonts w:ascii="Verdana" w:eastAsia="Verdana" w:hAnsi="Verdana" w:cs="Verdana"/>
                <w:i/>
                <w:noProof/>
                <w:color w:val="000000"/>
                <w:sz w:val="18"/>
                <w:lang w:bidi="en-GB"/>
              </w:rPr>
            </w:pPr>
          </w:p>
        </w:tc>
      </w:tr>
      <w:tr w:rsidR="00FD1E19" w14:paraId="3DFB2E1B" w14:textId="77777777" w:rsidTr="00BE7E4A">
        <w:trPr>
          <w:trHeight w:hRule="exact" w:val="300"/>
        </w:trPr>
        <w:tc>
          <w:tcPr>
            <w:tcW w:w="5940" w:type="dxa"/>
            <w:tcBorders>
              <w:top w:val="nil"/>
              <w:left w:val="nil"/>
              <w:bottom w:val="nil"/>
              <w:right w:val="nil"/>
              <w:tl2br w:val="nil"/>
              <w:tr2bl w:val="nil"/>
            </w:tcBorders>
            <w:shd w:val="solid" w:color="CCE1EA" w:fill="FFFFFF"/>
            <w:tcMar>
              <w:left w:w="60" w:type="dxa"/>
              <w:right w:w="60" w:type="dxa"/>
            </w:tcMar>
            <w:vAlign w:val="bottom"/>
          </w:tcPr>
          <w:p w14:paraId="1D69C153" w14:textId="77777777" w:rsidR="00FD1E19" w:rsidRDefault="00FD1E19" w:rsidP="00BE7E4A">
            <w:pPr>
              <w:pStyle w:val="DMETW36958BIP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1429" w:type="dxa"/>
            <w:tcBorders>
              <w:top w:val="nil"/>
              <w:left w:val="nil"/>
              <w:bottom w:val="nil"/>
              <w:right w:val="nil"/>
              <w:tl2br w:val="nil"/>
              <w:tr2bl w:val="nil"/>
            </w:tcBorders>
            <w:shd w:val="solid" w:color="CCE1EA" w:fill="FFFFFF"/>
            <w:tcMar>
              <w:left w:w="60" w:type="dxa"/>
              <w:right w:w="60" w:type="dxa"/>
            </w:tcMar>
            <w:vAlign w:val="bottom"/>
          </w:tcPr>
          <w:p w14:paraId="7D2A56BB"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546" w:type="dxa"/>
            <w:tcBorders>
              <w:top w:val="nil"/>
              <w:left w:val="nil"/>
              <w:bottom w:val="nil"/>
              <w:right w:val="nil"/>
              <w:tl2br w:val="nil"/>
              <w:tr2bl w:val="nil"/>
            </w:tcBorders>
            <w:shd w:val="solid" w:color="CCE1EA" w:fill="FFFFFF"/>
            <w:tcMar>
              <w:left w:w="60" w:type="dxa"/>
              <w:right w:w="60" w:type="dxa"/>
            </w:tcMar>
            <w:vAlign w:val="bottom"/>
          </w:tcPr>
          <w:p w14:paraId="5C4E2C02" w14:textId="77777777" w:rsidR="00FD1E19" w:rsidRDefault="00FD1E19" w:rsidP="00BE7E4A">
            <w:pPr>
              <w:pStyle w:val="DMETW36958BIPBS"/>
              <w:jc w:val="right"/>
              <w:rPr>
                <w:rFonts w:ascii="Verdana" w:eastAsia="Verdana" w:hAnsi="Verdana" w:cs="Verdana"/>
                <w:b/>
                <w:noProof/>
                <w:color w:val="000000"/>
                <w:sz w:val="18"/>
              </w:rPr>
            </w:pPr>
            <w:r>
              <w:rPr>
                <w:rFonts w:ascii="Verdana" w:eastAsia="Verdana" w:hAnsi="Verdana" w:cs="Verdana"/>
                <w:b/>
                <w:noProof/>
                <w:color w:val="000000"/>
                <w:sz w:val="18"/>
              </w:rPr>
              <w:t>–</w:t>
            </w:r>
          </w:p>
        </w:tc>
      </w:tr>
    </w:tbl>
    <w:p w14:paraId="6824926E" w14:textId="77777777" w:rsidR="00FD1E19" w:rsidRDefault="00FD1E19" w:rsidP="00FD1E19">
      <w:pPr>
        <w:pStyle w:val="HEADERTITLE1"/>
      </w:pPr>
    </w:p>
    <w:p w14:paraId="5E1270E2" w14:textId="77777777" w:rsidR="00FD1E19" w:rsidRDefault="00FD1E19" w:rsidP="00FD1E19">
      <w:pPr>
        <w:pStyle w:val="HEADERTITLE1"/>
        <w:sectPr w:rsidR="00FD1E19" w:rsidSect="00FD1E19">
          <w:headerReference w:type="default" r:id="rId122"/>
          <w:footerReference w:type="default" r:id="rId123"/>
          <w:pgSz w:w="11906" w:h="16838" w:code="9"/>
          <w:pgMar w:top="1134" w:right="1134" w:bottom="1134" w:left="1134" w:header="709" w:footer="709" w:gutter="0"/>
          <w:cols w:space="708"/>
          <w:docGrid w:linePitch="360"/>
        </w:sectPr>
      </w:pPr>
    </w:p>
    <w:p w14:paraId="04816FAA" w14:textId="77777777" w:rsidR="00FD1E19" w:rsidRDefault="00FD1E19" w:rsidP="00FD1E19">
      <w:pPr>
        <w:pStyle w:val="HEADERTITLE1"/>
      </w:pPr>
      <w:bookmarkStart w:id="161" w:name="_Toc232609792"/>
      <w:r w:rsidRPr="001C257B">
        <w:t>STATEMENT OF FINANCIAL PERFORMANCE</w:t>
      </w:r>
      <w:bookmarkEnd w:id="1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49"/>
        <w:gridCol w:w="1873"/>
        <w:gridCol w:w="1736"/>
      </w:tblGrid>
      <w:tr w:rsidR="00FD1E19" w14:paraId="1822C876" w14:textId="77777777" w:rsidTr="00BE7E4A">
        <w:trPr>
          <w:trHeight w:val="255"/>
        </w:trPr>
        <w:tc>
          <w:tcPr>
            <w:tcW w:w="5623" w:type="dxa"/>
            <w:tcBorders>
              <w:top w:val="nil"/>
              <w:left w:val="nil"/>
              <w:bottom w:val="nil"/>
              <w:right w:val="nil"/>
              <w:tl2br w:val="nil"/>
              <w:tr2bl w:val="nil"/>
            </w:tcBorders>
            <w:shd w:val="clear" w:color="auto" w:fill="auto"/>
            <w:tcMar>
              <w:left w:w="60" w:type="dxa"/>
              <w:right w:w="60" w:type="dxa"/>
            </w:tcMar>
            <w:vAlign w:val="bottom"/>
          </w:tcPr>
          <w:p w14:paraId="74A56CE6" w14:textId="77777777" w:rsidR="00FD1E19" w:rsidRDefault="00FD1E19" w:rsidP="00BE7E4A">
            <w:pPr>
              <w:pStyle w:val="DMETW36958BIPFP"/>
              <w:rPr>
                <w:rFonts w:ascii="Verdana" w:eastAsia="Verdana" w:hAnsi="Verdana" w:cs="Verdana"/>
                <w:noProof/>
                <w:color w:val="000000"/>
                <w:lang w:bidi="en-GB"/>
              </w:rPr>
            </w:pPr>
            <w:bookmarkStart w:id="162" w:name="DOC_TBL00055_1_1"/>
            <w:bookmarkEnd w:id="162"/>
          </w:p>
        </w:tc>
        <w:tc>
          <w:tcPr>
            <w:tcW w:w="1713" w:type="dxa"/>
            <w:tcBorders>
              <w:top w:val="nil"/>
              <w:left w:val="nil"/>
              <w:bottom w:val="nil"/>
              <w:right w:val="nil"/>
              <w:tl2br w:val="nil"/>
              <w:tr2bl w:val="nil"/>
            </w:tcBorders>
            <w:shd w:val="clear" w:color="auto" w:fill="auto"/>
            <w:tcMar>
              <w:left w:w="60" w:type="dxa"/>
              <w:right w:w="60" w:type="dxa"/>
            </w:tcMar>
            <w:vAlign w:val="bottom"/>
          </w:tcPr>
          <w:p w14:paraId="094FB0D7" w14:textId="77777777" w:rsidR="00FD1E19" w:rsidRDefault="00FD1E19" w:rsidP="00BE7E4A">
            <w:pPr>
              <w:pStyle w:val="DMETW36958BIPFP"/>
              <w:jc w:val="right"/>
              <w:rPr>
                <w:rFonts w:ascii="Verdana" w:eastAsia="Verdana" w:hAnsi="Verdana" w:cs="Verdana"/>
                <w:noProof/>
                <w:color w:val="000000"/>
              </w:rPr>
            </w:pPr>
          </w:p>
        </w:tc>
        <w:tc>
          <w:tcPr>
            <w:tcW w:w="1588" w:type="dxa"/>
            <w:tcBorders>
              <w:top w:val="nil"/>
              <w:left w:val="nil"/>
              <w:bottom w:val="nil"/>
              <w:right w:val="nil"/>
              <w:tl2br w:val="nil"/>
              <w:tr2bl w:val="nil"/>
            </w:tcBorders>
            <w:shd w:val="clear" w:color="auto" w:fill="auto"/>
            <w:tcMar>
              <w:left w:w="60" w:type="dxa"/>
              <w:right w:w="60" w:type="dxa"/>
            </w:tcMar>
            <w:vAlign w:val="bottom"/>
          </w:tcPr>
          <w:p w14:paraId="513FD031" w14:textId="77777777" w:rsidR="00FD1E19" w:rsidRDefault="00FD1E19" w:rsidP="00BE7E4A">
            <w:pPr>
              <w:pStyle w:val="DMETW36958BIPFP"/>
              <w:jc w:val="right"/>
              <w:rPr>
                <w:rFonts w:ascii="Verdana" w:eastAsia="Verdana" w:hAnsi="Verdana" w:cs="Verdana"/>
                <w:i/>
                <w:noProof/>
                <w:color w:val="000000"/>
                <w:sz w:val="16"/>
                <w:lang w:bidi="en-GB"/>
              </w:rPr>
            </w:pPr>
            <w:r>
              <w:rPr>
                <w:rFonts w:ascii="Verdana" w:eastAsia="Verdana" w:hAnsi="Verdana" w:cs="Verdana"/>
                <w:i/>
                <w:noProof/>
                <w:color w:val="000000"/>
                <w:sz w:val="16"/>
              </w:rPr>
              <w:t>EUR '000</w:t>
            </w:r>
          </w:p>
        </w:tc>
      </w:tr>
      <w:tr w:rsidR="00FD1E19" w14:paraId="1249F02C" w14:textId="77777777" w:rsidTr="00BE7E4A">
        <w:trPr>
          <w:trHeight w:val="255"/>
        </w:trPr>
        <w:tc>
          <w:tcPr>
            <w:tcW w:w="5623" w:type="dxa"/>
            <w:tcBorders>
              <w:top w:val="nil"/>
              <w:left w:val="nil"/>
              <w:bottom w:val="nil"/>
              <w:right w:val="nil"/>
              <w:tl2br w:val="nil"/>
              <w:tr2bl w:val="nil"/>
            </w:tcBorders>
            <w:shd w:val="solid" w:color="016794" w:fill="FFFFFF"/>
            <w:tcMar>
              <w:left w:w="60" w:type="dxa"/>
              <w:right w:w="60" w:type="dxa"/>
            </w:tcMar>
            <w:vAlign w:val="bottom"/>
          </w:tcPr>
          <w:p w14:paraId="0971167C" w14:textId="77777777" w:rsidR="00FD1E19" w:rsidRDefault="00FD1E19" w:rsidP="00BE7E4A">
            <w:pPr>
              <w:pStyle w:val="DMETW36958BIPFP"/>
              <w:rPr>
                <w:rFonts w:ascii="Verdana" w:eastAsia="Verdana" w:hAnsi="Verdana" w:cs="Verdana"/>
                <w:noProof/>
                <w:color w:val="FFFFFF"/>
              </w:rPr>
            </w:pPr>
          </w:p>
        </w:tc>
        <w:tc>
          <w:tcPr>
            <w:tcW w:w="1713" w:type="dxa"/>
            <w:tcBorders>
              <w:top w:val="nil"/>
              <w:left w:val="nil"/>
              <w:bottom w:val="nil"/>
              <w:right w:val="nil"/>
              <w:tl2br w:val="nil"/>
              <w:tr2bl w:val="nil"/>
            </w:tcBorders>
            <w:shd w:val="solid" w:color="016794" w:fill="FFFFFF"/>
            <w:tcMar>
              <w:left w:w="60" w:type="dxa"/>
              <w:right w:w="60" w:type="dxa"/>
            </w:tcMar>
            <w:vAlign w:val="bottom"/>
          </w:tcPr>
          <w:p w14:paraId="52784EB0" w14:textId="77777777" w:rsidR="00FD1E19" w:rsidRDefault="00FD1E19" w:rsidP="00BE7E4A">
            <w:pPr>
              <w:pStyle w:val="DMETW36958BIPFP"/>
              <w:jc w:val="right"/>
              <w:rPr>
                <w:rFonts w:ascii="Verdana" w:eastAsia="Verdana" w:hAnsi="Verdana" w:cs="Verdana"/>
                <w:noProof/>
                <w:color w:val="FFFFFF"/>
              </w:rPr>
            </w:pPr>
            <w:r>
              <w:rPr>
                <w:rFonts w:ascii="Verdana" w:eastAsia="Verdana" w:hAnsi="Verdana" w:cs="Verdana"/>
                <w:noProof/>
                <w:color w:val="FFFFFF"/>
              </w:rPr>
              <w:t>2025</w:t>
            </w:r>
          </w:p>
        </w:tc>
        <w:tc>
          <w:tcPr>
            <w:tcW w:w="1588" w:type="dxa"/>
            <w:tcBorders>
              <w:top w:val="nil"/>
              <w:left w:val="nil"/>
              <w:bottom w:val="nil"/>
              <w:right w:val="nil"/>
              <w:tl2br w:val="nil"/>
              <w:tr2bl w:val="nil"/>
            </w:tcBorders>
            <w:shd w:val="solid" w:color="016794" w:fill="FFFFFF"/>
            <w:tcMar>
              <w:left w:w="60" w:type="dxa"/>
              <w:right w:w="60" w:type="dxa"/>
            </w:tcMar>
            <w:vAlign w:val="bottom"/>
          </w:tcPr>
          <w:p w14:paraId="6C6FA641" w14:textId="77777777" w:rsidR="00FD1E19" w:rsidRDefault="00FD1E19" w:rsidP="00BE7E4A">
            <w:pPr>
              <w:pStyle w:val="DMETW36958BIPFP"/>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4CEB3C93" w14:textId="77777777" w:rsidTr="00BE7E4A">
        <w:trPr>
          <w:trHeight w:val="255"/>
        </w:trPr>
        <w:tc>
          <w:tcPr>
            <w:tcW w:w="5623" w:type="dxa"/>
            <w:tcBorders>
              <w:top w:val="nil"/>
              <w:left w:val="nil"/>
              <w:bottom w:val="nil"/>
              <w:right w:val="nil"/>
              <w:tl2br w:val="nil"/>
              <w:tr2bl w:val="nil"/>
            </w:tcBorders>
            <w:shd w:val="clear" w:color="auto" w:fill="auto"/>
            <w:tcMar>
              <w:left w:w="60" w:type="dxa"/>
              <w:right w:w="60" w:type="dxa"/>
            </w:tcMar>
            <w:vAlign w:val="bottom"/>
          </w:tcPr>
          <w:p w14:paraId="398F7278" w14:textId="77777777" w:rsidR="00FD1E19" w:rsidRDefault="00FD1E19" w:rsidP="00BE7E4A">
            <w:pPr>
              <w:pStyle w:val="DMETW36958BIPFP"/>
              <w:rPr>
                <w:rFonts w:ascii="Verdana" w:eastAsia="Verdana" w:hAnsi="Verdana" w:cs="Verdana"/>
                <w:b/>
                <w:noProof/>
                <w:color w:val="000000"/>
                <w:sz w:val="18"/>
              </w:rPr>
            </w:pPr>
            <w:r>
              <w:rPr>
                <w:rFonts w:ascii="Verdana" w:eastAsia="Verdana" w:hAnsi="Verdana" w:cs="Verdana"/>
                <w:b/>
                <w:noProof/>
                <w:color w:val="000000"/>
                <w:sz w:val="18"/>
              </w:rPr>
              <w:t>REVENUE</w:t>
            </w:r>
          </w:p>
        </w:tc>
        <w:tc>
          <w:tcPr>
            <w:tcW w:w="1713" w:type="dxa"/>
            <w:tcBorders>
              <w:top w:val="nil"/>
              <w:left w:val="nil"/>
              <w:bottom w:val="nil"/>
              <w:right w:val="nil"/>
              <w:tl2br w:val="nil"/>
              <w:tr2bl w:val="nil"/>
            </w:tcBorders>
            <w:shd w:val="clear" w:color="auto" w:fill="auto"/>
            <w:tcMar>
              <w:left w:w="60" w:type="dxa"/>
              <w:right w:w="60" w:type="dxa"/>
            </w:tcMar>
            <w:vAlign w:val="bottom"/>
          </w:tcPr>
          <w:p w14:paraId="4F273F0F" w14:textId="77777777" w:rsidR="00FD1E19" w:rsidRDefault="00FD1E19" w:rsidP="00BE7E4A">
            <w:pPr>
              <w:pStyle w:val="DMETW36958BIPFP"/>
              <w:jc w:val="right"/>
              <w:rPr>
                <w:rFonts w:ascii="Verdana" w:eastAsia="Verdana" w:hAnsi="Verdana" w:cs="Verdana"/>
                <w:b/>
                <w:noProof/>
                <w:color w:val="000000"/>
                <w:sz w:val="18"/>
              </w:rPr>
            </w:pPr>
          </w:p>
        </w:tc>
        <w:tc>
          <w:tcPr>
            <w:tcW w:w="1588" w:type="dxa"/>
            <w:tcBorders>
              <w:top w:val="nil"/>
              <w:left w:val="nil"/>
              <w:bottom w:val="nil"/>
              <w:right w:val="nil"/>
              <w:tl2br w:val="nil"/>
              <w:tr2bl w:val="nil"/>
            </w:tcBorders>
            <w:shd w:val="clear" w:color="auto" w:fill="auto"/>
            <w:tcMar>
              <w:left w:w="60" w:type="dxa"/>
              <w:right w:w="60" w:type="dxa"/>
            </w:tcMar>
            <w:vAlign w:val="bottom"/>
          </w:tcPr>
          <w:p w14:paraId="2FAAF7A5" w14:textId="77777777" w:rsidR="00FD1E19" w:rsidRDefault="00FD1E19" w:rsidP="00BE7E4A">
            <w:pPr>
              <w:pStyle w:val="DMETW36958BIPFP"/>
              <w:jc w:val="right"/>
              <w:rPr>
                <w:rFonts w:ascii="Verdana" w:eastAsia="Verdana" w:hAnsi="Verdana" w:cs="Verdana"/>
                <w:b/>
                <w:noProof/>
                <w:color w:val="000000"/>
                <w:sz w:val="18"/>
                <w:lang w:bidi="en-GB"/>
              </w:rPr>
            </w:pPr>
          </w:p>
        </w:tc>
      </w:tr>
      <w:tr w:rsidR="00FD1E19" w14:paraId="4B7B6921" w14:textId="77777777" w:rsidTr="00BE7E4A">
        <w:trPr>
          <w:trHeight w:val="255"/>
        </w:trPr>
        <w:tc>
          <w:tcPr>
            <w:tcW w:w="5623" w:type="dxa"/>
            <w:tcBorders>
              <w:top w:val="nil"/>
              <w:left w:val="nil"/>
              <w:bottom w:val="nil"/>
              <w:right w:val="nil"/>
              <w:tl2br w:val="nil"/>
              <w:tr2bl w:val="nil"/>
            </w:tcBorders>
            <w:shd w:val="clear" w:color="auto" w:fill="auto"/>
            <w:tcMar>
              <w:left w:w="60" w:type="dxa"/>
              <w:right w:w="60" w:type="dxa"/>
            </w:tcMar>
            <w:vAlign w:val="bottom"/>
          </w:tcPr>
          <w:p w14:paraId="777F9FC0" w14:textId="77777777" w:rsidR="00FD1E19" w:rsidRDefault="00FD1E19" w:rsidP="00BE7E4A">
            <w:pPr>
              <w:pStyle w:val="DMETW36958BIPFP"/>
              <w:rPr>
                <w:rFonts w:ascii="Verdana" w:eastAsia="Verdana" w:hAnsi="Verdana" w:cs="Verdana"/>
                <w:b/>
                <w:noProof/>
                <w:color w:val="000000"/>
                <w:sz w:val="18"/>
              </w:rPr>
            </w:pPr>
            <w:r>
              <w:rPr>
                <w:rFonts w:ascii="Verdana" w:eastAsia="Verdana" w:hAnsi="Verdana" w:cs="Verdana"/>
                <w:b/>
                <w:noProof/>
                <w:color w:val="000000"/>
                <w:sz w:val="18"/>
              </w:rPr>
              <w:t>Revenue from non-exchange transactions</w:t>
            </w:r>
          </w:p>
        </w:tc>
        <w:tc>
          <w:tcPr>
            <w:tcW w:w="1713" w:type="dxa"/>
            <w:tcBorders>
              <w:top w:val="nil"/>
              <w:left w:val="nil"/>
              <w:bottom w:val="nil"/>
              <w:right w:val="nil"/>
              <w:tl2br w:val="nil"/>
              <w:tr2bl w:val="nil"/>
            </w:tcBorders>
            <w:shd w:val="clear" w:color="auto" w:fill="auto"/>
            <w:tcMar>
              <w:left w:w="60" w:type="dxa"/>
              <w:right w:w="60" w:type="dxa"/>
            </w:tcMar>
            <w:vAlign w:val="bottom"/>
          </w:tcPr>
          <w:p w14:paraId="76208C79" w14:textId="77777777" w:rsidR="00FD1E19" w:rsidRDefault="00FD1E19" w:rsidP="00BE7E4A">
            <w:pPr>
              <w:pStyle w:val="DMETW36958BIPFP"/>
              <w:jc w:val="right"/>
              <w:rPr>
                <w:rFonts w:ascii="Verdana" w:eastAsia="Verdana" w:hAnsi="Verdana" w:cs="Verdana"/>
                <w:b/>
                <w:noProof/>
                <w:color w:val="000000"/>
                <w:sz w:val="18"/>
              </w:rPr>
            </w:pPr>
          </w:p>
        </w:tc>
        <w:tc>
          <w:tcPr>
            <w:tcW w:w="1588" w:type="dxa"/>
            <w:tcBorders>
              <w:top w:val="nil"/>
              <w:left w:val="nil"/>
              <w:bottom w:val="nil"/>
              <w:right w:val="nil"/>
              <w:tl2br w:val="nil"/>
              <w:tr2bl w:val="nil"/>
            </w:tcBorders>
            <w:shd w:val="clear" w:color="auto" w:fill="auto"/>
            <w:tcMar>
              <w:left w:w="60" w:type="dxa"/>
              <w:right w:w="60" w:type="dxa"/>
            </w:tcMar>
            <w:vAlign w:val="bottom"/>
          </w:tcPr>
          <w:p w14:paraId="59B9E462" w14:textId="77777777" w:rsidR="00FD1E19" w:rsidRDefault="00FD1E19" w:rsidP="00BE7E4A">
            <w:pPr>
              <w:pStyle w:val="DMETW36958BIPFP"/>
              <w:jc w:val="right"/>
              <w:rPr>
                <w:rFonts w:ascii="Verdana" w:eastAsia="Verdana" w:hAnsi="Verdana" w:cs="Verdana"/>
                <w:b/>
                <w:noProof/>
                <w:color w:val="000000"/>
                <w:sz w:val="18"/>
                <w:lang w:bidi="en-GB"/>
              </w:rPr>
            </w:pPr>
          </w:p>
        </w:tc>
      </w:tr>
      <w:tr w:rsidR="00FD1E19" w14:paraId="6B474C83" w14:textId="77777777" w:rsidTr="00BE7E4A">
        <w:trPr>
          <w:trHeight w:val="255"/>
        </w:trPr>
        <w:tc>
          <w:tcPr>
            <w:tcW w:w="5623" w:type="dxa"/>
            <w:tcBorders>
              <w:top w:val="nil"/>
              <w:left w:val="nil"/>
              <w:bottom w:val="nil"/>
              <w:right w:val="nil"/>
              <w:tl2br w:val="nil"/>
              <w:tr2bl w:val="nil"/>
            </w:tcBorders>
            <w:shd w:val="clear" w:color="auto" w:fill="auto"/>
            <w:tcMar>
              <w:left w:w="60" w:type="dxa"/>
              <w:right w:w="60" w:type="dxa"/>
            </w:tcMar>
            <w:vAlign w:val="bottom"/>
          </w:tcPr>
          <w:p w14:paraId="587CF58C" w14:textId="77777777" w:rsidR="00FD1E19" w:rsidRDefault="00FD1E19" w:rsidP="00BE7E4A">
            <w:pPr>
              <w:pStyle w:val="DMETW36958BIPFP"/>
              <w:rPr>
                <w:rFonts w:ascii="Verdana" w:eastAsia="Verdana" w:hAnsi="Verdana" w:cs="Verdana"/>
                <w:i/>
                <w:noProof/>
                <w:color w:val="000000"/>
                <w:sz w:val="18"/>
              </w:rPr>
            </w:pPr>
            <w:r>
              <w:rPr>
                <w:rFonts w:ascii="Verdana" w:eastAsia="Verdana" w:hAnsi="Verdana" w:cs="Verdana"/>
                <w:i/>
                <w:noProof/>
                <w:color w:val="000000"/>
                <w:sz w:val="18"/>
              </w:rPr>
              <w:t>Revenue from donations</w:t>
            </w:r>
          </w:p>
        </w:tc>
        <w:tc>
          <w:tcPr>
            <w:tcW w:w="1713" w:type="dxa"/>
            <w:tcBorders>
              <w:top w:val="nil"/>
              <w:left w:val="nil"/>
              <w:bottom w:val="nil"/>
              <w:right w:val="nil"/>
              <w:tl2br w:val="nil"/>
              <w:tr2bl w:val="nil"/>
            </w:tcBorders>
            <w:shd w:val="clear" w:color="auto" w:fill="auto"/>
            <w:tcMar>
              <w:left w:w="60" w:type="dxa"/>
              <w:right w:w="60" w:type="dxa"/>
            </w:tcMar>
            <w:vAlign w:val="bottom"/>
          </w:tcPr>
          <w:p w14:paraId="4CE4DE8A" w14:textId="77777777" w:rsidR="00FD1E19" w:rsidRDefault="00FD1E19" w:rsidP="00BE7E4A">
            <w:pPr>
              <w:pStyle w:val="DMETW36958BIPFP"/>
              <w:jc w:val="right"/>
              <w:rPr>
                <w:rFonts w:ascii="Verdana" w:eastAsia="Verdana" w:hAnsi="Verdana" w:cs="Verdana"/>
                <w:i/>
                <w:noProof/>
                <w:color w:val="000000"/>
                <w:sz w:val="18"/>
              </w:rPr>
            </w:pPr>
            <w:r>
              <w:rPr>
                <w:rFonts w:ascii="Verdana" w:eastAsia="Verdana" w:hAnsi="Verdana" w:cs="Verdana"/>
                <w:i/>
                <w:noProof/>
                <w:color w:val="000000"/>
                <w:sz w:val="18"/>
              </w:rPr>
              <w:t xml:space="preserve"> 138 236</w:t>
            </w:r>
          </w:p>
        </w:tc>
        <w:tc>
          <w:tcPr>
            <w:tcW w:w="1588" w:type="dxa"/>
            <w:tcBorders>
              <w:top w:val="nil"/>
              <w:left w:val="nil"/>
              <w:bottom w:val="nil"/>
              <w:right w:val="nil"/>
              <w:tl2br w:val="nil"/>
              <w:tr2bl w:val="nil"/>
            </w:tcBorders>
            <w:shd w:val="clear" w:color="auto" w:fill="auto"/>
            <w:tcMar>
              <w:left w:w="60" w:type="dxa"/>
              <w:right w:w="60" w:type="dxa"/>
            </w:tcMar>
            <w:vAlign w:val="bottom"/>
          </w:tcPr>
          <w:p w14:paraId="033A3671" w14:textId="77777777" w:rsidR="00FD1E19" w:rsidRDefault="00FD1E19" w:rsidP="00BE7E4A">
            <w:pPr>
              <w:pStyle w:val="DMETW36958BIP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169 603</w:t>
            </w:r>
          </w:p>
        </w:tc>
      </w:tr>
      <w:tr w:rsidR="00FD1E19" w14:paraId="2E144F47" w14:textId="77777777" w:rsidTr="00BE7E4A">
        <w:trPr>
          <w:trHeight w:val="255"/>
        </w:trPr>
        <w:tc>
          <w:tcPr>
            <w:tcW w:w="5623" w:type="dxa"/>
            <w:tcBorders>
              <w:top w:val="nil"/>
              <w:left w:val="nil"/>
              <w:bottom w:val="single" w:sz="4" w:space="0" w:color="016794"/>
              <w:right w:val="nil"/>
              <w:tl2br w:val="nil"/>
              <w:tr2bl w:val="nil"/>
            </w:tcBorders>
            <w:shd w:val="clear" w:color="auto" w:fill="auto"/>
            <w:tcMar>
              <w:left w:w="60" w:type="dxa"/>
              <w:right w:w="60" w:type="dxa"/>
            </w:tcMar>
            <w:vAlign w:val="bottom"/>
          </w:tcPr>
          <w:p w14:paraId="294F3807" w14:textId="77777777" w:rsidR="00FD1E19" w:rsidRDefault="00FD1E19" w:rsidP="00BE7E4A">
            <w:pPr>
              <w:pStyle w:val="DMETW36958BIPFP"/>
              <w:rPr>
                <w:rFonts w:ascii="Verdana" w:eastAsia="Verdana" w:hAnsi="Verdana" w:cs="Verdana"/>
                <w:i/>
                <w:noProof/>
                <w:color w:val="000000"/>
                <w:sz w:val="18"/>
              </w:rPr>
            </w:pPr>
            <w:r>
              <w:rPr>
                <w:rFonts w:ascii="Verdana" w:eastAsia="Verdana" w:hAnsi="Verdana" w:cs="Verdana"/>
                <w:i/>
                <w:noProof/>
                <w:color w:val="000000"/>
                <w:sz w:val="18"/>
              </w:rPr>
              <w:t>Recovery of expenses</w:t>
            </w:r>
          </w:p>
        </w:tc>
        <w:tc>
          <w:tcPr>
            <w:tcW w:w="1713" w:type="dxa"/>
            <w:tcBorders>
              <w:top w:val="nil"/>
              <w:left w:val="nil"/>
              <w:bottom w:val="single" w:sz="4" w:space="0" w:color="016794"/>
              <w:right w:val="nil"/>
              <w:tl2br w:val="nil"/>
              <w:tr2bl w:val="nil"/>
            </w:tcBorders>
            <w:shd w:val="clear" w:color="auto" w:fill="auto"/>
            <w:tcMar>
              <w:left w:w="60" w:type="dxa"/>
              <w:right w:w="60" w:type="dxa"/>
            </w:tcMar>
            <w:vAlign w:val="bottom"/>
          </w:tcPr>
          <w:p w14:paraId="5F252774" w14:textId="77777777" w:rsidR="00FD1E19" w:rsidRDefault="00FD1E19" w:rsidP="00BE7E4A">
            <w:pPr>
              <w:pStyle w:val="DMETW36958BIPFP"/>
              <w:jc w:val="right"/>
              <w:rPr>
                <w:rFonts w:ascii="Verdana" w:eastAsia="Verdana" w:hAnsi="Verdana" w:cs="Verdana"/>
                <w:i/>
                <w:noProof/>
                <w:color w:val="000000"/>
                <w:sz w:val="18"/>
              </w:rPr>
            </w:pPr>
            <w:r>
              <w:rPr>
                <w:rFonts w:ascii="Verdana" w:eastAsia="Verdana" w:hAnsi="Verdana" w:cs="Verdana"/>
                <w:i/>
                <w:noProof/>
                <w:color w:val="000000"/>
                <w:sz w:val="18"/>
              </w:rPr>
              <w:t xml:space="preserve">  532</w:t>
            </w:r>
          </w:p>
        </w:tc>
        <w:tc>
          <w:tcPr>
            <w:tcW w:w="1588" w:type="dxa"/>
            <w:tcBorders>
              <w:top w:val="nil"/>
              <w:left w:val="nil"/>
              <w:bottom w:val="single" w:sz="4" w:space="0" w:color="016794"/>
              <w:right w:val="nil"/>
              <w:tl2br w:val="nil"/>
              <w:tr2bl w:val="nil"/>
            </w:tcBorders>
            <w:shd w:val="clear" w:color="auto" w:fill="auto"/>
            <w:tcMar>
              <w:left w:w="60" w:type="dxa"/>
              <w:right w:w="60" w:type="dxa"/>
            </w:tcMar>
            <w:vAlign w:val="bottom"/>
          </w:tcPr>
          <w:p w14:paraId="2F676ED9" w14:textId="77777777" w:rsidR="00FD1E19" w:rsidRDefault="00FD1E19" w:rsidP="00BE7E4A">
            <w:pPr>
              <w:pStyle w:val="DMETW36958BIP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245</w:t>
            </w:r>
          </w:p>
        </w:tc>
      </w:tr>
      <w:tr w:rsidR="00FD1E19" w14:paraId="1B42108E" w14:textId="77777777" w:rsidTr="00BE7E4A">
        <w:trPr>
          <w:trHeight w:val="255"/>
        </w:trPr>
        <w:tc>
          <w:tcPr>
            <w:tcW w:w="562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5C322577" w14:textId="77777777" w:rsidR="00FD1E19" w:rsidRDefault="00FD1E19" w:rsidP="00BE7E4A">
            <w:pPr>
              <w:pStyle w:val="DMETW36958BIPFP"/>
              <w:rPr>
                <w:rFonts w:ascii="Verdana" w:eastAsia="Verdana" w:hAnsi="Verdana" w:cs="Verdana"/>
                <w:b/>
                <w:noProof/>
                <w:color w:val="000000"/>
                <w:sz w:val="18"/>
              </w:rPr>
            </w:pPr>
          </w:p>
        </w:tc>
        <w:tc>
          <w:tcPr>
            <w:tcW w:w="17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AD43BCC" w14:textId="77777777" w:rsidR="00FD1E19" w:rsidRDefault="00FD1E19" w:rsidP="00BE7E4A">
            <w:pPr>
              <w:pStyle w:val="DMETW36958BIPFP"/>
              <w:jc w:val="right"/>
              <w:rPr>
                <w:rFonts w:ascii="Verdana" w:eastAsia="Verdana" w:hAnsi="Verdana" w:cs="Verdana"/>
                <w:b/>
                <w:noProof/>
                <w:color w:val="000000"/>
                <w:sz w:val="18"/>
              </w:rPr>
            </w:pPr>
            <w:r>
              <w:rPr>
                <w:rFonts w:ascii="Verdana" w:eastAsia="Verdana" w:hAnsi="Verdana" w:cs="Verdana"/>
                <w:b/>
                <w:noProof/>
                <w:color w:val="000000"/>
                <w:sz w:val="18"/>
              </w:rPr>
              <w:t xml:space="preserve"> 138 768</w:t>
            </w:r>
          </w:p>
        </w:tc>
        <w:tc>
          <w:tcPr>
            <w:tcW w:w="158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B06B45D" w14:textId="77777777" w:rsidR="00FD1E19" w:rsidRDefault="00FD1E19" w:rsidP="00BE7E4A">
            <w:pPr>
              <w:pStyle w:val="DMETW36958BIPFP"/>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169 848</w:t>
            </w:r>
          </w:p>
        </w:tc>
      </w:tr>
      <w:tr w:rsidR="00FD1E19" w14:paraId="79F08326" w14:textId="77777777" w:rsidTr="00BE7E4A">
        <w:trPr>
          <w:trHeight w:val="255"/>
        </w:trPr>
        <w:tc>
          <w:tcPr>
            <w:tcW w:w="5623" w:type="dxa"/>
            <w:tcBorders>
              <w:top w:val="single" w:sz="4" w:space="0" w:color="016794"/>
              <w:left w:val="nil"/>
              <w:bottom w:val="nil"/>
              <w:right w:val="nil"/>
              <w:tl2br w:val="nil"/>
              <w:tr2bl w:val="nil"/>
            </w:tcBorders>
            <w:shd w:val="clear" w:color="auto" w:fill="auto"/>
            <w:tcMar>
              <w:left w:w="60" w:type="dxa"/>
              <w:right w:w="60" w:type="dxa"/>
            </w:tcMar>
            <w:vAlign w:val="bottom"/>
          </w:tcPr>
          <w:p w14:paraId="5081D6F9" w14:textId="77777777" w:rsidR="00FD1E19" w:rsidRDefault="00FD1E19" w:rsidP="00BE7E4A">
            <w:pPr>
              <w:pStyle w:val="DMETW36958BIPFP"/>
              <w:rPr>
                <w:rFonts w:ascii="Verdana" w:eastAsia="Verdana" w:hAnsi="Verdana" w:cs="Verdana"/>
                <w:b/>
                <w:noProof/>
                <w:color w:val="000000"/>
                <w:sz w:val="18"/>
              </w:rPr>
            </w:pPr>
            <w:r>
              <w:rPr>
                <w:rFonts w:ascii="Verdana" w:eastAsia="Verdana" w:hAnsi="Verdana" w:cs="Verdana"/>
                <w:b/>
                <w:noProof/>
                <w:color w:val="000000"/>
                <w:sz w:val="18"/>
              </w:rPr>
              <w:t>Revenue from exchange transactions</w:t>
            </w:r>
          </w:p>
        </w:tc>
        <w:tc>
          <w:tcPr>
            <w:tcW w:w="1713" w:type="dxa"/>
            <w:tcBorders>
              <w:top w:val="single" w:sz="4" w:space="0" w:color="016794"/>
              <w:left w:val="nil"/>
              <w:bottom w:val="nil"/>
              <w:right w:val="nil"/>
              <w:tl2br w:val="nil"/>
              <w:tr2bl w:val="nil"/>
            </w:tcBorders>
            <w:shd w:val="clear" w:color="auto" w:fill="auto"/>
            <w:tcMar>
              <w:left w:w="60" w:type="dxa"/>
              <w:right w:w="60" w:type="dxa"/>
            </w:tcMar>
            <w:vAlign w:val="bottom"/>
          </w:tcPr>
          <w:p w14:paraId="202101EC" w14:textId="77777777" w:rsidR="00FD1E19" w:rsidRDefault="00FD1E19" w:rsidP="00BE7E4A">
            <w:pPr>
              <w:pStyle w:val="DMETW36958BIPFP"/>
              <w:jc w:val="right"/>
              <w:rPr>
                <w:rFonts w:ascii="Verdana" w:eastAsia="Verdana" w:hAnsi="Verdana" w:cs="Verdana"/>
                <w:b/>
                <w:noProof/>
                <w:color w:val="000000"/>
                <w:sz w:val="18"/>
              </w:rPr>
            </w:pPr>
          </w:p>
        </w:tc>
        <w:tc>
          <w:tcPr>
            <w:tcW w:w="1588" w:type="dxa"/>
            <w:tcBorders>
              <w:top w:val="single" w:sz="4" w:space="0" w:color="016794"/>
              <w:left w:val="nil"/>
              <w:bottom w:val="nil"/>
              <w:right w:val="nil"/>
              <w:tl2br w:val="nil"/>
              <w:tr2bl w:val="nil"/>
            </w:tcBorders>
            <w:shd w:val="clear" w:color="auto" w:fill="auto"/>
            <w:tcMar>
              <w:left w:w="60" w:type="dxa"/>
              <w:right w:w="60" w:type="dxa"/>
            </w:tcMar>
            <w:vAlign w:val="bottom"/>
          </w:tcPr>
          <w:p w14:paraId="2D53910E" w14:textId="77777777" w:rsidR="00FD1E19" w:rsidRDefault="00FD1E19" w:rsidP="00BE7E4A">
            <w:pPr>
              <w:pStyle w:val="DMETW36958BIPFP"/>
              <w:jc w:val="right"/>
              <w:rPr>
                <w:rFonts w:ascii="Verdana" w:eastAsia="Verdana" w:hAnsi="Verdana" w:cs="Verdana"/>
                <w:b/>
                <w:noProof/>
                <w:color w:val="000000"/>
                <w:sz w:val="18"/>
                <w:lang w:bidi="en-GB"/>
              </w:rPr>
            </w:pPr>
          </w:p>
        </w:tc>
      </w:tr>
      <w:tr w:rsidR="00FD1E19" w14:paraId="15890047" w14:textId="77777777" w:rsidTr="00BE7E4A">
        <w:trPr>
          <w:trHeight w:val="255"/>
        </w:trPr>
        <w:tc>
          <w:tcPr>
            <w:tcW w:w="5623" w:type="dxa"/>
            <w:tcBorders>
              <w:top w:val="nil"/>
              <w:left w:val="nil"/>
              <w:bottom w:val="nil"/>
              <w:right w:val="nil"/>
              <w:tl2br w:val="nil"/>
              <w:tr2bl w:val="nil"/>
            </w:tcBorders>
            <w:shd w:val="clear" w:color="auto" w:fill="auto"/>
            <w:tcMar>
              <w:left w:w="60" w:type="dxa"/>
              <w:right w:w="60" w:type="dxa"/>
            </w:tcMar>
            <w:vAlign w:val="bottom"/>
          </w:tcPr>
          <w:p w14:paraId="1AE44A6F" w14:textId="77777777" w:rsidR="00FD1E19" w:rsidRDefault="00FD1E19" w:rsidP="00BE7E4A">
            <w:pPr>
              <w:pStyle w:val="DMETW36958BIPFP"/>
              <w:rPr>
                <w:rFonts w:ascii="Verdana" w:eastAsia="Verdana" w:hAnsi="Verdana" w:cs="Verdana"/>
                <w:i/>
                <w:noProof/>
                <w:color w:val="000000"/>
                <w:sz w:val="18"/>
              </w:rPr>
            </w:pPr>
            <w:r>
              <w:rPr>
                <w:rFonts w:ascii="Verdana" w:eastAsia="Verdana" w:hAnsi="Verdana" w:cs="Verdana"/>
                <w:i/>
                <w:noProof/>
                <w:color w:val="000000"/>
                <w:sz w:val="18"/>
              </w:rPr>
              <w:t>Financial revenue</w:t>
            </w:r>
          </w:p>
        </w:tc>
        <w:tc>
          <w:tcPr>
            <w:tcW w:w="1713" w:type="dxa"/>
            <w:tcBorders>
              <w:top w:val="nil"/>
              <w:left w:val="nil"/>
              <w:bottom w:val="nil"/>
              <w:right w:val="nil"/>
              <w:tl2br w:val="nil"/>
              <w:tr2bl w:val="nil"/>
            </w:tcBorders>
            <w:shd w:val="clear" w:color="auto" w:fill="auto"/>
            <w:tcMar>
              <w:left w:w="60" w:type="dxa"/>
              <w:right w:w="60" w:type="dxa"/>
            </w:tcMar>
            <w:vAlign w:val="bottom"/>
          </w:tcPr>
          <w:p w14:paraId="43084117" w14:textId="77777777" w:rsidR="00FD1E19" w:rsidRDefault="00FD1E19" w:rsidP="00BE7E4A">
            <w:pPr>
              <w:pStyle w:val="DMETW36958BIPFP"/>
              <w:jc w:val="right"/>
              <w:rPr>
                <w:rFonts w:ascii="Verdana" w:eastAsia="Verdana" w:hAnsi="Verdana" w:cs="Verdana"/>
                <w:i/>
                <w:noProof/>
                <w:color w:val="000000"/>
                <w:sz w:val="18"/>
              </w:rPr>
            </w:pPr>
            <w:r>
              <w:rPr>
                <w:rFonts w:ascii="Verdana" w:eastAsia="Verdana" w:hAnsi="Verdana" w:cs="Verdana"/>
                <w:i/>
                <w:noProof/>
                <w:color w:val="000000"/>
                <w:sz w:val="18"/>
              </w:rPr>
              <w:t xml:space="preserve"> 3 087</w:t>
            </w:r>
          </w:p>
        </w:tc>
        <w:tc>
          <w:tcPr>
            <w:tcW w:w="1588" w:type="dxa"/>
            <w:tcBorders>
              <w:top w:val="nil"/>
              <w:left w:val="nil"/>
              <w:bottom w:val="nil"/>
              <w:right w:val="nil"/>
              <w:tl2br w:val="nil"/>
              <w:tr2bl w:val="nil"/>
            </w:tcBorders>
            <w:shd w:val="clear" w:color="auto" w:fill="auto"/>
            <w:tcMar>
              <w:left w:w="60" w:type="dxa"/>
              <w:right w:w="60" w:type="dxa"/>
            </w:tcMar>
            <w:vAlign w:val="bottom"/>
          </w:tcPr>
          <w:p w14:paraId="2EB5F51C" w14:textId="77777777" w:rsidR="00FD1E19" w:rsidRDefault="00FD1E19" w:rsidP="00BE7E4A">
            <w:pPr>
              <w:pStyle w:val="DMETW36958BIP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6 690</w:t>
            </w:r>
          </w:p>
        </w:tc>
      </w:tr>
      <w:tr w:rsidR="00FD1E19" w14:paraId="5C851E91" w14:textId="77777777" w:rsidTr="00BE7E4A">
        <w:trPr>
          <w:trHeight w:val="255"/>
        </w:trPr>
        <w:tc>
          <w:tcPr>
            <w:tcW w:w="5623" w:type="dxa"/>
            <w:tcBorders>
              <w:top w:val="nil"/>
              <w:left w:val="nil"/>
              <w:bottom w:val="single" w:sz="4" w:space="0" w:color="016794"/>
              <w:right w:val="nil"/>
              <w:tl2br w:val="nil"/>
              <w:tr2bl w:val="nil"/>
            </w:tcBorders>
            <w:shd w:val="clear" w:color="auto" w:fill="auto"/>
            <w:tcMar>
              <w:left w:w="60" w:type="dxa"/>
              <w:right w:w="60" w:type="dxa"/>
            </w:tcMar>
            <w:vAlign w:val="bottom"/>
          </w:tcPr>
          <w:p w14:paraId="43DC53BF" w14:textId="77777777" w:rsidR="00FD1E19" w:rsidRDefault="00FD1E19" w:rsidP="00BE7E4A">
            <w:pPr>
              <w:pStyle w:val="DMETW36958BIPFP"/>
              <w:rPr>
                <w:rFonts w:ascii="Verdana" w:eastAsia="Verdana" w:hAnsi="Verdana" w:cs="Verdana"/>
                <w:i/>
                <w:noProof/>
                <w:color w:val="000000"/>
                <w:sz w:val="18"/>
              </w:rPr>
            </w:pPr>
            <w:r>
              <w:rPr>
                <w:rFonts w:ascii="Verdana" w:eastAsia="Verdana" w:hAnsi="Verdana" w:cs="Verdana"/>
                <w:i/>
                <w:noProof/>
                <w:color w:val="000000"/>
                <w:sz w:val="18"/>
              </w:rPr>
              <w:t>Other exchange revenue</w:t>
            </w:r>
          </w:p>
        </w:tc>
        <w:tc>
          <w:tcPr>
            <w:tcW w:w="1713" w:type="dxa"/>
            <w:tcBorders>
              <w:top w:val="nil"/>
              <w:left w:val="nil"/>
              <w:bottom w:val="single" w:sz="4" w:space="0" w:color="016794"/>
              <w:right w:val="nil"/>
              <w:tl2br w:val="nil"/>
              <w:tr2bl w:val="nil"/>
            </w:tcBorders>
            <w:shd w:val="clear" w:color="auto" w:fill="auto"/>
            <w:tcMar>
              <w:left w:w="60" w:type="dxa"/>
              <w:right w:w="60" w:type="dxa"/>
            </w:tcMar>
            <w:vAlign w:val="bottom"/>
          </w:tcPr>
          <w:p w14:paraId="7685A9D0" w14:textId="77777777" w:rsidR="00FD1E19" w:rsidRDefault="00FD1E19" w:rsidP="00BE7E4A">
            <w:pPr>
              <w:pStyle w:val="DMETW36958BIPFP"/>
              <w:jc w:val="right"/>
              <w:rPr>
                <w:rFonts w:ascii="Verdana" w:eastAsia="Verdana" w:hAnsi="Verdana" w:cs="Verdana"/>
                <w:i/>
                <w:noProof/>
                <w:color w:val="000000"/>
                <w:sz w:val="18"/>
              </w:rPr>
            </w:pPr>
            <w:r>
              <w:rPr>
                <w:rFonts w:ascii="Verdana" w:eastAsia="Verdana" w:hAnsi="Verdana" w:cs="Verdana"/>
                <w:i/>
                <w:noProof/>
                <w:color w:val="000000"/>
                <w:sz w:val="18"/>
              </w:rPr>
              <w:t xml:space="preserve"> 10 546</w:t>
            </w:r>
          </w:p>
        </w:tc>
        <w:tc>
          <w:tcPr>
            <w:tcW w:w="1588" w:type="dxa"/>
            <w:tcBorders>
              <w:top w:val="nil"/>
              <w:left w:val="nil"/>
              <w:bottom w:val="single" w:sz="4" w:space="0" w:color="016794"/>
              <w:right w:val="nil"/>
              <w:tl2br w:val="nil"/>
              <w:tr2bl w:val="nil"/>
            </w:tcBorders>
            <w:shd w:val="clear" w:color="auto" w:fill="auto"/>
            <w:tcMar>
              <w:left w:w="60" w:type="dxa"/>
              <w:right w:w="60" w:type="dxa"/>
            </w:tcMar>
            <w:vAlign w:val="bottom"/>
          </w:tcPr>
          <w:p w14:paraId="00D09231" w14:textId="77777777" w:rsidR="00FD1E19" w:rsidRDefault="00FD1E19" w:rsidP="00BE7E4A">
            <w:pPr>
              <w:pStyle w:val="DMETW36958BIP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13 551</w:t>
            </w:r>
          </w:p>
        </w:tc>
      </w:tr>
      <w:tr w:rsidR="00FD1E19" w14:paraId="46ED996E" w14:textId="77777777" w:rsidTr="00BE7E4A">
        <w:trPr>
          <w:trHeight w:val="255"/>
        </w:trPr>
        <w:tc>
          <w:tcPr>
            <w:tcW w:w="562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79F2866D" w14:textId="77777777" w:rsidR="00FD1E19" w:rsidRDefault="00FD1E19" w:rsidP="00BE7E4A">
            <w:pPr>
              <w:pStyle w:val="DMETW36958BIPFP"/>
              <w:rPr>
                <w:rFonts w:ascii="Verdana" w:eastAsia="Verdana" w:hAnsi="Verdana" w:cs="Verdana"/>
                <w:i/>
                <w:noProof/>
                <w:color w:val="000000"/>
                <w:sz w:val="18"/>
              </w:rPr>
            </w:pPr>
          </w:p>
        </w:tc>
        <w:tc>
          <w:tcPr>
            <w:tcW w:w="17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681C0286" w14:textId="77777777" w:rsidR="00FD1E19" w:rsidRDefault="00FD1E19" w:rsidP="00BE7E4A">
            <w:pPr>
              <w:pStyle w:val="DMETW36958BIPFP"/>
              <w:jc w:val="right"/>
              <w:rPr>
                <w:rFonts w:ascii="Verdana" w:eastAsia="Verdana" w:hAnsi="Verdana" w:cs="Verdana"/>
                <w:b/>
                <w:noProof/>
                <w:color w:val="000000"/>
                <w:sz w:val="18"/>
              </w:rPr>
            </w:pPr>
            <w:r>
              <w:rPr>
                <w:rFonts w:ascii="Verdana" w:eastAsia="Verdana" w:hAnsi="Verdana" w:cs="Verdana"/>
                <w:b/>
                <w:noProof/>
                <w:color w:val="000000"/>
                <w:sz w:val="18"/>
              </w:rPr>
              <w:t xml:space="preserve"> 13 634</w:t>
            </w:r>
          </w:p>
        </w:tc>
        <w:tc>
          <w:tcPr>
            <w:tcW w:w="158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1599C37F" w14:textId="77777777" w:rsidR="00FD1E19" w:rsidRDefault="00FD1E19" w:rsidP="00BE7E4A">
            <w:pPr>
              <w:pStyle w:val="DMETW36958BIPFP"/>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20 240</w:t>
            </w:r>
          </w:p>
        </w:tc>
      </w:tr>
      <w:tr w:rsidR="00FD1E19" w14:paraId="5392BA74" w14:textId="77777777" w:rsidTr="00BE7E4A">
        <w:trPr>
          <w:trHeight w:val="255"/>
        </w:trPr>
        <w:tc>
          <w:tcPr>
            <w:tcW w:w="562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2423F6F1" w14:textId="77777777" w:rsidR="00FD1E19" w:rsidRDefault="00FD1E19" w:rsidP="00BE7E4A">
            <w:pPr>
              <w:pStyle w:val="DMETW36958BIPFP"/>
              <w:rPr>
                <w:rFonts w:ascii="Verdana" w:eastAsia="Verdana" w:hAnsi="Verdana" w:cs="Verdana"/>
                <w:b/>
                <w:noProof/>
                <w:color w:val="000000"/>
                <w:sz w:val="18"/>
              </w:rPr>
            </w:pPr>
            <w:r>
              <w:rPr>
                <w:rFonts w:ascii="Verdana" w:eastAsia="Verdana" w:hAnsi="Verdana" w:cs="Verdana"/>
                <w:b/>
                <w:noProof/>
                <w:color w:val="000000"/>
                <w:sz w:val="18"/>
              </w:rPr>
              <w:t>Total revenue</w:t>
            </w:r>
          </w:p>
        </w:tc>
        <w:tc>
          <w:tcPr>
            <w:tcW w:w="1713"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12C53732" w14:textId="77777777" w:rsidR="00FD1E19" w:rsidRDefault="00FD1E19" w:rsidP="00BE7E4A">
            <w:pPr>
              <w:pStyle w:val="DMETW36958BIPFP"/>
              <w:jc w:val="right"/>
              <w:rPr>
                <w:rFonts w:ascii="Verdana" w:eastAsia="Verdana" w:hAnsi="Verdana" w:cs="Verdana"/>
                <w:b/>
                <w:noProof/>
                <w:color w:val="000000"/>
                <w:sz w:val="18"/>
              </w:rPr>
            </w:pPr>
            <w:r>
              <w:rPr>
                <w:rFonts w:ascii="Verdana" w:eastAsia="Verdana" w:hAnsi="Verdana" w:cs="Verdana"/>
                <w:b/>
                <w:noProof/>
                <w:color w:val="000000"/>
                <w:sz w:val="18"/>
              </w:rPr>
              <w:t xml:space="preserve"> 152 402</w:t>
            </w:r>
          </w:p>
        </w:tc>
        <w:tc>
          <w:tcPr>
            <w:tcW w:w="1588"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32E3431F" w14:textId="77777777" w:rsidR="00FD1E19" w:rsidRDefault="00FD1E19" w:rsidP="00BE7E4A">
            <w:pPr>
              <w:pStyle w:val="DMETW36958BIPFP"/>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190 089</w:t>
            </w:r>
          </w:p>
        </w:tc>
      </w:tr>
      <w:tr w:rsidR="00FD1E19" w14:paraId="21C320C4" w14:textId="77777777" w:rsidTr="00BE7E4A">
        <w:trPr>
          <w:trHeight w:val="255"/>
        </w:trPr>
        <w:tc>
          <w:tcPr>
            <w:tcW w:w="5623" w:type="dxa"/>
            <w:tcBorders>
              <w:top w:val="single" w:sz="4" w:space="0" w:color="016794"/>
              <w:left w:val="nil"/>
              <w:bottom w:val="nil"/>
              <w:right w:val="nil"/>
              <w:tl2br w:val="nil"/>
              <w:tr2bl w:val="nil"/>
            </w:tcBorders>
            <w:shd w:val="clear" w:color="auto" w:fill="auto"/>
            <w:tcMar>
              <w:left w:w="60" w:type="dxa"/>
              <w:right w:w="60" w:type="dxa"/>
            </w:tcMar>
            <w:vAlign w:val="bottom"/>
          </w:tcPr>
          <w:p w14:paraId="3F07C4D7" w14:textId="77777777" w:rsidR="00FD1E19" w:rsidRDefault="00FD1E19" w:rsidP="00BE7E4A">
            <w:pPr>
              <w:pStyle w:val="DMETW36958BIPFP"/>
              <w:rPr>
                <w:rFonts w:ascii="Verdana" w:eastAsia="Verdana" w:hAnsi="Verdana" w:cs="Verdana"/>
                <w:b/>
                <w:noProof/>
                <w:color w:val="000000"/>
                <w:sz w:val="18"/>
              </w:rPr>
            </w:pPr>
            <w:r>
              <w:rPr>
                <w:rFonts w:ascii="Verdana" w:eastAsia="Verdana" w:hAnsi="Verdana" w:cs="Verdana"/>
                <w:b/>
                <w:noProof/>
                <w:color w:val="000000"/>
                <w:sz w:val="18"/>
              </w:rPr>
              <w:t>EXPENSES</w:t>
            </w:r>
          </w:p>
        </w:tc>
        <w:tc>
          <w:tcPr>
            <w:tcW w:w="1713" w:type="dxa"/>
            <w:tcBorders>
              <w:top w:val="single" w:sz="4" w:space="0" w:color="016794"/>
              <w:left w:val="nil"/>
              <w:bottom w:val="nil"/>
              <w:right w:val="nil"/>
              <w:tl2br w:val="nil"/>
              <w:tr2bl w:val="nil"/>
            </w:tcBorders>
            <w:shd w:val="clear" w:color="auto" w:fill="auto"/>
            <w:tcMar>
              <w:left w:w="60" w:type="dxa"/>
              <w:right w:w="60" w:type="dxa"/>
            </w:tcMar>
            <w:vAlign w:val="bottom"/>
          </w:tcPr>
          <w:p w14:paraId="281737A3" w14:textId="77777777" w:rsidR="00FD1E19" w:rsidRDefault="00FD1E19" w:rsidP="00BE7E4A">
            <w:pPr>
              <w:pStyle w:val="DMETW36958BIPFP"/>
              <w:jc w:val="right"/>
              <w:rPr>
                <w:rFonts w:ascii="Verdana" w:eastAsia="Verdana" w:hAnsi="Verdana" w:cs="Verdana"/>
                <w:b/>
                <w:noProof/>
                <w:color w:val="000000"/>
                <w:sz w:val="18"/>
              </w:rPr>
            </w:pPr>
          </w:p>
        </w:tc>
        <w:tc>
          <w:tcPr>
            <w:tcW w:w="1588" w:type="dxa"/>
            <w:tcBorders>
              <w:top w:val="single" w:sz="4" w:space="0" w:color="016794"/>
              <w:left w:val="nil"/>
              <w:bottom w:val="nil"/>
              <w:right w:val="nil"/>
              <w:tl2br w:val="nil"/>
              <w:tr2bl w:val="nil"/>
            </w:tcBorders>
            <w:shd w:val="clear" w:color="auto" w:fill="auto"/>
            <w:tcMar>
              <w:left w:w="60" w:type="dxa"/>
              <w:right w:w="60" w:type="dxa"/>
            </w:tcMar>
            <w:vAlign w:val="bottom"/>
          </w:tcPr>
          <w:p w14:paraId="1DBE1F4A" w14:textId="77777777" w:rsidR="00FD1E19" w:rsidRDefault="00FD1E19" w:rsidP="00BE7E4A">
            <w:pPr>
              <w:pStyle w:val="DMETW36958BIPFP"/>
              <w:jc w:val="right"/>
              <w:rPr>
                <w:rFonts w:ascii="Verdana" w:eastAsia="Verdana" w:hAnsi="Verdana" w:cs="Verdana"/>
                <w:b/>
                <w:noProof/>
                <w:color w:val="000000"/>
                <w:sz w:val="18"/>
                <w:lang w:bidi="en-GB"/>
              </w:rPr>
            </w:pPr>
          </w:p>
        </w:tc>
      </w:tr>
      <w:tr w:rsidR="00FD1E19" w14:paraId="592C1F60" w14:textId="77777777" w:rsidTr="00BE7E4A">
        <w:trPr>
          <w:trHeight w:val="255"/>
        </w:trPr>
        <w:tc>
          <w:tcPr>
            <w:tcW w:w="5623" w:type="dxa"/>
            <w:tcBorders>
              <w:top w:val="nil"/>
              <w:left w:val="nil"/>
              <w:bottom w:val="nil"/>
              <w:right w:val="nil"/>
              <w:tl2br w:val="nil"/>
              <w:tr2bl w:val="nil"/>
            </w:tcBorders>
            <w:shd w:val="clear" w:color="auto" w:fill="auto"/>
            <w:tcMar>
              <w:left w:w="60" w:type="dxa"/>
              <w:right w:w="60" w:type="dxa"/>
            </w:tcMar>
            <w:vAlign w:val="bottom"/>
          </w:tcPr>
          <w:p w14:paraId="55CCD299" w14:textId="77777777" w:rsidR="00FD1E19" w:rsidRDefault="00FD1E19" w:rsidP="00BE7E4A">
            <w:pPr>
              <w:pStyle w:val="DMETW36958BIPFP"/>
              <w:rPr>
                <w:rFonts w:ascii="Verdana" w:eastAsia="Verdana" w:hAnsi="Verdana" w:cs="Verdana"/>
                <w:i/>
                <w:noProof/>
                <w:color w:val="000000"/>
                <w:sz w:val="18"/>
              </w:rPr>
            </w:pPr>
            <w:r>
              <w:rPr>
                <w:rFonts w:ascii="Verdana" w:eastAsia="Verdana" w:hAnsi="Verdana" w:cs="Verdana"/>
                <w:i/>
                <w:noProof/>
                <w:color w:val="000000"/>
                <w:sz w:val="18"/>
              </w:rPr>
              <w:t>Operating expenses</w:t>
            </w:r>
          </w:p>
        </w:tc>
        <w:tc>
          <w:tcPr>
            <w:tcW w:w="1713" w:type="dxa"/>
            <w:tcBorders>
              <w:top w:val="nil"/>
              <w:left w:val="nil"/>
              <w:bottom w:val="nil"/>
              <w:right w:val="nil"/>
              <w:tl2br w:val="nil"/>
              <w:tr2bl w:val="nil"/>
            </w:tcBorders>
            <w:shd w:val="clear" w:color="auto" w:fill="auto"/>
            <w:tcMar>
              <w:left w:w="60" w:type="dxa"/>
              <w:right w:w="60" w:type="dxa"/>
            </w:tcMar>
            <w:vAlign w:val="bottom"/>
          </w:tcPr>
          <w:p w14:paraId="2DB817CB" w14:textId="77777777" w:rsidR="00FD1E19" w:rsidRDefault="00FD1E19" w:rsidP="00BE7E4A">
            <w:pPr>
              <w:pStyle w:val="DMETW36958BIPFP"/>
              <w:jc w:val="right"/>
              <w:rPr>
                <w:rFonts w:ascii="Verdana" w:eastAsia="Verdana" w:hAnsi="Verdana" w:cs="Verdana"/>
                <w:i/>
                <w:noProof/>
                <w:color w:val="000000"/>
                <w:sz w:val="18"/>
              </w:rPr>
            </w:pPr>
            <w:r>
              <w:rPr>
                <w:rFonts w:ascii="Verdana" w:eastAsia="Verdana" w:hAnsi="Verdana" w:cs="Verdana"/>
                <w:i/>
                <w:noProof/>
                <w:color w:val="000000"/>
                <w:sz w:val="18"/>
              </w:rPr>
              <w:t xml:space="preserve"> (123 195)</w:t>
            </w:r>
          </w:p>
        </w:tc>
        <w:tc>
          <w:tcPr>
            <w:tcW w:w="1588" w:type="dxa"/>
            <w:tcBorders>
              <w:top w:val="nil"/>
              <w:left w:val="nil"/>
              <w:bottom w:val="nil"/>
              <w:right w:val="nil"/>
              <w:tl2br w:val="nil"/>
              <w:tr2bl w:val="nil"/>
            </w:tcBorders>
            <w:shd w:val="clear" w:color="auto" w:fill="auto"/>
            <w:tcMar>
              <w:left w:w="60" w:type="dxa"/>
              <w:right w:w="60" w:type="dxa"/>
            </w:tcMar>
            <w:vAlign w:val="bottom"/>
          </w:tcPr>
          <w:p w14:paraId="0A7582EB" w14:textId="77777777" w:rsidR="00FD1E19" w:rsidRDefault="00FD1E19" w:rsidP="00BE7E4A">
            <w:pPr>
              <w:pStyle w:val="DMETW36958BIP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(161 869)</w:t>
            </w:r>
          </w:p>
        </w:tc>
      </w:tr>
      <w:tr w:rsidR="00FD1E19" w14:paraId="2BF448EC" w14:textId="77777777" w:rsidTr="00BE7E4A">
        <w:trPr>
          <w:trHeight w:val="255"/>
        </w:trPr>
        <w:tc>
          <w:tcPr>
            <w:tcW w:w="5623" w:type="dxa"/>
            <w:tcBorders>
              <w:top w:val="nil"/>
              <w:left w:val="nil"/>
              <w:bottom w:val="nil"/>
              <w:right w:val="nil"/>
              <w:tl2br w:val="nil"/>
              <w:tr2bl w:val="nil"/>
            </w:tcBorders>
            <w:shd w:val="clear" w:color="auto" w:fill="auto"/>
            <w:tcMar>
              <w:left w:w="60" w:type="dxa"/>
              <w:right w:w="60" w:type="dxa"/>
            </w:tcMar>
            <w:vAlign w:val="bottom"/>
          </w:tcPr>
          <w:p w14:paraId="0CBC93F3" w14:textId="77777777" w:rsidR="00FD1E19" w:rsidRDefault="00FD1E19" w:rsidP="00BE7E4A">
            <w:pPr>
              <w:pStyle w:val="DMETW36958BIPFP"/>
              <w:rPr>
                <w:rFonts w:ascii="Verdana" w:eastAsia="Verdana" w:hAnsi="Verdana" w:cs="Verdana"/>
                <w:i/>
                <w:noProof/>
                <w:color w:val="000000"/>
                <w:sz w:val="18"/>
              </w:rPr>
            </w:pPr>
            <w:r>
              <w:rPr>
                <w:rFonts w:ascii="Verdana" w:eastAsia="Verdana" w:hAnsi="Verdana" w:cs="Verdana"/>
                <w:i/>
                <w:noProof/>
                <w:color w:val="000000"/>
                <w:sz w:val="18"/>
              </w:rPr>
              <w:t>Finance cost</w:t>
            </w:r>
          </w:p>
        </w:tc>
        <w:tc>
          <w:tcPr>
            <w:tcW w:w="1713" w:type="dxa"/>
            <w:tcBorders>
              <w:top w:val="nil"/>
              <w:left w:val="nil"/>
              <w:bottom w:val="nil"/>
              <w:right w:val="nil"/>
              <w:tl2br w:val="nil"/>
              <w:tr2bl w:val="nil"/>
            </w:tcBorders>
            <w:shd w:val="clear" w:color="auto" w:fill="auto"/>
            <w:tcMar>
              <w:left w:w="60" w:type="dxa"/>
              <w:right w:w="60" w:type="dxa"/>
            </w:tcMar>
            <w:vAlign w:val="bottom"/>
          </w:tcPr>
          <w:p w14:paraId="39847E3C" w14:textId="77777777" w:rsidR="00FD1E19" w:rsidRDefault="00FD1E19" w:rsidP="00BE7E4A">
            <w:pPr>
              <w:pStyle w:val="DMETW36958BIPFP"/>
              <w:jc w:val="right"/>
              <w:rPr>
                <w:rFonts w:ascii="Verdana" w:eastAsia="Verdana" w:hAnsi="Verdana" w:cs="Verdana"/>
                <w:i/>
                <w:noProof/>
                <w:color w:val="000000"/>
                <w:sz w:val="18"/>
              </w:rPr>
            </w:pPr>
            <w:r>
              <w:rPr>
                <w:rFonts w:ascii="Verdana" w:eastAsia="Verdana" w:hAnsi="Verdana" w:cs="Verdana"/>
                <w:i/>
                <w:noProof/>
                <w:color w:val="000000"/>
                <w:sz w:val="18"/>
              </w:rPr>
              <w:t xml:space="preserve">  (971)</w:t>
            </w:r>
          </w:p>
        </w:tc>
        <w:tc>
          <w:tcPr>
            <w:tcW w:w="1588" w:type="dxa"/>
            <w:tcBorders>
              <w:top w:val="nil"/>
              <w:left w:val="nil"/>
              <w:bottom w:val="nil"/>
              <w:right w:val="nil"/>
              <w:tl2br w:val="nil"/>
              <w:tr2bl w:val="nil"/>
            </w:tcBorders>
            <w:shd w:val="clear" w:color="auto" w:fill="auto"/>
            <w:tcMar>
              <w:left w:w="60" w:type="dxa"/>
              <w:right w:w="60" w:type="dxa"/>
            </w:tcMar>
            <w:vAlign w:val="bottom"/>
          </w:tcPr>
          <w:p w14:paraId="2AEB9D0A" w14:textId="77777777" w:rsidR="00FD1E19" w:rsidRDefault="00FD1E19" w:rsidP="00BE7E4A">
            <w:pPr>
              <w:pStyle w:val="DMETW36958BIP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w:t>
            </w:r>
          </w:p>
        </w:tc>
      </w:tr>
      <w:tr w:rsidR="00FD1E19" w14:paraId="65D881A7" w14:textId="77777777" w:rsidTr="00BE7E4A">
        <w:trPr>
          <w:trHeight w:val="255"/>
        </w:trPr>
        <w:tc>
          <w:tcPr>
            <w:tcW w:w="5623" w:type="dxa"/>
            <w:tcBorders>
              <w:top w:val="nil"/>
              <w:left w:val="nil"/>
              <w:bottom w:val="single" w:sz="4" w:space="0" w:color="016794"/>
              <w:right w:val="nil"/>
              <w:tl2br w:val="nil"/>
              <w:tr2bl w:val="nil"/>
            </w:tcBorders>
            <w:shd w:val="clear" w:color="auto" w:fill="auto"/>
            <w:tcMar>
              <w:left w:w="60" w:type="dxa"/>
              <w:right w:w="60" w:type="dxa"/>
            </w:tcMar>
            <w:vAlign w:val="bottom"/>
          </w:tcPr>
          <w:p w14:paraId="559E59BA" w14:textId="77777777" w:rsidR="00FD1E19" w:rsidRDefault="00FD1E19" w:rsidP="00BE7E4A">
            <w:pPr>
              <w:pStyle w:val="DMETW36958BIPFP"/>
              <w:rPr>
                <w:rFonts w:ascii="Verdana" w:eastAsia="Verdana" w:hAnsi="Verdana" w:cs="Verdana"/>
                <w:i/>
                <w:noProof/>
                <w:color w:val="000000"/>
                <w:sz w:val="18"/>
              </w:rPr>
            </w:pPr>
            <w:r>
              <w:rPr>
                <w:rFonts w:ascii="Verdana" w:eastAsia="Verdana" w:hAnsi="Verdana" w:cs="Verdana"/>
                <w:i/>
                <w:noProof/>
                <w:color w:val="000000"/>
                <w:sz w:val="18"/>
              </w:rPr>
              <w:t>Other expenses</w:t>
            </w:r>
          </w:p>
        </w:tc>
        <w:tc>
          <w:tcPr>
            <w:tcW w:w="1713" w:type="dxa"/>
            <w:tcBorders>
              <w:top w:val="nil"/>
              <w:left w:val="nil"/>
              <w:bottom w:val="single" w:sz="4" w:space="0" w:color="016794"/>
              <w:right w:val="nil"/>
              <w:tl2br w:val="nil"/>
              <w:tr2bl w:val="nil"/>
            </w:tcBorders>
            <w:shd w:val="clear" w:color="auto" w:fill="auto"/>
            <w:tcMar>
              <w:left w:w="60" w:type="dxa"/>
              <w:right w:w="60" w:type="dxa"/>
            </w:tcMar>
            <w:vAlign w:val="bottom"/>
          </w:tcPr>
          <w:p w14:paraId="36E5262A" w14:textId="77777777" w:rsidR="00FD1E19" w:rsidRDefault="00FD1E19" w:rsidP="00BE7E4A">
            <w:pPr>
              <w:pStyle w:val="DMETW36958BIPFP"/>
              <w:jc w:val="right"/>
              <w:rPr>
                <w:rFonts w:ascii="Verdana" w:eastAsia="Verdana" w:hAnsi="Verdana" w:cs="Verdana"/>
                <w:i/>
                <w:noProof/>
                <w:color w:val="000000"/>
                <w:sz w:val="18"/>
              </w:rPr>
            </w:pPr>
            <w:r>
              <w:rPr>
                <w:rFonts w:ascii="Verdana" w:eastAsia="Verdana" w:hAnsi="Verdana" w:cs="Verdana"/>
                <w:i/>
                <w:noProof/>
                <w:color w:val="000000"/>
                <w:sz w:val="18"/>
              </w:rPr>
              <w:t xml:space="preserve"> (28 235)</w:t>
            </w:r>
          </w:p>
        </w:tc>
        <w:tc>
          <w:tcPr>
            <w:tcW w:w="1588" w:type="dxa"/>
            <w:tcBorders>
              <w:top w:val="nil"/>
              <w:left w:val="nil"/>
              <w:bottom w:val="single" w:sz="4" w:space="0" w:color="016794"/>
              <w:right w:val="nil"/>
              <w:tl2br w:val="nil"/>
              <w:tr2bl w:val="nil"/>
            </w:tcBorders>
            <w:shd w:val="clear" w:color="auto" w:fill="auto"/>
            <w:tcMar>
              <w:left w:w="60" w:type="dxa"/>
              <w:right w:w="60" w:type="dxa"/>
            </w:tcMar>
            <w:vAlign w:val="bottom"/>
          </w:tcPr>
          <w:p w14:paraId="0FF5DAD3" w14:textId="77777777" w:rsidR="00FD1E19" w:rsidRDefault="00FD1E19" w:rsidP="00BE7E4A">
            <w:pPr>
              <w:pStyle w:val="DMETW36958BIPFP"/>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(28 191)</w:t>
            </w:r>
          </w:p>
        </w:tc>
      </w:tr>
      <w:tr w:rsidR="00FD1E19" w14:paraId="3525B177" w14:textId="77777777" w:rsidTr="00BE7E4A">
        <w:trPr>
          <w:trHeight w:val="255"/>
        </w:trPr>
        <w:tc>
          <w:tcPr>
            <w:tcW w:w="5623" w:type="dxa"/>
            <w:tcBorders>
              <w:top w:val="single" w:sz="4" w:space="0" w:color="016794"/>
              <w:left w:val="nil"/>
              <w:bottom w:val="nil"/>
              <w:right w:val="nil"/>
              <w:tl2br w:val="nil"/>
              <w:tr2bl w:val="nil"/>
            </w:tcBorders>
            <w:shd w:val="clear" w:color="auto" w:fill="auto"/>
            <w:tcMar>
              <w:left w:w="60" w:type="dxa"/>
              <w:right w:w="60" w:type="dxa"/>
            </w:tcMar>
            <w:vAlign w:val="bottom"/>
          </w:tcPr>
          <w:p w14:paraId="3DF2DBEE" w14:textId="77777777" w:rsidR="00FD1E19" w:rsidRDefault="00FD1E19" w:rsidP="00BE7E4A">
            <w:pPr>
              <w:pStyle w:val="DMETW36958BIPFP"/>
              <w:rPr>
                <w:rFonts w:ascii="Verdana" w:eastAsia="Verdana" w:hAnsi="Verdana" w:cs="Verdana"/>
                <w:b/>
                <w:noProof/>
                <w:color w:val="000000"/>
                <w:sz w:val="18"/>
              </w:rPr>
            </w:pPr>
            <w:r>
              <w:rPr>
                <w:rFonts w:ascii="Verdana" w:eastAsia="Verdana" w:hAnsi="Verdana" w:cs="Verdana"/>
                <w:b/>
                <w:noProof/>
                <w:color w:val="000000"/>
                <w:sz w:val="18"/>
              </w:rPr>
              <w:t>Total expenses</w:t>
            </w:r>
          </w:p>
        </w:tc>
        <w:tc>
          <w:tcPr>
            <w:tcW w:w="1713" w:type="dxa"/>
            <w:tcBorders>
              <w:top w:val="single" w:sz="4" w:space="0" w:color="016794"/>
              <w:left w:val="nil"/>
              <w:bottom w:val="nil"/>
              <w:right w:val="nil"/>
              <w:tl2br w:val="nil"/>
              <w:tr2bl w:val="nil"/>
            </w:tcBorders>
            <w:shd w:val="clear" w:color="auto" w:fill="auto"/>
            <w:tcMar>
              <w:left w:w="60" w:type="dxa"/>
              <w:right w:w="60" w:type="dxa"/>
            </w:tcMar>
            <w:vAlign w:val="bottom"/>
          </w:tcPr>
          <w:p w14:paraId="28EC0165" w14:textId="77777777" w:rsidR="00FD1E19" w:rsidRDefault="00FD1E19" w:rsidP="00BE7E4A">
            <w:pPr>
              <w:pStyle w:val="DMETW36958BIPFP"/>
              <w:jc w:val="right"/>
              <w:rPr>
                <w:rFonts w:ascii="Verdana" w:eastAsia="Verdana" w:hAnsi="Verdana" w:cs="Verdana"/>
                <w:b/>
                <w:noProof/>
                <w:color w:val="000000"/>
                <w:sz w:val="18"/>
              </w:rPr>
            </w:pPr>
            <w:r>
              <w:rPr>
                <w:rFonts w:ascii="Verdana" w:eastAsia="Verdana" w:hAnsi="Verdana" w:cs="Verdana"/>
                <w:b/>
                <w:noProof/>
                <w:color w:val="000000"/>
                <w:sz w:val="18"/>
              </w:rPr>
              <w:t xml:space="preserve"> (152 402)</w:t>
            </w:r>
          </w:p>
        </w:tc>
        <w:tc>
          <w:tcPr>
            <w:tcW w:w="1588" w:type="dxa"/>
            <w:tcBorders>
              <w:top w:val="single" w:sz="4" w:space="0" w:color="016794"/>
              <w:left w:val="nil"/>
              <w:bottom w:val="nil"/>
              <w:right w:val="nil"/>
              <w:tl2br w:val="nil"/>
              <w:tr2bl w:val="nil"/>
            </w:tcBorders>
            <w:shd w:val="clear" w:color="auto" w:fill="auto"/>
            <w:tcMar>
              <w:left w:w="60" w:type="dxa"/>
              <w:right w:w="60" w:type="dxa"/>
            </w:tcMar>
            <w:vAlign w:val="bottom"/>
          </w:tcPr>
          <w:p w14:paraId="00FE418F" w14:textId="77777777" w:rsidR="00FD1E19" w:rsidRDefault="00FD1E19" w:rsidP="00BE7E4A">
            <w:pPr>
              <w:pStyle w:val="DMETW36958BIPFP"/>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(190 089)</w:t>
            </w:r>
          </w:p>
        </w:tc>
      </w:tr>
      <w:tr w:rsidR="00FD1E19" w14:paraId="1469AB13" w14:textId="77777777" w:rsidTr="00BE7E4A">
        <w:trPr>
          <w:trHeight w:val="255"/>
        </w:trPr>
        <w:tc>
          <w:tcPr>
            <w:tcW w:w="5623" w:type="dxa"/>
            <w:tcBorders>
              <w:top w:val="nil"/>
              <w:left w:val="nil"/>
              <w:bottom w:val="nil"/>
              <w:right w:val="nil"/>
              <w:tl2br w:val="nil"/>
              <w:tr2bl w:val="nil"/>
            </w:tcBorders>
            <w:shd w:val="solid" w:color="CCE1EA" w:fill="FFFFFF"/>
            <w:tcMar>
              <w:left w:w="60" w:type="dxa"/>
              <w:right w:w="60" w:type="dxa"/>
            </w:tcMar>
            <w:vAlign w:val="bottom"/>
          </w:tcPr>
          <w:p w14:paraId="0215E3A6" w14:textId="77777777" w:rsidR="00FD1E19" w:rsidRDefault="00FD1E19" w:rsidP="00BE7E4A">
            <w:pPr>
              <w:pStyle w:val="DMETW36958BIPFP"/>
              <w:rPr>
                <w:rFonts w:ascii="Verdana" w:eastAsia="Verdana" w:hAnsi="Verdana" w:cs="Verdana"/>
                <w:b/>
                <w:noProof/>
                <w:color w:val="000000"/>
                <w:sz w:val="18"/>
              </w:rPr>
            </w:pPr>
            <w:r>
              <w:rPr>
                <w:rFonts w:ascii="Verdana" w:eastAsia="Verdana" w:hAnsi="Verdana" w:cs="Verdana"/>
                <w:b/>
                <w:noProof/>
                <w:color w:val="000000"/>
                <w:sz w:val="18"/>
              </w:rPr>
              <w:t>ECONOMIC RESULT OF THE YEAR</w:t>
            </w:r>
          </w:p>
        </w:tc>
        <w:tc>
          <w:tcPr>
            <w:tcW w:w="1713" w:type="dxa"/>
            <w:tcBorders>
              <w:top w:val="nil"/>
              <w:left w:val="nil"/>
              <w:bottom w:val="nil"/>
              <w:right w:val="nil"/>
              <w:tl2br w:val="nil"/>
              <w:tr2bl w:val="nil"/>
            </w:tcBorders>
            <w:shd w:val="solid" w:color="CCE1EA" w:fill="FFFFFF"/>
            <w:tcMar>
              <w:left w:w="60" w:type="dxa"/>
              <w:right w:w="60" w:type="dxa"/>
            </w:tcMar>
            <w:vAlign w:val="bottom"/>
          </w:tcPr>
          <w:p w14:paraId="1CCB05E0" w14:textId="77777777" w:rsidR="00FD1E19" w:rsidRDefault="00FD1E19" w:rsidP="00BE7E4A">
            <w:pPr>
              <w:pStyle w:val="DMETW36958BIPFP"/>
              <w:jc w:val="right"/>
              <w:rPr>
                <w:rFonts w:ascii="Verdana" w:eastAsia="Verdana" w:hAnsi="Verdana" w:cs="Verdana"/>
                <w:b/>
                <w:noProof/>
                <w:color w:val="000000"/>
                <w:sz w:val="18"/>
              </w:rPr>
            </w:pPr>
            <w:r>
              <w:rPr>
                <w:rFonts w:ascii="Verdana" w:eastAsia="Verdana" w:hAnsi="Verdana" w:cs="Verdana"/>
                <w:b/>
                <w:noProof/>
                <w:color w:val="000000"/>
                <w:sz w:val="18"/>
              </w:rPr>
              <w:t>–</w:t>
            </w:r>
          </w:p>
        </w:tc>
        <w:tc>
          <w:tcPr>
            <w:tcW w:w="1588" w:type="dxa"/>
            <w:tcBorders>
              <w:top w:val="nil"/>
              <w:left w:val="nil"/>
              <w:bottom w:val="nil"/>
              <w:right w:val="nil"/>
              <w:tl2br w:val="nil"/>
              <w:tr2bl w:val="nil"/>
            </w:tcBorders>
            <w:shd w:val="solid" w:color="CCE1EA" w:fill="FFFFFF"/>
            <w:tcMar>
              <w:left w:w="60" w:type="dxa"/>
              <w:right w:w="60" w:type="dxa"/>
            </w:tcMar>
            <w:vAlign w:val="bottom"/>
          </w:tcPr>
          <w:p w14:paraId="33AD24CD" w14:textId="77777777" w:rsidR="00FD1E19" w:rsidRDefault="00FD1E19" w:rsidP="00BE7E4A">
            <w:pPr>
              <w:pStyle w:val="DMETW36958BIPFP"/>
              <w:jc w:val="right"/>
              <w:rPr>
                <w:rFonts w:ascii="Verdana" w:eastAsia="Verdana" w:hAnsi="Verdana" w:cs="Verdana"/>
                <w:b/>
                <w:noProof/>
                <w:color w:val="000000"/>
                <w:sz w:val="18"/>
              </w:rPr>
            </w:pPr>
            <w:r>
              <w:rPr>
                <w:rFonts w:ascii="Verdana" w:eastAsia="Verdana" w:hAnsi="Verdana" w:cs="Verdana"/>
                <w:b/>
                <w:noProof/>
                <w:color w:val="000000"/>
                <w:sz w:val="18"/>
              </w:rPr>
              <w:t>–</w:t>
            </w:r>
          </w:p>
        </w:tc>
      </w:tr>
    </w:tbl>
    <w:p w14:paraId="34D4A486" w14:textId="77777777" w:rsidR="00FD1E19" w:rsidRDefault="00FD1E19" w:rsidP="00FD1E19">
      <w:pPr>
        <w:pStyle w:val="HEADERTITLE1"/>
      </w:pPr>
    </w:p>
    <w:p w14:paraId="5CB875BE" w14:textId="77777777" w:rsidR="00FD1E19" w:rsidRDefault="00FD1E19" w:rsidP="00FD1E19">
      <w:pPr>
        <w:pStyle w:val="TOPHEADERNOTE"/>
        <w:rPr>
          <w:noProof/>
        </w:rPr>
      </w:pPr>
    </w:p>
    <w:p w14:paraId="2B89E00A" w14:textId="77777777" w:rsidR="00FD1E19" w:rsidRDefault="00FD1E19" w:rsidP="00FD1E19">
      <w:pPr>
        <w:pStyle w:val="HEADERTITLE1"/>
        <w:sectPr w:rsidR="00FD1E19" w:rsidSect="00FD1E19">
          <w:headerReference w:type="default" r:id="rId124"/>
          <w:footerReference w:type="default" r:id="rId125"/>
          <w:pgSz w:w="11906" w:h="16838" w:code="9"/>
          <w:pgMar w:top="1134" w:right="1134" w:bottom="1134" w:left="1134" w:header="709" w:footer="709" w:gutter="0"/>
          <w:cols w:space="708"/>
          <w:docGrid w:linePitch="360"/>
        </w:sectPr>
      </w:pPr>
    </w:p>
    <w:p w14:paraId="6364B1E7" w14:textId="77777777" w:rsidR="00FD1E19" w:rsidRDefault="00FD1E19" w:rsidP="00FD1E19">
      <w:pPr>
        <w:pStyle w:val="HEADERTITLE1"/>
      </w:pPr>
      <w:bookmarkStart w:id="163" w:name="_Toc232609793"/>
      <w:r w:rsidRPr="001C257B">
        <w:t>CASHFLOW STATEMENT</w:t>
      </w:r>
      <w:bookmarkEnd w:id="163"/>
    </w:p>
    <w:tbl>
      <w:tblPr>
        <w:tblW w:w="50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10"/>
        <w:gridCol w:w="1429"/>
        <w:gridCol w:w="1203"/>
      </w:tblGrid>
      <w:tr w:rsidR="00FD1E19" w14:paraId="725A7149"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2909D5B1" w14:textId="77777777" w:rsidR="00FD1E19" w:rsidRDefault="00FD1E19" w:rsidP="00BE7E4A">
            <w:pPr>
              <w:pStyle w:val="DMETW36958BIPCF"/>
              <w:rPr>
                <w:rFonts w:cs="Calibri"/>
                <w:noProof/>
                <w:color w:val="000000"/>
                <w:lang w:bidi="en-GB"/>
              </w:rPr>
            </w:pPr>
            <w:bookmarkStart w:id="164" w:name="DOC_TBL00056_1_1"/>
            <w:bookmarkEnd w:id="164"/>
          </w:p>
        </w:tc>
        <w:tc>
          <w:tcPr>
            <w:tcW w:w="1417" w:type="dxa"/>
            <w:tcBorders>
              <w:top w:val="nil"/>
              <w:left w:val="nil"/>
              <w:bottom w:val="nil"/>
              <w:right w:val="nil"/>
              <w:tl2br w:val="nil"/>
              <w:tr2bl w:val="nil"/>
            </w:tcBorders>
            <w:shd w:val="clear" w:color="auto" w:fill="auto"/>
            <w:tcMar>
              <w:left w:w="60" w:type="dxa"/>
              <w:right w:w="60" w:type="dxa"/>
            </w:tcMar>
            <w:vAlign w:val="bottom"/>
          </w:tcPr>
          <w:p w14:paraId="7957BAEB" w14:textId="77777777" w:rsidR="00FD1E19" w:rsidRDefault="00FD1E19" w:rsidP="00BE7E4A">
            <w:pPr>
              <w:pStyle w:val="DMETW36958BIPCF"/>
              <w:jc w:val="right"/>
              <w:rPr>
                <w:rFonts w:cs="Calibri"/>
                <w:i/>
                <w:noProof/>
                <w:color w:val="000000"/>
              </w:rPr>
            </w:pPr>
          </w:p>
        </w:tc>
        <w:tc>
          <w:tcPr>
            <w:tcW w:w="1193" w:type="dxa"/>
            <w:tcBorders>
              <w:top w:val="nil"/>
              <w:left w:val="nil"/>
              <w:bottom w:val="nil"/>
              <w:right w:val="nil"/>
              <w:tl2br w:val="nil"/>
              <w:tr2bl w:val="nil"/>
            </w:tcBorders>
            <w:shd w:val="clear" w:color="auto" w:fill="auto"/>
            <w:tcMar>
              <w:left w:w="60" w:type="dxa"/>
              <w:right w:w="60" w:type="dxa"/>
            </w:tcMar>
            <w:vAlign w:val="bottom"/>
          </w:tcPr>
          <w:p w14:paraId="35AABE7C" w14:textId="77777777" w:rsidR="00FD1E19" w:rsidRDefault="00FD1E19" w:rsidP="00BE7E4A">
            <w:pPr>
              <w:pStyle w:val="DMETW36958BIPCF"/>
              <w:jc w:val="right"/>
              <w:rPr>
                <w:rFonts w:ascii="Verdana" w:eastAsia="Verdana" w:hAnsi="Verdana" w:cs="Verdana"/>
                <w:i/>
                <w:noProof/>
                <w:color w:val="000000"/>
                <w:sz w:val="16"/>
                <w:lang w:bidi="en-GB"/>
              </w:rPr>
            </w:pPr>
            <w:r>
              <w:rPr>
                <w:rFonts w:ascii="Verdana" w:eastAsia="Verdana" w:hAnsi="Verdana" w:cs="Verdana"/>
                <w:i/>
                <w:noProof/>
                <w:color w:val="000000"/>
                <w:sz w:val="16"/>
              </w:rPr>
              <w:t>EUR '000</w:t>
            </w:r>
          </w:p>
        </w:tc>
      </w:tr>
      <w:tr w:rsidR="00FD1E19" w14:paraId="55798317" w14:textId="77777777" w:rsidTr="00BE7E4A">
        <w:trPr>
          <w:trHeight w:hRule="exact" w:val="255"/>
        </w:trPr>
        <w:tc>
          <w:tcPr>
            <w:tcW w:w="7148" w:type="dxa"/>
            <w:tcBorders>
              <w:top w:val="nil"/>
              <w:left w:val="nil"/>
              <w:bottom w:val="nil"/>
              <w:right w:val="nil"/>
              <w:tl2br w:val="nil"/>
              <w:tr2bl w:val="nil"/>
            </w:tcBorders>
            <w:shd w:val="solid" w:color="016794" w:fill="FFFFFF"/>
            <w:tcMar>
              <w:left w:w="60" w:type="dxa"/>
              <w:right w:w="60" w:type="dxa"/>
            </w:tcMar>
            <w:vAlign w:val="bottom"/>
          </w:tcPr>
          <w:p w14:paraId="12B90059" w14:textId="77777777" w:rsidR="00FD1E19" w:rsidRDefault="00FD1E19" w:rsidP="00BE7E4A">
            <w:pPr>
              <w:pStyle w:val="DMETW36958BIPCF"/>
              <w:rPr>
                <w:rFonts w:ascii="Verdana" w:eastAsia="Verdana" w:hAnsi="Verdana" w:cs="Verdana"/>
                <w:noProof/>
                <w:color w:val="FFFFFF"/>
              </w:rPr>
            </w:pPr>
          </w:p>
        </w:tc>
        <w:tc>
          <w:tcPr>
            <w:tcW w:w="1417" w:type="dxa"/>
            <w:tcBorders>
              <w:top w:val="nil"/>
              <w:left w:val="nil"/>
              <w:bottom w:val="nil"/>
              <w:right w:val="nil"/>
              <w:tl2br w:val="nil"/>
              <w:tr2bl w:val="nil"/>
            </w:tcBorders>
            <w:shd w:val="solid" w:color="016794" w:fill="FFFFFF"/>
            <w:tcMar>
              <w:left w:w="60" w:type="dxa"/>
              <w:right w:w="60" w:type="dxa"/>
            </w:tcMar>
            <w:vAlign w:val="bottom"/>
          </w:tcPr>
          <w:p w14:paraId="5E4F0F80" w14:textId="77777777" w:rsidR="00FD1E19" w:rsidRDefault="00FD1E19" w:rsidP="00BE7E4A">
            <w:pPr>
              <w:pStyle w:val="DMETW36958BIPCF"/>
              <w:jc w:val="right"/>
              <w:rPr>
                <w:rFonts w:ascii="Verdana" w:eastAsia="Verdana" w:hAnsi="Verdana" w:cs="Verdana"/>
                <w:noProof/>
                <w:color w:val="FFFFFF"/>
              </w:rPr>
            </w:pPr>
            <w:r>
              <w:rPr>
                <w:rFonts w:ascii="Verdana" w:eastAsia="Verdana" w:hAnsi="Verdana" w:cs="Verdana"/>
                <w:noProof/>
                <w:color w:val="FFFFFF"/>
              </w:rPr>
              <w:t>2025</w:t>
            </w:r>
          </w:p>
        </w:tc>
        <w:tc>
          <w:tcPr>
            <w:tcW w:w="1193" w:type="dxa"/>
            <w:tcBorders>
              <w:top w:val="nil"/>
              <w:left w:val="nil"/>
              <w:bottom w:val="nil"/>
              <w:right w:val="nil"/>
              <w:tl2br w:val="nil"/>
              <w:tr2bl w:val="nil"/>
            </w:tcBorders>
            <w:shd w:val="solid" w:color="016794" w:fill="FFFFFF"/>
            <w:tcMar>
              <w:left w:w="60" w:type="dxa"/>
              <w:right w:w="60" w:type="dxa"/>
            </w:tcMar>
            <w:vAlign w:val="bottom"/>
          </w:tcPr>
          <w:p w14:paraId="1A12920C" w14:textId="77777777" w:rsidR="00FD1E19" w:rsidRDefault="00FD1E19" w:rsidP="00BE7E4A">
            <w:pPr>
              <w:pStyle w:val="DMETW36958BIPCF"/>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3037395A"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31A6F40E"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6CED89BC"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6FC9EA87"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11123927"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519FF25C" w14:textId="77777777" w:rsidR="00FD1E19" w:rsidRDefault="00FD1E19" w:rsidP="00BE7E4A">
            <w:pPr>
              <w:pStyle w:val="DMETW36958BIPCF"/>
              <w:rPr>
                <w:rFonts w:ascii="Verdana" w:eastAsia="Verdana" w:hAnsi="Verdana" w:cs="Verdana"/>
                <w:b/>
                <w:noProof/>
                <w:color w:val="000000"/>
                <w:sz w:val="18"/>
              </w:rPr>
            </w:pPr>
            <w:r>
              <w:rPr>
                <w:rFonts w:ascii="Verdana" w:eastAsia="Verdana" w:hAnsi="Verdana" w:cs="Verdana"/>
                <w:b/>
                <w:noProof/>
                <w:color w:val="000000"/>
                <w:sz w:val="18"/>
              </w:rPr>
              <w:t>Operating activities</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002183E6" w14:textId="77777777" w:rsidR="00FD1E19" w:rsidRDefault="00FD1E19" w:rsidP="00BE7E4A">
            <w:pPr>
              <w:pStyle w:val="DMETW36958BIPCF"/>
              <w:jc w:val="right"/>
              <w:rPr>
                <w:rFonts w:ascii="Verdana" w:eastAsia="Verdana" w:hAnsi="Verdana" w:cs="Verdana"/>
                <w:b/>
                <w:noProof/>
                <w:color w:val="000000"/>
                <w:sz w:val="18"/>
              </w:rPr>
            </w:pPr>
          </w:p>
        </w:tc>
        <w:tc>
          <w:tcPr>
            <w:tcW w:w="1193" w:type="dxa"/>
            <w:tcBorders>
              <w:top w:val="nil"/>
              <w:left w:val="nil"/>
              <w:bottom w:val="nil"/>
              <w:right w:val="nil"/>
              <w:tl2br w:val="nil"/>
              <w:tr2bl w:val="nil"/>
            </w:tcBorders>
            <w:shd w:val="clear" w:color="auto" w:fill="auto"/>
            <w:tcMar>
              <w:left w:w="60" w:type="dxa"/>
              <w:right w:w="60" w:type="dxa"/>
            </w:tcMar>
            <w:vAlign w:val="bottom"/>
          </w:tcPr>
          <w:p w14:paraId="20CDC52E" w14:textId="77777777" w:rsidR="00FD1E19" w:rsidRDefault="00FD1E19" w:rsidP="00BE7E4A">
            <w:pPr>
              <w:pStyle w:val="DMETW36958BIPCF"/>
              <w:jc w:val="right"/>
              <w:rPr>
                <w:rFonts w:ascii="Verdana" w:eastAsia="Verdana" w:hAnsi="Verdana" w:cs="Verdana"/>
                <w:b/>
                <w:noProof/>
                <w:color w:val="000000"/>
                <w:sz w:val="18"/>
                <w:lang w:bidi="en-GB"/>
              </w:rPr>
            </w:pPr>
          </w:p>
        </w:tc>
      </w:tr>
      <w:tr w:rsidR="00FD1E19" w14:paraId="19C9AE6B"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03273AF4"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(Increase)/decrease in pre-financing</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130D5572"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107 329</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0193AFBE"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64 732</w:t>
            </w:r>
          </w:p>
        </w:tc>
      </w:tr>
      <w:tr w:rsidR="00FD1E19" w14:paraId="42104438"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693500A8"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(Increase)/decrease in exchange receivables and non-exchange recoverables</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316724CE"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7 662</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5CFBC70E"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(1 917)</w:t>
            </w:r>
          </w:p>
        </w:tc>
      </w:tr>
      <w:tr w:rsidR="00FD1E19" w14:paraId="3167E32F"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0515F3E9"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Increase/(decrease) in financial liabilities</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363AE3C6"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(138 236)</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0C40EA44"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(13 216)</w:t>
            </w:r>
          </w:p>
        </w:tc>
      </w:tr>
      <w:tr w:rsidR="00FD1E19" w14:paraId="6764F55C"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7983498D"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Increase/(decrease) in payables</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3CA9B15D"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726</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55062276"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(486)</w:t>
            </w:r>
          </w:p>
        </w:tc>
      </w:tr>
      <w:tr w:rsidR="00FD1E19" w14:paraId="3C79B26C"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2725CB3A"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 xml:space="preserve">Increase/(decrease) in accrued charges </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6FF22CC2"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(45 859)</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38AC13A0"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(39 126)</w:t>
            </w:r>
          </w:p>
        </w:tc>
      </w:tr>
      <w:tr w:rsidR="00FD1E19" w14:paraId="08AF6B4A"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23BEB626" w14:textId="77777777" w:rsidR="00FD1E19" w:rsidRDefault="00FD1E19" w:rsidP="00BE7E4A">
            <w:pPr>
              <w:pStyle w:val="DMETW36958BIPCF"/>
              <w:rPr>
                <w:rFonts w:ascii="Verdana" w:eastAsia="Verdana" w:hAnsi="Verdana" w:cs="Verdana"/>
                <w:b/>
                <w:noProof/>
                <w:color w:val="000000"/>
                <w:sz w:val="18"/>
              </w:rPr>
            </w:pPr>
            <w:r>
              <w:rPr>
                <w:rFonts w:ascii="Verdana" w:eastAsia="Verdana" w:hAnsi="Verdana" w:cs="Verdana"/>
                <w:b/>
                <w:noProof/>
                <w:color w:val="000000"/>
                <w:sz w:val="18"/>
              </w:rPr>
              <w:t>Investing activities</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665E8C45" w14:textId="77777777" w:rsidR="00FD1E19" w:rsidRDefault="00FD1E19" w:rsidP="00BE7E4A">
            <w:pPr>
              <w:pStyle w:val="DMETW36958BIPCF"/>
              <w:jc w:val="right"/>
              <w:rPr>
                <w:rFonts w:ascii="Verdana" w:eastAsia="Verdana" w:hAnsi="Verdana" w:cs="Verdana"/>
                <w:i/>
                <w:noProof/>
                <w:color w:val="000000"/>
                <w:sz w:val="18"/>
              </w:rPr>
            </w:pPr>
          </w:p>
        </w:tc>
        <w:tc>
          <w:tcPr>
            <w:tcW w:w="1193" w:type="dxa"/>
            <w:tcBorders>
              <w:top w:val="nil"/>
              <w:left w:val="nil"/>
              <w:bottom w:val="nil"/>
              <w:right w:val="nil"/>
              <w:tl2br w:val="nil"/>
              <w:tr2bl w:val="nil"/>
            </w:tcBorders>
            <w:shd w:val="clear" w:color="auto" w:fill="auto"/>
            <w:tcMar>
              <w:left w:w="60" w:type="dxa"/>
              <w:right w:w="60" w:type="dxa"/>
            </w:tcMar>
            <w:vAlign w:val="bottom"/>
          </w:tcPr>
          <w:p w14:paraId="5438234F" w14:textId="77777777" w:rsidR="00FD1E19" w:rsidRDefault="00FD1E19" w:rsidP="00BE7E4A">
            <w:pPr>
              <w:pStyle w:val="DMETW36958BIPCF"/>
              <w:jc w:val="right"/>
              <w:rPr>
                <w:rFonts w:ascii="Verdana" w:eastAsia="Verdana" w:hAnsi="Verdana" w:cs="Verdana"/>
                <w:i/>
                <w:noProof/>
                <w:color w:val="000000"/>
                <w:sz w:val="18"/>
                <w:lang w:bidi="en-GB"/>
              </w:rPr>
            </w:pPr>
          </w:p>
        </w:tc>
      </w:tr>
      <w:tr w:rsidR="00FD1E19" w14:paraId="3BDA6CD0" w14:textId="77777777" w:rsidTr="00BE7E4A">
        <w:trPr>
          <w:trHeight w:hRule="exact" w:val="709"/>
        </w:trPr>
        <w:tc>
          <w:tcPr>
            <w:tcW w:w="7148" w:type="dxa"/>
            <w:tcBorders>
              <w:top w:val="nil"/>
              <w:left w:val="nil"/>
              <w:bottom w:val="nil"/>
              <w:right w:val="nil"/>
              <w:tl2br w:val="nil"/>
              <w:tr2bl w:val="nil"/>
            </w:tcBorders>
            <w:shd w:val="clear" w:color="auto" w:fill="auto"/>
            <w:tcMar>
              <w:left w:w="60" w:type="dxa"/>
              <w:right w:w="60" w:type="dxa"/>
            </w:tcMar>
            <w:vAlign w:val="bottom"/>
          </w:tcPr>
          <w:p w14:paraId="4CB3A457"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Increase/decrease in non-derivative financial assets at fair value through surplus or deficit</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22B468C3"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936</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7E23BB6E"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(0)</w:t>
            </w:r>
          </w:p>
        </w:tc>
      </w:tr>
      <w:tr w:rsidR="00FD1E19" w14:paraId="5E22844E" w14:textId="77777777" w:rsidTr="00BE7E4A">
        <w:trPr>
          <w:trHeight w:hRule="exact" w:val="255"/>
        </w:trPr>
        <w:tc>
          <w:tcPr>
            <w:tcW w:w="7148" w:type="dxa"/>
            <w:tcBorders>
              <w:top w:val="nil"/>
              <w:left w:val="nil"/>
              <w:bottom w:val="nil"/>
              <w:right w:val="nil"/>
              <w:tl2br w:val="nil"/>
              <w:tr2bl w:val="nil"/>
            </w:tcBorders>
            <w:shd w:val="solid" w:color="CCE1EA" w:fill="FFFFFF"/>
            <w:tcMar>
              <w:left w:w="60" w:type="dxa"/>
              <w:right w:w="60" w:type="dxa"/>
            </w:tcMar>
            <w:vAlign w:val="bottom"/>
          </w:tcPr>
          <w:p w14:paraId="458D3929" w14:textId="77777777" w:rsidR="00FD1E19" w:rsidRDefault="00FD1E19" w:rsidP="00BE7E4A">
            <w:pPr>
              <w:pStyle w:val="DMETW36958BIPCF"/>
              <w:rPr>
                <w:rFonts w:ascii="Verdana" w:eastAsia="Verdana" w:hAnsi="Verdana" w:cs="Verdana"/>
                <w:b/>
                <w:noProof/>
                <w:color w:val="000000"/>
                <w:sz w:val="18"/>
              </w:rPr>
            </w:pPr>
            <w:r>
              <w:rPr>
                <w:rFonts w:ascii="Verdana" w:eastAsia="Verdana" w:hAnsi="Verdana" w:cs="Verdana"/>
                <w:b/>
                <w:noProof/>
                <w:color w:val="000000"/>
                <w:sz w:val="18"/>
              </w:rPr>
              <w:t>NET CASHFLOW</w:t>
            </w:r>
          </w:p>
        </w:tc>
        <w:tc>
          <w:tcPr>
            <w:tcW w:w="1417" w:type="dxa"/>
            <w:tcBorders>
              <w:top w:val="nil"/>
              <w:left w:val="nil"/>
              <w:bottom w:val="nil"/>
              <w:right w:val="nil"/>
              <w:tl2br w:val="nil"/>
              <w:tr2bl w:val="nil"/>
            </w:tcBorders>
            <w:shd w:val="solid" w:color="CCE1EA" w:fill="FFFFFF"/>
            <w:tcMar>
              <w:left w:w="60" w:type="dxa"/>
              <w:right w:w="60" w:type="dxa"/>
            </w:tcMar>
            <w:vAlign w:val="bottom"/>
          </w:tcPr>
          <w:p w14:paraId="55D6AC51" w14:textId="77777777" w:rsidR="00FD1E19" w:rsidRDefault="00FD1E19" w:rsidP="00BE7E4A">
            <w:pPr>
              <w:pStyle w:val="DMETW36958BIPCF"/>
              <w:jc w:val="right"/>
              <w:rPr>
                <w:rFonts w:ascii="Verdana" w:eastAsia="Verdana" w:hAnsi="Verdana" w:cs="Verdana"/>
                <w:b/>
                <w:noProof/>
                <w:color w:val="000000"/>
                <w:sz w:val="18"/>
              </w:rPr>
            </w:pPr>
            <w:r>
              <w:rPr>
                <w:rFonts w:ascii="Verdana" w:eastAsia="Verdana" w:hAnsi="Verdana" w:cs="Verdana"/>
                <w:b/>
                <w:noProof/>
                <w:color w:val="000000"/>
                <w:sz w:val="18"/>
              </w:rPr>
              <w:t xml:space="preserve"> (67 442)</w:t>
            </w:r>
          </w:p>
        </w:tc>
        <w:tc>
          <w:tcPr>
            <w:tcW w:w="1193" w:type="dxa"/>
            <w:tcBorders>
              <w:top w:val="nil"/>
              <w:left w:val="nil"/>
              <w:bottom w:val="nil"/>
              <w:right w:val="nil"/>
              <w:tl2br w:val="nil"/>
              <w:tr2bl w:val="nil"/>
            </w:tcBorders>
            <w:shd w:val="solid" w:color="CCE1EA" w:fill="FFFFFF"/>
            <w:tcMar>
              <w:left w:w="60" w:type="dxa"/>
              <w:right w:w="60" w:type="dxa"/>
            </w:tcMar>
            <w:vAlign w:val="bottom"/>
          </w:tcPr>
          <w:p w14:paraId="279D71C6" w14:textId="77777777" w:rsidR="00FD1E19" w:rsidRDefault="00FD1E19" w:rsidP="00BE7E4A">
            <w:pPr>
              <w:pStyle w:val="DMETW36958BIPC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9 986</w:t>
            </w:r>
          </w:p>
        </w:tc>
      </w:tr>
      <w:tr w:rsidR="00FD1E19" w14:paraId="17790664"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6D3A9A32" w14:textId="77777777" w:rsidR="00FD1E19" w:rsidRDefault="00FD1E19" w:rsidP="00BE7E4A">
            <w:pPr>
              <w:pStyle w:val="DMETW36958BIPCF"/>
              <w:rPr>
                <w:rFonts w:cs="Calibri"/>
                <w:b/>
                <w:noProof/>
                <w:color w:val="000000"/>
              </w:rPr>
            </w:pPr>
          </w:p>
        </w:tc>
        <w:tc>
          <w:tcPr>
            <w:tcW w:w="1417" w:type="dxa"/>
            <w:tcBorders>
              <w:top w:val="nil"/>
              <w:left w:val="nil"/>
              <w:bottom w:val="nil"/>
              <w:right w:val="nil"/>
              <w:tl2br w:val="nil"/>
              <w:tr2bl w:val="nil"/>
            </w:tcBorders>
            <w:shd w:val="clear" w:color="auto" w:fill="auto"/>
            <w:tcMar>
              <w:left w:w="60" w:type="dxa"/>
              <w:right w:w="60" w:type="dxa"/>
            </w:tcMar>
            <w:vAlign w:val="bottom"/>
          </w:tcPr>
          <w:p w14:paraId="7C3A65A6" w14:textId="77777777" w:rsidR="00FD1E19" w:rsidRDefault="00FD1E19" w:rsidP="00BE7E4A">
            <w:pPr>
              <w:pStyle w:val="DMETW36958BIPCF"/>
              <w:jc w:val="right"/>
              <w:rPr>
                <w:rFonts w:cs="Calibri"/>
                <w:noProof/>
                <w:color w:val="000000"/>
              </w:rPr>
            </w:pPr>
          </w:p>
        </w:tc>
        <w:tc>
          <w:tcPr>
            <w:tcW w:w="1193" w:type="dxa"/>
            <w:tcBorders>
              <w:top w:val="nil"/>
              <w:left w:val="nil"/>
              <w:bottom w:val="nil"/>
              <w:right w:val="nil"/>
              <w:tl2br w:val="nil"/>
              <w:tr2bl w:val="nil"/>
            </w:tcBorders>
            <w:shd w:val="clear" w:color="auto" w:fill="auto"/>
            <w:tcMar>
              <w:left w:w="60" w:type="dxa"/>
              <w:right w:w="60" w:type="dxa"/>
            </w:tcMar>
            <w:vAlign w:val="bottom"/>
          </w:tcPr>
          <w:p w14:paraId="675A8A50" w14:textId="77777777" w:rsidR="00FD1E19" w:rsidRDefault="00FD1E19" w:rsidP="00BE7E4A">
            <w:pPr>
              <w:pStyle w:val="DMETW36958BIPCF"/>
              <w:jc w:val="right"/>
              <w:rPr>
                <w:rFonts w:cs="Calibri"/>
                <w:noProof/>
                <w:color w:val="000000"/>
                <w:lang w:bidi="en-GB"/>
              </w:rPr>
            </w:pPr>
          </w:p>
        </w:tc>
      </w:tr>
      <w:tr w:rsidR="00FD1E19" w14:paraId="57B3E2B5" w14:textId="77777777" w:rsidTr="00BE7E4A">
        <w:trPr>
          <w:trHeight w:hRule="exact" w:val="255"/>
        </w:trPr>
        <w:tc>
          <w:tcPr>
            <w:tcW w:w="7148" w:type="dxa"/>
            <w:tcBorders>
              <w:top w:val="nil"/>
              <w:left w:val="nil"/>
              <w:bottom w:val="nil"/>
              <w:right w:val="nil"/>
              <w:tl2br w:val="nil"/>
              <w:tr2bl w:val="nil"/>
            </w:tcBorders>
            <w:shd w:val="clear" w:color="auto" w:fill="auto"/>
            <w:tcMar>
              <w:left w:w="60" w:type="dxa"/>
              <w:right w:w="60" w:type="dxa"/>
            </w:tcMar>
            <w:vAlign w:val="bottom"/>
          </w:tcPr>
          <w:p w14:paraId="18F6F050"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Net increase/(decrease) in cash and cash equivalents</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546DF990"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(67 442)</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1A0BF49D"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9 986</w:t>
            </w:r>
          </w:p>
        </w:tc>
      </w:tr>
      <w:tr w:rsidR="00FD1E19" w14:paraId="65C2C94F" w14:textId="77777777" w:rsidTr="00BE7E4A">
        <w:trPr>
          <w:trHeight w:hRule="exact" w:val="345"/>
        </w:trPr>
        <w:tc>
          <w:tcPr>
            <w:tcW w:w="7148" w:type="dxa"/>
            <w:tcBorders>
              <w:top w:val="nil"/>
              <w:left w:val="nil"/>
              <w:bottom w:val="nil"/>
              <w:right w:val="nil"/>
              <w:tl2br w:val="nil"/>
              <w:tr2bl w:val="nil"/>
            </w:tcBorders>
            <w:shd w:val="clear" w:color="auto" w:fill="auto"/>
            <w:tcMar>
              <w:left w:w="60" w:type="dxa"/>
              <w:right w:w="60" w:type="dxa"/>
            </w:tcMar>
            <w:vAlign w:val="bottom"/>
          </w:tcPr>
          <w:p w14:paraId="2B0D1205"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Cash and cash equivalents at the beginning of the year</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2F79229C"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187 539</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55317783" w14:textId="77777777" w:rsidR="00FD1E19" w:rsidRDefault="00FD1E19" w:rsidP="00BE7E4A">
            <w:pPr>
              <w:pStyle w:val="DMETW36958BIP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177 553</w:t>
            </w:r>
          </w:p>
        </w:tc>
      </w:tr>
      <w:tr w:rsidR="00FD1E19" w14:paraId="66C8615C" w14:textId="77777777" w:rsidTr="00BE7E4A">
        <w:trPr>
          <w:trHeight w:hRule="exact" w:val="345"/>
        </w:trPr>
        <w:tc>
          <w:tcPr>
            <w:tcW w:w="7148" w:type="dxa"/>
            <w:tcBorders>
              <w:top w:val="nil"/>
              <w:left w:val="nil"/>
              <w:bottom w:val="nil"/>
              <w:right w:val="nil"/>
              <w:tl2br w:val="nil"/>
              <w:tr2bl w:val="nil"/>
            </w:tcBorders>
            <w:shd w:val="clear" w:color="auto" w:fill="auto"/>
            <w:tcMar>
              <w:left w:w="60" w:type="dxa"/>
              <w:right w:w="60" w:type="dxa"/>
            </w:tcMar>
            <w:vAlign w:val="bottom"/>
          </w:tcPr>
          <w:p w14:paraId="7CB1CB0A" w14:textId="77777777" w:rsidR="00FD1E19" w:rsidRDefault="00FD1E19" w:rsidP="00BE7E4A">
            <w:pPr>
              <w:pStyle w:val="DMETW36958BIPCF"/>
              <w:rPr>
                <w:rFonts w:ascii="Verdana" w:eastAsia="Verdana" w:hAnsi="Verdana" w:cs="Verdana"/>
                <w:i/>
                <w:noProof/>
                <w:color w:val="000000"/>
                <w:sz w:val="18"/>
              </w:rPr>
            </w:pPr>
            <w:r>
              <w:rPr>
                <w:rFonts w:ascii="Verdana" w:eastAsia="Verdana" w:hAnsi="Verdana" w:cs="Verdana"/>
                <w:i/>
                <w:noProof/>
                <w:color w:val="000000"/>
                <w:sz w:val="18"/>
              </w:rPr>
              <w:t>Cash and cash equivalents at year-end</w:t>
            </w:r>
          </w:p>
        </w:tc>
        <w:tc>
          <w:tcPr>
            <w:tcW w:w="1417" w:type="dxa"/>
            <w:tcBorders>
              <w:top w:val="nil"/>
              <w:left w:val="nil"/>
              <w:bottom w:val="nil"/>
              <w:right w:val="nil"/>
              <w:tl2br w:val="nil"/>
              <w:tr2bl w:val="nil"/>
            </w:tcBorders>
            <w:shd w:val="clear" w:color="auto" w:fill="auto"/>
            <w:tcMar>
              <w:left w:w="60" w:type="dxa"/>
              <w:right w:w="60" w:type="dxa"/>
            </w:tcMar>
            <w:vAlign w:val="bottom"/>
          </w:tcPr>
          <w:p w14:paraId="4BC73BB0"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120 097</w:t>
            </w:r>
          </w:p>
        </w:tc>
        <w:tc>
          <w:tcPr>
            <w:tcW w:w="1193" w:type="dxa"/>
            <w:tcBorders>
              <w:top w:val="nil"/>
              <w:left w:val="nil"/>
              <w:bottom w:val="nil"/>
              <w:right w:val="nil"/>
              <w:tl2br w:val="nil"/>
              <w:tr2bl w:val="nil"/>
            </w:tcBorders>
            <w:shd w:val="clear" w:color="auto" w:fill="auto"/>
            <w:tcMar>
              <w:left w:w="60" w:type="dxa"/>
              <w:right w:w="60" w:type="dxa"/>
            </w:tcMar>
            <w:vAlign w:val="bottom"/>
          </w:tcPr>
          <w:p w14:paraId="3549AEEC" w14:textId="77777777" w:rsidR="00FD1E19" w:rsidRDefault="00FD1E19" w:rsidP="00BE7E4A">
            <w:pPr>
              <w:pStyle w:val="DMETW36958BIPCF"/>
              <w:jc w:val="right"/>
              <w:rPr>
                <w:rFonts w:ascii="Verdana" w:eastAsia="Verdana" w:hAnsi="Verdana" w:cs="Verdana"/>
                <w:i/>
                <w:noProof/>
                <w:color w:val="000000"/>
                <w:sz w:val="18"/>
              </w:rPr>
            </w:pPr>
            <w:r>
              <w:rPr>
                <w:rFonts w:ascii="Verdana" w:eastAsia="Verdana" w:hAnsi="Verdana" w:cs="Verdana"/>
                <w:i/>
                <w:noProof/>
                <w:color w:val="000000"/>
                <w:sz w:val="18"/>
              </w:rPr>
              <w:t xml:space="preserve"> 187 539</w:t>
            </w:r>
          </w:p>
        </w:tc>
      </w:tr>
    </w:tbl>
    <w:p w14:paraId="304BE728" w14:textId="77777777" w:rsidR="00FD1E19" w:rsidRDefault="00FD1E19" w:rsidP="00FD1E19">
      <w:pPr>
        <w:pStyle w:val="HEADERTITLE1"/>
      </w:pPr>
    </w:p>
    <w:p w14:paraId="6AEFB01D" w14:textId="77777777" w:rsidR="00FD1E19" w:rsidRDefault="00FD1E19" w:rsidP="00FD1E19">
      <w:pPr>
        <w:pStyle w:val="TOPHEADERNOTE"/>
        <w:rPr>
          <w:noProof/>
        </w:rPr>
        <w:sectPr w:rsidR="00FD1E19" w:rsidSect="00FD1E19">
          <w:headerReference w:type="default" r:id="rId126"/>
          <w:footerReference w:type="default" r:id="rId127"/>
          <w:pgSz w:w="11906" w:h="16838" w:code="9"/>
          <w:pgMar w:top="1134" w:right="1134" w:bottom="1134" w:left="1134" w:header="709" w:footer="709" w:gutter="0"/>
          <w:cols w:space="708"/>
          <w:docGrid w:linePitch="360"/>
        </w:sectPr>
      </w:pPr>
    </w:p>
    <w:p w14:paraId="0844266D" w14:textId="77777777" w:rsidR="00FD1E19" w:rsidRDefault="00FD1E19" w:rsidP="00FD1E19">
      <w:pPr>
        <w:pStyle w:val="FIRSTCHAPTERPAGE1"/>
      </w:pPr>
    </w:p>
    <w:p w14:paraId="7FC40222" w14:textId="77777777" w:rsidR="0029321B" w:rsidRDefault="0029321B" w:rsidP="00FD1E19">
      <w:pPr>
        <w:pStyle w:val="FIRSTCHAPTERPAGE1"/>
      </w:pPr>
    </w:p>
    <w:p w14:paraId="3982C7A4" w14:textId="77777777" w:rsidR="00FD1E19" w:rsidRDefault="00FD1E19" w:rsidP="00FD1E19">
      <w:pPr>
        <w:pStyle w:val="FIRSTCHAPTERPAGE1"/>
      </w:pPr>
    </w:p>
    <w:p w14:paraId="6931A037" w14:textId="77777777" w:rsidR="00FD1E19" w:rsidRDefault="00FD1E19" w:rsidP="00FD1E19">
      <w:pPr>
        <w:pStyle w:val="FIRSTCHAPTERPAGE1"/>
      </w:pPr>
    </w:p>
    <w:p w14:paraId="2FDC3C51" w14:textId="77777777" w:rsidR="00FD1E19" w:rsidRPr="008575FF" w:rsidRDefault="00FD1E19" w:rsidP="008575FF">
      <w:pPr>
        <w:spacing w:before="240" w:after="240"/>
        <w:jc w:val="both"/>
        <w:rPr>
          <w:rFonts w:ascii="Verdana" w:hAnsi="Verdana"/>
          <w:b/>
          <w:bCs/>
          <w:noProof/>
          <w:color w:val="016794"/>
          <w:sz w:val="40"/>
          <w:szCs w:val="40"/>
          <w:lang w:val="en-IE"/>
        </w:rPr>
      </w:pPr>
      <w:bookmarkStart w:id="165" w:name="_Toc229991224"/>
      <w:r w:rsidRPr="008575FF">
        <w:rPr>
          <w:rFonts w:ascii="Verdana" w:hAnsi="Verdana"/>
          <w:b/>
          <w:bCs/>
          <w:noProof/>
          <w:color w:val="016794"/>
          <w:sz w:val="40"/>
          <w:szCs w:val="40"/>
          <w:lang w:val="en-IE"/>
        </w:rPr>
        <w:t>PART I.3</w:t>
      </w:r>
      <w:bookmarkEnd w:id="165"/>
    </w:p>
    <w:p w14:paraId="2F02BD34" w14:textId="77777777" w:rsidR="00FD1E19" w:rsidRDefault="00FD1E19" w:rsidP="00FD1E19">
      <w:pPr>
        <w:pStyle w:val="FIRSTCHAPTERPAGE1"/>
      </w:pPr>
      <w:bookmarkStart w:id="166" w:name="_Toc232609794"/>
      <w:bookmarkStart w:id="167" w:name="_Toc232611630"/>
      <w:r w:rsidRPr="008C2B0E">
        <w:t>CONSOLIDATED FINANCIAL STATEMENTS OF THE EDF AND THE EU TRUST FUNDS</w:t>
      </w:r>
      <w:bookmarkEnd w:id="166"/>
      <w:bookmarkEnd w:id="167"/>
    </w:p>
    <w:p w14:paraId="17213C33" w14:textId="77777777" w:rsidR="00FD1E19" w:rsidRDefault="00FD1E19" w:rsidP="00FD1E19">
      <w:pPr>
        <w:pStyle w:val="FIRSTCHAPTERPAGE1"/>
      </w:pPr>
    </w:p>
    <w:p w14:paraId="710F2EDD" w14:textId="77777777" w:rsidR="00FD1E19" w:rsidRDefault="00FD1E19" w:rsidP="00FD1E19">
      <w:pPr>
        <w:pStyle w:val="FIRSTCHAPTERPAGE1"/>
      </w:pPr>
    </w:p>
    <w:p w14:paraId="6E85D948" w14:textId="77777777" w:rsidR="00FD1E19" w:rsidRDefault="00FD1E19" w:rsidP="00FD1E19">
      <w:pPr>
        <w:pStyle w:val="FIRSTCHAPTERPAGE1"/>
      </w:pPr>
    </w:p>
    <w:p w14:paraId="1FED88E2" w14:textId="77777777" w:rsidR="00FD1E19" w:rsidRDefault="00FD1E19" w:rsidP="00FD1E19">
      <w:pPr>
        <w:pStyle w:val="FIRSTCHAPTERPAGE1"/>
      </w:pPr>
    </w:p>
    <w:p w14:paraId="76A904F7" w14:textId="77777777" w:rsidR="00FD1E19" w:rsidRDefault="00FD1E19" w:rsidP="00FD1E19">
      <w:pPr>
        <w:pStyle w:val="FIRSTCHAPTERPAGE1"/>
      </w:pPr>
    </w:p>
    <w:p w14:paraId="4D3060C8" w14:textId="77777777" w:rsidR="00FD1E19" w:rsidRDefault="00FD1E19" w:rsidP="00FD1E19">
      <w:pPr>
        <w:pStyle w:val="TOPHEADERNOTE"/>
        <w:rPr>
          <w:noProof/>
        </w:rPr>
      </w:pPr>
      <w:r>
        <w:rPr>
          <w:noProof/>
        </w:rPr>
        <w:t>It should be noted that due to the rounding of figures into millions of euros, some financial data in the tables may appear not to add-up.</w:t>
      </w:r>
    </w:p>
    <w:p w14:paraId="53FDA59B" w14:textId="77777777" w:rsidR="00FD1E19" w:rsidRDefault="00FD1E19" w:rsidP="00FD1E19">
      <w:pPr>
        <w:pStyle w:val="TOPHEADERNOTE"/>
        <w:rPr>
          <w:noProof/>
        </w:rPr>
        <w:sectPr w:rsidR="00FD1E19" w:rsidSect="00FD1E19">
          <w:headerReference w:type="default" r:id="rId128"/>
          <w:footerReference w:type="default" r:id="rId129"/>
          <w:pgSz w:w="11906" w:h="16838" w:code="9"/>
          <w:pgMar w:top="1134" w:right="1134" w:bottom="1134" w:left="1134" w:header="708" w:footer="708" w:gutter="0"/>
          <w:cols w:space="708"/>
          <w:docGrid w:linePitch="360"/>
        </w:sectPr>
      </w:pPr>
    </w:p>
    <w:p w14:paraId="44C71A0D" w14:textId="77777777" w:rsidR="00FD1E19" w:rsidRDefault="00FD1E19" w:rsidP="00FD1E19">
      <w:pPr>
        <w:pStyle w:val="HEADERTITLE1"/>
      </w:pPr>
      <w:bookmarkStart w:id="168" w:name="_Toc232609795"/>
      <w:r w:rsidRPr="008C2B0E">
        <w:t>CONSOLIDATED BALANCE SHEET</w:t>
      </w:r>
      <w:bookmarkEnd w:id="1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74"/>
        <w:gridCol w:w="1442"/>
        <w:gridCol w:w="1442"/>
      </w:tblGrid>
      <w:tr w:rsidR="00FD1E19" w14:paraId="5AEC84AB"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253F5066" w14:textId="77777777" w:rsidR="00FD1E19" w:rsidRDefault="00FD1E19" w:rsidP="00BE7E4A">
            <w:pPr>
              <w:pStyle w:val="DMETW37234BIPCONSBS"/>
              <w:rPr>
                <w:rFonts w:ascii="Verdana" w:eastAsia="Verdana" w:hAnsi="Verdana" w:cs="Verdana"/>
                <w:noProof/>
                <w:color w:val="000000"/>
                <w:sz w:val="18"/>
                <w:lang w:bidi="en-GB"/>
              </w:rPr>
            </w:pPr>
            <w:bookmarkStart w:id="169" w:name="DOC_TBL00057_1_1"/>
            <w:bookmarkEnd w:id="169"/>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08FC0D35"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48936DEA" w14:textId="77777777" w:rsidR="00FD1E19" w:rsidRDefault="00FD1E19" w:rsidP="00BE7E4A">
            <w:pPr>
              <w:pStyle w:val="DMETW37234BIPCONSBS"/>
              <w:jc w:val="right"/>
              <w:rPr>
                <w:rFonts w:ascii="Verdana" w:eastAsia="Verdana" w:hAnsi="Verdana" w:cs="Verdana"/>
                <w:i/>
                <w:noProof/>
                <w:color w:val="000000"/>
                <w:sz w:val="16"/>
                <w:lang w:bidi="en-GB"/>
              </w:rPr>
            </w:pPr>
            <w:r>
              <w:rPr>
                <w:rFonts w:ascii="Verdana" w:eastAsia="Verdana" w:hAnsi="Verdana" w:cs="Verdana"/>
                <w:i/>
                <w:noProof/>
                <w:color w:val="000000"/>
                <w:sz w:val="16"/>
              </w:rPr>
              <w:t xml:space="preserve"> EUR million</w:t>
            </w:r>
          </w:p>
        </w:tc>
      </w:tr>
      <w:tr w:rsidR="00FD1E19" w14:paraId="0D0182EC" w14:textId="77777777" w:rsidTr="00BE7E4A">
        <w:trPr>
          <w:trHeight w:hRule="exact" w:val="255"/>
        </w:trPr>
        <w:tc>
          <w:tcPr>
            <w:tcW w:w="6874" w:type="dxa"/>
            <w:tcBorders>
              <w:top w:val="nil"/>
              <w:left w:val="nil"/>
              <w:bottom w:val="nil"/>
              <w:right w:val="nil"/>
              <w:tl2br w:val="nil"/>
              <w:tr2bl w:val="nil"/>
            </w:tcBorders>
            <w:shd w:val="solid" w:color="016794" w:fill="FFFFFF"/>
            <w:tcMar>
              <w:left w:w="60" w:type="dxa"/>
              <w:right w:w="60" w:type="dxa"/>
            </w:tcMar>
            <w:vAlign w:val="bottom"/>
          </w:tcPr>
          <w:p w14:paraId="3EAA8C15" w14:textId="77777777" w:rsidR="00FD1E19" w:rsidRDefault="00FD1E19" w:rsidP="00BE7E4A">
            <w:pPr>
              <w:pStyle w:val="DMETW37234BIPCONSBS"/>
              <w:rPr>
                <w:rFonts w:ascii="Verdana" w:eastAsia="Verdana" w:hAnsi="Verdana" w:cs="Verdana"/>
                <w:noProof/>
                <w:color w:val="FFFFFF"/>
              </w:rPr>
            </w:pPr>
          </w:p>
        </w:tc>
        <w:tc>
          <w:tcPr>
            <w:tcW w:w="1442" w:type="dxa"/>
            <w:tcBorders>
              <w:top w:val="nil"/>
              <w:left w:val="nil"/>
              <w:bottom w:val="nil"/>
              <w:right w:val="nil"/>
              <w:tl2br w:val="nil"/>
              <w:tr2bl w:val="nil"/>
            </w:tcBorders>
            <w:shd w:val="solid" w:color="016794" w:fill="FFFFFF"/>
            <w:tcMar>
              <w:left w:w="60" w:type="dxa"/>
              <w:right w:w="60" w:type="dxa"/>
            </w:tcMar>
            <w:vAlign w:val="bottom"/>
          </w:tcPr>
          <w:p w14:paraId="2FCCD40D" w14:textId="77777777" w:rsidR="00FD1E19" w:rsidRDefault="00FD1E19" w:rsidP="00BE7E4A">
            <w:pPr>
              <w:pStyle w:val="DMETW37234BIPCONSBS"/>
              <w:jc w:val="center"/>
              <w:rPr>
                <w:rFonts w:ascii="Verdana" w:eastAsia="Verdana" w:hAnsi="Verdana" w:cs="Verdana"/>
                <w:noProof/>
                <w:color w:val="FFFFFF"/>
              </w:rPr>
            </w:pPr>
            <w:r>
              <w:rPr>
                <w:rFonts w:ascii="Verdana" w:eastAsia="Verdana" w:hAnsi="Verdana" w:cs="Verdana"/>
                <w:noProof/>
                <w:color w:val="FFFFFF"/>
              </w:rPr>
              <w:t>31.12.2025</w:t>
            </w:r>
          </w:p>
        </w:tc>
        <w:tc>
          <w:tcPr>
            <w:tcW w:w="1442" w:type="dxa"/>
            <w:tcBorders>
              <w:top w:val="nil"/>
              <w:left w:val="nil"/>
              <w:bottom w:val="nil"/>
              <w:right w:val="nil"/>
              <w:tl2br w:val="nil"/>
              <w:tr2bl w:val="nil"/>
            </w:tcBorders>
            <w:shd w:val="solid" w:color="016794" w:fill="FFFFFF"/>
            <w:tcMar>
              <w:left w:w="60" w:type="dxa"/>
              <w:right w:w="60" w:type="dxa"/>
            </w:tcMar>
            <w:vAlign w:val="bottom"/>
          </w:tcPr>
          <w:p w14:paraId="5FEFC911" w14:textId="77777777" w:rsidR="00FD1E19" w:rsidRDefault="00FD1E19" w:rsidP="00BE7E4A">
            <w:pPr>
              <w:pStyle w:val="DMETW37234BIPCONSBS"/>
              <w:jc w:val="right"/>
              <w:rPr>
                <w:rFonts w:ascii="Verdana" w:eastAsia="Verdana" w:hAnsi="Verdana" w:cs="Verdana"/>
                <w:noProof/>
                <w:color w:val="FFFFFF"/>
                <w:lang w:bidi="en-GB"/>
              </w:rPr>
            </w:pPr>
            <w:r>
              <w:rPr>
                <w:rFonts w:ascii="Verdana" w:eastAsia="Verdana" w:hAnsi="Verdana" w:cs="Verdana"/>
                <w:noProof/>
                <w:color w:val="FFFFFF"/>
              </w:rPr>
              <w:t>31.12.2024</w:t>
            </w:r>
          </w:p>
        </w:tc>
      </w:tr>
      <w:tr w:rsidR="00FD1E19" w14:paraId="5577A7BF"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0E0840E0"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NON-CURRENT ASSETS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6DAD7A22"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3333635D" w14:textId="77777777" w:rsidR="00FD1E19" w:rsidRDefault="00FD1E19" w:rsidP="00BE7E4A">
            <w:pPr>
              <w:pStyle w:val="DMETW37234BIPCONSBS"/>
              <w:rPr>
                <w:rFonts w:ascii="Verdana" w:eastAsia="Verdana" w:hAnsi="Verdana" w:cs="Verdana"/>
                <w:noProof/>
                <w:color w:val="000000"/>
                <w:sz w:val="18"/>
                <w:lang w:bidi="en-GB"/>
              </w:rPr>
            </w:pPr>
          </w:p>
        </w:tc>
      </w:tr>
      <w:tr w:rsidR="00FD1E19" w14:paraId="6101A2D1"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6A6B36BB"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2E1F96CD"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119</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0CE8FB69"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131</w:t>
            </w:r>
          </w:p>
        </w:tc>
      </w:tr>
      <w:tr w:rsidR="00FD1E19" w14:paraId="7807E42B"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16D00432"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453DA497"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492</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68E0180F"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500</w:t>
            </w:r>
          </w:p>
        </w:tc>
      </w:tr>
      <w:tr w:rsidR="00FD1E19" w14:paraId="650BC707" w14:textId="77777777" w:rsidTr="00BE7E4A">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61C934F6"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Exchange receivables</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7F01BE92"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5</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00F8D4E3"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23388156" w14:textId="77777777" w:rsidTr="00BE7E4A">
        <w:trPr>
          <w:trHeight w:hRule="exact" w:val="225"/>
        </w:trPr>
        <w:tc>
          <w:tcPr>
            <w:tcW w:w="6874"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FDF4B16"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4504D62"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616</w:t>
            </w:r>
          </w:p>
        </w:tc>
        <w:tc>
          <w:tcPr>
            <w:tcW w:w="1442"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17B55988" w14:textId="77777777" w:rsidR="00FD1E19" w:rsidRDefault="00FD1E19" w:rsidP="00BE7E4A">
            <w:pPr>
              <w:pStyle w:val="DMETW37234BIPCONS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637</w:t>
            </w:r>
          </w:p>
        </w:tc>
      </w:tr>
      <w:tr w:rsidR="00FD1E19" w14:paraId="0BE400B4" w14:textId="77777777" w:rsidTr="00BE7E4A">
        <w:trPr>
          <w:trHeight w:hRule="exact" w:val="225"/>
        </w:trPr>
        <w:tc>
          <w:tcPr>
            <w:tcW w:w="6874"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49C68C4B"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CURRENT ASSETS</w:t>
            </w:r>
          </w:p>
        </w:tc>
        <w:tc>
          <w:tcPr>
            <w:tcW w:w="1442"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61010118" w14:textId="77777777" w:rsidR="00FD1E19" w:rsidRDefault="00FD1E19" w:rsidP="00BE7E4A">
            <w:pPr>
              <w:pStyle w:val="DMETW37234BIPCONSBS"/>
              <w:jc w:val="right"/>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shd w:val="solid" w:color="FFFFFF" w:fill="FFFFFF"/>
            <w:tcMar>
              <w:left w:w="60" w:type="dxa"/>
              <w:right w:w="60" w:type="dxa"/>
            </w:tcMar>
            <w:vAlign w:val="bottom"/>
          </w:tcPr>
          <w:p w14:paraId="7E93EC7A" w14:textId="77777777" w:rsidR="00FD1E19" w:rsidRDefault="00FD1E19" w:rsidP="00BE7E4A">
            <w:pPr>
              <w:pStyle w:val="DMETW37234BIPCONSBS"/>
              <w:jc w:val="right"/>
              <w:rPr>
                <w:rFonts w:ascii="Verdana" w:eastAsia="Verdana" w:hAnsi="Verdana" w:cs="Verdana"/>
                <w:noProof/>
                <w:color w:val="000000"/>
                <w:sz w:val="18"/>
                <w:lang w:bidi="en-GB"/>
              </w:rPr>
            </w:pPr>
          </w:p>
        </w:tc>
      </w:tr>
      <w:tr w:rsidR="00FD1E19" w14:paraId="25030248"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44FBC0F2"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Financial assets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0925EFAA"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0F6807E1"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w:t>
            </w:r>
          </w:p>
        </w:tc>
      </w:tr>
      <w:tr w:rsidR="00FD1E19" w14:paraId="3E5CA4C0"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7F7B38D4"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Pre-financing</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35401175"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556</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5EA7377"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876</w:t>
            </w:r>
          </w:p>
        </w:tc>
      </w:tr>
      <w:tr w:rsidR="00FD1E19" w14:paraId="6096C7AF"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032931CB"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Exchange receivables and non-exchange recoverables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5E67FCA1"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56</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56539C0F"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63</w:t>
            </w:r>
          </w:p>
        </w:tc>
      </w:tr>
      <w:tr w:rsidR="00FD1E19" w14:paraId="372711EC" w14:textId="77777777" w:rsidTr="00BE7E4A">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1377756B"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 xml:space="preserve">Cash and cash equivalents </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68E05279"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420</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00C8EC8A"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622</w:t>
            </w:r>
          </w:p>
        </w:tc>
      </w:tr>
      <w:tr w:rsidR="00FD1E19" w14:paraId="63C50A94" w14:textId="77777777" w:rsidTr="00BE7E4A">
        <w:trPr>
          <w:trHeight w:hRule="exact" w:val="225"/>
        </w:trPr>
        <w:tc>
          <w:tcPr>
            <w:tcW w:w="6874" w:type="dxa"/>
            <w:tcBorders>
              <w:top w:val="single" w:sz="4" w:space="0" w:color="016794"/>
              <w:left w:val="nil"/>
              <w:bottom w:val="nil"/>
              <w:right w:val="nil"/>
              <w:tl2br w:val="nil"/>
              <w:tr2bl w:val="nil"/>
            </w:tcBorders>
            <w:shd w:val="clear" w:color="auto" w:fill="auto"/>
            <w:tcMar>
              <w:left w:w="60" w:type="dxa"/>
              <w:right w:w="60" w:type="dxa"/>
            </w:tcMar>
            <w:vAlign w:val="bottom"/>
          </w:tcPr>
          <w:p w14:paraId="70E74F84"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shd w:val="clear" w:color="auto" w:fill="auto"/>
            <w:tcMar>
              <w:left w:w="60" w:type="dxa"/>
              <w:right w:w="60" w:type="dxa"/>
            </w:tcMar>
            <w:vAlign w:val="bottom"/>
          </w:tcPr>
          <w:p w14:paraId="74E27CE0"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1 034</w:t>
            </w:r>
          </w:p>
        </w:tc>
        <w:tc>
          <w:tcPr>
            <w:tcW w:w="1442" w:type="dxa"/>
            <w:tcBorders>
              <w:top w:val="single" w:sz="4" w:space="0" w:color="016794"/>
              <w:left w:val="nil"/>
              <w:bottom w:val="nil"/>
              <w:right w:val="nil"/>
              <w:tl2br w:val="nil"/>
              <w:tr2bl w:val="nil"/>
            </w:tcBorders>
            <w:shd w:val="clear" w:color="auto" w:fill="auto"/>
            <w:tcMar>
              <w:left w:w="60" w:type="dxa"/>
              <w:right w:w="60" w:type="dxa"/>
            </w:tcMar>
            <w:vAlign w:val="bottom"/>
          </w:tcPr>
          <w:p w14:paraId="2FDD9C61" w14:textId="77777777" w:rsidR="00FD1E19" w:rsidRDefault="00FD1E19" w:rsidP="00BE7E4A">
            <w:pPr>
              <w:pStyle w:val="DMETW37234BIPCONSBS"/>
              <w:jc w:val="right"/>
              <w:rPr>
                <w:rFonts w:ascii="Verdana" w:eastAsia="Verdana" w:hAnsi="Verdana" w:cs="Verdana"/>
                <w:b/>
                <w:noProof/>
                <w:color w:val="000000"/>
                <w:sz w:val="18"/>
                <w:lang w:bidi="en-GB"/>
              </w:rPr>
            </w:pPr>
            <w:r>
              <w:rPr>
                <w:rFonts w:ascii="Verdana" w:eastAsia="Verdana" w:hAnsi="Verdana" w:cs="Verdana"/>
                <w:b/>
                <w:noProof/>
                <w:color w:val="000000"/>
                <w:sz w:val="18"/>
              </w:rPr>
              <w:t>1 566</w:t>
            </w:r>
          </w:p>
        </w:tc>
      </w:tr>
      <w:tr w:rsidR="00FD1E19" w14:paraId="1C142FE4" w14:textId="77777777" w:rsidTr="00BE7E4A">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14:paraId="1933CBB3"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TOTAL ASSETS</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731A5622"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1 649</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54675AD3" w14:textId="77777777" w:rsidR="00FD1E19" w:rsidRDefault="00FD1E19" w:rsidP="00BE7E4A">
            <w:pPr>
              <w:pStyle w:val="DMETW37234BIPCONS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2 203</w:t>
            </w:r>
          </w:p>
        </w:tc>
      </w:tr>
      <w:tr w:rsidR="00FD1E19" w14:paraId="65E04421"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4D7DEC22"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2D8B7EE" w14:textId="77777777" w:rsidR="00FD1E19" w:rsidRDefault="00FD1E19" w:rsidP="00BE7E4A">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F150EA8" w14:textId="77777777" w:rsidR="00FD1E19" w:rsidRDefault="00FD1E19" w:rsidP="00BE7E4A">
            <w:pPr>
              <w:pStyle w:val="DMETW37234BIPCONSBS"/>
              <w:jc w:val="right"/>
              <w:rPr>
                <w:rFonts w:ascii="Verdana" w:eastAsia="Verdana" w:hAnsi="Verdana" w:cs="Verdana"/>
                <w:noProof/>
                <w:color w:val="000000"/>
                <w:sz w:val="18"/>
                <w:lang w:bidi="en-GB"/>
              </w:rPr>
            </w:pPr>
          </w:p>
        </w:tc>
      </w:tr>
      <w:tr w:rsidR="00FD1E19" w14:paraId="7FCEBF4F"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67A2A4FD"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NON-CURRENT LIABILITIES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65A0798A" w14:textId="77777777" w:rsidR="00FD1E19" w:rsidRDefault="00FD1E19" w:rsidP="00BE7E4A">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58639818" w14:textId="77777777" w:rsidR="00FD1E19" w:rsidRDefault="00FD1E19" w:rsidP="00BE7E4A">
            <w:pPr>
              <w:pStyle w:val="DMETW37234BIPCONSBS"/>
              <w:jc w:val="right"/>
              <w:rPr>
                <w:rFonts w:ascii="Verdana" w:eastAsia="Verdana" w:hAnsi="Verdana" w:cs="Verdana"/>
                <w:noProof/>
                <w:color w:val="000000"/>
                <w:sz w:val="18"/>
                <w:lang w:bidi="en-GB"/>
              </w:rPr>
            </w:pPr>
          </w:p>
        </w:tc>
      </w:tr>
      <w:tr w:rsidR="00FD1E19" w14:paraId="3A5C898C"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398E3DCC"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Financial liabilities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20E59DF1"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(40)</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23E8F06F"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(88)</w:t>
            </w:r>
          </w:p>
        </w:tc>
      </w:tr>
      <w:tr w:rsidR="00FD1E19" w14:paraId="233D1683" w14:textId="77777777" w:rsidTr="00BE7E4A">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14:paraId="0B1594AF" w14:textId="77777777" w:rsidR="00FD1E19" w:rsidRDefault="00FD1E19" w:rsidP="00BE7E4A">
            <w:pPr>
              <w:pStyle w:val="DMETW37234BIPCONSBS"/>
              <w:jc w:val="right"/>
              <w:rPr>
                <w:rFonts w:ascii="Verdana" w:eastAsia="Verdana" w:hAnsi="Verdana" w:cs="Verdana"/>
                <w:b/>
                <w:noProof/>
                <w:color w:val="000000"/>
                <w:sz w:val="18"/>
              </w:rPr>
            </w:pP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55F5A25D"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(40)</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4B62AABE" w14:textId="77777777" w:rsidR="00FD1E19" w:rsidRDefault="00FD1E19" w:rsidP="00BE7E4A">
            <w:pPr>
              <w:pStyle w:val="DMETW37234BIPCONS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(88)</w:t>
            </w:r>
          </w:p>
        </w:tc>
      </w:tr>
      <w:tr w:rsidR="00FD1E19" w14:paraId="4C8CA430"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7995711C"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CURRENT LIABILITIES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52130FC" w14:textId="77777777" w:rsidR="00FD1E19" w:rsidRDefault="00FD1E19" w:rsidP="00BE7E4A">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15613075" w14:textId="77777777" w:rsidR="00FD1E19" w:rsidRDefault="00FD1E19" w:rsidP="00BE7E4A">
            <w:pPr>
              <w:pStyle w:val="DMETW37234BIPCONSBS"/>
              <w:jc w:val="right"/>
              <w:rPr>
                <w:rFonts w:ascii="Verdana" w:eastAsia="Verdana" w:hAnsi="Verdana" w:cs="Verdana"/>
                <w:noProof/>
                <w:color w:val="000000"/>
                <w:sz w:val="18"/>
                <w:lang w:bidi="en-GB"/>
              </w:rPr>
            </w:pPr>
          </w:p>
        </w:tc>
      </w:tr>
      <w:tr w:rsidR="00FD1E19" w14:paraId="0BE7353E"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4A839B4E"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Provisions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35E9DF52"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(0)</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68291A6A"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0D245A4F"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3FF2521B"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Payables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4E44B3B1"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(204)</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3CAE7DFE"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(272)</w:t>
            </w:r>
          </w:p>
        </w:tc>
      </w:tr>
      <w:tr w:rsidR="00FD1E19" w14:paraId="1EDD97CD" w14:textId="77777777" w:rsidTr="00BE7E4A">
        <w:trPr>
          <w:trHeight w:hRule="exact" w:val="225"/>
        </w:trPr>
        <w:tc>
          <w:tcPr>
            <w:tcW w:w="6874"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46A944CB"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Accrued charges and deferred income</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66C0ED25"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 xml:space="preserve"> (733)</w:t>
            </w:r>
          </w:p>
        </w:tc>
        <w:tc>
          <w:tcPr>
            <w:tcW w:w="1442" w:type="dxa"/>
            <w:tcBorders>
              <w:top w:val="nil"/>
              <w:left w:val="nil"/>
              <w:bottom w:val="single" w:sz="4" w:space="0" w:color="016794"/>
              <w:right w:val="nil"/>
              <w:tl2br w:val="nil"/>
              <w:tr2bl w:val="nil"/>
            </w:tcBorders>
            <w:shd w:val="solid" w:color="FFFFFF" w:fill="FFFFFF"/>
            <w:tcMar>
              <w:left w:w="60" w:type="dxa"/>
              <w:right w:w="60" w:type="dxa"/>
            </w:tcMar>
            <w:vAlign w:val="bottom"/>
          </w:tcPr>
          <w:p w14:paraId="125696A3"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(858)</w:t>
            </w:r>
          </w:p>
        </w:tc>
      </w:tr>
      <w:tr w:rsidR="00FD1E19" w14:paraId="62EEAE41" w14:textId="77777777" w:rsidTr="00BE7E4A">
        <w:trPr>
          <w:trHeight w:hRule="exact" w:val="225"/>
        </w:trPr>
        <w:tc>
          <w:tcPr>
            <w:tcW w:w="6874" w:type="dxa"/>
            <w:tcBorders>
              <w:top w:val="single" w:sz="4" w:space="0" w:color="016794"/>
              <w:left w:val="nil"/>
              <w:bottom w:val="nil"/>
              <w:right w:val="nil"/>
              <w:tl2br w:val="nil"/>
              <w:tr2bl w:val="nil"/>
            </w:tcBorders>
            <w:shd w:val="clear" w:color="auto" w:fill="auto"/>
            <w:tcMar>
              <w:left w:w="60" w:type="dxa"/>
              <w:right w:w="60" w:type="dxa"/>
            </w:tcMar>
            <w:vAlign w:val="bottom"/>
          </w:tcPr>
          <w:p w14:paraId="361549DF"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single" w:sz="4" w:space="0" w:color="016794"/>
              <w:left w:val="nil"/>
              <w:bottom w:val="nil"/>
              <w:right w:val="nil"/>
              <w:tl2br w:val="nil"/>
              <w:tr2bl w:val="nil"/>
            </w:tcBorders>
            <w:shd w:val="clear" w:color="auto" w:fill="auto"/>
            <w:tcMar>
              <w:left w:w="60" w:type="dxa"/>
              <w:right w:w="60" w:type="dxa"/>
            </w:tcMar>
            <w:vAlign w:val="bottom"/>
          </w:tcPr>
          <w:p w14:paraId="69BFC4E7"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(936)</w:t>
            </w:r>
          </w:p>
        </w:tc>
        <w:tc>
          <w:tcPr>
            <w:tcW w:w="1442" w:type="dxa"/>
            <w:tcBorders>
              <w:top w:val="single" w:sz="4" w:space="0" w:color="016794"/>
              <w:left w:val="nil"/>
              <w:bottom w:val="nil"/>
              <w:right w:val="nil"/>
              <w:tl2br w:val="nil"/>
              <w:tr2bl w:val="nil"/>
            </w:tcBorders>
            <w:shd w:val="clear" w:color="auto" w:fill="auto"/>
            <w:tcMar>
              <w:left w:w="60" w:type="dxa"/>
              <w:right w:w="60" w:type="dxa"/>
            </w:tcMar>
            <w:vAlign w:val="bottom"/>
          </w:tcPr>
          <w:p w14:paraId="7CF1CA66" w14:textId="77777777" w:rsidR="00FD1E19" w:rsidRDefault="00FD1E19" w:rsidP="00BE7E4A">
            <w:pPr>
              <w:pStyle w:val="DMETW37234BIPCONSBS"/>
              <w:jc w:val="right"/>
              <w:rPr>
                <w:rFonts w:ascii="Verdana" w:eastAsia="Verdana" w:hAnsi="Verdana" w:cs="Verdana"/>
                <w:b/>
                <w:noProof/>
                <w:color w:val="000000"/>
                <w:sz w:val="18"/>
                <w:lang w:bidi="en-GB"/>
              </w:rPr>
            </w:pPr>
            <w:r>
              <w:rPr>
                <w:rFonts w:ascii="Verdana" w:eastAsia="Verdana" w:hAnsi="Verdana" w:cs="Verdana"/>
                <w:b/>
                <w:noProof/>
                <w:color w:val="000000"/>
                <w:sz w:val="18"/>
              </w:rPr>
              <w:t>(1 132)</w:t>
            </w:r>
          </w:p>
        </w:tc>
      </w:tr>
      <w:tr w:rsidR="00FD1E19" w14:paraId="31C9644A" w14:textId="77777777" w:rsidTr="00BE7E4A">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14:paraId="799FCF8C"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TOTAL LIABILITIES</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02EA2932"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(976)</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6C3B160A" w14:textId="77777777" w:rsidR="00FD1E19" w:rsidRDefault="00FD1E19" w:rsidP="00BE7E4A">
            <w:pPr>
              <w:pStyle w:val="DMETW37234BIPCONS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(1 220)</w:t>
            </w:r>
          </w:p>
        </w:tc>
      </w:tr>
      <w:tr w:rsidR="00FD1E19" w14:paraId="30C6C209"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16192F98"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5F43A359" w14:textId="77777777" w:rsidR="00FD1E19" w:rsidRDefault="00FD1E19" w:rsidP="00BE7E4A">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40DE71F6" w14:textId="77777777" w:rsidR="00FD1E19" w:rsidRDefault="00FD1E19" w:rsidP="00BE7E4A">
            <w:pPr>
              <w:pStyle w:val="DMETW37234BIPCONSBS"/>
              <w:jc w:val="right"/>
              <w:rPr>
                <w:rFonts w:ascii="Verdana" w:eastAsia="Verdana" w:hAnsi="Verdana" w:cs="Verdana"/>
                <w:noProof/>
                <w:color w:val="000000"/>
                <w:sz w:val="18"/>
                <w:lang w:bidi="en-GB"/>
              </w:rPr>
            </w:pPr>
          </w:p>
        </w:tc>
      </w:tr>
      <w:tr w:rsidR="00FD1E19" w14:paraId="44736B44" w14:textId="77777777" w:rsidTr="00BE7E4A">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14:paraId="540E9AAD"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4F50BCA8"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676262C1" w14:textId="77777777" w:rsidR="00FD1E19" w:rsidRDefault="00FD1E19" w:rsidP="00BE7E4A">
            <w:pPr>
              <w:pStyle w:val="DMETW37234BIPCONSBS"/>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983</w:t>
            </w:r>
          </w:p>
        </w:tc>
      </w:tr>
      <w:tr w:rsidR="00FD1E19" w14:paraId="2F7FD99F"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1AE6F1C9" w14:textId="77777777" w:rsidR="00FD1E19" w:rsidRDefault="00FD1E19" w:rsidP="00BE7E4A">
            <w:pPr>
              <w:pStyle w:val="DMETW37234BIPCONSBS"/>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28D67CF2" w14:textId="77777777" w:rsidR="00FD1E19" w:rsidRDefault="00FD1E19" w:rsidP="00BE7E4A">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478409FC" w14:textId="77777777" w:rsidR="00FD1E19" w:rsidRDefault="00FD1E19" w:rsidP="00BE7E4A">
            <w:pPr>
              <w:pStyle w:val="DMETW37234BIPCONSBS"/>
              <w:jc w:val="right"/>
              <w:rPr>
                <w:rFonts w:ascii="Verdana" w:eastAsia="Verdana" w:hAnsi="Verdana" w:cs="Verdana"/>
                <w:noProof/>
                <w:color w:val="000000"/>
                <w:sz w:val="18"/>
                <w:lang w:bidi="en-GB"/>
              </w:rPr>
            </w:pPr>
          </w:p>
        </w:tc>
      </w:tr>
      <w:tr w:rsidR="00FD1E19" w14:paraId="1A2F886D"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56CC70C4"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FUNDS &amp; RESERVES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C0EFE65" w14:textId="77777777" w:rsidR="00FD1E19" w:rsidRDefault="00FD1E19" w:rsidP="00BE7E4A">
            <w:pPr>
              <w:pStyle w:val="DMETW37234BIPCONSBS"/>
              <w:jc w:val="right"/>
              <w:rPr>
                <w:rFonts w:ascii="Verdana" w:eastAsia="Verdana" w:hAnsi="Verdana" w:cs="Verdana"/>
                <w:noProof/>
                <w:color w:val="000000"/>
                <w:sz w:val="18"/>
              </w:rPr>
            </w:pP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664257CF" w14:textId="77777777" w:rsidR="00FD1E19" w:rsidRDefault="00FD1E19" w:rsidP="00BE7E4A">
            <w:pPr>
              <w:pStyle w:val="DMETW37234BIPCONSBS"/>
              <w:jc w:val="right"/>
              <w:rPr>
                <w:rFonts w:ascii="Verdana" w:eastAsia="Verdana" w:hAnsi="Verdana" w:cs="Verdana"/>
                <w:noProof/>
                <w:color w:val="000000"/>
                <w:sz w:val="18"/>
                <w:lang w:bidi="en-GB"/>
              </w:rPr>
            </w:pPr>
          </w:p>
        </w:tc>
      </w:tr>
      <w:tr w:rsidR="00FD1E19" w14:paraId="4A127DB5"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2C918A7A"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Called fund capital - active EDFs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667A2BBB"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56 488</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7EC94B9"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55 704</w:t>
            </w:r>
          </w:p>
        </w:tc>
      </w:tr>
      <w:tr w:rsidR="00FD1E19" w14:paraId="61519E2C"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426D7660"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Called fund capital from closed EDFs carried forward</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C6310BF"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2 252</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7F866159"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2 252</w:t>
            </w:r>
          </w:p>
        </w:tc>
      </w:tr>
      <w:tr w:rsidR="00FD1E19" w14:paraId="246DA726" w14:textId="77777777" w:rsidTr="00BE7E4A">
        <w:trPr>
          <w:trHeight w:hRule="exact" w:val="225"/>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132DEE28"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Economic result carried forward from previous years</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641624C8"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(56 973)</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408E0BF6"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(55 733)</w:t>
            </w:r>
          </w:p>
        </w:tc>
      </w:tr>
      <w:tr w:rsidR="00FD1E19" w14:paraId="270C49CD" w14:textId="77777777" w:rsidTr="00BE7E4A">
        <w:trPr>
          <w:trHeight w:hRule="exact" w:val="228"/>
        </w:trPr>
        <w:tc>
          <w:tcPr>
            <w:tcW w:w="6874" w:type="dxa"/>
            <w:tcBorders>
              <w:top w:val="nil"/>
              <w:left w:val="nil"/>
              <w:bottom w:val="nil"/>
              <w:right w:val="nil"/>
              <w:tl2br w:val="nil"/>
              <w:tr2bl w:val="nil"/>
            </w:tcBorders>
            <w:shd w:val="solid" w:color="FFFFFF" w:fill="FFFFFF"/>
            <w:tcMar>
              <w:left w:w="60" w:type="dxa"/>
              <w:right w:w="60" w:type="dxa"/>
            </w:tcMar>
            <w:vAlign w:val="bottom"/>
          </w:tcPr>
          <w:p w14:paraId="1DB21AEC" w14:textId="77777777" w:rsidR="00FD1E19" w:rsidRDefault="00FD1E19" w:rsidP="00BE7E4A">
            <w:pPr>
              <w:pStyle w:val="DMETW37234BIPCONSBS"/>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54BF9976" w14:textId="77777777" w:rsidR="00FD1E19" w:rsidRDefault="00FD1E19" w:rsidP="00BE7E4A">
            <w:pPr>
              <w:pStyle w:val="DMETW37234BIPCONSBS"/>
              <w:jc w:val="right"/>
              <w:rPr>
                <w:rFonts w:ascii="Verdana" w:eastAsia="Verdana" w:hAnsi="Verdana" w:cs="Verdana"/>
                <w:i/>
                <w:noProof/>
                <w:color w:val="000000"/>
                <w:sz w:val="18"/>
              </w:rPr>
            </w:pPr>
            <w:r>
              <w:rPr>
                <w:rFonts w:ascii="Verdana" w:eastAsia="Verdana" w:hAnsi="Verdana" w:cs="Verdana"/>
                <w:i/>
                <w:noProof/>
                <w:color w:val="000000"/>
                <w:sz w:val="18"/>
              </w:rPr>
              <w:t>(1 094)</w:t>
            </w:r>
          </w:p>
        </w:tc>
        <w:tc>
          <w:tcPr>
            <w:tcW w:w="1442" w:type="dxa"/>
            <w:tcBorders>
              <w:top w:val="nil"/>
              <w:left w:val="nil"/>
              <w:bottom w:val="nil"/>
              <w:right w:val="nil"/>
              <w:tl2br w:val="nil"/>
              <w:tr2bl w:val="nil"/>
            </w:tcBorders>
            <w:shd w:val="solid" w:color="FFFFFF" w:fill="FFFFFF"/>
            <w:tcMar>
              <w:left w:w="60" w:type="dxa"/>
              <w:right w:w="60" w:type="dxa"/>
            </w:tcMar>
            <w:vAlign w:val="bottom"/>
          </w:tcPr>
          <w:p w14:paraId="556F39E1" w14:textId="77777777" w:rsidR="00FD1E19" w:rsidRDefault="00FD1E19" w:rsidP="00BE7E4A">
            <w:pPr>
              <w:pStyle w:val="DMETW37234BIPCONSBS"/>
              <w:jc w:val="right"/>
              <w:rPr>
                <w:rFonts w:ascii="Verdana" w:eastAsia="Verdana" w:hAnsi="Verdana" w:cs="Verdana"/>
                <w:i/>
                <w:noProof/>
                <w:color w:val="000000"/>
                <w:sz w:val="18"/>
                <w:lang w:bidi="en-GB"/>
              </w:rPr>
            </w:pPr>
            <w:r>
              <w:rPr>
                <w:rFonts w:ascii="Verdana" w:eastAsia="Verdana" w:hAnsi="Verdana" w:cs="Verdana"/>
                <w:i/>
                <w:noProof/>
                <w:color w:val="000000"/>
                <w:sz w:val="18"/>
              </w:rPr>
              <w:t>(1 240)</w:t>
            </w:r>
          </w:p>
        </w:tc>
      </w:tr>
      <w:tr w:rsidR="00FD1E19" w14:paraId="0B43A665" w14:textId="77777777" w:rsidTr="00BE7E4A">
        <w:trPr>
          <w:trHeight w:hRule="exact" w:val="225"/>
        </w:trPr>
        <w:tc>
          <w:tcPr>
            <w:tcW w:w="6874" w:type="dxa"/>
            <w:tcBorders>
              <w:top w:val="nil"/>
              <w:left w:val="nil"/>
              <w:bottom w:val="nil"/>
              <w:right w:val="nil"/>
              <w:tl2br w:val="nil"/>
              <w:tr2bl w:val="nil"/>
            </w:tcBorders>
            <w:shd w:val="solid" w:color="CCE1EA" w:fill="FFFFFF"/>
            <w:tcMar>
              <w:left w:w="60" w:type="dxa"/>
              <w:right w:w="60" w:type="dxa"/>
            </w:tcMar>
            <w:vAlign w:val="bottom"/>
          </w:tcPr>
          <w:p w14:paraId="1D7807E1" w14:textId="77777777" w:rsidR="00FD1E19" w:rsidRDefault="00FD1E19" w:rsidP="00BE7E4A">
            <w:pPr>
              <w:pStyle w:val="DMETW37234BIPCONSBS"/>
              <w:rPr>
                <w:rFonts w:ascii="Verdana" w:eastAsia="Verdana" w:hAnsi="Verdana" w:cs="Verdana"/>
                <w:b/>
                <w:noProof/>
                <w:color w:val="000000"/>
                <w:sz w:val="18"/>
              </w:rPr>
            </w:pPr>
            <w:r>
              <w:rPr>
                <w:rFonts w:ascii="Verdana" w:eastAsia="Verdana" w:hAnsi="Verdana" w:cs="Verdana"/>
                <w:b/>
                <w:noProof/>
                <w:color w:val="000000"/>
                <w:sz w:val="18"/>
              </w:rPr>
              <w:t>NET ASSETS</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20D30461"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c>
          <w:tcPr>
            <w:tcW w:w="1442" w:type="dxa"/>
            <w:tcBorders>
              <w:top w:val="nil"/>
              <w:left w:val="nil"/>
              <w:bottom w:val="nil"/>
              <w:right w:val="nil"/>
              <w:tl2br w:val="nil"/>
              <w:tr2bl w:val="nil"/>
            </w:tcBorders>
            <w:shd w:val="solid" w:color="CCE1EA" w:fill="FFFFFF"/>
            <w:tcMar>
              <w:left w:w="60" w:type="dxa"/>
              <w:right w:w="60" w:type="dxa"/>
            </w:tcMar>
            <w:vAlign w:val="bottom"/>
          </w:tcPr>
          <w:p w14:paraId="5A5BB535" w14:textId="77777777" w:rsidR="00FD1E19" w:rsidRDefault="00FD1E19" w:rsidP="00BE7E4A">
            <w:pPr>
              <w:pStyle w:val="DMETW37234BIPCONSBS"/>
              <w:jc w:val="right"/>
              <w:rPr>
                <w:rFonts w:ascii="Verdana" w:eastAsia="Verdana" w:hAnsi="Verdana" w:cs="Verdana"/>
                <w:b/>
                <w:noProof/>
                <w:color w:val="000000"/>
                <w:sz w:val="18"/>
              </w:rPr>
            </w:pPr>
            <w:r>
              <w:rPr>
                <w:rFonts w:ascii="Verdana" w:eastAsia="Verdana" w:hAnsi="Verdana" w:cs="Verdana"/>
                <w:b/>
                <w:noProof/>
                <w:color w:val="000000"/>
                <w:sz w:val="18"/>
              </w:rPr>
              <w:t xml:space="preserve">  983</w:t>
            </w:r>
          </w:p>
        </w:tc>
      </w:tr>
    </w:tbl>
    <w:p w14:paraId="3D5338FF" w14:textId="77777777" w:rsidR="00FD1E19" w:rsidRDefault="00FD1E19" w:rsidP="00FD1E19">
      <w:pPr>
        <w:pStyle w:val="HEADERTITLE1"/>
      </w:pPr>
    </w:p>
    <w:p w14:paraId="3CBE7357" w14:textId="77777777" w:rsidR="00FD1E19" w:rsidRDefault="00FD1E19" w:rsidP="00FD1E19">
      <w:pPr>
        <w:pStyle w:val="HEADERTITLE1"/>
      </w:pPr>
    </w:p>
    <w:p w14:paraId="715BAF3D" w14:textId="77777777" w:rsidR="00FD1E19" w:rsidRDefault="00FD1E19" w:rsidP="00FD1E19">
      <w:pPr>
        <w:pStyle w:val="HEADERTITLE1"/>
        <w:sectPr w:rsidR="00FD1E19" w:rsidSect="00FD1E19">
          <w:headerReference w:type="default" r:id="rId130"/>
          <w:footerReference w:type="default" r:id="rId131"/>
          <w:pgSz w:w="11906" w:h="16838" w:code="9"/>
          <w:pgMar w:top="1134" w:right="1134" w:bottom="1134" w:left="1134" w:header="708" w:footer="708" w:gutter="0"/>
          <w:cols w:space="708"/>
          <w:docGrid w:linePitch="360"/>
        </w:sectPr>
      </w:pPr>
    </w:p>
    <w:p w14:paraId="655EA0CF" w14:textId="77777777" w:rsidR="00FD1E19" w:rsidRDefault="00FD1E19" w:rsidP="00FD1E19">
      <w:pPr>
        <w:pStyle w:val="HEADERTITLE1"/>
        <w:rPr>
          <w:lang w:val="en-US"/>
        </w:rPr>
      </w:pPr>
      <w:bookmarkStart w:id="170" w:name="_Toc9948407"/>
      <w:bookmarkStart w:id="171" w:name="_Toc232609796"/>
      <w:r w:rsidRPr="008C2B0E">
        <w:rPr>
          <w:lang w:val="en-US"/>
        </w:rPr>
        <w:t>CONSOLIDATED STATEMENT OF FINANCIAL PERFORMANCE</w:t>
      </w:r>
      <w:bookmarkEnd w:id="170"/>
      <w:bookmarkEnd w:id="171"/>
    </w:p>
    <w:tbl>
      <w:tblPr>
        <w:tblW w:w="5000" w:type="pct"/>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8"/>
        <w:gridCol w:w="1936"/>
        <w:gridCol w:w="1444"/>
      </w:tblGrid>
      <w:tr w:rsidR="00FD1E19" w14:paraId="0C0F92B5"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7A4C0388" w14:textId="77777777" w:rsidR="00FD1E19" w:rsidRDefault="00FD1E19" w:rsidP="00BE7E4A">
            <w:pPr>
              <w:pStyle w:val="DMETW37234BIPCONSPL"/>
              <w:jc w:val="right"/>
              <w:rPr>
                <w:rFonts w:ascii="Verdana" w:eastAsia="Verdana" w:hAnsi="Verdana" w:cs="Verdana"/>
                <w:noProof/>
                <w:color w:val="000000"/>
                <w:sz w:val="18"/>
                <w:lang w:bidi="en-GB"/>
              </w:rPr>
            </w:pPr>
            <w:bookmarkStart w:id="172" w:name="DOC_TBL00058_1_1"/>
            <w:bookmarkEnd w:id="172"/>
          </w:p>
        </w:tc>
        <w:tc>
          <w:tcPr>
            <w:tcW w:w="1830" w:type="dxa"/>
            <w:tcBorders>
              <w:top w:val="nil"/>
              <w:left w:val="nil"/>
              <w:bottom w:val="nil"/>
              <w:right w:val="nil"/>
              <w:tl2br w:val="nil"/>
              <w:tr2bl w:val="nil"/>
            </w:tcBorders>
            <w:shd w:val="clear" w:color="auto" w:fill="auto"/>
            <w:tcMar>
              <w:left w:w="60" w:type="dxa"/>
              <w:right w:w="60" w:type="dxa"/>
            </w:tcMar>
            <w:vAlign w:val="center"/>
          </w:tcPr>
          <w:p w14:paraId="51306C8B" w14:textId="77777777" w:rsidR="00FD1E19" w:rsidRDefault="00FD1E19" w:rsidP="00BE7E4A">
            <w:pPr>
              <w:pStyle w:val="DMETW37234BIPCONSPL"/>
              <w:rPr>
                <w:rFonts w:ascii="Verdana" w:eastAsia="Verdana" w:hAnsi="Verdana" w:cs="Verdana"/>
                <w:noProof/>
                <w:color w:val="000000"/>
                <w:sz w:val="18"/>
              </w:rPr>
            </w:pPr>
          </w:p>
        </w:tc>
        <w:tc>
          <w:tcPr>
            <w:tcW w:w="1365" w:type="dxa"/>
            <w:tcBorders>
              <w:top w:val="nil"/>
              <w:left w:val="nil"/>
              <w:bottom w:val="nil"/>
              <w:right w:val="nil"/>
              <w:tl2br w:val="nil"/>
              <w:tr2bl w:val="nil"/>
            </w:tcBorders>
            <w:shd w:val="clear" w:color="auto" w:fill="auto"/>
            <w:tcMar>
              <w:left w:w="60" w:type="dxa"/>
              <w:right w:w="60" w:type="dxa"/>
            </w:tcMar>
            <w:vAlign w:val="center"/>
          </w:tcPr>
          <w:p w14:paraId="49C0FF51" w14:textId="77777777" w:rsidR="00FD1E19" w:rsidRDefault="00FD1E19" w:rsidP="00BE7E4A">
            <w:pPr>
              <w:pStyle w:val="DMETW37234BIPCONSPL"/>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1D593C6D" w14:textId="77777777" w:rsidTr="00BE7E4A">
        <w:trPr>
          <w:trHeight w:hRule="exact" w:val="255"/>
        </w:trPr>
        <w:tc>
          <w:tcPr>
            <w:tcW w:w="6030" w:type="dxa"/>
            <w:tcBorders>
              <w:top w:val="nil"/>
              <w:left w:val="nil"/>
              <w:bottom w:val="nil"/>
              <w:right w:val="nil"/>
              <w:tl2br w:val="nil"/>
              <w:tr2bl w:val="nil"/>
            </w:tcBorders>
            <w:shd w:val="solid" w:color="016794" w:fill="FFFFFF"/>
            <w:tcMar>
              <w:left w:w="60" w:type="dxa"/>
              <w:right w:w="60" w:type="dxa"/>
            </w:tcMar>
            <w:vAlign w:val="bottom"/>
          </w:tcPr>
          <w:p w14:paraId="4C7BD9C8" w14:textId="77777777" w:rsidR="00FD1E19" w:rsidRDefault="00FD1E19" w:rsidP="00BE7E4A">
            <w:pPr>
              <w:pStyle w:val="DMETW37234BIPCONSPL"/>
              <w:rPr>
                <w:rFonts w:ascii="Verdana" w:eastAsia="Verdana" w:hAnsi="Verdana" w:cs="Verdana"/>
                <w:noProof/>
                <w:color w:val="FFFFFF"/>
              </w:rPr>
            </w:pPr>
          </w:p>
        </w:tc>
        <w:tc>
          <w:tcPr>
            <w:tcW w:w="1830" w:type="dxa"/>
            <w:tcBorders>
              <w:top w:val="nil"/>
              <w:left w:val="nil"/>
              <w:bottom w:val="nil"/>
              <w:right w:val="nil"/>
              <w:tl2br w:val="nil"/>
              <w:tr2bl w:val="nil"/>
            </w:tcBorders>
            <w:shd w:val="solid" w:color="016794" w:fill="FFFFFF"/>
            <w:tcMar>
              <w:left w:w="60" w:type="dxa"/>
              <w:right w:w="60" w:type="dxa"/>
            </w:tcMar>
            <w:vAlign w:val="bottom"/>
          </w:tcPr>
          <w:p w14:paraId="465EB80E" w14:textId="77777777" w:rsidR="00FD1E19" w:rsidRDefault="00FD1E19" w:rsidP="00BE7E4A">
            <w:pPr>
              <w:pStyle w:val="DMETW37234BIPCONSPL"/>
              <w:jc w:val="right"/>
              <w:rPr>
                <w:rFonts w:ascii="Verdana" w:eastAsia="Verdana" w:hAnsi="Verdana" w:cs="Verdana"/>
                <w:noProof/>
                <w:color w:val="FFFFFF"/>
              </w:rPr>
            </w:pPr>
            <w:r>
              <w:rPr>
                <w:rFonts w:ascii="Verdana" w:eastAsia="Verdana" w:hAnsi="Verdana" w:cs="Verdana"/>
                <w:noProof/>
                <w:color w:val="FFFFFF"/>
              </w:rPr>
              <w:t>2025</w:t>
            </w:r>
          </w:p>
        </w:tc>
        <w:tc>
          <w:tcPr>
            <w:tcW w:w="1365" w:type="dxa"/>
            <w:tcBorders>
              <w:top w:val="nil"/>
              <w:left w:val="nil"/>
              <w:bottom w:val="nil"/>
              <w:right w:val="nil"/>
              <w:tl2br w:val="nil"/>
              <w:tr2bl w:val="nil"/>
            </w:tcBorders>
            <w:shd w:val="solid" w:color="016794" w:fill="FFFFFF"/>
            <w:tcMar>
              <w:left w:w="60" w:type="dxa"/>
              <w:right w:w="60" w:type="dxa"/>
            </w:tcMar>
            <w:vAlign w:val="bottom"/>
          </w:tcPr>
          <w:p w14:paraId="3AC7C83A" w14:textId="77777777" w:rsidR="00FD1E19" w:rsidRDefault="00FD1E19" w:rsidP="00BE7E4A">
            <w:pPr>
              <w:pStyle w:val="DMETW37234BIPCONSPL"/>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6D0D75DB"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036FF5E5" w14:textId="77777777" w:rsidR="00FD1E19" w:rsidRDefault="00FD1E19" w:rsidP="00BE7E4A">
            <w:pPr>
              <w:pStyle w:val="DMETW37234BIPCONSPL"/>
              <w:rPr>
                <w:rFonts w:ascii="Verdana" w:eastAsia="Verdana" w:hAnsi="Verdana" w:cs="Verdana"/>
                <w:b/>
                <w:noProof/>
                <w:color w:val="000000"/>
                <w:sz w:val="18"/>
              </w:rPr>
            </w:pPr>
            <w:r>
              <w:rPr>
                <w:rFonts w:ascii="Verdana" w:eastAsia="Verdana" w:hAnsi="Verdana" w:cs="Verdana"/>
                <w:b/>
                <w:noProof/>
                <w:color w:val="000000"/>
                <w:sz w:val="18"/>
              </w:rPr>
              <w:t>REVENUE</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793912ED" w14:textId="77777777" w:rsidR="00FD1E19" w:rsidRDefault="00FD1E19" w:rsidP="00BE7E4A">
            <w:pPr>
              <w:pStyle w:val="DMETW37234BIPCONSPL"/>
              <w:rPr>
                <w:rFonts w:ascii="Verdana" w:eastAsia="Verdana" w:hAnsi="Verdana" w:cs="Verdana"/>
                <w:noProof/>
                <w:color w:val="000000"/>
                <w:sz w:val="18"/>
              </w:rPr>
            </w:pPr>
          </w:p>
        </w:tc>
        <w:tc>
          <w:tcPr>
            <w:tcW w:w="1365" w:type="dxa"/>
            <w:tcBorders>
              <w:top w:val="nil"/>
              <w:left w:val="nil"/>
              <w:bottom w:val="nil"/>
              <w:right w:val="nil"/>
              <w:tl2br w:val="nil"/>
              <w:tr2bl w:val="nil"/>
            </w:tcBorders>
            <w:shd w:val="clear" w:color="auto" w:fill="auto"/>
            <w:tcMar>
              <w:left w:w="60" w:type="dxa"/>
              <w:right w:w="60" w:type="dxa"/>
            </w:tcMar>
            <w:vAlign w:val="center"/>
          </w:tcPr>
          <w:p w14:paraId="1D980BE8" w14:textId="77777777" w:rsidR="00FD1E19" w:rsidRDefault="00FD1E19" w:rsidP="00BE7E4A">
            <w:pPr>
              <w:pStyle w:val="DMETW37234BIPCONSPL"/>
              <w:rPr>
                <w:rFonts w:ascii="Verdana" w:eastAsia="Verdana" w:hAnsi="Verdana" w:cs="Verdana"/>
                <w:noProof/>
                <w:color w:val="000000"/>
                <w:sz w:val="18"/>
                <w:lang w:bidi="en-GB"/>
              </w:rPr>
            </w:pPr>
          </w:p>
        </w:tc>
      </w:tr>
      <w:tr w:rsidR="00FD1E19" w14:paraId="095D0C70"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386F43B3" w14:textId="77777777" w:rsidR="00FD1E19" w:rsidRDefault="00FD1E19" w:rsidP="00BE7E4A">
            <w:pPr>
              <w:pStyle w:val="DMETW37234BIPCONSPL"/>
              <w:rPr>
                <w:rFonts w:ascii="Verdana" w:eastAsia="Verdana" w:hAnsi="Verdana" w:cs="Verdana"/>
                <w:b/>
                <w:noProof/>
                <w:color w:val="000000"/>
                <w:sz w:val="18"/>
              </w:rPr>
            </w:pPr>
            <w:r>
              <w:rPr>
                <w:rFonts w:ascii="Verdana" w:eastAsia="Verdana" w:hAnsi="Verdana" w:cs="Verdana"/>
                <w:b/>
                <w:noProof/>
                <w:color w:val="000000"/>
                <w:sz w:val="18"/>
              </w:rPr>
              <w:t>Revenue from non-exchange transactions</w:t>
            </w:r>
          </w:p>
        </w:tc>
        <w:tc>
          <w:tcPr>
            <w:tcW w:w="1830" w:type="dxa"/>
            <w:tcBorders>
              <w:top w:val="nil"/>
              <w:left w:val="nil"/>
              <w:bottom w:val="nil"/>
              <w:right w:val="nil"/>
              <w:tl2br w:val="nil"/>
              <w:tr2bl w:val="nil"/>
            </w:tcBorders>
            <w:shd w:val="clear" w:color="auto" w:fill="auto"/>
            <w:tcMar>
              <w:left w:w="60" w:type="dxa"/>
              <w:right w:w="60" w:type="dxa"/>
            </w:tcMar>
            <w:vAlign w:val="bottom"/>
          </w:tcPr>
          <w:p w14:paraId="1F850EA9" w14:textId="77777777" w:rsidR="00FD1E19" w:rsidRDefault="00FD1E19" w:rsidP="00BE7E4A">
            <w:pPr>
              <w:pStyle w:val="DMETW37234BIPCONSPL"/>
              <w:jc w:val="right"/>
              <w:rPr>
                <w:rFonts w:ascii="Verdana" w:eastAsia="Verdana" w:hAnsi="Verdana" w:cs="Verdana"/>
                <w:noProof/>
                <w:color w:val="000000"/>
                <w:sz w:val="18"/>
              </w:rPr>
            </w:pPr>
          </w:p>
        </w:tc>
        <w:tc>
          <w:tcPr>
            <w:tcW w:w="1365" w:type="dxa"/>
            <w:tcBorders>
              <w:top w:val="nil"/>
              <w:left w:val="nil"/>
              <w:bottom w:val="nil"/>
              <w:right w:val="nil"/>
              <w:tl2br w:val="nil"/>
              <w:tr2bl w:val="nil"/>
            </w:tcBorders>
            <w:shd w:val="clear" w:color="auto" w:fill="auto"/>
            <w:tcMar>
              <w:left w:w="60" w:type="dxa"/>
              <w:right w:w="60" w:type="dxa"/>
            </w:tcMar>
            <w:vAlign w:val="bottom"/>
          </w:tcPr>
          <w:p w14:paraId="4E901AB2" w14:textId="77777777" w:rsidR="00FD1E19" w:rsidRDefault="00FD1E19" w:rsidP="00BE7E4A">
            <w:pPr>
              <w:pStyle w:val="DMETW37234BIPCONSPL"/>
              <w:jc w:val="right"/>
              <w:rPr>
                <w:rFonts w:ascii="Verdana" w:eastAsia="Verdana" w:hAnsi="Verdana" w:cs="Verdana"/>
                <w:noProof/>
                <w:color w:val="000000"/>
                <w:sz w:val="18"/>
                <w:lang w:bidi="en-GB"/>
              </w:rPr>
            </w:pPr>
          </w:p>
        </w:tc>
      </w:tr>
      <w:tr w:rsidR="00FD1E19" w14:paraId="78F6DF2A"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51B2DC22"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Recovery activities</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55B3EE13"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13</w:t>
            </w:r>
          </w:p>
        </w:tc>
        <w:tc>
          <w:tcPr>
            <w:tcW w:w="1365" w:type="dxa"/>
            <w:tcBorders>
              <w:top w:val="nil"/>
              <w:left w:val="nil"/>
              <w:bottom w:val="nil"/>
              <w:right w:val="nil"/>
              <w:tl2br w:val="nil"/>
              <w:tr2bl w:val="nil"/>
            </w:tcBorders>
            <w:shd w:val="clear" w:color="auto" w:fill="auto"/>
            <w:tcMar>
              <w:left w:w="60" w:type="dxa"/>
              <w:right w:w="60" w:type="dxa"/>
            </w:tcMar>
            <w:vAlign w:val="center"/>
          </w:tcPr>
          <w:p w14:paraId="72C1340E"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42</w:t>
            </w:r>
          </w:p>
        </w:tc>
      </w:tr>
      <w:tr w:rsidR="00FD1E19" w14:paraId="092265DF" w14:textId="77777777" w:rsidTr="00BE7E4A">
        <w:trPr>
          <w:trHeight w:hRule="exact" w:val="255"/>
        </w:trPr>
        <w:tc>
          <w:tcPr>
            <w:tcW w:w="6030" w:type="dxa"/>
            <w:tcBorders>
              <w:top w:val="nil"/>
              <w:left w:val="nil"/>
              <w:bottom w:val="single" w:sz="4" w:space="0" w:color="016794"/>
              <w:right w:val="nil"/>
              <w:tl2br w:val="nil"/>
              <w:tr2bl w:val="nil"/>
            </w:tcBorders>
            <w:shd w:val="clear" w:color="auto" w:fill="auto"/>
            <w:tcMar>
              <w:left w:w="60" w:type="dxa"/>
              <w:right w:w="60" w:type="dxa"/>
            </w:tcMar>
            <w:vAlign w:val="center"/>
          </w:tcPr>
          <w:p w14:paraId="31DC459F"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Revenue from trust funds donations</w:t>
            </w:r>
          </w:p>
        </w:tc>
        <w:tc>
          <w:tcPr>
            <w:tcW w:w="1830" w:type="dxa"/>
            <w:tcBorders>
              <w:top w:val="nil"/>
              <w:left w:val="nil"/>
              <w:bottom w:val="single" w:sz="4" w:space="0" w:color="016794"/>
              <w:right w:val="nil"/>
              <w:tl2br w:val="nil"/>
              <w:tr2bl w:val="nil"/>
            </w:tcBorders>
            <w:shd w:val="clear" w:color="auto" w:fill="auto"/>
            <w:tcMar>
              <w:left w:w="60" w:type="dxa"/>
              <w:right w:w="60" w:type="dxa"/>
            </w:tcMar>
            <w:vAlign w:val="center"/>
          </w:tcPr>
          <w:p w14:paraId="6A67A5DF"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48</w:t>
            </w:r>
          </w:p>
        </w:tc>
        <w:tc>
          <w:tcPr>
            <w:tcW w:w="1365" w:type="dxa"/>
            <w:tcBorders>
              <w:top w:val="nil"/>
              <w:left w:val="nil"/>
              <w:bottom w:val="single" w:sz="4" w:space="0" w:color="016794"/>
              <w:right w:val="nil"/>
              <w:tl2br w:val="nil"/>
              <w:tr2bl w:val="nil"/>
            </w:tcBorders>
            <w:shd w:val="clear" w:color="auto" w:fill="auto"/>
            <w:tcMar>
              <w:left w:w="60" w:type="dxa"/>
              <w:right w:w="60" w:type="dxa"/>
            </w:tcMar>
            <w:vAlign w:val="center"/>
          </w:tcPr>
          <w:p w14:paraId="2553564C"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59</w:t>
            </w:r>
          </w:p>
        </w:tc>
      </w:tr>
      <w:tr w:rsidR="00FD1E19" w14:paraId="70141250" w14:textId="77777777" w:rsidTr="00BE7E4A">
        <w:trPr>
          <w:trHeight w:hRule="exact" w:val="255"/>
        </w:trPr>
        <w:tc>
          <w:tcPr>
            <w:tcW w:w="603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07AAE1B3" w14:textId="77777777" w:rsidR="00FD1E19" w:rsidRDefault="00FD1E19" w:rsidP="00BE7E4A">
            <w:pPr>
              <w:pStyle w:val="DMETW37234BIPCONSPL"/>
              <w:jc w:val="center"/>
              <w:rPr>
                <w:rFonts w:ascii="Verdana" w:eastAsia="Verdana" w:hAnsi="Verdana" w:cs="Verdana"/>
                <w:i/>
                <w:noProof/>
                <w:color w:val="000000"/>
                <w:sz w:val="18"/>
              </w:rPr>
            </w:pPr>
          </w:p>
        </w:tc>
        <w:tc>
          <w:tcPr>
            <w:tcW w:w="183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1A140A8" w14:textId="77777777" w:rsidR="00FD1E19" w:rsidRDefault="00FD1E19" w:rsidP="00BE7E4A">
            <w:pPr>
              <w:pStyle w:val="DMETW37234BIPCONSPL"/>
              <w:jc w:val="right"/>
              <w:rPr>
                <w:rFonts w:ascii="Verdana" w:eastAsia="Verdana" w:hAnsi="Verdana" w:cs="Verdana"/>
                <w:b/>
                <w:noProof/>
                <w:color w:val="000000"/>
                <w:sz w:val="18"/>
              </w:rPr>
            </w:pPr>
            <w:r>
              <w:rPr>
                <w:rFonts w:ascii="Verdana" w:eastAsia="Verdana" w:hAnsi="Verdana" w:cs="Verdana"/>
                <w:b/>
                <w:noProof/>
                <w:color w:val="000000"/>
                <w:sz w:val="18"/>
              </w:rPr>
              <w:t xml:space="preserve">  60</w:t>
            </w:r>
          </w:p>
        </w:tc>
        <w:tc>
          <w:tcPr>
            <w:tcW w:w="136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623A4273" w14:textId="77777777" w:rsidR="00FD1E19" w:rsidRDefault="00FD1E19" w:rsidP="00BE7E4A">
            <w:pPr>
              <w:pStyle w:val="DMETW37234BIPCONSP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100</w:t>
            </w:r>
          </w:p>
        </w:tc>
      </w:tr>
      <w:tr w:rsidR="00FD1E19" w14:paraId="10E8BDC2" w14:textId="77777777" w:rsidTr="00BE7E4A">
        <w:trPr>
          <w:trHeight w:hRule="exact" w:val="255"/>
        </w:trPr>
        <w:tc>
          <w:tcPr>
            <w:tcW w:w="6030" w:type="dxa"/>
            <w:tcBorders>
              <w:top w:val="single" w:sz="4" w:space="0" w:color="016794"/>
              <w:left w:val="nil"/>
              <w:bottom w:val="nil"/>
              <w:right w:val="nil"/>
              <w:tl2br w:val="nil"/>
              <w:tr2bl w:val="nil"/>
            </w:tcBorders>
            <w:shd w:val="clear" w:color="auto" w:fill="auto"/>
            <w:tcMar>
              <w:left w:w="60" w:type="dxa"/>
              <w:right w:w="60" w:type="dxa"/>
            </w:tcMar>
            <w:vAlign w:val="center"/>
          </w:tcPr>
          <w:p w14:paraId="4D0F6D6A" w14:textId="77777777" w:rsidR="00FD1E19" w:rsidRDefault="00FD1E19" w:rsidP="00BE7E4A">
            <w:pPr>
              <w:pStyle w:val="DMETW37234BIPCONSPL"/>
              <w:rPr>
                <w:rFonts w:ascii="Verdana" w:eastAsia="Verdana" w:hAnsi="Verdana" w:cs="Verdana"/>
                <w:b/>
                <w:noProof/>
                <w:color w:val="000000"/>
                <w:sz w:val="18"/>
              </w:rPr>
            </w:pPr>
            <w:r>
              <w:rPr>
                <w:rFonts w:ascii="Verdana" w:eastAsia="Verdana" w:hAnsi="Verdana" w:cs="Verdana"/>
                <w:b/>
                <w:noProof/>
                <w:color w:val="000000"/>
                <w:sz w:val="18"/>
              </w:rPr>
              <w:t>Revenue from exchange transactions</w:t>
            </w:r>
          </w:p>
        </w:tc>
        <w:tc>
          <w:tcPr>
            <w:tcW w:w="1830" w:type="dxa"/>
            <w:tcBorders>
              <w:top w:val="single" w:sz="4" w:space="0" w:color="016794"/>
              <w:left w:val="nil"/>
              <w:bottom w:val="nil"/>
              <w:right w:val="nil"/>
              <w:tl2br w:val="nil"/>
              <w:tr2bl w:val="nil"/>
            </w:tcBorders>
            <w:shd w:val="clear" w:color="auto" w:fill="auto"/>
            <w:tcMar>
              <w:left w:w="60" w:type="dxa"/>
              <w:right w:w="60" w:type="dxa"/>
            </w:tcMar>
            <w:vAlign w:val="bottom"/>
          </w:tcPr>
          <w:p w14:paraId="63E55A24" w14:textId="77777777" w:rsidR="00FD1E19" w:rsidRDefault="00FD1E19" w:rsidP="00BE7E4A">
            <w:pPr>
              <w:pStyle w:val="DMETW37234BIPCONSPL"/>
              <w:jc w:val="right"/>
              <w:rPr>
                <w:rFonts w:ascii="Verdana" w:eastAsia="Verdana" w:hAnsi="Verdana" w:cs="Verdana"/>
                <w:noProof/>
                <w:color w:val="000000"/>
                <w:sz w:val="18"/>
              </w:rPr>
            </w:pPr>
          </w:p>
        </w:tc>
        <w:tc>
          <w:tcPr>
            <w:tcW w:w="1365" w:type="dxa"/>
            <w:tcBorders>
              <w:top w:val="single" w:sz="4" w:space="0" w:color="016794"/>
              <w:left w:val="nil"/>
              <w:bottom w:val="nil"/>
              <w:right w:val="nil"/>
              <w:tl2br w:val="nil"/>
              <w:tr2bl w:val="nil"/>
            </w:tcBorders>
            <w:shd w:val="clear" w:color="auto" w:fill="auto"/>
            <w:tcMar>
              <w:left w:w="60" w:type="dxa"/>
              <w:right w:w="60" w:type="dxa"/>
            </w:tcMar>
            <w:vAlign w:val="bottom"/>
          </w:tcPr>
          <w:p w14:paraId="70C000B9" w14:textId="77777777" w:rsidR="00FD1E19" w:rsidRDefault="00FD1E19" w:rsidP="00BE7E4A">
            <w:pPr>
              <w:pStyle w:val="DMETW37234BIPCONSPL"/>
              <w:jc w:val="right"/>
              <w:rPr>
                <w:rFonts w:ascii="Verdana" w:eastAsia="Verdana" w:hAnsi="Verdana" w:cs="Verdana"/>
                <w:noProof/>
                <w:color w:val="000000"/>
                <w:sz w:val="18"/>
                <w:lang w:bidi="en-GB"/>
              </w:rPr>
            </w:pPr>
          </w:p>
        </w:tc>
      </w:tr>
      <w:tr w:rsidR="00FD1E19" w14:paraId="4E4A0806"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4BC47B64"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Financial revenue</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4BBE82D8"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11</w:t>
            </w:r>
          </w:p>
        </w:tc>
        <w:tc>
          <w:tcPr>
            <w:tcW w:w="1365" w:type="dxa"/>
            <w:tcBorders>
              <w:top w:val="nil"/>
              <w:left w:val="nil"/>
              <w:bottom w:val="nil"/>
              <w:right w:val="nil"/>
              <w:tl2br w:val="nil"/>
              <w:tr2bl w:val="nil"/>
            </w:tcBorders>
            <w:shd w:val="clear" w:color="auto" w:fill="auto"/>
            <w:tcMar>
              <w:left w:w="60" w:type="dxa"/>
              <w:right w:w="60" w:type="dxa"/>
            </w:tcMar>
            <w:vAlign w:val="center"/>
          </w:tcPr>
          <w:p w14:paraId="66AE784D"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26</w:t>
            </w:r>
          </w:p>
        </w:tc>
      </w:tr>
      <w:tr w:rsidR="00FD1E19" w14:paraId="6974B4A8" w14:textId="77777777" w:rsidTr="00BE7E4A">
        <w:trPr>
          <w:trHeight w:hRule="exact" w:val="255"/>
        </w:trPr>
        <w:tc>
          <w:tcPr>
            <w:tcW w:w="6030" w:type="dxa"/>
            <w:tcBorders>
              <w:top w:val="nil"/>
              <w:left w:val="nil"/>
              <w:bottom w:val="single" w:sz="4" w:space="0" w:color="016794"/>
              <w:right w:val="nil"/>
              <w:tl2br w:val="nil"/>
              <w:tr2bl w:val="nil"/>
            </w:tcBorders>
            <w:shd w:val="clear" w:color="auto" w:fill="auto"/>
            <w:tcMar>
              <w:left w:w="60" w:type="dxa"/>
              <w:right w:w="60" w:type="dxa"/>
            </w:tcMar>
            <w:vAlign w:val="center"/>
          </w:tcPr>
          <w:p w14:paraId="0922B728"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Other revenue</w:t>
            </w:r>
          </w:p>
        </w:tc>
        <w:tc>
          <w:tcPr>
            <w:tcW w:w="1830" w:type="dxa"/>
            <w:tcBorders>
              <w:top w:val="nil"/>
              <w:left w:val="nil"/>
              <w:bottom w:val="single" w:sz="4" w:space="0" w:color="016794"/>
              <w:right w:val="nil"/>
              <w:tl2br w:val="nil"/>
              <w:tr2bl w:val="nil"/>
            </w:tcBorders>
            <w:shd w:val="clear" w:color="auto" w:fill="auto"/>
            <w:tcMar>
              <w:left w:w="60" w:type="dxa"/>
              <w:right w:w="60" w:type="dxa"/>
            </w:tcMar>
            <w:vAlign w:val="center"/>
          </w:tcPr>
          <w:p w14:paraId="13D93F5E"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31</w:t>
            </w:r>
          </w:p>
        </w:tc>
        <w:tc>
          <w:tcPr>
            <w:tcW w:w="1365" w:type="dxa"/>
            <w:tcBorders>
              <w:top w:val="nil"/>
              <w:left w:val="nil"/>
              <w:bottom w:val="single" w:sz="4" w:space="0" w:color="016794"/>
              <w:right w:val="nil"/>
              <w:tl2br w:val="nil"/>
              <w:tr2bl w:val="nil"/>
            </w:tcBorders>
            <w:shd w:val="clear" w:color="auto" w:fill="auto"/>
            <w:tcMar>
              <w:left w:w="60" w:type="dxa"/>
              <w:right w:w="60" w:type="dxa"/>
            </w:tcMar>
            <w:vAlign w:val="center"/>
          </w:tcPr>
          <w:p w14:paraId="1060B7B7"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85</w:t>
            </w:r>
          </w:p>
        </w:tc>
      </w:tr>
      <w:tr w:rsidR="00FD1E19" w14:paraId="557FF348" w14:textId="77777777" w:rsidTr="00BE7E4A">
        <w:trPr>
          <w:trHeight w:hRule="exact" w:val="255"/>
        </w:trPr>
        <w:tc>
          <w:tcPr>
            <w:tcW w:w="603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3D436E51" w14:textId="77777777" w:rsidR="00FD1E19" w:rsidRDefault="00FD1E19" w:rsidP="00BE7E4A">
            <w:pPr>
              <w:pStyle w:val="DMETW37234BIPCONSPL"/>
              <w:jc w:val="center"/>
              <w:rPr>
                <w:rFonts w:ascii="Verdana" w:eastAsia="Verdana" w:hAnsi="Verdana" w:cs="Verdana"/>
                <w:i/>
                <w:noProof/>
                <w:color w:val="000000"/>
                <w:sz w:val="18"/>
              </w:rPr>
            </w:pPr>
          </w:p>
        </w:tc>
        <w:tc>
          <w:tcPr>
            <w:tcW w:w="183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EEBF8BC" w14:textId="77777777" w:rsidR="00FD1E19" w:rsidRDefault="00FD1E19" w:rsidP="00BE7E4A">
            <w:pPr>
              <w:pStyle w:val="DMETW37234BIPCONSPL"/>
              <w:jc w:val="right"/>
              <w:rPr>
                <w:rFonts w:ascii="Verdana" w:eastAsia="Verdana" w:hAnsi="Verdana" w:cs="Verdana"/>
                <w:b/>
                <w:noProof/>
                <w:color w:val="000000"/>
                <w:sz w:val="18"/>
              </w:rPr>
            </w:pPr>
            <w:r>
              <w:rPr>
                <w:rFonts w:ascii="Verdana" w:eastAsia="Verdana" w:hAnsi="Verdana" w:cs="Verdana"/>
                <w:b/>
                <w:noProof/>
                <w:color w:val="000000"/>
                <w:sz w:val="18"/>
              </w:rPr>
              <w:t xml:space="preserve">  42</w:t>
            </w:r>
          </w:p>
        </w:tc>
        <w:tc>
          <w:tcPr>
            <w:tcW w:w="136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1DB21FF0" w14:textId="77777777" w:rsidR="00FD1E19" w:rsidRDefault="00FD1E19" w:rsidP="00BE7E4A">
            <w:pPr>
              <w:pStyle w:val="DMETW37234BIPCONSP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111</w:t>
            </w:r>
          </w:p>
        </w:tc>
      </w:tr>
      <w:tr w:rsidR="00FD1E19" w14:paraId="51C3D529" w14:textId="77777777" w:rsidTr="00BE7E4A">
        <w:trPr>
          <w:trHeight w:hRule="exact" w:val="255"/>
        </w:trPr>
        <w:tc>
          <w:tcPr>
            <w:tcW w:w="603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bottom"/>
          </w:tcPr>
          <w:p w14:paraId="28A4FABB" w14:textId="77777777" w:rsidR="00FD1E19" w:rsidRDefault="00FD1E19" w:rsidP="00BE7E4A">
            <w:pPr>
              <w:pStyle w:val="DMETW37234BIPCONSPL"/>
              <w:rPr>
                <w:rFonts w:ascii="Verdana" w:eastAsia="Verdana" w:hAnsi="Verdana" w:cs="Verdana"/>
                <w:b/>
                <w:noProof/>
                <w:color w:val="000000"/>
                <w:sz w:val="18"/>
              </w:rPr>
            </w:pPr>
            <w:r>
              <w:rPr>
                <w:rFonts w:ascii="Verdana" w:eastAsia="Verdana" w:hAnsi="Verdana" w:cs="Verdana"/>
                <w:b/>
                <w:noProof/>
                <w:color w:val="000000"/>
                <w:sz w:val="18"/>
              </w:rPr>
              <w:t>Total Revenue</w:t>
            </w:r>
          </w:p>
        </w:tc>
        <w:tc>
          <w:tcPr>
            <w:tcW w:w="1830"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5C33AF26" w14:textId="77777777" w:rsidR="00FD1E19" w:rsidRDefault="00FD1E19" w:rsidP="00BE7E4A">
            <w:pPr>
              <w:pStyle w:val="DMETW37234BIPCONSPL"/>
              <w:jc w:val="right"/>
              <w:rPr>
                <w:rFonts w:ascii="Verdana" w:eastAsia="Verdana" w:hAnsi="Verdana" w:cs="Verdana"/>
                <w:b/>
                <w:noProof/>
                <w:color w:val="000000"/>
                <w:sz w:val="18"/>
              </w:rPr>
            </w:pPr>
            <w:r>
              <w:rPr>
                <w:rFonts w:ascii="Verdana" w:eastAsia="Verdana" w:hAnsi="Verdana" w:cs="Verdana"/>
                <w:b/>
                <w:noProof/>
                <w:color w:val="000000"/>
                <w:sz w:val="18"/>
              </w:rPr>
              <w:t xml:space="preserve">  102</w:t>
            </w:r>
          </w:p>
        </w:tc>
        <w:tc>
          <w:tcPr>
            <w:tcW w:w="1365" w:type="dxa"/>
            <w:tcBorders>
              <w:top w:val="single" w:sz="4" w:space="0" w:color="016794"/>
              <w:left w:val="nil"/>
              <w:bottom w:val="single" w:sz="4" w:space="0" w:color="016794"/>
              <w:right w:val="nil"/>
              <w:tl2br w:val="nil"/>
              <w:tr2bl w:val="nil"/>
            </w:tcBorders>
            <w:shd w:val="clear" w:color="auto" w:fill="auto"/>
            <w:tcMar>
              <w:left w:w="60" w:type="dxa"/>
              <w:right w:w="60" w:type="dxa"/>
            </w:tcMar>
            <w:vAlign w:val="center"/>
          </w:tcPr>
          <w:p w14:paraId="45D32F21" w14:textId="77777777" w:rsidR="00FD1E19" w:rsidRDefault="00FD1E19" w:rsidP="00BE7E4A">
            <w:pPr>
              <w:pStyle w:val="DMETW37234BIPCONSP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211</w:t>
            </w:r>
          </w:p>
        </w:tc>
      </w:tr>
      <w:tr w:rsidR="00FD1E19" w14:paraId="7D57FF3F" w14:textId="77777777" w:rsidTr="00BE7E4A">
        <w:trPr>
          <w:trHeight w:hRule="exact" w:val="255"/>
        </w:trPr>
        <w:tc>
          <w:tcPr>
            <w:tcW w:w="6030" w:type="dxa"/>
            <w:tcBorders>
              <w:top w:val="single" w:sz="4" w:space="0" w:color="016794"/>
              <w:left w:val="nil"/>
              <w:bottom w:val="nil"/>
              <w:right w:val="nil"/>
              <w:tl2br w:val="nil"/>
              <w:tr2bl w:val="nil"/>
            </w:tcBorders>
            <w:shd w:val="clear" w:color="auto" w:fill="auto"/>
            <w:tcMar>
              <w:left w:w="60" w:type="dxa"/>
              <w:right w:w="60" w:type="dxa"/>
            </w:tcMar>
            <w:vAlign w:val="center"/>
          </w:tcPr>
          <w:p w14:paraId="60D56D5E" w14:textId="77777777" w:rsidR="00FD1E19" w:rsidRDefault="00FD1E19" w:rsidP="00BE7E4A">
            <w:pPr>
              <w:pStyle w:val="DMETW37234BIPCONSPL"/>
              <w:rPr>
                <w:rFonts w:ascii="Verdana" w:eastAsia="Verdana" w:hAnsi="Verdana" w:cs="Verdana"/>
                <w:b/>
                <w:noProof/>
                <w:color w:val="000000"/>
                <w:sz w:val="18"/>
              </w:rPr>
            </w:pPr>
            <w:r>
              <w:rPr>
                <w:rFonts w:ascii="Verdana" w:eastAsia="Verdana" w:hAnsi="Verdana" w:cs="Verdana"/>
                <w:b/>
                <w:noProof/>
                <w:color w:val="000000"/>
                <w:sz w:val="18"/>
              </w:rPr>
              <w:t>EXPENSES</w:t>
            </w:r>
          </w:p>
        </w:tc>
        <w:tc>
          <w:tcPr>
            <w:tcW w:w="1830" w:type="dxa"/>
            <w:tcBorders>
              <w:top w:val="single" w:sz="4" w:space="0" w:color="016794"/>
              <w:left w:val="nil"/>
              <w:bottom w:val="nil"/>
              <w:right w:val="nil"/>
              <w:tl2br w:val="nil"/>
              <w:tr2bl w:val="nil"/>
            </w:tcBorders>
            <w:shd w:val="clear" w:color="auto" w:fill="auto"/>
            <w:tcMar>
              <w:left w:w="60" w:type="dxa"/>
              <w:right w:w="60" w:type="dxa"/>
            </w:tcMar>
            <w:vAlign w:val="center"/>
          </w:tcPr>
          <w:p w14:paraId="76D1A96E" w14:textId="77777777" w:rsidR="00FD1E19" w:rsidRDefault="00FD1E19" w:rsidP="00BE7E4A">
            <w:pPr>
              <w:pStyle w:val="DMETW37234BIPCONSPL"/>
              <w:jc w:val="right"/>
              <w:rPr>
                <w:rFonts w:ascii="Verdana" w:eastAsia="Verdana" w:hAnsi="Verdana" w:cs="Verdana"/>
                <w:noProof/>
                <w:color w:val="000000"/>
                <w:sz w:val="18"/>
              </w:rPr>
            </w:pPr>
          </w:p>
        </w:tc>
        <w:tc>
          <w:tcPr>
            <w:tcW w:w="1365" w:type="dxa"/>
            <w:tcBorders>
              <w:top w:val="single" w:sz="4" w:space="0" w:color="016794"/>
              <w:left w:val="nil"/>
              <w:bottom w:val="nil"/>
              <w:right w:val="nil"/>
              <w:tl2br w:val="nil"/>
              <w:tr2bl w:val="nil"/>
            </w:tcBorders>
            <w:shd w:val="clear" w:color="auto" w:fill="auto"/>
            <w:tcMar>
              <w:left w:w="60" w:type="dxa"/>
              <w:right w:w="60" w:type="dxa"/>
            </w:tcMar>
            <w:vAlign w:val="center"/>
          </w:tcPr>
          <w:p w14:paraId="645DCB95" w14:textId="77777777" w:rsidR="00FD1E19" w:rsidRDefault="00FD1E19" w:rsidP="00BE7E4A">
            <w:pPr>
              <w:pStyle w:val="DMETW37234BIPCONSPL"/>
              <w:jc w:val="right"/>
              <w:rPr>
                <w:rFonts w:ascii="Verdana" w:eastAsia="Verdana" w:hAnsi="Verdana" w:cs="Verdana"/>
                <w:noProof/>
                <w:color w:val="000000"/>
                <w:sz w:val="18"/>
                <w:lang w:bidi="en-GB"/>
              </w:rPr>
            </w:pPr>
          </w:p>
        </w:tc>
      </w:tr>
      <w:tr w:rsidR="00FD1E19" w14:paraId="5E4EA6FB"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33E81836"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Aid instruments</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69F5A110"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(942)</w:t>
            </w:r>
          </w:p>
        </w:tc>
        <w:tc>
          <w:tcPr>
            <w:tcW w:w="1365" w:type="dxa"/>
            <w:tcBorders>
              <w:top w:val="nil"/>
              <w:left w:val="nil"/>
              <w:bottom w:val="nil"/>
              <w:right w:val="nil"/>
              <w:tl2br w:val="nil"/>
              <w:tr2bl w:val="nil"/>
            </w:tcBorders>
            <w:shd w:val="clear" w:color="auto" w:fill="auto"/>
            <w:tcMar>
              <w:left w:w="60" w:type="dxa"/>
              <w:right w:w="60" w:type="dxa"/>
            </w:tcMar>
            <w:vAlign w:val="center"/>
          </w:tcPr>
          <w:p w14:paraId="0F30CDAA"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(1 119)</w:t>
            </w:r>
          </w:p>
        </w:tc>
      </w:tr>
      <w:tr w:rsidR="00FD1E19" w14:paraId="0B349387"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0A68DC2E"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Expenses implemented by other entities</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73D380E3"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(4)</w:t>
            </w:r>
          </w:p>
        </w:tc>
        <w:tc>
          <w:tcPr>
            <w:tcW w:w="1365" w:type="dxa"/>
            <w:tcBorders>
              <w:top w:val="nil"/>
              <w:left w:val="nil"/>
              <w:bottom w:val="nil"/>
              <w:right w:val="nil"/>
              <w:tl2br w:val="nil"/>
              <w:tr2bl w:val="nil"/>
            </w:tcBorders>
            <w:shd w:val="clear" w:color="auto" w:fill="auto"/>
            <w:tcMar>
              <w:left w:w="60" w:type="dxa"/>
              <w:right w:w="60" w:type="dxa"/>
            </w:tcMar>
            <w:vAlign w:val="center"/>
          </w:tcPr>
          <w:p w14:paraId="14047CCD"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(4)</w:t>
            </w:r>
          </w:p>
        </w:tc>
      </w:tr>
      <w:tr w:rsidR="00FD1E19" w14:paraId="298578BF"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7B0C475B"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Expenses implemented by trust funds</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211A596F"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(133)</w:t>
            </w:r>
          </w:p>
        </w:tc>
        <w:tc>
          <w:tcPr>
            <w:tcW w:w="1365" w:type="dxa"/>
            <w:tcBorders>
              <w:top w:val="nil"/>
              <w:left w:val="nil"/>
              <w:bottom w:val="nil"/>
              <w:right w:val="nil"/>
              <w:tl2br w:val="nil"/>
              <w:tr2bl w:val="nil"/>
            </w:tcBorders>
            <w:shd w:val="clear" w:color="auto" w:fill="auto"/>
            <w:tcMar>
              <w:left w:w="60" w:type="dxa"/>
              <w:right w:w="60" w:type="dxa"/>
            </w:tcMar>
            <w:vAlign w:val="center"/>
          </w:tcPr>
          <w:p w14:paraId="0AE5B60B"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(168)</w:t>
            </w:r>
          </w:p>
        </w:tc>
      </w:tr>
      <w:tr w:rsidR="00FD1E19" w14:paraId="2DAAE039"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00760C6F"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Co-financing expenses</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4BC7B805"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(1)</w:t>
            </w:r>
          </w:p>
        </w:tc>
        <w:tc>
          <w:tcPr>
            <w:tcW w:w="1365" w:type="dxa"/>
            <w:tcBorders>
              <w:top w:val="nil"/>
              <w:left w:val="nil"/>
              <w:bottom w:val="nil"/>
              <w:right w:val="nil"/>
              <w:tl2br w:val="nil"/>
              <w:tr2bl w:val="nil"/>
            </w:tcBorders>
            <w:shd w:val="clear" w:color="auto" w:fill="auto"/>
            <w:tcMar>
              <w:left w:w="60" w:type="dxa"/>
              <w:right w:w="60" w:type="dxa"/>
            </w:tcMar>
            <w:vAlign w:val="center"/>
          </w:tcPr>
          <w:p w14:paraId="47EB6C69"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(17)</w:t>
            </w:r>
          </w:p>
        </w:tc>
      </w:tr>
      <w:tr w:rsidR="00FD1E19" w14:paraId="6C25F98A"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0F68A9A6"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Finance costs</w:t>
            </w:r>
          </w:p>
        </w:tc>
        <w:tc>
          <w:tcPr>
            <w:tcW w:w="1830" w:type="dxa"/>
            <w:tcBorders>
              <w:top w:val="nil"/>
              <w:left w:val="nil"/>
              <w:bottom w:val="nil"/>
              <w:right w:val="nil"/>
              <w:tl2br w:val="nil"/>
              <w:tr2bl w:val="nil"/>
            </w:tcBorders>
            <w:shd w:val="clear" w:color="auto" w:fill="auto"/>
            <w:tcMar>
              <w:left w:w="60" w:type="dxa"/>
              <w:right w:w="60" w:type="dxa"/>
            </w:tcMar>
            <w:vAlign w:val="center"/>
          </w:tcPr>
          <w:p w14:paraId="3D410EF6"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(41)</w:t>
            </w:r>
          </w:p>
        </w:tc>
        <w:tc>
          <w:tcPr>
            <w:tcW w:w="1365" w:type="dxa"/>
            <w:tcBorders>
              <w:top w:val="nil"/>
              <w:left w:val="nil"/>
              <w:bottom w:val="nil"/>
              <w:right w:val="nil"/>
              <w:tl2br w:val="nil"/>
              <w:tr2bl w:val="nil"/>
            </w:tcBorders>
            <w:shd w:val="clear" w:color="auto" w:fill="auto"/>
            <w:tcMar>
              <w:left w:w="60" w:type="dxa"/>
              <w:right w:w="60" w:type="dxa"/>
            </w:tcMar>
            <w:vAlign w:val="center"/>
          </w:tcPr>
          <w:p w14:paraId="03E7BC0D"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6134017F" w14:textId="77777777" w:rsidTr="00BE7E4A">
        <w:trPr>
          <w:trHeight w:hRule="exact" w:val="255"/>
        </w:trPr>
        <w:tc>
          <w:tcPr>
            <w:tcW w:w="6030" w:type="dxa"/>
            <w:tcBorders>
              <w:top w:val="nil"/>
              <w:left w:val="nil"/>
              <w:bottom w:val="single" w:sz="4" w:space="0" w:color="016794"/>
              <w:right w:val="nil"/>
              <w:tl2br w:val="nil"/>
              <w:tr2bl w:val="nil"/>
            </w:tcBorders>
            <w:shd w:val="clear" w:color="auto" w:fill="auto"/>
            <w:tcMar>
              <w:left w:w="60" w:type="dxa"/>
              <w:right w:w="60" w:type="dxa"/>
            </w:tcMar>
            <w:vAlign w:val="center"/>
          </w:tcPr>
          <w:p w14:paraId="07E31387" w14:textId="77777777" w:rsidR="00FD1E19" w:rsidRDefault="00FD1E19" w:rsidP="00BE7E4A">
            <w:pPr>
              <w:pStyle w:val="DMETW37234BIPCONSPL"/>
              <w:rPr>
                <w:rFonts w:ascii="Verdana" w:eastAsia="Verdana" w:hAnsi="Verdana" w:cs="Verdana"/>
                <w:i/>
                <w:noProof/>
                <w:color w:val="000000"/>
                <w:sz w:val="18"/>
              </w:rPr>
            </w:pPr>
            <w:r>
              <w:rPr>
                <w:rFonts w:ascii="Verdana" w:eastAsia="Verdana" w:hAnsi="Verdana" w:cs="Verdana"/>
                <w:i/>
                <w:noProof/>
                <w:color w:val="000000"/>
                <w:sz w:val="18"/>
              </w:rPr>
              <w:t>Other expenses</w:t>
            </w:r>
          </w:p>
        </w:tc>
        <w:tc>
          <w:tcPr>
            <w:tcW w:w="1830" w:type="dxa"/>
            <w:tcBorders>
              <w:top w:val="nil"/>
              <w:left w:val="nil"/>
              <w:bottom w:val="single" w:sz="4" w:space="0" w:color="016794"/>
              <w:right w:val="nil"/>
              <w:tl2br w:val="nil"/>
              <w:tr2bl w:val="nil"/>
            </w:tcBorders>
            <w:shd w:val="clear" w:color="auto" w:fill="auto"/>
            <w:tcMar>
              <w:left w:w="60" w:type="dxa"/>
              <w:right w:w="60" w:type="dxa"/>
            </w:tcMar>
            <w:vAlign w:val="center"/>
          </w:tcPr>
          <w:p w14:paraId="2D70E734" w14:textId="77777777" w:rsidR="00FD1E19" w:rsidRDefault="00FD1E19" w:rsidP="00BE7E4A">
            <w:pPr>
              <w:pStyle w:val="DMETW37234BIPCONSPL"/>
              <w:jc w:val="right"/>
              <w:rPr>
                <w:rFonts w:ascii="Verdana" w:eastAsia="Verdana" w:hAnsi="Verdana" w:cs="Verdana"/>
                <w:i/>
                <w:noProof/>
                <w:color w:val="000000"/>
                <w:sz w:val="18"/>
              </w:rPr>
            </w:pPr>
            <w:r>
              <w:rPr>
                <w:rFonts w:ascii="Verdana" w:eastAsia="Verdana" w:hAnsi="Verdana" w:cs="Verdana"/>
                <w:i/>
                <w:noProof/>
                <w:color w:val="000000"/>
                <w:sz w:val="18"/>
              </w:rPr>
              <w:t xml:space="preserve"> (75)</w:t>
            </w:r>
          </w:p>
        </w:tc>
        <w:tc>
          <w:tcPr>
            <w:tcW w:w="1365" w:type="dxa"/>
            <w:tcBorders>
              <w:top w:val="nil"/>
              <w:left w:val="nil"/>
              <w:bottom w:val="single" w:sz="4" w:space="0" w:color="016794"/>
              <w:right w:val="nil"/>
              <w:tl2br w:val="nil"/>
              <w:tr2bl w:val="nil"/>
            </w:tcBorders>
            <w:shd w:val="clear" w:color="auto" w:fill="auto"/>
            <w:tcMar>
              <w:left w:w="60" w:type="dxa"/>
              <w:right w:w="60" w:type="dxa"/>
            </w:tcMar>
            <w:vAlign w:val="center"/>
          </w:tcPr>
          <w:p w14:paraId="5F628277" w14:textId="77777777" w:rsidR="00FD1E19" w:rsidRDefault="00FD1E19" w:rsidP="00BE7E4A">
            <w:pPr>
              <w:pStyle w:val="DMETW37234BIPCONSPL"/>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(140)</w:t>
            </w:r>
          </w:p>
        </w:tc>
      </w:tr>
      <w:tr w:rsidR="00FD1E19" w14:paraId="2A8E16B0" w14:textId="77777777" w:rsidTr="00BE7E4A">
        <w:trPr>
          <w:trHeight w:hRule="exact" w:val="255"/>
        </w:trPr>
        <w:tc>
          <w:tcPr>
            <w:tcW w:w="6030" w:type="dxa"/>
            <w:tcBorders>
              <w:top w:val="single" w:sz="4" w:space="0" w:color="016794"/>
              <w:left w:val="nil"/>
              <w:bottom w:val="nil"/>
              <w:right w:val="nil"/>
              <w:tl2br w:val="nil"/>
              <w:tr2bl w:val="nil"/>
            </w:tcBorders>
            <w:shd w:val="clear" w:color="auto" w:fill="auto"/>
            <w:tcMar>
              <w:left w:w="60" w:type="dxa"/>
              <w:right w:w="60" w:type="dxa"/>
            </w:tcMar>
            <w:vAlign w:val="bottom"/>
          </w:tcPr>
          <w:p w14:paraId="232A3F0E" w14:textId="77777777" w:rsidR="00FD1E19" w:rsidRDefault="00FD1E19" w:rsidP="00BE7E4A">
            <w:pPr>
              <w:pStyle w:val="DMETW37234BIPCONSPL"/>
              <w:rPr>
                <w:rFonts w:ascii="Verdana" w:eastAsia="Verdana" w:hAnsi="Verdana" w:cs="Verdana"/>
                <w:b/>
                <w:noProof/>
                <w:color w:val="000000"/>
                <w:sz w:val="18"/>
              </w:rPr>
            </w:pPr>
            <w:r>
              <w:rPr>
                <w:rFonts w:ascii="Verdana" w:eastAsia="Verdana" w:hAnsi="Verdana" w:cs="Verdana"/>
                <w:b/>
                <w:noProof/>
                <w:color w:val="000000"/>
                <w:sz w:val="18"/>
              </w:rPr>
              <w:t>Total Expenses</w:t>
            </w:r>
          </w:p>
        </w:tc>
        <w:tc>
          <w:tcPr>
            <w:tcW w:w="1830" w:type="dxa"/>
            <w:tcBorders>
              <w:top w:val="single" w:sz="4" w:space="0" w:color="016794"/>
              <w:left w:val="nil"/>
              <w:bottom w:val="nil"/>
              <w:right w:val="nil"/>
              <w:tl2br w:val="nil"/>
              <w:tr2bl w:val="nil"/>
            </w:tcBorders>
            <w:shd w:val="clear" w:color="auto" w:fill="auto"/>
            <w:tcMar>
              <w:left w:w="60" w:type="dxa"/>
              <w:right w:w="60" w:type="dxa"/>
            </w:tcMar>
            <w:vAlign w:val="bottom"/>
          </w:tcPr>
          <w:p w14:paraId="26C1AE5D" w14:textId="77777777" w:rsidR="00FD1E19" w:rsidRDefault="00FD1E19" w:rsidP="00BE7E4A">
            <w:pPr>
              <w:pStyle w:val="DMETW37234BIPCONSPL"/>
              <w:jc w:val="right"/>
              <w:rPr>
                <w:rFonts w:ascii="Verdana" w:eastAsia="Verdana" w:hAnsi="Verdana" w:cs="Verdana"/>
                <w:b/>
                <w:noProof/>
                <w:color w:val="000000"/>
                <w:sz w:val="18"/>
              </w:rPr>
            </w:pPr>
            <w:r>
              <w:rPr>
                <w:rFonts w:ascii="Verdana" w:eastAsia="Verdana" w:hAnsi="Verdana" w:cs="Verdana"/>
                <w:b/>
                <w:noProof/>
                <w:color w:val="000000"/>
                <w:sz w:val="18"/>
              </w:rPr>
              <w:t xml:space="preserve"> (1 196)</w:t>
            </w:r>
          </w:p>
        </w:tc>
        <w:tc>
          <w:tcPr>
            <w:tcW w:w="1365" w:type="dxa"/>
            <w:tcBorders>
              <w:top w:val="single" w:sz="4" w:space="0" w:color="016794"/>
              <w:left w:val="nil"/>
              <w:bottom w:val="nil"/>
              <w:right w:val="nil"/>
              <w:tl2br w:val="nil"/>
              <w:tr2bl w:val="nil"/>
            </w:tcBorders>
            <w:shd w:val="clear" w:color="auto" w:fill="auto"/>
            <w:tcMar>
              <w:left w:w="60" w:type="dxa"/>
              <w:right w:w="60" w:type="dxa"/>
            </w:tcMar>
            <w:vAlign w:val="bottom"/>
          </w:tcPr>
          <w:p w14:paraId="6F4AFB0D" w14:textId="77777777" w:rsidR="00FD1E19" w:rsidRDefault="00FD1E19" w:rsidP="00BE7E4A">
            <w:pPr>
              <w:pStyle w:val="DMETW37234BIPCONSPL"/>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(1 451)</w:t>
            </w:r>
          </w:p>
        </w:tc>
      </w:tr>
      <w:tr w:rsidR="00FD1E19" w14:paraId="1B327B0B" w14:textId="77777777" w:rsidTr="00BE7E4A">
        <w:trPr>
          <w:trHeight w:hRule="exact" w:val="255"/>
        </w:trPr>
        <w:tc>
          <w:tcPr>
            <w:tcW w:w="6030" w:type="dxa"/>
            <w:tcBorders>
              <w:top w:val="nil"/>
              <w:left w:val="nil"/>
              <w:bottom w:val="nil"/>
              <w:right w:val="nil"/>
              <w:tl2br w:val="nil"/>
              <w:tr2bl w:val="nil"/>
            </w:tcBorders>
            <w:shd w:val="clear" w:color="auto" w:fill="auto"/>
            <w:tcMar>
              <w:left w:w="60" w:type="dxa"/>
              <w:right w:w="60" w:type="dxa"/>
            </w:tcMar>
            <w:vAlign w:val="center"/>
          </w:tcPr>
          <w:p w14:paraId="2809263F" w14:textId="77777777" w:rsidR="00FD1E19" w:rsidRDefault="00FD1E19" w:rsidP="00BE7E4A">
            <w:pPr>
              <w:pStyle w:val="DMETW37234BIPCONSPL"/>
              <w:rPr>
                <w:rFonts w:ascii="Verdana" w:eastAsia="Verdana" w:hAnsi="Verdana" w:cs="Verdana"/>
                <w:b/>
                <w:noProof/>
                <w:color w:val="000000"/>
                <w:sz w:val="18"/>
              </w:rPr>
            </w:pPr>
          </w:p>
        </w:tc>
        <w:tc>
          <w:tcPr>
            <w:tcW w:w="1830" w:type="dxa"/>
            <w:tcBorders>
              <w:top w:val="nil"/>
              <w:left w:val="nil"/>
              <w:bottom w:val="nil"/>
              <w:right w:val="nil"/>
              <w:tl2br w:val="nil"/>
              <w:tr2bl w:val="nil"/>
            </w:tcBorders>
            <w:shd w:val="clear" w:color="auto" w:fill="auto"/>
            <w:tcMar>
              <w:left w:w="60" w:type="dxa"/>
              <w:right w:w="60" w:type="dxa"/>
            </w:tcMar>
            <w:vAlign w:val="center"/>
          </w:tcPr>
          <w:p w14:paraId="020CFD3B" w14:textId="77777777" w:rsidR="00FD1E19" w:rsidRDefault="00FD1E19" w:rsidP="00BE7E4A">
            <w:pPr>
              <w:pStyle w:val="DMETW37234BIPCONSPL"/>
              <w:jc w:val="right"/>
              <w:rPr>
                <w:rFonts w:ascii="Verdana" w:eastAsia="Verdana" w:hAnsi="Verdana" w:cs="Verdana"/>
                <w:noProof/>
                <w:color w:val="000000"/>
                <w:sz w:val="18"/>
              </w:rPr>
            </w:pPr>
          </w:p>
        </w:tc>
        <w:tc>
          <w:tcPr>
            <w:tcW w:w="1365" w:type="dxa"/>
            <w:tcBorders>
              <w:top w:val="nil"/>
              <w:left w:val="nil"/>
              <w:bottom w:val="nil"/>
              <w:right w:val="nil"/>
              <w:tl2br w:val="nil"/>
              <w:tr2bl w:val="nil"/>
            </w:tcBorders>
            <w:shd w:val="clear" w:color="auto" w:fill="auto"/>
            <w:tcMar>
              <w:left w:w="60" w:type="dxa"/>
              <w:right w:w="60" w:type="dxa"/>
            </w:tcMar>
            <w:vAlign w:val="center"/>
          </w:tcPr>
          <w:p w14:paraId="475B78B4" w14:textId="77777777" w:rsidR="00FD1E19" w:rsidRDefault="00FD1E19" w:rsidP="00BE7E4A">
            <w:pPr>
              <w:pStyle w:val="DMETW37234BIPCONSPL"/>
              <w:jc w:val="right"/>
              <w:rPr>
                <w:rFonts w:ascii="Verdana" w:eastAsia="Verdana" w:hAnsi="Verdana" w:cs="Verdana"/>
                <w:noProof/>
                <w:color w:val="000000"/>
                <w:sz w:val="18"/>
                <w:lang w:bidi="en-GB"/>
              </w:rPr>
            </w:pPr>
          </w:p>
        </w:tc>
      </w:tr>
      <w:tr w:rsidR="00FD1E19" w14:paraId="159B27EC" w14:textId="77777777" w:rsidTr="00BE7E4A">
        <w:trPr>
          <w:trHeight w:hRule="exact" w:val="225"/>
        </w:trPr>
        <w:tc>
          <w:tcPr>
            <w:tcW w:w="6030" w:type="dxa"/>
            <w:tcBorders>
              <w:top w:val="nil"/>
              <w:left w:val="nil"/>
              <w:bottom w:val="nil"/>
              <w:right w:val="nil"/>
              <w:tl2br w:val="nil"/>
              <w:tr2bl w:val="nil"/>
            </w:tcBorders>
            <w:shd w:val="solid" w:color="CCE1EA" w:fill="FFFFFF"/>
            <w:tcMar>
              <w:left w:w="60" w:type="dxa"/>
              <w:right w:w="60" w:type="dxa"/>
            </w:tcMar>
            <w:vAlign w:val="bottom"/>
          </w:tcPr>
          <w:p w14:paraId="7AA723D1" w14:textId="77777777" w:rsidR="00FD1E19" w:rsidRDefault="00FD1E19" w:rsidP="00BE7E4A">
            <w:pPr>
              <w:pStyle w:val="DMETW37234BIPCONSPL"/>
              <w:rPr>
                <w:rFonts w:ascii="Verdana" w:eastAsia="Verdana" w:hAnsi="Verdana" w:cs="Verdana"/>
                <w:b/>
                <w:noProof/>
                <w:color w:val="000000"/>
                <w:sz w:val="18"/>
              </w:rPr>
            </w:pPr>
            <w:r>
              <w:rPr>
                <w:rFonts w:ascii="Verdana" w:eastAsia="Verdana" w:hAnsi="Verdana" w:cs="Verdana"/>
                <w:b/>
                <w:noProof/>
                <w:color w:val="000000"/>
                <w:sz w:val="18"/>
              </w:rPr>
              <w:t>ECONOMIC RESULT OF THE YEAR</w:t>
            </w:r>
          </w:p>
        </w:tc>
        <w:tc>
          <w:tcPr>
            <w:tcW w:w="1830" w:type="dxa"/>
            <w:tcBorders>
              <w:top w:val="nil"/>
              <w:left w:val="nil"/>
              <w:bottom w:val="nil"/>
              <w:right w:val="nil"/>
              <w:tl2br w:val="nil"/>
              <w:tr2bl w:val="nil"/>
            </w:tcBorders>
            <w:shd w:val="solid" w:color="CCE1EA" w:fill="FFFFFF"/>
            <w:tcMar>
              <w:left w:w="60" w:type="dxa"/>
              <w:right w:w="60" w:type="dxa"/>
            </w:tcMar>
            <w:vAlign w:val="center"/>
          </w:tcPr>
          <w:p w14:paraId="79160C6C" w14:textId="77777777" w:rsidR="00FD1E19" w:rsidRDefault="00FD1E19" w:rsidP="00BE7E4A">
            <w:pPr>
              <w:pStyle w:val="DMETW37234BIPCONSPL"/>
              <w:jc w:val="right"/>
              <w:rPr>
                <w:rFonts w:ascii="Verdana" w:eastAsia="Verdana" w:hAnsi="Verdana" w:cs="Verdana"/>
                <w:b/>
                <w:noProof/>
                <w:color w:val="000000"/>
                <w:sz w:val="18"/>
              </w:rPr>
            </w:pPr>
            <w:r>
              <w:rPr>
                <w:rFonts w:ascii="Verdana" w:eastAsia="Verdana" w:hAnsi="Verdana" w:cs="Verdana"/>
                <w:b/>
                <w:noProof/>
                <w:color w:val="000000"/>
                <w:sz w:val="18"/>
              </w:rPr>
              <w:t xml:space="preserve"> (1 094)</w:t>
            </w:r>
          </w:p>
        </w:tc>
        <w:tc>
          <w:tcPr>
            <w:tcW w:w="1365" w:type="dxa"/>
            <w:tcBorders>
              <w:top w:val="nil"/>
              <w:left w:val="nil"/>
              <w:bottom w:val="nil"/>
              <w:right w:val="nil"/>
              <w:tl2br w:val="nil"/>
              <w:tr2bl w:val="nil"/>
            </w:tcBorders>
            <w:shd w:val="solid" w:color="CCE1EA" w:fill="FFFFFF"/>
            <w:tcMar>
              <w:left w:w="60" w:type="dxa"/>
              <w:right w:w="60" w:type="dxa"/>
            </w:tcMar>
            <w:vAlign w:val="center"/>
          </w:tcPr>
          <w:p w14:paraId="5DE7830B" w14:textId="77777777" w:rsidR="00FD1E19" w:rsidRDefault="00FD1E19" w:rsidP="00BE7E4A">
            <w:pPr>
              <w:pStyle w:val="DMETW37234BIPCONSPL"/>
              <w:jc w:val="right"/>
              <w:rPr>
                <w:rFonts w:ascii="Verdana" w:eastAsia="Verdana" w:hAnsi="Verdana" w:cs="Verdana"/>
                <w:b/>
                <w:noProof/>
                <w:color w:val="000000"/>
                <w:sz w:val="18"/>
              </w:rPr>
            </w:pPr>
            <w:r>
              <w:rPr>
                <w:rFonts w:ascii="Verdana" w:eastAsia="Verdana" w:hAnsi="Verdana" w:cs="Verdana"/>
                <w:b/>
                <w:noProof/>
                <w:color w:val="000000"/>
                <w:sz w:val="18"/>
              </w:rPr>
              <w:t xml:space="preserve"> (1 240)</w:t>
            </w:r>
          </w:p>
        </w:tc>
      </w:tr>
    </w:tbl>
    <w:p w14:paraId="7C5743ED" w14:textId="77777777" w:rsidR="00FD1E19" w:rsidRPr="008C2B0E" w:rsidRDefault="00FD1E19" w:rsidP="00FD1E19">
      <w:pPr>
        <w:pStyle w:val="HEADERTITLE1"/>
        <w:rPr>
          <w:lang w:val="en-US"/>
        </w:rPr>
      </w:pPr>
    </w:p>
    <w:p w14:paraId="3AD5C7F8" w14:textId="77777777" w:rsidR="00FD1E19" w:rsidRDefault="00FD1E19" w:rsidP="00FD1E19">
      <w:pPr>
        <w:pStyle w:val="HEADERTITLE1"/>
        <w:rPr>
          <w:lang w:val="en-US"/>
        </w:rPr>
      </w:pPr>
    </w:p>
    <w:p w14:paraId="36654C16" w14:textId="77777777" w:rsidR="00FD1E19" w:rsidRDefault="00FD1E19" w:rsidP="00FD1E19">
      <w:pPr>
        <w:pStyle w:val="HEADERTITLE1"/>
        <w:rPr>
          <w:lang w:val="en-US"/>
        </w:rPr>
        <w:sectPr w:rsidR="00FD1E19" w:rsidSect="00FD1E19">
          <w:headerReference w:type="default" r:id="rId132"/>
          <w:footerReference w:type="default" r:id="rId133"/>
          <w:pgSz w:w="11906" w:h="16838" w:code="9"/>
          <w:pgMar w:top="1134" w:right="1134" w:bottom="1134" w:left="1134" w:header="708" w:footer="708" w:gutter="0"/>
          <w:cols w:space="708"/>
          <w:docGrid w:linePitch="360"/>
        </w:sectPr>
      </w:pPr>
    </w:p>
    <w:p w14:paraId="6724BD69" w14:textId="77777777" w:rsidR="00FD1E19" w:rsidRDefault="00FD1E19" w:rsidP="00FD1E19">
      <w:pPr>
        <w:pStyle w:val="HEADERTITLE1"/>
        <w:rPr>
          <w:lang w:val="en-US"/>
        </w:rPr>
      </w:pPr>
      <w:bookmarkStart w:id="173" w:name="_Toc232609797"/>
      <w:r w:rsidRPr="008C2B0E">
        <w:rPr>
          <w:lang w:val="en-US"/>
        </w:rPr>
        <w:t>CONSOLIDATED CASH FLOW STATEMENT</w:t>
      </w:r>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31"/>
        <w:gridCol w:w="1276"/>
        <w:gridCol w:w="1051"/>
      </w:tblGrid>
      <w:tr w:rsidR="00FD1E19" w14:paraId="35619DD3"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078341AF" w14:textId="77777777" w:rsidR="00FD1E19" w:rsidRDefault="00FD1E19" w:rsidP="00BE7E4A">
            <w:pPr>
              <w:pStyle w:val="DMETW37234BIPCONSCF"/>
              <w:jc w:val="right"/>
              <w:rPr>
                <w:rFonts w:ascii="Verdana" w:eastAsia="Verdana" w:hAnsi="Verdana" w:cs="Verdana"/>
                <w:noProof/>
                <w:color w:val="000000"/>
                <w:sz w:val="18"/>
                <w:lang w:bidi="en-GB"/>
              </w:rPr>
            </w:pPr>
            <w:bookmarkStart w:id="174" w:name="DOC_TBL00059_1_1"/>
            <w:bookmarkEnd w:id="174"/>
          </w:p>
        </w:tc>
        <w:tc>
          <w:tcPr>
            <w:tcW w:w="1276" w:type="dxa"/>
            <w:tcBorders>
              <w:top w:val="nil"/>
              <w:left w:val="nil"/>
              <w:bottom w:val="nil"/>
              <w:right w:val="nil"/>
              <w:tl2br w:val="nil"/>
              <w:tr2bl w:val="nil"/>
            </w:tcBorders>
            <w:shd w:val="clear" w:color="auto" w:fill="auto"/>
            <w:tcMar>
              <w:left w:w="60" w:type="dxa"/>
              <w:right w:w="60" w:type="dxa"/>
            </w:tcMar>
            <w:vAlign w:val="center"/>
          </w:tcPr>
          <w:p w14:paraId="517B9690" w14:textId="77777777" w:rsidR="00FD1E19" w:rsidRDefault="00FD1E19" w:rsidP="00BE7E4A">
            <w:pPr>
              <w:pStyle w:val="DMETW37234BIPCONSCF"/>
              <w:rPr>
                <w:rFonts w:ascii="Verdana" w:eastAsia="Verdana" w:hAnsi="Verdana" w:cs="Verdana"/>
                <w:i/>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0D4BF0CD" w14:textId="77777777" w:rsidR="00FD1E19" w:rsidRDefault="00FD1E19" w:rsidP="00BE7E4A">
            <w:pPr>
              <w:pStyle w:val="DMETW37234BIPCONSCF"/>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14:paraId="605E2D0D" w14:textId="77777777" w:rsidTr="00BE7E4A">
        <w:trPr>
          <w:trHeight w:hRule="exact" w:val="255"/>
        </w:trPr>
        <w:tc>
          <w:tcPr>
            <w:tcW w:w="7431" w:type="dxa"/>
            <w:tcBorders>
              <w:top w:val="nil"/>
              <w:left w:val="nil"/>
              <w:bottom w:val="nil"/>
              <w:right w:val="nil"/>
              <w:tl2br w:val="nil"/>
              <w:tr2bl w:val="nil"/>
            </w:tcBorders>
            <w:shd w:val="solid" w:color="016794" w:fill="FFFFFF"/>
            <w:tcMar>
              <w:left w:w="60" w:type="dxa"/>
              <w:right w:w="60" w:type="dxa"/>
            </w:tcMar>
            <w:vAlign w:val="bottom"/>
          </w:tcPr>
          <w:p w14:paraId="7CF067B6" w14:textId="77777777" w:rsidR="00FD1E19" w:rsidRDefault="00FD1E19" w:rsidP="00BE7E4A">
            <w:pPr>
              <w:pStyle w:val="DMETW37234BIPCONSCF"/>
              <w:jc w:val="right"/>
              <w:rPr>
                <w:rFonts w:ascii="Verdana" w:eastAsia="Verdana" w:hAnsi="Verdana" w:cs="Verdana"/>
                <w:noProof/>
                <w:color w:val="FFFFFF"/>
              </w:rPr>
            </w:pPr>
          </w:p>
        </w:tc>
        <w:tc>
          <w:tcPr>
            <w:tcW w:w="1276" w:type="dxa"/>
            <w:tcBorders>
              <w:top w:val="nil"/>
              <w:left w:val="nil"/>
              <w:bottom w:val="nil"/>
              <w:right w:val="nil"/>
              <w:tl2br w:val="nil"/>
              <w:tr2bl w:val="nil"/>
            </w:tcBorders>
            <w:shd w:val="solid" w:color="016794" w:fill="FFFFFF"/>
            <w:tcMar>
              <w:left w:w="60" w:type="dxa"/>
              <w:right w:w="60" w:type="dxa"/>
            </w:tcMar>
            <w:vAlign w:val="bottom"/>
          </w:tcPr>
          <w:p w14:paraId="2DC7BCEF" w14:textId="77777777" w:rsidR="00FD1E19" w:rsidRDefault="00FD1E19" w:rsidP="00BE7E4A">
            <w:pPr>
              <w:pStyle w:val="DMETW37234BIPCONSCF"/>
              <w:jc w:val="right"/>
              <w:rPr>
                <w:rFonts w:ascii="Verdana" w:eastAsia="Verdana" w:hAnsi="Verdana" w:cs="Verdana"/>
                <w:noProof/>
                <w:color w:val="FFFFFF"/>
              </w:rPr>
            </w:pPr>
            <w:r>
              <w:rPr>
                <w:rFonts w:ascii="Verdana" w:eastAsia="Verdana" w:hAnsi="Verdana" w:cs="Verdana"/>
                <w:noProof/>
                <w:color w:val="FFFFFF"/>
              </w:rPr>
              <w:t>2025</w:t>
            </w:r>
          </w:p>
        </w:tc>
        <w:tc>
          <w:tcPr>
            <w:tcW w:w="1051" w:type="dxa"/>
            <w:tcBorders>
              <w:top w:val="nil"/>
              <w:left w:val="nil"/>
              <w:bottom w:val="nil"/>
              <w:right w:val="nil"/>
              <w:tl2br w:val="nil"/>
              <w:tr2bl w:val="nil"/>
            </w:tcBorders>
            <w:shd w:val="solid" w:color="016794" w:fill="FFFFFF"/>
            <w:tcMar>
              <w:left w:w="60" w:type="dxa"/>
              <w:right w:w="60" w:type="dxa"/>
            </w:tcMar>
            <w:vAlign w:val="bottom"/>
          </w:tcPr>
          <w:p w14:paraId="62A7F490" w14:textId="77777777" w:rsidR="00FD1E19" w:rsidRDefault="00FD1E19" w:rsidP="00BE7E4A">
            <w:pPr>
              <w:pStyle w:val="DMETW37234BIPCONSCF"/>
              <w:jc w:val="right"/>
              <w:rPr>
                <w:rFonts w:ascii="Verdana" w:eastAsia="Verdana" w:hAnsi="Verdana" w:cs="Verdana"/>
                <w:noProof/>
                <w:color w:val="FFFFFF"/>
                <w:lang w:bidi="en-GB"/>
              </w:rPr>
            </w:pPr>
            <w:r>
              <w:rPr>
                <w:rFonts w:ascii="Verdana" w:eastAsia="Verdana" w:hAnsi="Verdana" w:cs="Verdana"/>
                <w:noProof/>
                <w:color w:val="FFFFFF"/>
              </w:rPr>
              <w:t>2024</w:t>
            </w:r>
          </w:p>
        </w:tc>
      </w:tr>
      <w:tr w:rsidR="00FD1E19" w14:paraId="725CD701"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17F3256A"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276" w:type="dxa"/>
            <w:tcBorders>
              <w:top w:val="nil"/>
              <w:left w:val="nil"/>
              <w:bottom w:val="nil"/>
              <w:right w:val="nil"/>
              <w:tl2br w:val="nil"/>
              <w:tr2bl w:val="nil"/>
            </w:tcBorders>
            <w:shd w:val="clear" w:color="auto" w:fill="auto"/>
            <w:tcMar>
              <w:left w:w="60" w:type="dxa"/>
              <w:right w:w="60" w:type="dxa"/>
            </w:tcMar>
            <w:vAlign w:val="bottom"/>
          </w:tcPr>
          <w:p w14:paraId="65EF173E"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(1 094)</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205B8728"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(1 240)</w:t>
            </w:r>
          </w:p>
        </w:tc>
      </w:tr>
      <w:tr w:rsidR="00FD1E19" w14:paraId="09A3A223"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6EB13A85" w14:textId="77777777" w:rsidR="00FD1E19" w:rsidRDefault="00FD1E19" w:rsidP="00BE7E4A">
            <w:pPr>
              <w:pStyle w:val="DMETW37234BIPCONSCF"/>
              <w:rPr>
                <w:rFonts w:ascii="Verdana" w:eastAsia="Verdana" w:hAnsi="Verdana" w:cs="Verdana"/>
                <w:b/>
                <w:noProof/>
                <w:color w:val="000000"/>
                <w:sz w:val="18"/>
              </w:rPr>
            </w:pPr>
            <w:r>
              <w:rPr>
                <w:rFonts w:ascii="Verdana" w:eastAsia="Verdana" w:hAnsi="Verdana" w:cs="Verdana"/>
                <w:b/>
                <w:noProof/>
                <w:color w:val="000000"/>
                <w:sz w:val="18"/>
              </w:rPr>
              <w:t>Operating activities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201EF595" w14:textId="77777777" w:rsidR="00FD1E19" w:rsidRDefault="00FD1E19" w:rsidP="00BE7E4A">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5EC012F1" w14:textId="77777777" w:rsidR="00FD1E19" w:rsidRDefault="00FD1E19" w:rsidP="00BE7E4A">
            <w:pPr>
              <w:pStyle w:val="DMETW37234BIPCONSCF"/>
              <w:jc w:val="right"/>
              <w:rPr>
                <w:rFonts w:ascii="Verdana" w:eastAsia="Verdana" w:hAnsi="Verdana" w:cs="Verdana"/>
                <w:noProof/>
                <w:color w:val="000000"/>
                <w:sz w:val="18"/>
                <w:lang w:bidi="en-GB"/>
              </w:rPr>
            </w:pPr>
          </w:p>
        </w:tc>
      </w:tr>
      <w:tr w:rsidR="00FD1E19" w14:paraId="56EFD197"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658FD27C"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598ABA9C"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784</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3A25CB2A"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1 138</w:t>
            </w:r>
          </w:p>
        </w:tc>
      </w:tr>
      <w:tr w:rsidR="00FD1E19" w14:paraId="2163CA0B"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494864B2"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trust funds contributions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794BEE81"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7109D601"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5F5ABFA7"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0C4ACE35"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pre-financing</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2CD5824D"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328</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15F47C8C"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352</w:t>
            </w:r>
          </w:p>
        </w:tc>
      </w:tr>
      <w:tr w:rsidR="00FD1E19" w14:paraId="56BAC42E"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37775DBC"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exchange receivables and non-exchange recoverables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7953B6A2"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8</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1B924DAE"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w:t>
            </w:r>
          </w:p>
        </w:tc>
      </w:tr>
      <w:tr w:rsidR="00FD1E19" w14:paraId="6D9D1786"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56050CD9"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provisions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1ACACF81"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(2)</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71874633"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w:t>
            </w:r>
          </w:p>
        </w:tc>
      </w:tr>
      <w:tr w:rsidR="00FD1E19" w14:paraId="26C26814"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3E9C5967"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financial liabilities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0F1EA9A6"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(48)</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265F07FE"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3</w:t>
            </w:r>
          </w:p>
        </w:tc>
      </w:tr>
      <w:tr w:rsidR="00FD1E19" w14:paraId="6B02342B"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0B1F81B7"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payables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52BFF0AB"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(68)</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2880A9E3"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(134)</w:t>
            </w:r>
          </w:p>
        </w:tc>
      </w:tr>
      <w:tr w:rsidR="00FD1E19" w14:paraId="0C17B2D8"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4E983322"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accrued charges and deferred income</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3FEE6D34"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 xml:space="preserve"> (126)</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38E0332A"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(252)</w:t>
            </w:r>
          </w:p>
        </w:tc>
      </w:tr>
      <w:tr w:rsidR="00FD1E19" w14:paraId="42119578"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0434C11E" w14:textId="77777777" w:rsidR="00FD1E19"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Other non-cash movements</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76E15BA9" w14:textId="77777777" w:rsidR="00FD1E19"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3E865256" w14:textId="77777777" w:rsidR="00FD1E19" w:rsidRDefault="00FD1E19" w:rsidP="00BE7E4A">
            <w:pPr>
              <w:pStyle w:val="DMETW37234BIPCONSCF"/>
              <w:jc w:val="right"/>
              <w:rPr>
                <w:rFonts w:ascii="Verdana" w:eastAsia="Verdana" w:hAnsi="Verdana" w:cs="Verdana"/>
                <w:i/>
                <w:noProof/>
                <w:color w:val="000000"/>
                <w:sz w:val="18"/>
                <w:lang w:bidi="en-GB"/>
              </w:rPr>
            </w:pPr>
            <w:r>
              <w:rPr>
                <w:rFonts w:ascii="Verdana" w:eastAsia="Verdana" w:hAnsi="Verdana" w:cs="Verdana"/>
                <w:i/>
                <w:noProof/>
                <w:color w:val="000000"/>
                <w:sz w:val="18"/>
              </w:rPr>
              <w:t>-</w:t>
            </w:r>
          </w:p>
        </w:tc>
      </w:tr>
      <w:tr w:rsidR="00FD1E19" w14:paraId="7BBE90B0"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379FE979" w14:textId="77777777" w:rsidR="00FD1E19" w:rsidRDefault="00FD1E19" w:rsidP="00BE7E4A">
            <w:pPr>
              <w:pStyle w:val="DMETW37234BIPCONSCF"/>
              <w:rPr>
                <w:rFonts w:ascii="Verdana" w:eastAsia="Verdana" w:hAnsi="Verdana" w:cs="Verdana"/>
                <w:i/>
                <w:noProof/>
                <w:color w:val="000000"/>
                <w:sz w:val="18"/>
              </w:rPr>
            </w:pPr>
          </w:p>
        </w:tc>
        <w:tc>
          <w:tcPr>
            <w:tcW w:w="1276" w:type="dxa"/>
            <w:tcBorders>
              <w:top w:val="nil"/>
              <w:left w:val="nil"/>
              <w:bottom w:val="nil"/>
              <w:right w:val="nil"/>
              <w:tl2br w:val="nil"/>
              <w:tr2bl w:val="nil"/>
            </w:tcBorders>
            <w:shd w:val="clear" w:color="auto" w:fill="auto"/>
            <w:tcMar>
              <w:left w:w="60" w:type="dxa"/>
              <w:right w:w="60" w:type="dxa"/>
            </w:tcMar>
            <w:vAlign w:val="center"/>
          </w:tcPr>
          <w:p w14:paraId="0CCC885F" w14:textId="77777777" w:rsidR="00FD1E19" w:rsidRDefault="00FD1E19" w:rsidP="00BE7E4A">
            <w:pPr>
              <w:pStyle w:val="DMETW37234BIPCONS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1D986DF2" w14:textId="77777777" w:rsidR="00FD1E19" w:rsidRDefault="00FD1E19" w:rsidP="00BE7E4A">
            <w:pPr>
              <w:pStyle w:val="DMETW37234BIPCONSCF"/>
              <w:jc w:val="right"/>
              <w:rPr>
                <w:rFonts w:ascii="Verdana" w:eastAsia="Verdana" w:hAnsi="Verdana" w:cs="Verdana"/>
                <w:i/>
                <w:noProof/>
                <w:color w:val="000000"/>
                <w:sz w:val="18"/>
                <w:lang w:bidi="en-GB"/>
              </w:rPr>
            </w:pPr>
          </w:p>
        </w:tc>
      </w:tr>
      <w:tr w:rsidR="00FD1E19" w14:paraId="422C1B1D"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58C19D7B" w14:textId="77777777" w:rsidR="00FD1E19" w:rsidRDefault="00FD1E19" w:rsidP="00BE7E4A">
            <w:pPr>
              <w:pStyle w:val="DMETW37234BIPCONSCF"/>
              <w:rPr>
                <w:rFonts w:ascii="Verdana" w:eastAsia="Verdana" w:hAnsi="Verdana" w:cs="Verdana"/>
                <w:b/>
                <w:noProof/>
                <w:color w:val="000000"/>
                <w:sz w:val="18"/>
              </w:rPr>
            </w:pPr>
            <w:r>
              <w:rPr>
                <w:rFonts w:ascii="Verdana" w:eastAsia="Verdana" w:hAnsi="Verdana" w:cs="Verdana"/>
                <w:b/>
                <w:noProof/>
                <w:color w:val="000000"/>
                <w:sz w:val="18"/>
              </w:rPr>
              <w:t>Investing activities</w:t>
            </w:r>
          </w:p>
          <w:p w14:paraId="16C3671B" w14:textId="77777777" w:rsidR="00FD1E19" w:rsidRDefault="00FD1E19" w:rsidP="00BE7E4A">
            <w:pPr>
              <w:pStyle w:val="DMETW37234BIPCONSCF"/>
              <w:rPr>
                <w:rFonts w:ascii="Verdana" w:eastAsia="Verdana" w:hAnsi="Verdana" w:cs="Verdana"/>
                <w:b/>
                <w:noProof/>
                <w:color w:val="000000"/>
                <w:sz w:val="18"/>
              </w:rPr>
            </w:pPr>
          </w:p>
          <w:p w14:paraId="61572E1B" w14:textId="77777777" w:rsidR="00FD1E19" w:rsidRDefault="00FD1E19" w:rsidP="00BE7E4A">
            <w:pPr>
              <w:pStyle w:val="DMETW37234BIPCONSCF"/>
              <w:rPr>
                <w:rFonts w:ascii="Verdana" w:eastAsia="Verdana" w:hAnsi="Verdana" w:cs="Verdana"/>
                <w:b/>
                <w:noProof/>
                <w:color w:val="000000"/>
                <w:sz w:val="18"/>
              </w:rPr>
            </w:pPr>
          </w:p>
          <w:p w14:paraId="68909D98" w14:textId="77777777" w:rsidR="00FD1E19" w:rsidRDefault="00FD1E19" w:rsidP="00BE7E4A">
            <w:pPr>
              <w:pStyle w:val="DMETW37234BIPCONSCF"/>
              <w:rPr>
                <w:rFonts w:ascii="Verdana" w:eastAsia="Verdana" w:hAnsi="Verdana" w:cs="Verdana"/>
                <w:b/>
                <w:noProof/>
                <w:color w:val="000000"/>
                <w:sz w:val="18"/>
              </w:rPr>
            </w:pPr>
          </w:p>
        </w:tc>
        <w:tc>
          <w:tcPr>
            <w:tcW w:w="1276" w:type="dxa"/>
            <w:tcBorders>
              <w:top w:val="nil"/>
              <w:left w:val="nil"/>
              <w:bottom w:val="nil"/>
              <w:right w:val="nil"/>
              <w:tl2br w:val="nil"/>
              <w:tr2bl w:val="nil"/>
            </w:tcBorders>
            <w:shd w:val="clear" w:color="auto" w:fill="auto"/>
            <w:tcMar>
              <w:left w:w="60" w:type="dxa"/>
              <w:right w:w="60" w:type="dxa"/>
            </w:tcMar>
            <w:vAlign w:val="center"/>
          </w:tcPr>
          <w:p w14:paraId="0EFABD9E" w14:textId="77777777" w:rsidR="00FD1E19" w:rsidRDefault="00FD1E19" w:rsidP="00BE7E4A">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4449115E" w14:textId="77777777" w:rsidR="00FD1E19" w:rsidRDefault="00FD1E19" w:rsidP="00BE7E4A">
            <w:pPr>
              <w:pStyle w:val="DMETW37234BIPCONSCF"/>
              <w:jc w:val="right"/>
              <w:rPr>
                <w:rFonts w:ascii="Verdana" w:eastAsia="Verdana" w:hAnsi="Verdana" w:cs="Verdana"/>
                <w:noProof/>
                <w:color w:val="000000"/>
                <w:sz w:val="18"/>
                <w:lang w:bidi="en-GB"/>
              </w:rPr>
            </w:pPr>
          </w:p>
        </w:tc>
      </w:tr>
      <w:tr w:rsidR="00FD1E19" w14:paraId="166CBC07" w14:textId="77777777" w:rsidTr="00BE7E4A">
        <w:trPr>
          <w:trHeight w:hRule="exact" w:val="401"/>
        </w:trPr>
        <w:tc>
          <w:tcPr>
            <w:tcW w:w="7431" w:type="dxa"/>
            <w:tcBorders>
              <w:top w:val="nil"/>
              <w:left w:val="nil"/>
              <w:bottom w:val="nil"/>
              <w:right w:val="nil"/>
              <w:tl2br w:val="nil"/>
              <w:tr2bl w:val="nil"/>
            </w:tcBorders>
            <w:shd w:val="clear" w:color="auto" w:fill="auto"/>
            <w:tcMar>
              <w:left w:w="60" w:type="dxa"/>
              <w:right w:w="60" w:type="dxa"/>
            </w:tcMar>
            <w:vAlign w:val="center"/>
          </w:tcPr>
          <w:p w14:paraId="31190AD1" w14:textId="77777777" w:rsidR="00FD1E19" w:rsidRPr="00AD7A91" w:rsidRDefault="00FD1E19" w:rsidP="00BE7E4A">
            <w:pPr>
              <w:pStyle w:val="DMETW37234BIPCONSCF"/>
              <w:rPr>
                <w:rFonts w:ascii="Verdana" w:eastAsia="Verdana" w:hAnsi="Verdana" w:cs="Verdana"/>
                <w:i/>
                <w:noProof/>
                <w:color w:val="000000"/>
                <w:sz w:val="18"/>
              </w:rPr>
            </w:pPr>
            <w:r>
              <w:rPr>
                <w:rFonts w:ascii="Verdana" w:eastAsia="Verdana" w:hAnsi="Verdana" w:cs="Verdana"/>
                <w:i/>
                <w:noProof/>
                <w:color w:val="000000"/>
                <w:sz w:val="18"/>
              </w:rPr>
              <w:t>(Increase)/decrease in non-derivative financial assets at fair value through surplus or deficit</w:t>
            </w:r>
          </w:p>
        </w:tc>
        <w:tc>
          <w:tcPr>
            <w:tcW w:w="1276" w:type="dxa"/>
            <w:tcBorders>
              <w:top w:val="nil"/>
              <w:left w:val="nil"/>
              <w:bottom w:val="nil"/>
              <w:right w:val="nil"/>
              <w:tl2br w:val="nil"/>
              <w:tr2bl w:val="nil"/>
            </w:tcBorders>
            <w:shd w:val="clear" w:color="auto" w:fill="auto"/>
            <w:tcMar>
              <w:left w:w="60" w:type="dxa"/>
              <w:right w:w="60" w:type="dxa"/>
            </w:tcMar>
            <w:vAlign w:val="center"/>
          </w:tcPr>
          <w:p w14:paraId="28C0C141" w14:textId="77777777" w:rsidR="00FD1E19" w:rsidRPr="00AD7A91"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16</w:t>
            </w:r>
          </w:p>
        </w:tc>
        <w:tc>
          <w:tcPr>
            <w:tcW w:w="1051" w:type="dxa"/>
            <w:tcBorders>
              <w:top w:val="nil"/>
              <w:left w:val="nil"/>
              <w:bottom w:val="nil"/>
              <w:right w:val="nil"/>
              <w:tl2br w:val="nil"/>
              <w:tr2bl w:val="nil"/>
            </w:tcBorders>
            <w:shd w:val="clear" w:color="auto" w:fill="auto"/>
            <w:tcMar>
              <w:left w:w="60" w:type="dxa"/>
              <w:right w:w="60" w:type="dxa"/>
            </w:tcMar>
            <w:vAlign w:val="center"/>
          </w:tcPr>
          <w:p w14:paraId="05C29F7A" w14:textId="77777777" w:rsidR="00FD1E19" w:rsidRPr="00AD7A91" w:rsidRDefault="00FD1E19" w:rsidP="00BE7E4A">
            <w:pPr>
              <w:pStyle w:val="DMETW37234BIPCONSCF"/>
              <w:jc w:val="right"/>
              <w:rPr>
                <w:rFonts w:ascii="Verdana" w:eastAsia="Verdana" w:hAnsi="Verdana" w:cs="Verdana"/>
                <w:i/>
                <w:noProof/>
                <w:color w:val="000000"/>
                <w:sz w:val="18"/>
              </w:rPr>
            </w:pPr>
            <w:r>
              <w:rPr>
                <w:rFonts w:ascii="Verdana" w:eastAsia="Verdana" w:hAnsi="Verdana" w:cs="Verdana"/>
                <w:i/>
                <w:noProof/>
                <w:color w:val="000000"/>
                <w:sz w:val="18"/>
              </w:rPr>
              <w:t>(42)</w:t>
            </w:r>
          </w:p>
        </w:tc>
      </w:tr>
      <w:tr w:rsidR="00FD1E19" w14:paraId="1A210698" w14:textId="77777777" w:rsidTr="00BE7E4A">
        <w:trPr>
          <w:trHeight w:hRule="exact" w:val="401"/>
        </w:trPr>
        <w:tc>
          <w:tcPr>
            <w:tcW w:w="7431" w:type="dxa"/>
            <w:tcBorders>
              <w:top w:val="nil"/>
              <w:left w:val="nil"/>
              <w:bottom w:val="nil"/>
              <w:right w:val="nil"/>
              <w:tl2br w:val="nil"/>
              <w:tr2bl w:val="nil"/>
            </w:tcBorders>
            <w:shd w:val="clear" w:color="auto" w:fill="auto"/>
            <w:tcMar>
              <w:left w:w="60" w:type="dxa"/>
              <w:right w:w="60" w:type="dxa"/>
            </w:tcMar>
            <w:vAlign w:val="center"/>
          </w:tcPr>
          <w:p w14:paraId="64760E90" w14:textId="77777777" w:rsidR="00FD1E19" w:rsidRDefault="00FD1E19" w:rsidP="00BE7E4A">
            <w:pPr>
              <w:pStyle w:val="DMETW37234BIPCONSCF"/>
              <w:rPr>
                <w:rFonts w:ascii="Verdana" w:eastAsia="Verdana" w:hAnsi="Verdana" w:cs="Verdana"/>
                <w:i/>
                <w:noProof/>
                <w:color w:val="000000"/>
                <w:sz w:val="18"/>
              </w:rPr>
            </w:pPr>
          </w:p>
        </w:tc>
        <w:tc>
          <w:tcPr>
            <w:tcW w:w="1276" w:type="dxa"/>
            <w:tcBorders>
              <w:top w:val="nil"/>
              <w:left w:val="nil"/>
              <w:bottom w:val="nil"/>
              <w:right w:val="nil"/>
              <w:tl2br w:val="nil"/>
              <w:tr2bl w:val="nil"/>
            </w:tcBorders>
            <w:shd w:val="clear" w:color="auto" w:fill="auto"/>
            <w:tcMar>
              <w:left w:w="60" w:type="dxa"/>
              <w:right w:w="60" w:type="dxa"/>
            </w:tcMar>
            <w:vAlign w:val="bottom"/>
          </w:tcPr>
          <w:p w14:paraId="2019A918" w14:textId="77777777" w:rsidR="00FD1E19" w:rsidRDefault="00FD1E19" w:rsidP="00BE7E4A">
            <w:pPr>
              <w:pStyle w:val="DMETW37234BIPCONSCF"/>
              <w:jc w:val="right"/>
              <w:rPr>
                <w:rFonts w:ascii="Verdana" w:eastAsia="Verdana" w:hAnsi="Verdana" w:cs="Verdana"/>
                <w:i/>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bottom"/>
          </w:tcPr>
          <w:p w14:paraId="1378BE16" w14:textId="77777777" w:rsidR="00FD1E19" w:rsidRDefault="00FD1E19" w:rsidP="00BE7E4A">
            <w:pPr>
              <w:pStyle w:val="DMETW37234BIPCONSCF"/>
              <w:jc w:val="right"/>
              <w:rPr>
                <w:rFonts w:ascii="Verdana" w:eastAsia="Verdana" w:hAnsi="Verdana" w:cs="Verdana"/>
                <w:i/>
                <w:noProof/>
                <w:color w:val="000000"/>
                <w:sz w:val="18"/>
              </w:rPr>
            </w:pPr>
          </w:p>
        </w:tc>
      </w:tr>
      <w:tr w:rsidR="00FD1E19" w14:paraId="4CE9B9D7" w14:textId="77777777" w:rsidTr="00BE7E4A">
        <w:trPr>
          <w:trHeight w:hRule="exact" w:val="255"/>
        </w:trPr>
        <w:tc>
          <w:tcPr>
            <w:tcW w:w="7431" w:type="dxa"/>
            <w:tcBorders>
              <w:top w:val="nil"/>
              <w:left w:val="nil"/>
              <w:bottom w:val="nil"/>
              <w:right w:val="nil"/>
              <w:tl2br w:val="nil"/>
              <w:tr2bl w:val="nil"/>
            </w:tcBorders>
            <w:shd w:val="solid" w:color="CCE1EA" w:fill="FFFFFF"/>
            <w:tcMar>
              <w:left w:w="60" w:type="dxa"/>
              <w:right w:w="60" w:type="dxa"/>
            </w:tcMar>
            <w:vAlign w:val="bottom"/>
          </w:tcPr>
          <w:p w14:paraId="0006BC54" w14:textId="77777777" w:rsidR="00FD1E19" w:rsidRDefault="00FD1E19" w:rsidP="00BE7E4A">
            <w:pPr>
              <w:pStyle w:val="DMETW37234BIPCONSCF"/>
              <w:rPr>
                <w:rFonts w:ascii="Verdana" w:eastAsia="Verdana" w:hAnsi="Verdana" w:cs="Verdana"/>
                <w:b/>
                <w:noProof/>
                <w:color w:val="000000"/>
                <w:sz w:val="18"/>
              </w:rPr>
            </w:pPr>
            <w:r>
              <w:rPr>
                <w:rFonts w:ascii="Verdana" w:eastAsia="Verdana" w:hAnsi="Verdana" w:cs="Verdana"/>
                <w:b/>
                <w:noProof/>
                <w:color w:val="000000"/>
                <w:sz w:val="18"/>
              </w:rPr>
              <w:t>NET CASHFLOW</w:t>
            </w:r>
          </w:p>
        </w:tc>
        <w:tc>
          <w:tcPr>
            <w:tcW w:w="1276" w:type="dxa"/>
            <w:tcBorders>
              <w:top w:val="nil"/>
              <w:left w:val="nil"/>
              <w:bottom w:val="nil"/>
              <w:right w:val="nil"/>
              <w:tl2br w:val="nil"/>
              <w:tr2bl w:val="nil"/>
            </w:tcBorders>
            <w:shd w:val="solid" w:color="CCE1EA" w:fill="FFFFFF"/>
            <w:tcMar>
              <w:left w:w="60" w:type="dxa"/>
              <w:right w:w="60" w:type="dxa"/>
            </w:tcMar>
            <w:vAlign w:val="bottom"/>
          </w:tcPr>
          <w:p w14:paraId="1D73A474" w14:textId="77777777" w:rsidR="00FD1E19" w:rsidRDefault="00FD1E19" w:rsidP="00BE7E4A">
            <w:pPr>
              <w:pStyle w:val="DMETW37234BIPCONSCF"/>
              <w:jc w:val="right"/>
              <w:rPr>
                <w:rFonts w:ascii="Verdana" w:eastAsia="Verdana" w:hAnsi="Verdana" w:cs="Verdana"/>
                <w:b/>
                <w:noProof/>
                <w:color w:val="000000"/>
                <w:sz w:val="18"/>
              </w:rPr>
            </w:pPr>
            <w:r>
              <w:rPr>
                <w:rFonts w:ascii="Verdana" w:eastAsia="Verdana" w:hAnsi="Verdana" w:cs="Verdana"/>
                <w:b/>
                <w:noProof/>
                <w:color w:val="000000"/>
                <w:sz w:val="18"/>
              </w:rPr>
              <w:t xml:space="preserve">  (201)</w:t>
            </w:r>
          </w:p>
        </w:tc>
        <w:tc>
          <w:tcPr>
            <w:tcW w:w="1051" w:type="dxa"/>
            <w:tcBorders>
              <w:top w:val="nil"/>
              <w:left w:val="nil"/>
              <w:bottom w:val="nil"/>
              <w:right w:val="nil"/>
              <w:tl2br w:val="nil"/>
              <w:tr2bl w:val="nil"/>
            </w:tcBorders>
            <w:shd w:val="solid" w:color="CCE1EA" w:fill="FFFFFF"/>
            <w:tcMar>
              <w:left w:w="60" w:type="dxa"/>
              <w:right w:w="60" w:type="dxa"/>
            </w:tcMar>
            <w:vAlign w:val="center"/>
          </w:tcPr>
          <w:p w14:paraId="7878C9FC" w14:textId="77777777" w:rsidR="00FD1E19" w:rsidRDefault="00FD1E19" w:rsidP="00BE7E4A">
            <w:pPr>
              <w:pStyle w:val="DMETW37234BIPCONSCF"/>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(185)</w:t>
            </w:r>
          </w:p>
        </w:tc>
      </w:tr>
      <w:tr w:rsidR="00FD1E19" w14:paraId="4BEF0904" w14:textId="77777777" w:rsidTr="00BE7E4A">
        <w:trPr>
          <w:trHeight w:hRule="exact" w:val="255"/>
        </w:trPr>
        <w:tc>
          <w:tcPr>
            <w:tcW w:w="7431" w:type="dxa"/>
            <w:tcBorders>
              <w:top w:val="nil"/>
              <w:left w:val="nil"/>
              <w:bottom w:val="nil"/>
              <w:right w:val="nil"/>
              <w:tl2br w:val="nil"/>
              <w:tr2bl w:val="nil"/>
            </w:tcBorders>
            <w:shd w:val="clear" w:color="auto" w:fill="auto"/>
            <w:tcMar>
              <w:left w:w="60" w:type="dxa"/>
              <w:right w:w="60" w:type="dxa"/>
            </w:tcMar>
            <w:vAlign w:val="center"/>
          </w:tcPr>
          <w:p w14:paraId="3D8B3928" w14:textId="77777777" w:rsidR="00FD1E19" w:rsidRDefault="00FD1E19" w:rsidP="00BE7E4A">
            <w:pPr>
              <w:pStyle w:val="DMETW37234BIPCONSCF"/>
              <w:rPr>
                <w:rFonts w:ascii="Verdana" w:eastAsia="Verdana" w:hAnsi="Verdana" w:cs="Verdana"/>
                <w:b/>
                <w:noProof/>
                <w:color w:val="000000"/>
                <w:sz w:val="18"/>
              </w:rPr>
            </w:pPr>
          </w:p>
        </w:tc>
        <w:tc>
          <w:tcPr>
            <w:tcW w:w="1276" w:type="dxa"/>
            <w:tcBorders>
              <w:top w:val="nil"/>
              <w:left w:val="nil"/>
              <w:bottom w:val="nil"/>
              <w:right w:val="nil"/>
              <w:tl2br w:val="nil"/>
              <w:tr2bl w:val="nil"/>
            </w:tcBorders>
            <w:shd w:val="clear" w:color="auto" w:fill="auto"/>
            <w:tcMar>
              <w:left w:w="60" w:type="dxa"/>
              <w:right w:w="60" w:type="dxa"/>
            </w:tcMar>
            <w:vAlign w:val="center"/>
          </w:tcPr>
          <w:p w14:paraId="211C9B62" w14:textId="77777777" w:rsidR="00FD1E19" w:rsidRDefault="00FD1E19" w:rsidP="00BE7E4A">
            <w:pPr>
              <w:pStyle w:val="DMETW37234BIPCONSCF"/>
              <w:jc w:val="right"/>
              <w:rPr>
                <w:rFonts w:ascii="Verdana" w:eastAsia="Verdana" w:hAnsi="Verdana" w:cs="Verdana"/>
                <w:noProof/>
                <w:color w:val="000000"/>
                <w:sz w:val="18"/>
              </w:rPr>
            </w:pPr>
          </w:p>
        </w:tc>
        <w:tc>
          <w:tcPr>
            <w:tcW w:w="1051" w:type="dxa"/>
            <w:tcBorders>
              <w:top w:val="nil"/>
              <w:left w:val="nil"/>
              <w:bottom w:val="nil"/>
              <w:right w:val="nil"/>
              <w:tl2br w:val="nil"/>
              <w:tr2bl w:val="nil"/>
            </w:tcBorders>
            <w:shd w:val="clear" w:color="auto" w:fill="auto"/>
            <w:tcMar>
              <w:left w:w="60" w:type="dxa"/>
              <w:right w:w="60" w:type="dxa"/>
            </w:tcMar>
            <w:vAlign w:val="center"/>
          </w:tcPr>
          <w:p w14:paraId="6181CEFF" w14:textId="77777777" w:rsidR="00FD1E19" w:rsidRDefault="00FD1E19" w:rsidP="00BE7E4A">
            <w:pPr>
              <w:pStyle w:val="DMETW37234BIPCONSCF"/>
              <w:jc w:val="right"/>
              <w:rPr>
                <w:rFonts w:ascii="Verdana" w:eastAsia="Verdana" w:hAnsi="Verdana" w:cs="Verdana"/>
                <w:noProof/>
                <w:color w:val="000000"/>
                <w:sz w:val="18"/>
                <w:lang w:bidi="en-GB"/>
              </w:rPr>
            </w:pPr>
          </w:p>
        </w:tc>
      </w:tr>
      <w:tr w:rsidR="00FD1E19" w14:paraId="28FD6368" w14:textId="77777777" w:rsidTr="00BE7E4A">
        <w:trPr>
          <w:trHeight w:hRule="exact" w:val="228"/>
        </w:trPr>
        <w:tc>
          <w:tcPr>
            <w:tcW w:w="7431" w:type="dxa"/>
            <w:tcBorders>
              <w:top w:val="nil"/>
              <w:left w:val="nil"/>
              <w:bottom w:val="nil"/>
              <w:right w:val="nil"/>
              <w:tl2br w:val="nil"/>
              <w:tr2bl w:val="nil"/>
            </w:tcBorders>
            <w:shd w:val="clear" w:color="auto" w:fill="auto"/>
            <w:tcMar>
              <w:left w:w="60" w:type="dxa"/>
              <w:right w:w="60" w:type="dxa"/>
            </w:tcMar>
            <w:vAlign w:val="center"/>
          </w:tcPr>
          <w:p w14:paraId="2C39CC60" w14:textId="77777777" w:rsidR="00FD1E19" w:rsidRPr="007803F8" w:rsidRDefault="00FD1E19" w:rsidP="00BE7E4A">
            <w:pPr>
              <w:pStyle w:val="DMETW37234BIPCONSCF"/>
              <w:rPr>
                <w:rFonts w:ascii="Verdana" w:eastAsia="Verdana" w:hAnsi="Verdana" w:cs="Verdana"/>
                <w:i/>
                <w:iCs/>
                <w:noProof/>
                <w:color w:val="000000"/>
                <w:sz w:val="18"/>
              </w:rPr>
            </w:pPr>
            <w:r w:rsidRPr="007803F8">
              <w:rPr>
                <w:rFonts w:ascii="Verdana" w:eastAsia="Verdana" w:hAnsi="Verdana" w:cs="Verdana"/>
                <w:i/>
                <w:iCs/>
                <w:noProof/>
                <w:color w:val="000000"/>
                <w:sz w:val="18"/>
              </w:rPr>
              <w:t>Net increase/(decrease) in cash and cash equivalents</w:t>
            </w:r>
          </w:p>
        </w:tc>
        <w:tc>
          <w:tcPr>
            <w:tcW w:w="1276" w:type="dxa"/>
            <w:tcBorders>
              <w:top w:val="nil"/>
              <w:left w:val="nil"/>
              <w:bottom w:val="nil"/>
              <w:right w:val="nil"/>
              <w:tl2br w:val="nil"/>
              <w:tr2bl w:val="nil"/>
            </w:tcBorders>
            <w:shd w:val="clear" w:color="auto" w:fill="auto"/>
            <w:tcMar>
              <w:left w:w="60" w:type="dxa"/>
              <w:right w:w="60" w:type="dxa"/>
            </w:tcMar>
            <w:vAlign w:val="bottom"/>
          </w:tcPr>
          <w:p w14:paraId="40624442" w14:textId="77777777" w:rsidR="00FD1E19" w:rsidRDefault="00FD1E19" w:rsidP="00BE7E4A">
            <w:pPr>
              <w:pStyle w:val="DMETW37234BIPCONSCF"/>
              <w:jc w:val="right"/>
              <w:rPr>
                <w:rFonts w:ascii="Verdana" w:eastAsia="Verdana" w:hAnsi="Verdana" w:cs="Verdana"/>
                <w:noProof/>
                <w:color w:val="000000"/>
                <w:sz w:val="18"/>
              </w:rPr>
            </w:pPr>
            <w:r>
              <w:rPr>
                <w:rFonts w:ascii="Verdana" w:eastAsia="Verdana" w:hAnsi="Verdana" w:cs="Verdana"/>
                <w:noProof/>
                <w:color w:val="000000"/>
                <w:sz w:val="18"/>
              </w:rPr>
              <w:t xml:space="preserve"> (201)</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14E17976" w14:textId="77777777" w:rsidR="00FD1E19" w:rsidRDefault="00FD1E19" w:rsidP="00BE7E4A">
            <w:pPr>
              <w:pStyle w:val="DMETW37234BIPCONSCF"/>
              <w:jc w:val="right"/>
              <w:rPr>
                <w:rFonts w:ascii="Verdana" w:eastAsia="Verdana" w:hAnsi="Verdana" w:cs="Verdana"/>
                <w:noProof/>
                <w:color w:val="000000"/>
                <w:sz w:val="18"/>
                <w:lang w:bidi="en-GB"/>
              </w:rPr>
            </w:pPr>
            <w:r>
              <w:rPr>
                <w:rFonts w:ascii="Verdana" w:eastAsia="Verdana" w:hAnsi="Verdana" w:cs="Verdana"/>
                <w:noProof/>
                <w:color w:val="000000"/>
                <w:sz w:val="18"/>
              </w:rPr>
              <w:t xml:space="preserve"> (185)</w:t>
            </w:r>
          </w:p>
        </w:tc>
      </w:tr>
      <w:tr w:rsidR="00FD1E19" w14:paraId="077477F4" w14:textId="77777777" w:rsidTr="00BE7E4A">
        <w:trPr>
          <w:trHeight w:hRule="exact" w:val="228"/>
        </w:trPr>
        <w:tc>
          <w:tcPr>
            <w:tcW w:w="7431" w:type="dxa"/>
            <w:tcBorders>
              <w:top w:val="nil"/>
              <w:left w:val="nil"/>
              <w:bottom w:val="nil"/>
              <w:right w:val="nil"/>
              <w:tl2br w:val="nil"/>
              <w:tr2bl w:val="nil"/>
            </w:tcBorders>
            <w:shd w:val="clear" w:color="auto" w:fill="auto"/>
            <w:tcMar>
              <w:left w:w="60" w:type="dxa"/>
              <w:right w:w="60" w:type="dxa"/>
            </w:tcMar>
            <w:vAlign w:val="center"/>
          </w:tcPr>
          <w:p w14:paraId="1BDB67D2" w14:textId="77777777" w:rsidR="00FD1E19" w:rsidRPr="007803F8" w:rsidRDefault="00FD1E19" w:rsidP="00BE7E4A">
            <w:pPr>
              <w:pStyle w:val="DMETW37234BIPCONSCF"/>
              <w:rPr>
                <w:rFonts w:ascii="Verdana" w:eastAsia="Verdana" w:hAnsi="Verdana" w:cs="Verdana"/>
                <w:i/>
                <w:iCs/>
                <w:noProof/>
                <w:color w:val="000000"/>
                <w:sz w:val="18"/>
              </w:rPr>
            </w:pPr>
            <w:r w:rsidRPr="007803F8">
              <w:rPr>
                <w:rFonts w:ascii="Verdana" w:eastAsia="Verdana" w:hAnsi="Verdana" w:cs="Verdana"/>
                <w:i/>
                <w:iCs/>
                <w:noProof/>
                <w:color w:val="000000"/>
                <w:sz w:val="18"/>
              </w:rPr>
              <w:t>Cash and cash equivalents at the beginning of the year</w:t>
            </w:r>
          </w:p>
        </w:tc>
        <w:tc>
          <w:tcPr>
            <w:tcW w:w="1276" w:type="dxa"/>
            <w:tcBorders>
              <w:top w:val="nil"/>
              <w:left w:val="nil"/>
              <w:bottom w:val="nil"/>
              <w:right w:val="nil"/>
              <w:tl2br w:val="nil"/>
              <w:tr2bl w:val="nil"/>
            </w:tcBorders>
            <w:shd w:val="clear" w:color="auto" w:fill="auto"/>
            <w:tcMar>
              <w:left w:w="60" w:type="dxa"/>
              <w:right w:w="60" w:type="dxa"/>
            </w:tcMar>
            <w:vAlign w:val="bottom"/>
          </w:tcPr>
          <w:p w14:paraId="4B2AB15D" w14:textId="77777777" w:rsidR="00FD1E19" w:rsidRDefault="00FD1E19" w:rsidP="00BE7E4A">
            <w:pPr>
              <w:pStyle w:val="DMETW37234BIPCONSCF"/>
              <w:jc w:val="right"/>
              <w:rPr>
                <w:rFonts w:ascii="Verdana" w:eastAsia="Verdana" w:hAnsi="Verdana" w:cs="Verdana"/>
                <w:noProof/>
                <w:color w:val="000000"/>
                <w:sz w:val="18"/>
              </w:rPr>
            </w:pPr>
            <w:r>
              <w:rPr>
                <w:rFonts w:ascii="Verdana" w:eastAsia="Verdana" w:hAnsi="Verdana" w:cs="Verdana"/>
                <w:noProof/>
                <w:color w:val="000000"/>
                <w:sz w:val="18"/>
              </w:rPr>
              <w:t xml:space="preserve">  622</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3FE320F7" w14:textId="77777777" w:rsidR="00FD1E19" w:rsidRDefault="00FD1E19" w:rsidP="00BE7E4A">
            <w:pPr>
              <w:pStyle w:val="DMETW37234BIPCONSCF"/>
              <w:jc w:val="right"/>
              <w:rPr>
                <w:rFonts w:ascii="Verdana" w:eastAsia="Verdana" w:hAnsi="Verdana" w:cs="Verdana"/>
                <w:noProof/>
                <w:color w:val="000000"/>
                <w:sz w:val="18"/>
                <w:lang w:bidi="en-GB"/>
              </w:rPr>
            </w:pPr>
            <w:r>
              <w:rPr>
                <w:rFonts w:ascii="Verdana" w:eastAsia="Verdana" w:hAnsi="Verdana" w:cs="Verdana"/>
                <w:noProof/>
                <w:color w:val="000000"/>
                <w:sz w:val="18"/>
              </w:rPr>
              <w:t xml:space="preserve">  807</w:t>
            </w:r>
          </w:p>
        </w:tc>
      </w:tr>
      <w:tr w:rsidR="00FD1E19" w14:paraId="4F15784B" w14:textId="77777777" w:rsidTr="00BE7E4A">
        <w:trPr>
          <w:trHeight w:hRule="exact" w:val="225"/>
        </w:trPr>
        <w:tc>
          <w:tcPr>
            <w:tcW w:w="7431" w:type="dxa"/>
            <w:tcBorders>
              <w:top w:val="nil"/>
              <w:left w:val="nil"/>
              <w:bottom w:val="nil"/>
              <w:right w:val="nil"/>
              <w:tl2br w:val="nil"/>
              <w:tr2bl w:val="nil"/>
            </w:tcBorders>
            <w:shd w:val="clear" w:color="auto" w:fill="auto"/>
            <w:tcMar>
              <w:left w:w="60" w:type="dxa"/>
              <w:right w:w="60" w:type="dxa"/>
            </w:tcMar>
            <w:vAlign w:val="center"/>
          </w:tcPr>
          <w:p w14:paraId="1A2A856A" w14:textId="77777777" w:rsidR="00FD1E19" w:rsidRPr="007803F8" w:rsidRDefault="00FD1E19" w:rsidP="00BE7E4A">
            <w:pPr>
              <w:pStyle w:val="DMETW37234BIPCONSCF"/>
              <w:rPr>
                <w:rFonts w:ascii="Verdana" w:eastAsia="Verdana" w:hAnsi="Verdana" w:cs="Verdana"/>
                <w:i/>
                <w:iCs/>
                <w:noProof/>
                <w:color w:val="000000"/>
                <w:sz w:val="18"/>
              </w:rPr>
            </w:pPr>
            <w:r w:rsidRPr="007803F8">
              <w:rPr>
                <w:rFonts w:ascii="Verdana" w:eastAsia="Verdana" w:hAnsi="Verdana" w:cs="Verdana"/>
                <w:i/>
                <w:iCs/>
                <w:noProof/>
                <w:color w:val="000000"/>
                <w:sz w:val="18"/>
              </w:rPr>
              <w:t>Cash and cash equivalents at year-end</w:t>
            </w:r>
          </w:p>
        </w:tc>
        <w:tc>
          <w:tcPr>
            <w:tcW w:w="1276" w:type="dxa"/>
            <w:tcBorders>
              <w:top w:val="nil"/>
              <w:left w:val="nil"/>
              <w:bottom w:val="nil"/>
              <w:right w:val="nil"/>
              <w:tl2br w:val="nil"/>
              <w:tr2bl w:val="nil"/>
            </w:tcBorders>
            <w:shd w:val="clear" w:color="auto" w:fill="auto"/>
            <w:tcMar>
              <w:left w:w="60" w:type="dxa"/>
              <w:right w:w="60" w:type="dxa"/>
            </w:tcMar>
            <w:vAlign w:val="bottom"/>
          </w:tcPr>
          <w:p w14:paraId="6C4CE8B4" w14:textId="77777777" w:rsidR="00FD1E19" w:rsidRDefault="00FD1E19" w:rsidP="00BE7E4A">
            <w:pPr>
              <w:pStyle w:val="DMETW37234BIPCONSCF"/>
              <w:jc w:val="right"/>
              <w:rPr>
                <w:rFonts w:ascii="Verdana" w:eastAsia="Verdana" w:hAnsi="Verdana" w:cs="Verdana"/>
                <w:noProof/>
                <w:color w:val="000000"/>
                <w:sz w:val="18"/>
              </w:rPr>
            </w:pPr>
            <w:r>
              <w:rPr>
                <w:rFonts w:ascii="Verdana" w:eastAsia="Verdana" w:hAnsi="Verdana" w:cs="Verdana"/>
                <w:noProof/>
                <w:color w:val="000000"/>
                <w:sz w:val="18"/>
              </w:rPr>
              <w:t xml:space="preserve">  420</w:t>
            </w:r>
          </w:p>
        </w:tc>
        <w:tc>
          <w:tcPr>
            <w:tcW w:w="1051" w:type="dxa"/>
            <w:tcBorders>
              <w:top w:val="nil"/>
              <w:left w:val="nil"/>
              <w:bottom w:val="nil"/>
              <w:right w:val="nil"/>
              <w:tl2br w:val="nil"/>
              <w:tr2bl w:val="nil"/>
            </w:tcBorders>
            <w:shd w:val="clear" w:color="auto" w:fill="auto"/>
            <w:tcMar>
              <w:left w:w="60" w:type="dxa"/>
              <w:right w:w="60" w:type="dxa"/>
            </w:tcMar>
            <w:vAlign w:val="bottom"/>
          </w:tcPr>
          <w:p w14:paraId="5D88403E" w14:textId="77777777" w:rsidR="00FD1E19" w:rsidRDefault="00FD1E19" w:rsidP="00BE7E4A">
            <w:pPr>
              <w:pStyle w:val="DMETW37234BIPCONSCF"/>
              <w:jc w:val="right"/>
              <w:rPr>
                <w:rFonts w:ascii="Verdana" w:eastAsia="Verdana" w:hAnsi="Verdana" w:cs="Verdana"/>
                <w:noProof/>
                <w:color w:val="000000"/>
                <w:sz w:val="18"/>
              </w:rPr>
            </w:pPr>
            <w:r>
              <w:rPr>
                <w:rFonts w:ascii="Verdana" w:eastAsia="Verdana" w:hAnsi="Verdana" w:cs="Verdana"/>
                <w:noProof/>
                <w:color w:val="000000"/>
                <w:sz w:val="18"/>
              </w:rPr>
              <w:t xml:space="preserve">  622</w:t>
            </w:r>
          </w:p>
        </w:tc>
      </w:tr>
    </w:tbl>
    <w:p w14:paraId="05B4B30F" w14:textId="77777777" w:rsidR="00FD1E19" w:rsidRPr="008C2B0E" w:rsidRDefault="00FD1E19" w:rsidP="00FD1E19">
      <w:pPr>
        <w:pStyle w:val="HEADERTITLE1"/>
        <w:rPr>
          <w:lang w:val="en-US"/>
        </w:rPr>
      </w:pPr>
    </w:p>
    <w:p w14:paraId="004609D0" w14:textId="77777777" w:rsidR="00FD1E19" w:rsidRDefault="00FD1E19" w:rsidP="00FD1E19">
      <w:pPr>
        <w:pStyle w:val="Textstand-alone"/>
        <w:rPr>
          <w:sz w:val="14"/>
          <w:szCs w:val="14"/>
        </w:rPr>
      </w:pPr>
      <w:r>
        <w:t xml:space="preserve">  </w:t>
      </w:r>
    </w:p>
    <w:bookmarkEnd w:id="136"/>
    <w:p w14:paraId="19F32F5B" w14:textId="77777777" w:rsidR="00FD1E19" w:rsidRDefault="00FD1E19" w:rsidP="00FD1E19">
      <w:pPr>
        <w:rPr>
          <w:noProof/>
        </w:rPr>
        <w:sectPr w:rsidR="00FD1E19" w:rsidSect="00FD1E19">
          <w:headerReference w:type="default" r:id="rId134"/>
          <w:footerReference w:type="default" r:id="rId135"/>
          <w:pgSz w:w="11906" w:h="16838" w:code="9"/>
          <w:pgMar w:top="1134" w:right="1134" w:bottom="1134" w:left="1134" w:header="708" w:footer="708" w:gutter="0"/>
          <w:cols w:space="708"/>
          <w:docGrid w:linePitch="360"/>
        </w:sectPr>
      </w:pPr>
    </w:p>
    <w:p w14:paraId="216C71C8" w14:textId="77777777" w:rsidR="00FD1E19" w:rsidRDefault="00FD1E19" w:rsidP="00FD1E19">
      <w:pPr>
        <w:pStyle w:val="HEADERTITLE1"/>
      </w:pPr>
      <w:bookmarkStart w:id="175" w:name="_Toc232609798"/>
      <w:bookmarkStart w:id="176" w:name="_DMBM_37242"/>
      <w:r w:rsidRPr="00C41A08">
        <w:t>CONSOLIDATED STATEMENT OF CHANGES IN NET ASSETS</w:t>
      </w:r>
      <w:bookmarkEnd w:id="17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45"/>
        <w:gridCol w:w="1597"/>
        <w:gridCol w:w="1827"/>
        <w:gridCol w:w="1902"/>
        <w:gridCol w:w="2089"/>
        <w:gridCol w:w="1639"/>
        <w:gridCol w:w="1591"/>
      </w:tblGrid>
      <w:tr w:rsidR="00FD1E19" w14:paraId="2A3446C3" w14:textId="77777777" w:rsidTr="00BE7E4A">
        <w:trPr>
          <w:trHeight w:val="255"/>
        </w:trPr>
        <w:tc>
          <w:tcPr>
            <w:tcW w:w="4045" w:type="dxa"/>
            <w:tcBorders>
              <w:top w:val="nil"/>
              <w:left w:val="nil"/>
              <w:bottom w:val="nil"/>
              <w:right w:val="nil"/>
              <w:tl2br w:val="nil"/>
              <w:tr2bl w:val="nil"/>
            </w:tcBorders>
            <w:shd w:val="clear" w:color="auto" w:fill="auto"/>
            <w:tcMar>
              <w:left w:w="60" w:type="dxa"/>
              <w:right w:w="60" w:type="dxa"/>
            </w:tcMar>
            <w:vAlign w:val="center"/>
          </w:tcPr>
          <w:p w14:paraId="5855BE95" w14:textId="77777777" w:rsidR="00FD1E19" w:rsidRDefault="00FD1E19" w:rsidP="00BE7E4A">
            <w:pPr>
              <w:pStyle w:val="DMETW37234BIPCONSNA"/>
              <w:rPr>
                <w:rFonts w:ascii="Verdana" w:eastAsia="Verdana" w:hAnsi="Verdana" w:cs="Verdana"/>
                <w:noProof/>
                <w:color w:val="000000"/>
                <w:sz w:val="18"/>
                <w:lang w:bidi="en-GB"/>
              </w:rPr>
            </w:pPr>
            <w:bookmarkStart w:id="177" w:name="DOC_TBL00060_1_1"/>
            <w:bookmarkEnd w:id="177"/>
          </w:p>
        </w:tc>
        <w:tc>
          <w:tcPr>
            <w:tcW w:w="1597" w:type="dxa"/>
            <w:tcBorders>
              <w:top w:val="nil"/>
              <w:left w:val="nil"/>
              <w:bottom w:val="nil"/>
              <w:right w:val="nil"/>
              <w:tl2br w:val="nil"/>
              <w:tr2bl w:val="nil"/>
            </w:tcBorders>
            <w:shd w:val="clear" w:color="auto" w:fill="auto"/>
            <w:tcMar>
              <w:left w:w="60" w:type="dxa"/>
              <w:right w:w="60" w:type="dxa"/>
            </w:tcMar>
            <w:vAlign w:val="center"/>
          </w:tcPr>
          <w:p w14:paraId="6C7D3DA2" w14:textId="77777777" w:rsidR="00FD1E19" w:rsidRDefault="00FD1E19" w:rsidP="00BE7E4A">
            <w:pPr>
              <w:pStyle w:val="DMETW37234BIPCONSNA"/>
              <w:rPr>
                <w:rFonts w:ascii="Verdana" w:eastAsia="Verdana" w:hAnsi="Verdana" w:cs="Verdana"/>
                <w:noProof/>
                <w:color w:val="000000"/>
                <w:sz w:val="18"/>
              </w:rPr>
            </w:pPr>
          </w:p>
        </w:tc>
        <w:tc>
          <w:tcPr>
            <w:tcW w:w="1827" w:type="dxa"/>
            <w:tcBorders>
              <w:top w:val="nil"/>
              <w:left w:val="nil"/>
              <w:bottom w:val="nil"/>
              <w:right w:val="nil"/>
              <w:tl2br w:val="nil"/>
              <w:tr2bl w:val="nil"/>
            </w:tcBorders>
            <w:shd w:val="clear" w:color="auto" w:fill="auto"/>
            <w:tcMar>
              <w:left w:w="60" w:type="dxa"/>
              <w:right w:w="60" w:type="dxa"/>
            </w:tcMar>
            <w:vAlign w:val="center"/>
          </w:tcPr>
          <w:p w14:paraId="1BB25216" w14:textId="77777777" w:rsidR="00FD1E19" w:rsidRDefault="00FD1E19" w:rsidP="00BE7E4A">
            <w:pPr>
              <w:pStyle w:val="DMETW37234BIPCONSNA"/>
              <w:rPr>
                <w:rFonts w:ascii="Verdana" w:eastAsia="Verdana" w:hAnsi="Verdana" w:cs="Verdana"/>
                <w:noProof/>
                <w:color w:val="000000"/>
                <w:sz w:val="18"/>
              </w:rPr>
            </w:pPr>
          </w:p>
        </w:tc>
        <w:tc>
          <w:tcPr>
            <w:tcW w:w="1902" w:type="dxa"/>
            <w:tcBorders>
              <w:top w:val="nil"/>
              <w:left w:val="nil"/>
              <w:bottom w:val="nil"/>
              <w:right w:val="nil"/>
              <w:tl2br w:val="nil"/>
              <w:tr2bl w:val="nil"/>
            </w:tcBorders>
            <w:shd w:val="clear" w:color="auto" w:fill="auto"/>
            <w:tcMar>
              <w:left w:w="60" w:type="dxa"/>
              <w:right w:w="60" w:type="dxa"/>
            </w:tcMar>
            <w:vAlign w:val="center"/>
          </w:tcPr>
          <w:p w14:paraId="2303CE91" w14:textId="77777777" w:rsidR="00FD1E19" w:rsidRDefault="00FD1E19" w:rsidP="00BE7E4A">
            <w:pPr>
              <w:pStyle w:val="DMETW37234BIPCONSNA"/>
              <w:rPr>
                <w:rFonts w:ascii="Verdana" w:eastAsia="Verdana" w:hAnsi="Verdana" w:cs="Verdana"/>
                <w:noProof/>
                <w:color w:val="000000"/>
                <w:sz w:val="18"/>
              </w:rPr>
            </w:pPr>
          </w:p>
        </w:tc>
        <w:tc>
          <w:tcPr>
            <w:tcW w:w="2089" w:type="dxa"/>
            <w:tcBorders>
              <w:top w:val="nil"/>
              <w:left w:val="nil"/>
              <w:bottom w:val="nil"/>
              <w:right w:val="nil"/>
              <w:tl2br w:val="nil"/>
              <w:tr2bl w:val="nil"/>
            </w:tcBorders>
            <w:shd w:val="clear" w:color="auto" w:fill="auto"/>
            <w:tcMar>
              <w:left w:w="60" w:type="dxa"/>
              <w:right w:w="60" w:type="dxa"/>
            </w:tcMar>
            <w:vAlign w:val="center"/>
          </w:tcPr>
          <w:p w14:paraId="64184978" w14:textId="77777777" w:rsidR="00FD1E19" w:rsidRDefault="00FD1E19" w:rsidP="00BE7E4A">
            <w:pPr>
              <w:pStyle w:val="DMETW37234BIPCONSNA"/>
              <w:rPr>
                <w:rFonts w:ascii="Verdana" w:eastAsia="Verdana" w:hAnsi="Verdana" w:cs="Verdana"/>
                <w:noProof/>
                <w:color w:val="000000"/>
                <w:sz w:val="18"/>
              </w:rPr>
            </w:pPr>
          </w:p>
        </w:tc>
        <w:tc>
          <w:tcPr>
            <w:tcW w:w="1639" w:type="dxa"/>
            <w:tcBorders>
              <w:top w:val="nil"/>
              <w:left w:val="nil"/>
              <w:bottom w:val="nil"/>
              <w:right w:val="nil"/>
              <w:tl2br w:val="nil"/>
              <w:tr2bl w:val="nil"/>
            </w:tcBorders>
            <w:shd w:val="clear" w:color="auto" w:fill="auto"/>
            <w:tcMar>
              <w:left w:w="60" w:type="dxa"/>
              <w:right w:w="60" w:type="dxa"/>
            </w:tcMar>
            <w:vAlign w:val="center"/>
          </w:tcPr>
          <w:p w14:paraId="12C774A9" w14:textId="77777777" w:rsidR="00FD1E19" w:rsidRDefault="00FD1E19" w:rsidP="00BE7E4A">
            <w:pPr>
              <w:pStyle w:val="DMETW37234BIPCONSNA"/>
              <w:rPr>
                <w:rFonts w:ascii="Verdana" w:eastAsia="Verdana" w:hAnsi="Verdana" w:cs="Verdana"/>
                <w:noProof/>
                <w:color w:val="000000"/>
                <w:sz w:val="18"/>
              </w:rPr>
            </w:pPr>
          </w:p>
        </w:tc>
        <w:tc>
          <w:tcPr>
            <w:tcW w:w="1591" w:type="dxa"/>
            <w:tcBorders>
              <w:top w:val="nil"/>
              <w:left w:val="nil"/>
              <w:bottom w:val="nil"/>
              <w:right w:val="nil"/>
              <w:tl2br w:val="nil"/>
              <w:tr2bl w:val="nil"/>
            </w:tcBorders>
            <w:shd w:val="clear" w:color="auto" w:fill="auto"/>
            <w:tcMar>
              <w:left w:w="60" w:type="dxa"/>
              <w:right w:w="60" w:type="dxa"/>
            </w:tcMar>
            <w:vAlign w:val="center"/>
          </w:tcPr>
          <w:p w14:paraId="08D338BC" w14:textId="77777777" w:rsidR="00FD1E19" w:rsidRDefault="00FD1E19" w:rsidP="00BE7E4A">
            <w:pPr>
              <w:pStyle w:val="DMETW37234BIPCONSNA"/>
              <w:jc w:val="right"/>
              <w:rPr>
                <w:rFonts w:ascii="Verdana" w:eastAsia="Verdana" w:hAnsi="Verdana" w:cs="Verdana"/>
                <w:i/>
                <w:noProof/>
                <w:color w:val="000000"/>
                <w:sz w:val="16"/>
                <w:lang w:bidi="en-GB"/>
              </w:rPr>
            </w:pPr>
            <w:r>
              <w:rPr>
                <w:rFonts w:ascii="Verdana" w:eastAsia="Verdana" w:hAnsi="Verdana" w:cs="Verdana"/>
                <w:i/>
                <w:noProof/>
                <w:color w:val="000000"/>
                <w:sz w:val="16"/>
              </w:rPr>
              <w:t>EUR million</w:t>
            </w:r>
          </w:p>
        </w:tc>
      </w:tr>
      <w:tr w:rsidR="00FD1E19" w:rsidRPr="00F72CC2" w14:paraId="6E5A6F83" w14:textId="77777777" w:rsidTr="00BE7E4A">
        <w:trPr>
          <w:trHeight w:val="255"/>
        </w:trPr>
        <w:tc>
          <w:tcPr>
            <w:tcW w:w="4045" w:type="dxa"/>
            <w:tcBorders>
              <w:top w:val="nil"/>
              <w:left w:val="nil"/>
              <w:bottom w:val="nil"/>
              <w:right w:val="nil"/>
              <w:tl2br w:val="nil"/>
              <w:tr2bl w:val="nil"/>
            </w:tcBorders>
            <w:shd w:val="solid" w:color="016794" w:fill="FFFFFF"/>
            <w:tcMar>
              <w:left w:w="60" w:type="dxa"/>
              <w:right w:w="60" w:type="dxa"/>
            </w:tcMar>
            <w:vAlign w:val="bottom"/>
          </w:tcPr>
          <w:p w14:paraId="328B5EBD" w14:textId="77777777" w:rsidR="00FD1E19" w:rsidRDefault="00FD1E19" w:rsidP="00BE7E4A">
            <w:pPr>
              <w:pStyle w:val="DMETW37234BIPCONSNA"/>
              <w:jc w:val="center"/>
              <w:rPr>
                <w:rFonts w:ascii="Verdana" w:eastAsia="Verdana" w:hAnsi="Verdana" w:cs="Verdana"/>
                <w:noProof/>
                <w:color w:val="FFFFFF"/>
              </w:rPr>
            </w:pPr>
          </w:p>
        </w:tc>
        <w:tc>
          <w:tcPr>
            <w:tcW w:w="1597" w:type="dxa"/>
            <w:tcBorders>
              <w:top w:val="nil"/>
              <w:left w:val="nil"/>
              <w:bottom w:val="nil"/>
              <w:right w:val="nil"/>
              <w:tl2br w:val="nil"/>
              <w:tr2bl w:val="nil"/>
            </w:tcBorders>
            <w:shd w:val="solid" w:color="016794" w:fill="FFFFFF"/>
            <w:tcMar>
              <w:left w:w="60" w:type="dxa"/>
              <w:right w:w="60" w:type="dxa"/>
            </w:tcMar>
            <w:vAlign w:val="bottom"/>
          </w:tcPr>
          <w:p w14:paraId="27BE3F78" w14:textId="77777777" w:rsidR="00FD1E19" w:rsidRDefault="00FD1E19" w:rsidP="00BE7E4A">
            <w:pPr>
              <w:pStyle w:val="DMETW37234BIPCONSNA"/>
              <w:jc w:val="center"/>
              <w:rPr>
                <w:rFonts w:ascii="Verdana" w:eastAsia="Verdana" w:hAnsi="Verdana" w:cs="Verdana"/>
                <w:noProof/>
                <w:color w:val="FFFFFF"/>
              </w:rPr>
            </w:pPr>
            <w:r>
              <w:rPr>
                <w:rFonts w:ascii="Verdana" w:eastAsia="Verdana" w:hAnsi="Verdana" w:cs="Verdana"/>
                <w:noProof/>
                <w:color w:val="FFFFFF"/>
              </w:rPr>
              <w:t>Fund capital - active EDFs (A)</w:t>
            </w:r>
          </w:p>
        </w:tc>
        <w:tc>
          <w:tcPr>
            <w:tcW w:w="1827" w:type="dxa"/>
            <w:tcBorders>
              <w:top w:val="nil"/>
              <w:left w:val="nil"/>
              <w:bottom w:val="nil"/>
              <w:right w:val="nil"/>
              <w:tl2br w:val="nil"/>
              <w:tr2bl w:val="nil"/>
            </w:tcBorders>
            <w:shd w:val="solid" w:color="016794" w:fill="FFFFFF"/>
            <w:tcMar>
              <w:left w:w="60" w:type="dxa"/>
              <w:right w:w="60" w:type="dxa"/>
            </w:tcMar>
            <w:vAlign w:val="bottom"/>
          </w:tcPr>
          <w:p w14:paraId="4895AB05" w14:textId="77777777" w:rsidR="00FD1E19" w:rsidRDefault="00FD1E19" w:rsidP="00BE7E4A">
            <w:pPr>
              <w:pStyle w:val="DMETW37234BIPCONSNA"/>
              <w:jc w:val="center"/>
              <w:rPr>
                <w:rFonts w:ascii="Verdana" w:eastAsia="Verdana" w:hAnsi="Verdana" w:cs="Verdana"/>
                <w:noProof/>
                <w:color w:val="FFFFFF"/>
              </w:rPr>
            </w:pPr>
            <w:r>
              <w:rPr>
                <w:rFonts w:ascii="Verdana" w:eastAsia="Verdana" w:hAnsi="Verdana" w:cs="Verdana"/>
                <w:noProof/>
                <w:color w:val="FFFFFF"/>
              </w:rPr>
              <w:t>Uncalled funds - active EDFs (B)</w:t>
            </w:r>
          </w:p>
        </w:tc>
        <w:tc>
          <w:tcPr>
            <w:tcW w:w="1902" w:type="dxa"/>
            <w:tcBorders>
              <w:top w:val="nil"/>
              <w:left w:val="nil"/>
              <w:bottom w:val="nil"/>
              <w:right w:val="nil"/>
              <w:tl2br w:val="nil"/>
              <w:tr2bl w:val="nil"/>
            </w:tcBorders>
            <w:shd w:val="solid" w:color="016794" w:fill="FFFFFF"/>
            <w:tcMar>
              <w:left w:w="60" w:type="dxa"/>
              <w:right w:w="60" w:type="dxa"/>
            </w:tcMar>
            <w:vAlign w:val="bottom"/>
          </w:tcPr>
          <w:p w14:paraId="30CEC326" w14:textId="77777777" w:rsidR="00FD1E19" w:rsidRDefault="00FD1E19" w:rsidP="00BE7E4A">
            <w:pPr>
              <w:pStyle w:val="DMETW37234BIPCONSNA"/>
              <w:jc w:val="center"/>
              <w:rPr>
                <w:rFonts w:ascii="Verdana" w:eastAsia="Verdana" w:hAnsi="Verdana" w:cs="Verdana"/>
                <w:noProof/>
                <w:color w:val="FFFFFF"/>
              </w:rPr>
            </w:pPr>
            <w:r>
              <w:rPr>
                <w:rFonts w:ascii="Verdana" w:eastAsia="Verdana" w:hAnsi="Verdana" w:cs="Verdana"/>
                <w:noProof/>
                <w:color w:val="FFFFFF"/>
              </w:rPr>
              <w:t>Called fund capital - active EDFs (C) = (A)-(B)</w:t>
            </w:r>
          </w:p>
        </w:tc>
        <w:tc>
          <w:tcPr>
            <w:tcW w:w="2089" w:type="dxa"/>
            <w:tcBorders>
              <w:top w:val="nil"/>
              <w:left w:val="nil"/>
              <w:bottom w:val="nil"/>
              <w:right w:val="nil"/>
              <w:tl2br w:val="nil"/>
              <w:tr2bl w:val="nil"/>
            </w:tcBorders>
            <w:shd w:val="solid" w:color="016794" w:fill="FFFFFF"/>
            <w:tcMar>
              <w:left w:w="60" w:type="dxa"/>
              <w:right w:w="60" w:type="dxa"/>
            </w:tcMar>
            <w:vAlign w:val="bottom"/>
          </w:tcPr>
          <w:p w14:paraId="0721449A" w14:textId="77777777" w:rsidR="00FD1E19" w:rsidRDefault="00FD1E19" w:rsidP="00BE7E4A">
            <w:pPr>
              <w:pStyle w:val="DMETW37234BIPCONSNA"/>
              <w:jc w:val="center"/>
              <w:rPr>
                <w:rFonts w:ascii="Verdana" w:eastAsia="Verdana" w:hAnsi="Verdana" w:cs="Verdana"/>
                <w:noProof/>
                <w:color w:val="FFFFFF"/>
              </w:rPr>
            </w:pPr>
            <w:r>
              <w:rPr>
                <w:rFonts w:ascii="Verdana" w:eastAsia="Verdana" w:hAnsi="Verdana" w:cs="Verdana"/>
                <w:noProof/>
                <w:color w:val="FFFFFF"/>
              </w:rPr>
              <w:t>Cumulative Reserves (D)</w:t>
            </w:r>
          </w:p>
        </w:tc>
        <w:tc>
          <w:tcPr>
            <w:tcW w:w="1639" w:type="dxa"/>
            <w:tcBorders>
              <w:top w:val="nil"/>
              <w:left w:val="nil"/>
              <w:bottom w:val="nil"/>
              <w:right w:val="nil"/>
              <w:tl2br w:val="nil"/>
              <w:tr2bl w:val="nil"/>
            </w:tcBorders>
            <w:shd w:val="solid" w:color="016794" w:fill="FFFFFF"/>
            <w:tcMar>
              <w:left w:w="60" w:type="dxa"/>
              <w:right w:w="60" w:type="dxa"/>
            </w:tcMar>
            <w:vAlign w:val="bottom"/>
          </w:tcPr>
          <w:p w14:paraId="2251797A" w14:textId="77777777" w:rsidR="00FD1E19" w:rsidRDefault="00FD1E19" w:rsidP="00BE7E4A">
            <w:pPr>
              <w:pStyle w:val="DMETW37234BIPCONSNA"/>
              <w:jc w:val="center"/>
              <w:rPr>
                <w:rFonts w:ascii="Verdana" w:eastAsia="Verdana" w:hAnsi="Verdana" w:cs="Verdana"/>
                <w:noProof/>
                <w:color w:val="FFFFFF"/>
              </w:rPr>
            </w:pPr>
            <w:r>
              <w:rPr>
                <w:rFonts w:ascii="Verdana" w:eastAsia="Verdana" w:hAnsi="Verdana" w:cs="Verdana"/>
                <w:noProof/>
                <w:color w:val="FFFFFF"/>
              </w:rPr>
              <w:t>Called fund capital from closed EDFs carried forward (E)</w:t>
            </w:r>
          </w:p>
        </w:tc>
        <w:tc>
          <w:tcPr>
            <w:tcW w:w="1591" w:type="dxa"/>
            <w:tcBorders>
              <w:top w:val="nil"/>
              <w:left w:val="nil"/>
              <w:bottom w:val="nil"/>
              <w:right w:val="nil"/>
              <w:tl2br w:val="nil"/>
              <w:tr2bl w:val="nil"/>
            </w:tcBorders>
            <w:shd w:val="solid" w:color="016794" w:fill="FFFFFF"/>
            <w:tcMar>
              <w:left w:w="60" w:type="dxa"/>
              <w:right w:w="60" w:type="dxa"/>
            </w:tcMar>
            <w:vAlign w:val="bottom"/>
          </w:tcPr>
          <w:p w14:paraId="2AADF345" w14:textId="77777777" w:rsidR="00FD1E19" w:rsidRPr="00F72CC2" w:rsidRDefault="00FD1E19" w:rsidP="00BE7E4A">
            <w:pPr>
              <w:pStyle w:val="DMETW37234BIPCONSNA"/>
              <w:jc w:val="center"/>
              <w:rPr>
                <w:rFonts w:ascii="Verdana" w:eastAsia="Verdana" w:hAnsi="Verdana" w:cs="Verdana"/>
                <w:noProof/>
                <w:color w:val="FFFFFF"/>
                <w:lang w:val="fr-FR" w:bidi="en-GB"/>
              </w:rPr>
            </w:pPr>
            <w:r w:rsidRPr="00F72CC2">
              <w:rPr>
                <w:rFonts w:ascii="Verdana" w:eastAsia="Verdana" w:hAnsi="Verdana" w:cs="Verdana"/>
                <w:noProof/>
                <w:color w:val="FFFFFF"/>
                <w:lang w:val="fr-FR"/>
              </w:rPr>
              <w:t>Total Net Assets (C)+(D)+(E)+(F)</w:t>
            </w:r>
          </w:p>
        </w:tc>
      </w:tr>
      <w:tr w:rsidR="00FD1E19" w14:paraId="4295347C" w14:textId="77777777" w:rsidTr="00BE7E4A">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14:paraId="1E74DF71" w14:textId="77777777" w:rsidR="00FD1E19" w:rsidRDefault="00FD1E19" w:rsidP="00BE7E4A">
            <w:pPr>
              <w:pStyle w:val="DMETW37234BIPCONSNA"/>
              <w:rPr>
                <w:rFonts w:ascii="Verdana" w:eastAsia="Verdana" w:hAnsi="Verdana" w:cs="Verdana"/>
                <w:b/>
                <w:noProof/>
                <w:color w:val="000000"/>
                <w:sz w:val="18"/>
              </w:rPr>
            </w:pPr>
            <w:r>
              <w:rPr>
                <w:rFonts w:ascii="Verdana" w:eastAsia="Verdana" w:hAnsi="Verdana" w:cs="Verdana"/>
                <w:b/>
                <w:noProof/>
                <w:color w:val="000000"/>
                <w:sz w:val="18"/>
              </w:rPr>
              <w:t>BALANCE AS AT 31.12.2023</w:t>
            </w:r>
          </w:p>
        </w:tc>
        <w:tc>
          <w:tcPr>
            <w:tcW w:w="1597" w:type="dxa"/>
            <w:tcBorders>
              <w:top w:val="nil"/>
              <w:left w:val="nil"/>
              <w:bottom w:val="nil"/>
              <w:right w:val="nil"/>
              <w:tl2br w:val="nil"/>
              <w:tr2bl w:val="nil"/>
            </w:tcBorders>
            <w:shd w:val="solid" w:color="CCE1EA" w:fill="FFFFFF"/>
            <w:tcMar>
              <w:left w:w="60" w:type="dxa"/>
              <w:right w:w="60" w:type="dxa"/>
            </w:tcMar>
            <w:vAlign w:val="bottom"/>
          </w:tcPr>
          <w:p w14:paraId="04ACA66E"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60 607</w:t>
            </w:r>
          </w:p>
        </w:tc>
        <w:tc>
          <w:tcPr>
            <w:tcW w:w="1827" w:type="dxa"/>
            <w:tcBorders>
              <w:top w:val="nil"/>
              <w:left w:val="nil"/>
              <w:bottom w:val="nil"/>
              <w:right w:val="nil"/>
              <w:tl2br w:val="nil"/>
              <w:tr2bl w:val="nil"/>
            </w:tcBorders>
            <w:shd w:val="solid" w:color="CCE1EA" w:fill="FFFFFF"/>
            <w:tcMar>
              <w:left w:w="60" w:type="dxa"/>
              <w:right w:w="60" w:type="dxa"/>
            </w:tcMar>
            <w:vAlign w:val="bottom"/>
          </w:tcPr>
          <w:p w14:paraId="6E797C29"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6 040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14:paraId="459D258F"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54 566</w:t>
            </w:r>
          </w:p>
        </w:tc>
        <w:tc>
          <w:tcPr>
            <w:tcW w:w="2089" w:type="dxa"/>
            <w:tcBorders>
              <w:top w:val="nil"/>
              <w:left w:val="nil"/>
              <w:bottom w:val="nil"/>
              <w:right w:val="nil"/>
              <w:tl2br w:val="nil"/>
              <w:tr2bl w:val="nil"/>
            </w:tcBorders>
            <w:shd w:val="solid" w:color="CCE1EA" w:fill="FFFFFF"/>
            <w:tcMar>
              <w:left w:w="60" w:type="dxa"/>
              <w:right w:w="60" w:type="dxa"/>
            </w:tcMar>
            <w:vAlign w:val="bottom"/>
          </w:tcPr>
          <w:p w14:paraId="38B6B1BF"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(55 733)</w:t>
            </w:r>
          </w:p>
        </w:tc>
        <w:tc>
          <w:tcPr>
            <w:tcW w:w="1639" w:type="dxa"/>
            <w:tcBorders>
              <w:top w:val="nil"/>
              <w:left w:val="nil"/>
              <w:bottom w:val="nil"/>
              <w:right w:val="nil"/>
              <w:tl2br w:val="nil"/>
              <w:tr2bl w:val="nil"/>
            </w:tcBorders>
            <w:shd w:val="solid" w:color="CCE1EA" w:fill="FFFFFF"/>
            <w:tcMar>
              <w:left w:w="60" w:type="dxa"/>
              <w:right w:w="60" w:type="dxa"/>
            </w:tcMar>
            <w:vAlign w:val="bottom"/>
          </w:tcPr>
          <w:p w14:paraId="53CDBB36"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14:paraId="1693E3C2" w14:textId="77777777" w:rsidR="00FD1E19" w:rsidRDefault="00FD1E19" w:rsidP="00BE7E4A">
            <w:pPr>
              <w:pStyle w:val="DMETW37234BIPCONSNA"/>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1 086</w:t>
            </w:r>
          </w:p>
        </w:tc>
      </w:tr>
      <w:tr w:rsidR="00FD1E19" w14:paraId="3BBF2B21" w14:textId="77777777" w:rsidTr="00BE7E4A">
        <w:trPr>
          <w:trHeight w:val="255"/>
        </w:trPr>
        <w:tc>
          <w:tcPr>
            <w:tcW w:w="4045" w:type="dxa"/>
            <w:tcBorders>
              <w:top w:val="nil"/>
              <w:left w:val="nil"/>
              <w:bottom w:val="nil"/>
              <w:right w:val="nil"/>
              <w:tl2br w:val="nil"/>
              <w:tr2bl w:val="nil"/>
            </w:tcBorders>
            <w:shd w:val="clear" w:color="auto" w:fill="auto"/>
            <w:tcMar>
              <w:left w:w="60" w:type="dxa"/>
              <w:right w:w="60" w:type="dxa"/>
            </w:tcMar>
            <w:vAlign w:val="center"/>
          </w:tcPr>
          <w:p w14:paraId="710B5CEC" w14:textId="77777777" w:rsidR="00FD1E19" w:rsidRDefault="00FD1E19" w:rsidP="00BE7E4A">
            <w:pPr>
              <w:pStyle w:val="DMETW37234BIPCONSNA"/>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597" w:type="dxa"/>
            <w:tcBorders>
              <w:top w:val="nil"/>
              <w:left w:val="nil"/>
              <w:bottom w:val="nil"/>
              <w:right w:val="nil"/>
              <w:tl2br w:val="nil"/>
              <w:tr2bl w:val="nil"/>
            </w:tcBorders>
            <w:shd w:val="clear" w:color="auto" w:fill="auto"/>
            <w:tcMar>
              <w:left w:w="60" w:type="dxa"/>
              <w:right w:w="60" w:type="dxa"/>
            </w:tcMar>
            <w:vAlign w:val="center"/>
          </w:tcPr>
          <w:p w14:paraId="5BF8CECE"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 xml:space="preserve"> (62)</w:t>
            </w:r>
          </w:p>
        </w:tc>
        <w:tc>
          <w:tcPr>
            <w:tcW w:w="1827" w:type="dxa"/>
            <w:tcBorders>
              <w:top w:val="nil"/>
              <w:left w:val="nil"/>
              <w:bottom w:val="nil"/>
              <w:right w:val="nil"/>
              <w:tl2br w:val="nil"/>
              <w:tr2bl w:val="nil"/>
            </w:tcBorders>
            <w:shd w:val="clear" w:color="auto" w:fill="auto"/>
            <w:tcMar>
              <w:left w:w="60" w:type="dxa"/>
              <w:right w:w="60" w:type="dxa"/>
            </w:tcMar>
            <w:vAlign w:val="center"/>
          </w:tcPr>
          <w:p w14:paraId="7322A573"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(1 200)</w:t>
            </w:r>
          </w:p>
        </w:tc>
        <w:tc>
          <w:tcPr>
            <w:tcW w:w="1902" w:type="dxa"/>
            <w:tcBorders>
              <w:top w:val="nil"/>
              <w:left w:val="nil"/>
              <w:bottom w:val="nil"/>
              <w:right w:val="nil"/>
              <w:tl2br w:val="nil"/>
              <w:tr2bl w:val="nil"/>
            </w:tcBorders>
            <w:shd w:val="clear" w:color="auto" w:fill="auto"/>
            <w:tcMar>
              <w:left w:w="60" w:type="dxa"/>
              <w:right w:w="60" w:type="dxa"/>
            </w:tcMar>
            <w:vAlign w:val="center"/>
          </w:tcPr>
          <w:p w14:paraId="13322D35"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1 138</w:t>
            </w:r>
          </w:p>
        </w:tc>
        <w:tc>
          <w:tcPr>
            <w:tcW w:w="2089" w:type="dxa"/>
            <w:tcBorders>
              <w:top w:val="nil"/>
              <w:left w:val="nil"/>
              <w:bottom w:val="nil"/>
              <w:right w:val="nil"/>
              <w:tl2br w:val="nil"/>
              <w:tr2bl w:val="nil"/>
            </w:tcBorders>
            <w:shd w:val="clear" w:color="auto" w:fill="auto"/>
            <w:tcMar>
              <w:left w:w="60" w:type="dxa"/>
              <w:right w:w="60" w:type="dxa"/>
            </w:tcMar>
            <w:vAlign w:val="center"/>
          </w:tcPr>
          <w:p w14:paraId="06FD0A9F"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39" w:type="dxa"/>
            <w:tcBorders>
              <w:top w:val="nil"/>
              <w:left w:val="nil"/>
              <w:bottom w:val="nil"/>
              <w:right w:val="nil"/>
              <w:tl2br w:val="nil"/>
              <w:tr2bl w:val="nil"/>
            </w:tcBorders>
            <w:shd w:val="clear" w:color="auto" w:fill="auto"/>
            <w:tcMar>
              <w:left w:w="60" w:type="dxa"/>
              <w:right w:w="60" w:type="dxa"/>
            </w:tcMar>
            <w:vAlign w:val="center"/>
          </w:tcPr>
          <w:p w14:paraId="348D2A5D"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91" w:type="dxa"/>
            <w:tcBorders>
              <w:top w:val="nil"/>
              <w:left w:val="nil"/>
              <w:bottom w:val="nil"/>
              <w:right w:val="nil"/>
              <w:tl2br w:val="nil"/>
              <w:tr2bl w:val="nil"/>
            </w:tcBorders>
            <w:shd w:val="clear" w:color="auto" w:fill="auto"/>
            <w:tcMar>
              <w:left w:w="60" w:type="dxa"/>
              <w:right w:w="60" w:type="dxa"/>
            </w:tcMar>
            <w:vAlign w:val="center"/>
          </w:tcPr>
          <w:p w14:paraId="269EF8E5" w14:textId="77777777" w:rsidR="00FD1E19" w:rsidRDefault="00FD1E19" w:rsidP="00BE7E4A">
            <w:pPr>
              <w:pStyle w:val="DMETW37234BIPCONSNA"/>
              <w:jc w:val="right"/>
              <w:rPr>
                <w:rFonts w:ascii="Verdana" w:eastAsia="Verdana" w:hAnsi="Verdana" w:cs="Verdana"/>
                <w:i/>
                <w:noProof/>
                <w:color w:val="000000"/>
                <w:sz w:val="18"/>
                <w:lang w:bidi="en-GB"/>
              </w:rPr>
            </w:pPr>
            <w:r>
              <w:rPr>
                <w:rFonts w:ascii="Verdana" w:eastAsia="Verdana" w:hAnsi="Verdana" w:cs="Verdana"/>
                <w:i/>
                <w:noProof/>
                <w:color w:val="000000"/>
                <w:sz w:val="18"/>
              </w:rPr>
              <w:t>1 138</w:t>
            </w:r>
          </w:p>
        </w:tc>
      </w:tr>
      <w:tr w:rsidR="00FD1E19" w14:paraId="4BE869F3" w14:textId="77777777" w:rsidTr="00BE7E4A">
        <w:trPr>
          <w:trHeight w:val="255"/>
        </w:trPr>
        <w:tc>
          <w:tcPr>
            <w:tcW w:w="4045" w:type="dxa"/>
            <w:tcBorders>
              <w:top w:val="nil"/>
              <w:left w:val="nil"/>
              <w:bottom w:val="nil"/>
              <w:right w:val="nil"/>
              <w:tl2br w:val="nil"/>
              <w:tr2bl w:val="nil"/>
            </w:tcBorders>
            <w:shd w:val="clear" w:color="auto" w:fill="auto"/>
            <w:tcMar>
              <w:left w:w="60" w:type="dxa"/>
              <w:right w:w="60" w:type="dxa"/>
            </w:tcMar>
            <w:vAlign w:val="center"/>
          </w:tcPr>
          <w:p w14:paraId="2FE664D6" w14:textId="77777777" w:rsidR="00FD1E19" w:rsidRDefault="00FD1E19" w:rsidP="00BE7E4A">
            <w:pPr>
              <w:pStyle w:val="DMETW37234BIPCONSNA"/>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597" w:type="dxa"/>
            <w:tcBorders>
              <w:top w:val="nil"/>
              <w:left w:val="nil"/>
              <w:bottom w:val="nil"/>
              <w:right w:val="nil"/>
              <w:tl2br w:val="nil"/>
              <w:tr2bl w:val="nil"/>
            </w:tcBorders>
            <w:shd w:val="clear" w:color="auto" w:fill="auto"/>
            <w:tcMar>
              <w:left w:w="60" w:type="dxa"/>
              <w:right w:w="60" w:type="dxa"/>
            </w:tcMar>
            <w:vAlign w:val="center"/>
          </w:tcPr>
          <w:p w14:paraId="34B72309"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827" w:type="dxa"/>
            <w:tcBorders>
              <w:top w:val="nil"/>
              <w:left w:val="nil"/>
              <w:bottom w:val="nil"/>
              <w:right w:val="nil"/>
              <w:tl2br w:val="nil"/>
              <w:tr2bl w:val="nil"/>
            </w:tcBorders>
            <w:shd w:val="clear" w:color="auto" w:fill="auto"/>
            <w:tcMar>
              <w:left w:w="60" w:type="dxa"/>
              <w:right w:w="60" w:type="dxa"/>
            </w:tcMar>
            <w:vAlign w:val="center"/>
          </w:tcPr>
          <w:p w14:paraId="70C7DA12"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02" w:type="dxa"/>
            <w:tcBorders>
              <w:top w:val="nil"/>
              <w:left w:val="nil"/>
              <w:bottom w:val="nil"/>
              <w:right w:val="nil"/>
              <w:tl2br w:val="nil"/>
              <w:tr2bl w:val="nil"/>
            </w:tcBorders>
            <w:shd w:val="clear" w:color="auto" w:fill="auto"/>
            <w:tcMar>
              <w:left w:w="60" w:type="dxa"/>
              <w:right w:w="60" w:type="dxa"/>
            </w:tcMar>
            <w:vAlign w:val="center"/>
          </w:tcPr>
          <w:p w14:paraId="3E05E185"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89" w:type="dxa"/>
            <w:tcBorders>
              <w:top w:val="nil"/>
              <w:left w:val="nil"/>
              <w:bottom w:val="nil"/>
              <w:right w:val="nil"/>
              <w:tl2br w:val="nil"/>
              <w:tr2bl w:val="nil"/>
            </w:tcBorders>
            <w:shd w:val="clear" w:color="auto" w:fill="auto"/>
            <w:tcMar>
              <w:left w:w="60" w:type="dxa"/>
              <w:right w:w="60" w:type="dxa"/>
            </w:tcMar>
            <w:vAlign w:val="center"/>
          </w:tcPr>
          <w:p w14:paraId="02A98443"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(1 240)</w:t>
            </w:r>
          </w:p>
        </w:tc>
        <w:tc>
          <w:tcPr>
            <w:tcW w:w="1639" w:type="dxa"/>
            <w:tcBorders>
              <w:top w:val="nil"/>
              <w:left w:val="nil"/>
              <w:bottom w:val="nil"/>
              <w:right w:val="nil"/>
              <w:tl2br w:val="nil"/>
              <w:tr2bl w:val="nil"/>
            </w:tcBorders>
            <w:shd w:val="clear" w:color="auto" w:fill="auto"/>
            <w:tcMar>
              <w:left w:w="60" w:type="dxa"/>
              <w:right w:w="60" w:type="dxa"/>
            </w:tcMar>
            <w:vAlign w:val="center"/>
          </w:tcPr>
          <w:p w14:paraId="3C43A2C1"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91" w:type="dxa"/>
            <w:tcBorders>
              <w:top w:val="nil"/>
              <w:left w:val="nil"/>
              <w:bottom w:val="nil"/>
              <w:right w:val="nil"/>
              <w:tl2br w:val="nil"/>
              <w:tr2bl w:val="nil"/>
            </w:tcBorders>
            <w:shd w:val="clear" w:color="auto" w:fill="auto"/>
            <w:tcMar>
              <w:left w:w="60" w:type="dxa"/>
              <w:right w:w="60" w:type="dxa"/>
            </w:tcMar>
            <w:vAlign w:val="center"/>
          </w:tcPr>
          <w:p w14:paraId="09C7AA99" w14:textId="77777777" w:rsidR="00FD1E19" w:rsidRDefault="00FD1E19" w:rsidP="00BE7E4A">
            <w:pPr>
              <w:pStyle w:val="DMETW37234BIPCONSNA"/>
              <w:jc w:val="right"/>
              <w:rPr>
                <w:rFonts w:ascii="Verdana" w:eastAsia="Verdana" w:hAnsi="Verdana" w:cs="Verdana"/>
                <w:i/>
                <w:noProof/>
                <w:color w:val="000000"/>
                <w:sz w:val="18"/>
                <w:lang w:bidi="en-GB"/>
              </w:rPr>
            </w:pPr>
            <w:r>
              <w:rPr>
                <w:rFonts w:ascii="Verdana" w:eastAsia="Verdana" w:hAnsi="Verdana" w:cs="Verdana"/>
                <w:i/>
                <w:noProof/>
                <w:color w:val="000000"/>
                <w:sz w:val="18"/>
              </w:rPr>
              <w:t>(1 240)</w:t>
            </w:r>
          </w:p>
        </w:tc>
      </w:tr>
      <w:tr w:rsidR="00FD1E19" w14:paraId="41622E21" w14:textId="77777777" w:rsidTr="00BE7E4A">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14:paraId="2E357C39" w14:textId="77777777" w:rsidR="00FD1E19" w:rsidRDefault="00FD1E19" w:rsidP="00BE7E4A">
            <w:pPr>
              <w:pStyle w:val="DMETW37234BIPCONSNA"/>
              <w:rPr>
                <w:rFonts w:ascii="Verdana" w:eastAsia="Verdana" w:hAnsi="Verdana" w:cs="Verdana"/>
                <w:b/>
                <w:noProof/>
                <w:color w:val="000000"/>
                <w:sz w:val="18"/>
              </w:rPr>
            </w:pPr>
            <w:r>
              <w:rPr>
                <w:rFonts w:ascii="Verdana" w:eastAsia="Verdana" w:hAnsi="Verdana" w:cs="Verdana"/>
                <w:b/>
                <w:noProof/>
                <w:color w:val="000000"/>
                <w:sz w:val="18"/>
              </w:rPr>
              <w:t>BALANCE AS AT 31.12.2024</w:t>
            </w:r>
          </w:p>
        </w:tc>
        <w:tc>
          <w:tcPr>
            <w:tcW w:w="1597" w:type="dxa"/>
            <w:tcBorders>
              <w:top w:val="nil"/>
              <w:left w:val="nil"/>
              <w:bottom w:val="nil"/>
              <w:right w:val="nil"/>
              <w:tl2br w:val="nil"/>
              <w:tr2bl w:val="nil"/>
            </w:tcBorders>
            <w:shd w:val="solid" w:color="CCE1EA" w:fill="FFFFFF"/>
            <w:tcMar>
              <w:left w:w="60" w:type="dxa"/>
              <w:right w:w="60" w:type="dxa"/>
            </w:tcMar>
            <w:vAlign w:val="bottom"/>
          </w:tcPr>
          <w:p w14:paraId="54EB7497"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60 544</w:t>
            </w:r>
          </w:p>
        </w:tc>
        <w:tc>
          <w:tcPr>
            <w:tcW w:w="1827" w:type="dxa"/>
            <w:tcBorders>
              <w:top w:val="nil"/>
              <w:left w:val="nil"/>
              <w:bottom w:val="nil"/>
              <w:right w:val="nil"/>
              <w:tl2br w:val="nil"/>
              <w:tr2bl w:val="nil"/>
            </w:tcBorders>
            <w:shd w:val="solid" w:color="CCE1EA" w:fill="FFFFFF"/>
            <w:tcMar>
              <w:left w:w="60" w:type="dxa"/>
              <w:right w:w="60" w:type="dxa"/>
            </w:tcMar>
            <w:vAlign w:val="bottom"/>
          </w:tcPr>
          <w:p w14:paraId="67E4B58C"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4 840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14:paraId="4C159CE4"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55 704</w:t>
            </w:r>
          </w:p>
        </w:tc>
        <w:tc>
          <w:tcPr>
            <w:tcW w:w="2089" w:type="dxa"/>
            <w:tcBorders>
              <w:top w:val="nil"/>
              <w:left w:val="nil"/>
              <w:bottom w:val="nil"/>
              <w:right w:val="nil"/>
              <w:tl2br w:val="nil"/>
              <w:tr2bl w:val="nil"/>
            </w:tcBorders>
            <w:shd w:val="solid" w:color="CCE1EA" w:fill="FFFFFF"/>
            <w:tcMar>
              <w:left w:w="60" w:type="dxa"/>
              <w:right w:w="60" w:type="dxa"/>
            </w:tcMar>
            <w:vAlign w:val="bottom"/>
          </w:tcPr>
          <w:p w14:paraId="7430B948"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(56 973)</w:t>
            </w:r>
          </w:p>
        </w:tc>
        <w:tc>
          <w:tcPr>
            <w:tcW w:w="1639" w:type="dxa"/>
            <w:tcBorders>
              <w:top w:val="nil"/>
              <w:left w:val="nil"/>
              <w:bottom w:val="nil"/>
              <w:right w:val="nil"/>
              <w:tl2br w:val="nil"/>
              <w:tr2bl w:val="nil"/>
            </w:tcBorders>
            <w:shd w:val="solid" w:color="CCE1EA" w:fill="FFFFFF"/>
            <w:tcMar>
              <w:left w:w="60" w:type="dxa"/>
              <w:right w:w="60" w:type="dxa"/>
            </w:tcMar>
            <w:vAlign w:val="bottom"/>
          </w:tcPr>
          <w:p w14:paraId="0C40F2ED"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14:paraId="32B413A3" w14:textId="77777777" w:rsidR="00FD1E19" w:rsidRDefault="00FD1E19" w:rsidP="00BE7E4A">
            <w:pPr>
              <w:pStyle w:val="DMETW37234BIPCONSNA"/>
              <w:jc w:val="right"/>
              <w:rPr>
                <w:rFonts w:ascii="Verdana" w:eastAsia="Verdana" w:hAnsi="Verdana" w:cs="Verdana"/>
                <w:b/>
                <w:noProof/>
                <w:color w:val="000000"/>
                <w:sz w:val="18"/>
                <w:lang w:bidi="en-GB"/>
              </w:rPr>
            </w:pPr>
            <w:r>
              <w:rPr>
                <w:rFonts w:ascii="Verdana" w:eastAsia="Verdana" w:hAnsi="Verdana" w:cs="Verdana"/>
                <w:b/>
                <w:noProof/>
                <w:color w:val="000000"/>
                <w:sz w:val="18"/>
              </w:rPr>
              <w:t xml:space="preserve">  983</w:t>
            </w:r>
          </w:p>
        </w:tc>
      </w:tr>
      <w:tr w:rsidR="00FD1E19" w14:paraId="484B5710" w14:textId="77777777" w:rsidTr="00BE7E4A">
        <w:trPr>
          <w:trHeight w:val="255"/>
        </w:trPr>
        <w:tc>
          <w:tcPr>
            <w:tcW w:w="4045" w:type="dxa"/>
            <w:tcBorders>
              <w:top w:val="nil"/>
              <w:left w:val="nil"/>
              <w:bottom w:val="nil"/>
              <w:right w:val="nil"/>
              <w:tl2br w:val="nil"/>
              <w:tr2bl w:val="nil"/>
            </w:tcBorders>
            <w:shd w:val="clear" w:color="auto" w:fill="auto"/>
            <w:tcMar>
              <w:left w:w="60" w:type="dxa"/>
              <w:right w:w="60" w:type="dxa"/>
            </w:tcMar>
            <w:vAlign w:val="center"/>
          </w:tcPr>
          <w:p w14:paraId="6E9080A0" w14:textId="77777777" w:rsidR="00FD1E19" w:rsidRDefault="00FD1E19" w:rsidP="00BE7E4A">
            <w:pPr>
              <w:pStyle w:val="DMETW37234BIPCONSNA"/>
              <w:rPr>
                <w:rFonts w:ascii="Verdana" w:eastAsia="Verdana" w:hAnsi="Verdana" w:cs="Verdana"/>
                <w:i/>
                <w:noProof/>
                <w:color w:val="000000"/>
                <w:sz w:val="18"/>
              </w:rPr>
            </w:pPr>
            <w:r>
              <w:rPr>
                <w:rFonts w:ascii="Verdana" w:eastAsia="Verdana" w:hAnsi="Verdana" w:cs="Verdana"/>
                <w:i/>
                <w:noProof/>
                <w:color w:val="000000"/>
                <w:sz w:val="18"/>
              </w:rPr>
              <w:t>Capital increase - contributions</w:t>
            </w:r>
          </w:p>
        </w:tc>
        <w:tc>
          <w:tcPr>
            <w:tcW w:w="1597" w:type="dxa"/>
            <w:tcBorders>
              <w:top w:val="nil"/>
              <w:left w:val="nil"/>
              <w:bottom w:val="nil"/>
              <w:right w:val="nil"/>
              <w:tl2br w:val="nil"/>
              <w:tr2bl w:val="nil"/>
            </w:tcBorders>
            <w:shd w:val="clear" w:color="auto" w:fill="auto"/>
            <w:tcMar>
              <w:left w:w="60" w:type="dxa"/>
              <w:right w:w="60" w:type="dxa"/>
            </w:tcMar>
            <w:vAlign w:val="center"/>
          </w:tcPr>
          <w:p w14:paraId="38A375C2"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 xml:space="preserve"> (16)</w:t>
            </w:r>
          </w:p>
        </w:tc>
        <w:tc>
          <w:tcPr>
            <w:tcW w:w="1827" w:type="dxa"/>
            <w:tcBorders>
              <w:top w:val="nil"/>
              <w:left w:val="nil"/>
              <w:bottom w:val="nil"/>
              <w:right w:val="nil"/>
              <w:tl2br w:val="nil"/>
              <w:tr2bl w:val="nil"/>
            </w:tcBorders>
            <w:shd w:val="clear" w:color="auto" w:fill="auto"/>
            <w:tcMar>
              <w:left w:w="60" w:type="dxa"/>
              <w:right w:w="60" w:type="dxa"/>
            </w:tcMar>
            <w:vAlign w:val="center"/>
          </w:tcPr>
          <w:p w14:paraId="71E96239"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 xml:space="preserve"> (800)</w:t>
            </w:r>
          </w:p>
        </w:tc>
        <w:tc>
          <w:tcPr>
            <w:tcW w:w="1902" w:type="dxa"/>
            <w:tcBorders>
              <w:top w:val="nil"/>
              <w:left w:val="nil"/>
              <w:bottom w:val="nil"/>
              <w:right w:val="nil"/>
              <w:tl2br w:val="nil"/>
              <w:tr2bl w:val="nil"/>
            </w:tcBorders>
            <w:shd w:val="clear" w:color="auto" w:fill="auto"/>
            <w:tcMar>
              <w:left w:w="60" w:type="dxa"/>
              <w:right w:w="60" w:type="dxa"/>
            </w:tcMar>
            <w:vAlign w:val="center"/>
          </w:tcPr>
          <w:p w14:paraId="216A213D"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 xml:space="preserve"> 784</w:t>
            </w:r>
          </w:p>
        </w:tc>
        <w:tc>
          <w:tcPr>
            <w:tcW w:w="2089" w:type="dxa"/>
            <w:tcBorders>
              <w:top w:val="nil"/>
              <w:left w:val="nil"/>
              <w:bottom w:val="nil"/>
              <w:right w:val="nil"/>
              <w:tl2br w:val="nil"/>
              <w:tr2bl w:val="nil"/>
            </w:tcBorders>
            <w:shd w:val="clear" w:color="auto" w:fill="auto"/>
            <w:tcMar>
              <w:left w:w="60" w:type="dxa"/>
              <w:right w:w="60" w:type="dxa"/>
            </w:tcMar>
            <w:vAlign w:val="center"/>
          </w:tcPr>
          <w:p w14:paraId="7F89F6CD"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639" w:type="dxa"/>
            <w:tcBorders>
              <w:top w:val="nil"/>
              <w:left w:val="nil"/>
              <w:bottom w:val="nil"/>
              <w:right w:val="nil"/>
              <w:tl2br w:val="nil"/>
              <w:tr2bl w:val="nil"/>
            </w:tcBorders>
            <w:shd w:val="clear" w:color="auto" w:fill="auto"/>
            <w:tcMar>
              <w:left w:w="60" w:type="dxa"/>
              <w:right w:w="60" w:type="dxa"/>
            </w:tcMar>
            <w:vAlign w:val="center"/>
          </w:tcPr>
          <w:p w14:paraId="6ACE07E9"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91" w:type="dxa"/>
            <w:tcBorders>
              <w:top w:val="nil"/>
              <w:left w:val="nil"/>
              <w:bottom w:val="nil"/>
              <w:right w:val="nil"/>
              <w:tl2br w:val="nil"/>
              <w:tr2bl w:val="nil"/>
            </w:tcBorders>
            <w:shd w:val="clear" w:color="auto" w:fill="auto"/>
            <w:tcMar>
              <w:left w:w="60" w:type="dxa"/>
              <w:right w:w="60" w:type="dxa"/>
            </w:tcMar>
            <w:vAlign w:val="center"/>
          </w:tcPr>
          <w:p w14:paraId="7D127625" w14:textId="77777777" w:rsidR="00FD1E19" w:rsidRDefault="00FD1E19" w:rsidP="00BE7E4A">
            <w:pPr>
              <w:pStyle w:val="DMETW37234BIPCONSNA"/>
              <w:jc w:val="right"/>
              <w:rPr>
                <w:rFonts w:ascii="Verdana" w:eastAsia="Verdana" w:hAnsi="Verdana" w:cs="Verdana"/>
                <w:i/>
                <w:noProof/>
                <w:color w:val="000000"/>
                <w:sz w:val="18"/>
                <w:lang w:bidi="en-GB"/>
              </w:rPr>
            </w:pPr>
            <w:r>
              <w:rPr>
                <w:rFonts w:ascii="Verdana" w:eastAsia="Verdana" w:hAnsi="Verdana" w:cs="Verdana"/>
                <w:i/>
                <w:noProof/>
                <w:color w:val="000000"/>
                <w:sz w:val="18"/>
              </w:rPr>
              <w:t xml:space="preserve"> 784</w:t>
            </w:r>
          </w:p>
        </w:tc>
      </w:tr>
      <w:tr w:rsidR="00FD1E19" w14:paraId="73AA539F" w14:textId="77777777" w:rsidTr="00BE7E4A">
        <w:trPr>
          <w:trHeight w:val="255"/>
        </w:trPr>
        <w:tc>
          <w:tcPr>
            <w:tcW w:w="4045" w:type="dxa"/>
            <w:tcBorders>
              <w:top w:val="nil"/>
              <w:left w:val="nil"/>
              <w:bottom w:val="nil"/>
              <w:right w:val="nil"/>
              <w:tl2br w:val="nil"/>
              <w:tr2bl w:val="nil"/>
            </w:tcBorders>
            <w:shd w:val="clear" w:color="auto" w:fill="auto"/>
            <w:tcMar>
              <w:left w:w="60" w:type="dxa"/>
              <w:right w:w="60" w:type="dxa"/>
            </w:tcMar>
            <w:vAlign w:val="center"/>
          </w:tcPr>
          <w:p w14:paraId="0D57D0C4" w14:textId="77777777" w:rsidR="00FD1E19" w:rsidRDefault="00FD1E19" w:rsidP="00BE7E4A">
            <w:pPr>
              <w:pStyle w:val="DMETW37234BIPCONSNA"/>
              <w:rPr>
                <w:rFonts w:ascii="Verdana" w:eastAsia="Verdana" w:hAnsi="Verdana" w:cs="Verdana"/>
                <w:i/>
                <w:noProof/>
                <w:color w:val="000000"/>
                <w:sz w:val="18"/>
              </w:rPr>
            </w:pPr>
            <w:r>
              <w:rPr>
                <w:rFonts w:ascii="Verdana" w:eastAsia="Verdana" w:hAnsi="Verdana" w:cs="Verdana"/>
                <w:i/>
                <w:noProof/>
                <w:color w:val="000000"/>
                <w:sz w:val="18"/>
              </w:rPr>
              <w:t>Economic result of the year</w:t>
            </w:r>
          </w:p>
        </w:tc>
        <w:tc>
          <w:tcPr>
            <w:tcW w:w="1597" w:type="dxa"/>
            <w:tcBorders>
              <w:top w:val="nil"/>
              <w:left w:val="nil"/>
              <w:bottom w:val="nil"/>
              <w:right w:val="nil"/>
              <w:tl2br w:val="nil"/>
              <w:tr2bl w:val="nil"/>
            </w:tcBorders>
            <w:shd w:val="clear" w:color="auto" w:fill="auto"/>
            <w:tcMar>
              <w:left w:w="60" w:type="dxa"/>
              <w:right w:w="60" w:type="dxa"/>
            </w:tcMar>
            <w:vAlign w:val="center"/>
          </w:tcPr>
          <w:p w14:paraId="7CF09B68"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827" w:type="dxa"/>
            <w:tcBorders>
              <w:top w:val="nil"/>
              <w:left w:val="nil"/>
              <w:bottom w:val="nil"/>
              <w:right w:val="nil"/>
              <w:tl2br w:val="nil"/>
              <w:tr2bl w:val="nil"/>
            </w:tcBorders>
            <w:shd w:val="clear" w:color="auto" w:fill="auto"/>
            <w:tcMar>
              <w:left w:w="60" w:type="dxa"/>
              <w:right w:w="60" w:type="dxa"/>
            </w:tcMar>
            <w:vAlign w:val="center"/>
          </w:tcPr>
          <w:p w14:paraId="3586EB6E"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902" w:type="dxa"/>
            <w:tcBorders>
              <w:top w:val="nil"/>
              <w:left w:val="nil"/>
              <w:bottom w:val="nil"/>
              <w:right w:val="nil"/>
              <w:tl2br w:val="nil"/>
              <w:tr2bl w:val="nil"/>
            </w:tcBorders>
            <w:shd w:val="clear" w:color="auto" w:fill="auto"/>
            <w:tcMar>
              <w:left w:w="60" w:type="dxa"/>
              <w:right w:w="60" w:type="dxa"/>
            </w:tcMar>
            <w:vAlign w:val="center"/>
          </w:tcPr>
          <w:p w14:paraId="14029E2D"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2089" w:type="dxa"/>
            <w:tcBorders>
              <w:top w:val="nil"/>
              <w:left w:val="nil"/>
              <w:bottom w:val="nil"/>
              <w:right w:val="nil"/>
              <w:tl2br w:val="nil"/>
              <w:tr2bl w:val="nil"/>
            </w:tcBorders>
            <w:shd w:val="clear" w:color="auto" w:fill="auto"/>
            <w:tcMar>
              <w:left w:w="60" w:type="dxa"/>
              <w:right w:w="60" w:type="dxa"/>
            </w:tcMar>
            <w:vAlign w:val="center"/>
          </w:tcPr>
          <w:p w14:paraId="437AD533"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(1 094)</w:t>
            </w:r>
          </w:p>
        </w:tc>
        <w:tc>
          <w:tcPr>
            <w:tcW w:w="1639" w:type="dxa"/>
            <w:tcBorders>
              <w:top w:val="nil"/>
              <w:left w:val="nil"/>
              <w:bottom w:val="nil"/>
              <w:right w:val="nil"/>
              <w:tl2br w:val="nil"/>
              <w:tr2bl w:val="nil"/>
            </w:tcBorders>
            <w:shd w:val="clear" w:color="auto" w:fill="auto"/>
            <w:tcMar>
              <w:left w:w="60" w:type="dxa"/>
              <w:right w:w="60" w:type="dxa"/>
            </w:tcMar>
            <w:vAlign w:val="center"/>
          </w:tcPr>
          <w:p w14:paraId="5A51EFD9" w14:textId="77777777" w:rsidR="00FD1E19" w:rsidRDefault="00FD1E19" w:rsidP="00BE7E4A">
            <w:pPr>
              <w:pStyle w:val="DMETW37234BIPCONSNA"/>
              <w:jc w:val="right"/>
              <w:rPr>
                <w:rFonts w:ascii="Verdana" w:eastAsia="Verdana" w:hAnsi="Verdana" w:cs="Verdana"/>
                <w:i/>
                <w:noProof/>
                <w:color w:val="000000"/>
                <w:sz w:val="18"/>
              </w:rPr>
            </w:pPr>
            <w:r>
              <w:rPr>
                <w:rFonts w:ascii="Verdana" w:eastAsia="Verdana" w:hAnsi="Verdana" w:cs="Verdana"/>
                <w:i/>
                <w:noProof/>
                <w:color w:val="000000"/>
                <w:sz w:val="18"/>
              </w:rPr>
              <w:t>–</w:t>
            </w:r>
          </w:p>
        </w:tc>
        <w:tc>
          <w:tcPr>
            <w:tcW w:w="1591" w:type="dxa"/>
            <w:tcBorders>
              <w:top w:val="nil"/>
              <w:left w:val="nil"/>
              <w:bottom w:val="nil"/>
              <w:right w:val="nil"/>
              <w:tl2br w:val="nil"/>
              <w:tr2bl w:val="nil"/>
            </w:tcBorders>
            <w:shd w:val="clear" w:color="auto" w:fill="auto"/>
            <w:tcMar>
              <w:left w:w="60" w:type="dxa"/>
              <w:right w:w="60" w:type="dxa"/>
            </w:tcMar>
            <w:vAlign w:val="center"/>
          </w:tcPr>
          <w:p w14:paraId="146B4E5F" w14:textId="77777777" w:rsidR="00FD1E19" w:rsidRDefault="00FD1E19" w:rsidP="00BE7E4A">
            <w:pPr>
              <w:pStyle w:val="DMETW37234BIPCONSNA"/>
              <w:jc w:val="right"/>
              <w:rPr>
                <w:rFonts w:ascii="Verdana" w:eastAsia="Verdana" w:hAnsi="Verdana" w:cs="Verdana"/>
                <w:i/>
                <w:noProof/>
                <w:color w:val="000000"/>
                <w:sz w:val="18"/>
                <w:lang w:bidi="en-GB"/>
              </w:rPr>
            </w:pPr>
            <w:r>
              <w:rPr>
                <w:rFonts w:ascii="Verdana" w:eastAsia="Verdana" w:hAnsi="Verdana" w:cs="Verdana"/>
                <w:i/>
                <w:noProof/>
                <w:color w:val="000000"/>
                <w:sz w:val="18"/>
              </w:rPr>
              <w:t>(1 094)</w:t>
            </w:r>
          </w:p>
        </w:tc>
      </w:tr>
      <w:tr w:rsidR="00FD1E19" w14:paraId="6CE14AE9" w14:textId="77777777" w:rsidTr="00BE7E4A">
        <w:trPr>
          <w:trHeight w:val="255"/>
        </w:trPr>
        <w:tc>
          <w:tcPr>
            <w:tcW w:w="4045" w:type="dxa"/>
            <w:tcBorders>
              <w:top w:val="nil"/>
              <w:left w:val="nil"/>
              <w:bottom w:val="nil"/>
              <w:right w:val="nil"/>
              <w:tl2br w:val="nil"/>
              <w:tr2bl w:val="nil"/>
            </w:tcBorders>
            <w:shd w:val="solid" w:color="CCE1EA" w:fill="FFFFFF"/>
            <w:tcMar>
              <w:left w:w="60" w:type="dxa"/>
              <w:right w:w="60" w:type="dxa"/>
            </w:tcMar>
            <w:vAlign w:val="bottom"/>
          </w:tcPr>
          <w:p w14:paraId="6856F50B" w14:textId="77777777" w:rsidR="00FD1E19" w:rsidRDefault="00FD1E19" w:rsidP="00BE7E4A">
            <w:pPr>
              <w:pStyle w:val="DMETW37234BIPCONSNA"/>
              <w:rPr>
                <w:rFonts w:ascii="Verdana" w:eastAsia="Verdana" w:hAnsi="Verdana" w:cs="Verdana"/>
                <w:b/>
                <w:noProof/>
                <w:color w:val="000000"/>
                <w:sz w:val="18"/>
              </w:rPr>
            </w:pPr>
            <w:r>
              <w:rPr>
                <w:rFonts w:ascii="Verdana" w:eastAsia="Verdana" w:hAnsi="Verdana" w:cs="Verdana"/>
                <w:b/>
                <w:noProof/>
                <w:color w:val="000000"/>
                <w:sz w:val="18"/>
              </w:rPr>
              <w:t>BALANCE AS AT 31.12.2025</w:t>
            </w:r>
          </w:p>
        </w:tc>
        <w:tc>
          <w:tcPr>
            <w:tcW w:w="1597" w:type="dxa"/>
            <w:tcBorders>
              <w:top w:val="nil"/>
              <w:left w:val="nil"/>
              <w:bottom w:val="nil"/>
              <w:right w:val="nil"/>
              <w:tl2br w:val="nil"/>
              <w:tr2bl w:val="nil"/>
            </w:tcBorders>
            <w:shd w:val="solid" w:color="CCE1EA" w:fill="FFFFFF"/>
            <w:tcMar>
              <w:left w:w="60" w:type="dxa"/>
              <w:right w:w="60" w:type="dxa"/>
            </w:tcMar>
            <w:vAlign w:val="bottom"/>
          </w:tcPr>
          <w:p w14:paraId="6B03919E"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60 528</w:t>
            </w:r>
          </w:p>
        </w:tc>
        <w:tc>
          <w:tcPr>
            <w:tcW w:w="1827" w:type="dxa"/>
            <w:tcBorders>
              <w:top w:val="nil"/>
              <w:left w:val="nil"/>
              <w:bottom w:val="nil"/>
              <w:right w:val="nil"/>
              <w:tl2br w:val="nil"/>
              <w:tr2bl w:val="nil"/>
            </w:tcBorders>
            <w:shd w:val="solid" w:color="CCE1EA" w:fill="FFFFFF"/>
            <w:tcMar>
              <w:left w:w="60" w:type="dxa"/>
              <w:right w:w="60" w:type="dxa"/>
            </w:tcMar>
            <w:vAlign w:val="bottom"/>
          </w:tcPr>
          <w:p w14:paraId="02F64673"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4 040</w:t>
            </w:r>
          </w:p>
        </w:tc>
        <w:tc>
          <w:tcPr>
            <w:tcW w:w="1902" w:type="dxa"/>
            <w:tcBorders>
              <w:top w:val="nil"/>
              <w:left w:val="nil"/>
              <w:bottom w:val="nil"/>
              <w:right w:val="nil"/>
              <w:tl2br w:val="nil"/>
              <w:tr2bl w:val="nil"/>
            </w:tcBorders>
            <w:shd w:val="solid" w:color="CCE1EA" w:fill="FFFFFF"/>
            <w:tcMar>
              <w:left w:w="60" w:type="dxa"/>
              <w:right w:w="60" w:type="dxa"/>
            </w:tcMar>
            <w:vAlign w:val="bottom"/>
          </w:tcPr>
          <w:p w14:paraId="3CF95A8E"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56 488</w:t>
            </w:r>
          </w:p>
        </w:tc>
        <w:tc>
          <w:tcPr>
            <w:tcW w:w="2089" w:type="dxa"/>
            <w:tcBorders>
              <w:top w:val="nil"/>
              <w:left w:val="nil"/>
              <w:bottom w:val="nil"/>
              <w:right w:val="nil"/>
              <w:tl2br w:val="nil"/>
              <w:tr2bl w:val="nil"/>
            </w:tcBorders>
            <w:shd w:val="solid" w:color="CCE1EA" w:fill="FFFFFF"/>
            <w:tcMar>
              <w:left w:w="60" w:type="dxa"/>
              <w:right w:w="60" w:type="dxa"/>
            </w:tcMar>
            <w:vAlign w:val="bottom"/>
          </w:tcPr>
          <w:p w14:paraId="4513DCF1"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(58 067)</w:t>
            </w:r>
          </w:p>
        </w:tc>
        <w:tc>
          <w:tcPr>
            <w:tcW w:w="1639" w:type="dxa"/>
            <w:tcBorders>
              <w:top w:val="nil"/>
              <w:left w:val="nil"/>
              <w:bottom w:val="nil"/>
              <w:right w:val="nil"/>
              <w:tl2br w:val="nil"/>
              <w:tr2bl w:val="nil"/>
            </w:tcBorders>
            <w:shd w:val="solid" w:color="CCE1EA" w:fill="FFFFFF"/>
            <w:tcMar>
              <w:left w:w="60" w:type="dxa"/>
              <w:right w:w="60" w:type="dxa"/>
            </w:tcMar>
            <w:vAlign w:val="bottom"/>
          </w:tcPr>
          <w:p w14:paraId="260FF4DA"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2 252</w:t>
            </w:r>
          </w:p>
        </w:tc>
        <w:tc>
          <w:tcPr>
            <w:tcW w:w="1591" w:type="dxa"/>
            <w:tcBorders>
              <w:top w:val="nil"/>
              <w:left w:val="nil"/>
              <w:bottom w:val="nil"/>
              <w:right w:val="nil"/>
              <w:tl2br w:val="nil"/>
              <w:tr2bl w:val="nil"/>
            </w:tcBorders>
            <w:shd w:val="solid" w:color="CCE1EA" w:fill="FFFFFF"/>
            <w:tcMar>
              <w:left w:w="60" w:type="dxa"/>
              <w:right w:w="60" w:type="dxa"/>
            </w:tcMar>
            <w:vAlign w:val="bottom"/>
          </w:tcPr>
          <w:p w14:paraId="4D3106DE" w14:textId="77777777" w:rsidR="00FD1E19" w:rsidRDefault="00FD1E19" w:rsidP="00BE7E4A">
            <w:pPr>
              <w:pStyle w:val="DMETW37234BIPCONSNA"/>
              <w:jc w:val="right"/>
              <w:rPr>
                <w:rFonts w:ascii="Verdana" w:eastAsia="Verdana" w:hAnsi="Verdana" w:cs="Verdana"/>
                <w:b/>
                <w:noProof/>
                <w:color w:val="000000"/>
                <w:sz w:val="18"/>
              </w:rPr>
            </w:pPr>
            <w:r>
              <w:rPr>
                <w:rFonts w:ascii="Verdana" w:eastAsia="Verdana" w:hAnsi="Verdana" w:cs="Verdana"/>
                <w:b/>
                <w:noProof/>
                <w:color w:val="000000"/>
                <w:sz w:val="18"/>
              </w:rPr>
              <w:t xml:space="preserve">  673</w:t>
            </w:r>
          </w:p>
        </w:tc>
      </w:tr>
      <w:bookmarkEnd w:id="176"/>
    </w:tbl>
    <w:p w14:paraId="1A03CBCD" w14:textId="77777777" w:rsidR="00FD1E19" w:rsidRDefault="00FD1E19" w:rsidP="00FD1E19">
      <w:pPr>
        <w:pStyle w:val="HEADERTITLE1"/>
        <w:sectPr w:rsidR="00FD1E19" w:rsidSect="00FD1E19">
          <w:headerReference w:type="default" r:id="rId136"/>
          <w:footerReference w:type="default" r:id="rId137"/>
          <w:pgSz w:w="16838" w:h="11906" w:orient="landscape" w:code="9"/>
          <w:pgMar w:top="1134" w:right="1134" w:bottom="1134" w:left="1134" w:header="709" w:footer="709" w:gutter="0"/>
          <w:cols w:space="708"/>
          <w:docGrid w:linePitch="360"/>
        </w:sectPr>
      </w:pPr>
    </w:p>
    <w:p w14:paraId="1EAE3464" w14:textId="77777777" w:rsidR="00FD1E19" w:rsidRDefault="00FD1E19" w:rsidP="00FD1E19">
      <w:pPr>
        <w:pStyle w:val="FIRSTCHAPTERPAGE1"/>
      </w:pPr>
      <w:bookmarkStart w:id="178" w:name="_Toc72848827"/>
      <w:bookmarkStart w:id="179" w:name="_Toc73026805"/>
      <w:bookmarkStart w:id="180" w:name="_DMBM_37250"/>
      <w:bookmarkStart w:id="181" w:name="_CSF_TOC_1_5"/>
    </w:p>
    <w:p w14:paraId="1C1CADA8" w14:textId="77777777" w:rsidR="00FD1E19" w:rsidRDefault="00FD1E19" w:rsidP="00FD1E19">
      <w:pPr>
        <w:pStyle w:val="FIRSTCHAPTERPAGE1"/>
      </w:pPr>
    </w:p>
    <w:p w14:paraId="133ECAE5" w14:textId="77777777" w:rsidR="00FD1E19" w:rsidRDefault="00FD1E19" w:rsidP="00FD1E19">
      <w:pPr>
        <w:pStyle w:val="FIRSTCHAPTERPAGE1"/>
      </w:pPr>
    </w:p>
    <w:p w14:paraId="6AFA63E4" w14:textId="77777777" w:rsidR="00FD1E19" w:rsidRDefault="00FD1E19" w:rsidP="00FD1E19">
      <w:pPr>
        <w:pStyle w:val="FIRSTCHAPTERPAGE1"/>
      </w:pPr>
    </w:p>
    <w:p w14:paraId="22D72495" w14:textId="77777777" w:rsidR="00FD1E19" w:rsidRPr="008575FF" w:rsidRDefault="00FD1E19" w:rsidP="008575FF">
      <w:pPr>
        <w:spacing w:before="240" w:after="240"/>
        <w:jc w:val="both"/>
        <w:rPr>
          <w:rFonts w:ascii="Verdana" w:hAnsi="Verdana"/>
          <w:b/>
          <w:bCs/>
          <w:noProof/>
          <w:color w:val="016794"/>
          <w:sz w:val="40"/>
          <w:szCs w:val="40"/>
          <w:lang w:val="en-IE"/>
        </w:rPr>
      </w:pPr>
      <w:bookmarkStart w:id="182" w:name="_Toc229991226"/>
      <w:r w:rsidRPr="008575FF">
        <w:rPr>
          <w:rFonts w:ascii="Verdana" w:hAnsi="Verdana"/>
          <w:b/>
          <w:bCs/>
          <w:noProof/>
          <w:color w:val="016794"/>
          <w:sz w:val="40"/>
          <w:szCs w:val="40"/>
          <w:lang w:val="en-IE"/>
        </w:rPr>
        <w:t>PART I.4</w:t>
      </w:r>
      <w:bookmarkEnd w:id="182"/>
    </w:p>
    <w:p w14:paraId="32A31A42" w14:textId="77777777" w:rsidR="00FD1E19" w:rsidRPr="00E573A5" w:rsidRDefault="00FD1E19" w:rsidP="00FD1E19">
      <w:pPr>
        <w:pStyle w:val="FIRSTCHAPTERPAGE1"/>
      </w:pPr>
      <w:bookmarkStart w:id="183" w:name="_Toc232609799"/>
      <w:bookmarkStart w:id="184" w:name="_Toc232611631"/>
      <w:r>
        <w:t>EDF REPORT ON FINANCIAL IMPLEMENTATION</w:t>
      </w:r>
      <w:bookmarkEnd w:id="178"/>
      <w:bookmarkEnd w:id="179"/>
      <w:bookmarkEnd w:id="183"/>
      <w:bookmarkEnd w:id="184"/>
    </w:p>
    <w:p w14:paraId="36331D4F" w14:textId="77777777" w:rsidR="00FD1E19" w:rsidRDefault="00FD1E19" w:rsidP="00FD1E19">
      <w:pPr>
        <w:rPr>
          <w:noProof/>
        </w:rPr>
      </w:pPr>
      <w:r>
        <w:rPr>
          <w:noProof/>
        </w:rPr>
        <w:br w:type="page"/>
      </w:r>
    </w:p>
    <w:p w14:paraId="61F8368A" w14:textId="77777777" w:rsidR="00FD1E19" w:rsidRDefault="00FD1E19" w:rsidP="00FD1E19">
      <w:pPr>
        <w:pStyle w:val="HEADERTABLE"/>
        <w:rPr>
          <w:noProof/>
          <w:lang w:val="fr-BE"/>
        </w:rPr>
      </w:pPr>
      <w:r>
        <w:rPr>
          <w:noProof/>
          <w:lang w:val="fr-BE"/>
        </w:rPr>
        <w:t>CONTENTS</w:t>
      </w:r>
    </w:p>
    <w:p w14:paraId="0A5139FB" w14:textId="1C33B4AA" w:rsidR="00FD1E19" w:rsidRDefault="00FD1E19" w:rsidP="00FD1E19">
      <w:pPr>
        <w:pStyle w:val="TOC1"/>
        <w:tabs>
          <w:tab w:val="left" w:pos="480"/>
          <w:tab w:val="right" w:leader="dot" w:pos="9629"/>
        </w:tabs>
        <w:rPr>
          <w:rFonts w:asciiTheme="minorHAnsi" w:eastAsiaTheme="minorEastAsia" w:hAnsiTheme="minorHAnsi" w:cstheme="minorBidi"/>
          <w:noProof/>
          <w:color w:val="auto"/>
          <w:kern w:val="2"/>
          <w:sz w:val="24"/>
          <w:lang w:val="en-IE" w:eastAsia="en-IE"/>
        </w:rPr>
      </w:pPr>
      <w:r>
        <w:rPr>
          <w:b/>
          <w:noProof/>
          <w:color w:val="auto"/>
        </w:rPr>
        <w:fldChar w:fldCharType="begin"/>
      </w:r>
      <w:r>
        <w:rPr>
          <w:b/>
          <w:noProof/>
          <w:sz w:val="18"/>
          <w:szCs w:val="18"/>
        </w:rPr>
        <w:instrText xml:space="preserve"> TOC \h \z \t "HEADER 1_Part BUDG;1;HEADER 2_Part BUDG;2" </w:instrText>
      </w:r>
      <w:r>
        <w:rPr>
          <w:b/>
          <w:noProof/>
          <w:color w:val="auto"/>
        </w:rPr>
        <w:fldChar w:fldCharType="separate"/>
      </w:r>
      <w:hyperlink w:anchor="_Toc223947596" w:history="1">
        <w:r w:rsidRPr="0083031C">
          <w:rPr>
            <w:rStyle w:val="Hyperlink"/>
            <w:noProof/>
          </w:rPr>
          <w:t>1.</w:t>
        </w:r>
        <w:r>
          <w:rPr>
            <w:rFonts w:asciiTheme="minorHAnsi" w:eastAsiaTheme="minorEastAsia" w:hAnsiTheme="minorHAnsi" w:cstheme="minorBidi"/>
            <w:noProof/>
            <w:color w:val="auto"/>
            <w:kern w:val="2"/>
            <w:sz w:val="24"/>
            <w:lang w:val="en-IE" w:eastAsia="en-IE"/>
          </w:rPr>
          <w:tab/>
        </w:r>
        <w:r w:rsidRPr="0083031C">
          <w:rPr>
            <w:rStyle w:val="Hyperlink"/>
            <w:noProof/>
          </w:rPr>
          <w:t>BACKGROUND</w:t>
        </w:r>
        <w:r>
          <w:rPr>
            <w:noProof/>
            <w:webHidden/>
          </w:rPr>
          <w:tab/>
        </w:r>
        <w:r>
          <w:rPr>
            <w:noProof/>
            <w:webHidden/>
          </w:rPr>
          <w:fldChar w:fldCharType="begin"/>
        </w:r>
        <w:r>
          <w:rPr>
            <w:noProof/>
            <w:webHidden/>
          </w:rPr>
          <w:instrText xml:space="preserve"> PAGEREF _Toc223947596 \h </w:instrText>
        </w:r>
        <w:r>
          <w:rPr>
            <w:noProof/>
            <w:webHidden/>
          </w:rPr>
        </w:r>
        <w:r>
          <w:rPr>
            <w:noProof/>
            <w:webHidden/>
          </w:rPr>
          <w:fldChar w:fldCharType="separate"/>
        </w:r>
        <w:r w:rsidR="00606BEE">
          <w:rPr>
            <w:noProof/>
            <w:webHidden/>
          </w:rPr>
          <w:t>76</w:t>
        </w:r>
        <w:r>
          <w:rPr>
            <w:noProof/>
            <w:webHidden/>
          </w:rPr>
          <w:fldChar w:fldCharType="end"/>
        </w:r>
      </w:hyperlink>
    </w:p>
    <w:p w14:paraId="692A1099" w14:textId="42FB4FFB" w:rsidR="00FD1E19" w:rsidRDefault="00EE4C2D" w:rsidP="00FD1E19">
      <w:pPr>
        <w:pStyle w:val="TOC2"/>
        <w:tabs>
          <w:tab w:val="right" w:leader="dot" w:pos="9629"/>
        </w:tabs>
        <w:rPr>
          <w:rFonts w:asciiTheme="minorHAnsi" w:eastAsiaTheme="minorEastAsia" w:hAnsiTheme="minorHAnsi" w:cstheme="minorBidi"/>
          <w:noProof/>
          <w:color w:val="auto"/>
          <w:kern w:val="2"/>
          <w:sz w:val="24"/>
          <w:lang w:val="en-IE" w:eastAsia="en-IE"/>
        </w:rPr>
      </w:pPr>
      <w:hyperlink w:anchor="_Toc223947597" w:history="1">
        <w:r w:rsidR="00FD1E19" w:rsidRPr="0083031C">
          <w:rPr>
            <w:rStyle w:val="Hyperlink"/>
            <w:noProof/>
            <w:lang w:val="en-IE"/>
          </w:rPr>
          <w:t>Previous EDFs</w:t>
        </w:r>
        <w:r w:rsidR="00FD1E19">
          <w:rPr>
            <w:noProof/>
            <w:webHidden/>
          </w:rPr>
          <w:tab/>
        </w:r>
        <w:r w:rsidR="00FD1E19">
          <w:rPr>
            <w:noProof/>
            <w:webHidden/>
          </w:rPr>
          <w:fldChar w:fldCharType="begin"/>
        </w:r>
        <w:r w:rsidR="00FD1E19">
          <w:rPr>
            <w:noProof/>
            <w:webHidden/>
          </w:rPr>
          <w:instrText xml:space="preserve"> PAGEREF _Toc223947597 \h </w:instrText>
        </w:r>
        <w:r w:rsidR="00FD1E19">
          <w:rPr>
            <w:noProof/>
            <w:webHidden/>
          </w:rPr>
        </w:r>
        <w:r w:rsidR="00FD1E19">
          <w:rPr>
            <w:noProof/>
            <w:webHidden/>
          </w:rPr>
          <w:fldChar w:fldCharType="separate"/>
        </w:r>
        <w:r w:rsidR="00606BEE">
          <w:rPr>
            <w:noProof/>
            <w:webHidden/>
          </w:rPr>
          <w:t>76</w:t>
        </w:r>
        <w:r w:rsidR="00FD1E19">
          <w:rPr>
            <w:noProof/>
            <w:webHidden/>
          </w:rPr>
          <w:fldChar w:fldCharType="end"/>
        </w:r>
      </w:hyperlink>
    </w:p>
    <w:p w14:paraId="0DCBA330" w14:textId="0BE4B787" w:rsidR="00FD1E19" w:rsidRDefault="00EE4C2D" w:rsidP="00FD1E19">
      <w:pPr>
        <w:pStyle w:val="TOC2"/>
        <w:tabs>
          <w:tab w:val="right" w:leader="dot" w:pos="9629"/>
        </w:tabs>
        <w:rPr>
          <w:rFonts w:asciiTheme="minorHAnsi" w:eastAsiaTheme="minorEastAsia" w:hAnsiTheme="minorHAnsi" w:cstheme="minorBidi"/>
          <w:noProof/>
          <w:color w:val="auto"/>
          <w:kern w:val="2"/>
          <w:sz w:val="24"/>
          <w:lang w:val="en-IE" w:eastAsia="en-IE"/>
        </w:rPr>
      </w:pPr>
      <w:hyperlink w:anchor="_Toc223947598" w:history="1">
        <w:r w:rsidR="00FD1E19" w:rsidRPr="0083031C">
          <w:rPr>
            <w:rStyle w:val="Hyperlink"/>
            <w:noProof/>
            <w:lang w:val="en-US"/>
          </w:rPr>
          <w:t>10th and 11th EDF</w:t>
        </w:r>
        <w:r w:rsidR="00FD1E19">
          <w:rPr>
            <w:noProof/>
            <w:webHidden/>
          </w:rPr>
          <w:tab/>
        </w:r>
        <w:r w:rsidR="00FD1E19">
          <w:rPr>
            <w:noProof/>
            <w:webHidden/>
          </w:rPr>
          <w:fldChar w:fldCharType="begin"/>
        </w:r>
        <w:r w:rsidR="00FD1E19">
          <w:rPr>
            <w:noProof/>
            <w:webHidden/>
          </w:rPr>
          <w:instrText xml:space="preserve"> PAGEREF _Toc223947598 \h </w:instrText>
        </w:r>
        <w:r w:rsidR="00FD1E19">
          <w:rPr>
            <w:noProof/>
            <w:webHidden/>
          </w:rPr>
        </w:r>
        <w:r w:rsidR="00FD1E19">
          <w:rPr>
            <w:noProof/>
            <w:webHidden/>
          </w:rPr>
          <w:fldChar w:fldCharType="separate"/>
        </w:r>
        <w:r w:rsidR="00606BEE">
          <w:rPr>
            <w:noProof/>
            <w:webHidden/>
          </w:rPr>
          <w:t>77</w:t>
        </w:r>
        <w:r w:rsidR="00FD1E19">
          <w:rPr>
            <w:noProof/>
            <w:webHidden/>
          </w:rPr>
          <w:fldChar w:fldCharType="end"/>
        </w:r>
      </w:hyperlink>
    </w:p>
    <w:p w14:paraId="5840279A" w14:textId="146A615F" w:rsidR="00FD1E19" w:rsidRDefault="00EE4C2D" w:rsidP="00FD1E19">
      <w:pPr>
        <w:pStyle w:val="TOC1"/>
        <w:tabs>
          <w:tab w:val="left" w:pos="480"/>
          <w:tab w:val="right" w:leader="dot" w:pos="9629"/>
        </w:tabs>
        <w:rPr>
          <w:rFonts w:asciiTheme="minorHAnsi" w:eastAsiaTheme="minorEastAsia" w:hAnsiTheme="minorHAnsi" w:cstheme="minorBidi"/>
          <w:noProof/>
          <w:color w:val="auto"/>
          <w:kern w:val="2"/>
          <w:sz w:val="24"/>
          <w:lang w:val="en-IE" w:eastAsia="en-IE"/>
        </w:rPr>
      </w:pPr>
      <w:hyperlink w:anchor="_Toc223947599" w:history="1">
        <w:r w:rsidR="00FD1E19" w:rsidRPr="0083031C">
          <w:rPr>
            <w:rStyle w:val="Hyperlink"/>
            <w:noProof/>
          </w:rPr>
          <w:t>2.</w:t>
        </w:r>
        <w:r w:rsidR="00FD1E19">
          <w:rPr>
            <w:rFonts w:asciiTheme="minorHAnsi" w:eastAsiaTheme="minorEastAsia" w:hAnsiTheme="minorHAnsi" w:cstheme="minorBidi"/>
            <w:noProof/>
            <w:color w:val="auto"/>
            <w:kern w:val="2"/>
            <w:sz w:val="24"/>
            <w:lang w:val="en-IE" w:eastAsia="en-IE"/>
          </w:rPr>
          <w:tab/>
        </w:r>
        <w:r w:rsidR="00FD1E19" w:rsidRPr="0083031C">
          <w:rPr>
            <w:rStyle w:val="Hyperlink"/>
            <w:noProof/>
          </w:rPr>
          <w:t>FINANCIAL IMPLEMENTATION</w:t>
        </w:r>
        <w:r w:rsidR="00FD1E19">
          <w:rPr>
            <w:noProof/>
            <w:webHidden/>
          </w:rPr>
          <w:tab/>
        </w:r>
        <w:r w:rsidR="00FD1E19">
          <w:rPr>
            <w:noProof/>
            <w:webHidden/>
          </w:rPr>
          <w:fldChar w:fldCharType="begin"/>
        </w:r>
        <w:r w:rsidR="00FD1E19">
          <w:rPr>
            <w:noProof/>
            <w:webHidden/>
          </w:rPr>
          <w:instrText xml:space="preserve"> PAGEREF _Toc223947599 \h </w:instrText>
        </w:r>
        <w:r w:rsidR="00FD1E19">
          <w:rPr>
            <w:noProof/>
            <w:webHidden/>
          </w:rPr>
        </w:r>
        <w:r w:rsidR="00FD1E19">
          <w:rPr>
            <w:noProof/>
            <w:webHidden/>
          </w:rPr>
          <w:fldChar w:fldCharType="separate"/>
        </w:r>
        <w:r w:rsidR="00606BEE">
          <w:rPr>
            <w:noProof/>
            <w:webHidden/>
          </w:rPr>
          <w:t>78</w:t>
        </w:r>
        <w:r w:rsidR="00FD1E19">
          <w:rPr>
            <w:noProof/>
            <w:webHidden/>
          </w:rPr>
          <w:fldChar w:fldCharType="end"/>
        </w:r>
      </w:hyperlink>
    </w:p>
    <w:p w14:paraId="303C1D82" w14:textId="637BF8E0" w:rsidR="00FD1E19" w:rsidRDefault="00EE4C2D" w:rsidP="00FD1E19">
      <w:pPr>
        <w:pStyle w:val="TOC2"/>
        <w:tabs>
          <w:tab w:val="right" w:leader="dot" w:pos="9629"/>
        </w:tabs>
        <w:rPr>
          <w:rFonts w:asciiTheme="minorHAnsi" w:eastAsiaTheme="minorEastAsia" w:hAnsiTheme="minorHAnsi" w:cstheme="minorBidi"/>
          <w:noProof/>
          <w:color w:val="auto"/>
          <w:kern w:val="2"/>
          <w:sz w:val="24"/>
          <w:lang w:val="en-IE" w:eastAsia="en-IE"/>
        </w:rPr>
      </w:pPr>
      <w:hyperlink w:anchor="_Toc223947600" w:history="1">
        <w:r w:rsidR="00FD1E19" w:rsidRPr="0083031C">
          <w:rPr>
            <w:rStyle w:val="Hyperlink"/>
            <w:noProof/>
          </w:rPr>
          <w:t>FINANCIAL OUTTURN</w:t>
        </w:r>
        <w:r w:rsidR="00FD1E19">
          <w:rPr>
            <w:noProof/>
            <w:webHidden/>
          </w:rPr>
          <w:tab/>
        </w:r>
        <w:r w:rsidR="00FD1E19">
          <w:rPr>
            <w:noProof/>
            <w:webHidden/>
          </w:rPr>
          <w:fldChar w:fldCharType="begin"/>
        </w:r>
        <w:r w:rsidR="00FD1E19">
          <w:rPr>
            <w:noProof/>
            <w:webHidden/>
          </w:rPr>
          <w:instrText xml:space="preserve"> PAGEREF _Toc223947600 \h </w:instrText>
        </w:r>
        <w:r w:rsidR="00FD1E19">
          <w:rPr>
            <w:noProof/>
            <w:webHidden/>
          </w:rPr>
        </w:r>
        <w:r w:rsidR="00FD1E19">
          <w:rPr>
            <w:noProof/>
            <w:webHidden/>
          </w:rPr>
          <w:fldChar w:fldCharType="separate"/>
        </w:r>
        <w:r w:rsidR="00606BEE">
          <w:rPr>
            <w:noProof/>
            <w:webHidden/>
          </w:rPr>
          <w:t>78</w:t>
        </w:r>
        <w:r w:rsidR="00FD1E19">
          <w:rPr>
            <w:noProof/>
            <w:webHidden/>
          </w:rPr>
          <w:fldChar w:fldCharType="end"/>
        </w:r>
      </w:hyperlink>
    </w:p>
    <w:p w14:paraId="0D44C08C" w14:textId="099DA284" w:rsidR="00FD1E19" w:rsidRDefault="00EE4C2D" w:rsidP="00FD1E19">
      <w:pPr>
        <w:pStyle w:val="TOC2"/>
        <w:tabs>
          <w:tab w:val="right" w:leader="dot" w:pos="9629"/>
        </w:tabs>
        <w:rPr>
          <w:rFonts w:asciiTheme="minorHAnsi" w:eastAsiaTheme="minorEastAsia" w:hAnsiTheme="minorHAnsi" w:cstheme="minorBidi"/>
          <w:noProof/>
          <w:color w:val="auto"/>
          <w:kern w:val="2"/>
          <w:sz w:val="24"/>
          <w:lang w:val="en-IE" w:eastAsia="en-IE"/>
        </w:rPr>
      </w:pPr>
      <w:hyperlink w:anchor="_Toc223947601" w:history="1">
        <w:r w:rsidR="00FD1E19" w:rsidRPr="0083031C">
          <w:rPr>
            <w:rStyle w:val="Hyperlink"/>
            <w:noProof/>
          </w:rPr>
          <w:t>RESOURCES</w:t>
        </w:r>
        <w:r w:rsidR="00FD1E19">
          <w:rPr>
            <w:noProof/>
            <w:webHidden/>
          </w:rPr>
          <w:tab/>
        </w:r>
        <w:r w:rsidR="00FD1E19">
          <w:rPr>
            <w:noProof/>
            <w:webHidden/>
          </w:rPr>
          <w:fldChar w:fldCharType="begin"/>
        </w:r>
        <w:r w:rsidR="00FD1E19">
          <w:rPr>
            <w:noProof/>
            <w:webHidden/>
          </w:rPr>
          <w:instrText xml:space="preserve"> PAGEREF _Toc223947601 \h </w:instrText>
        </w:r>
        <w:r w:rsidR="00FD1E19">
          <w:rPr>
            <w:noProof/>
            <w:webHidden/>
          </w:rPr>
        </w:r>
        <w:r w:rsidR="00FD1E19">
          <w:rPr>
            <w:noProof/>
            <w:webHidden/>
          </w:rPr>
          <w:fldChar w:fldCharType="separate"/>
        </w:r>
        <w:r w:rsidR="00606BEE">
          <w:rPr>
            <w:noProof/>
            <w:webHidden/>
          </w:rPr>
          <w:t>82</w:t>
        </w:r>
        <w:r w:rsidR="00FD1E19">
          <w:rPr>
            <w:noProof/>
            <w:webHidden/>
          </w:rPr>
          <w:fldChar w:fldCharType="end"/>
        </w:r>
      </w:hyperlink>
    </w:p>
    <w:p w14:paraId="219B76CE" w14:textId="16B4CA2A" w:rsidR="00FD1E19" w:rsidRDefault="00EE4C2D" w:rsidP="00FD1E19">
      <w:pPr>
        <w:pStyle w:val="TOC2"/>
        <w:tabs>
          <w:tab w:val="right" w:leader="dot" w:pos="9629"/>
        </w:tabs>
        <w:rPr>
          <w:rFonts w:asciiTheme="minorHAnsi" w:eastAsiaTheme="minorEastAsia" w:hAnsiTheme="minorHAnsi" w:cstheme="minorBidi"/>
          <w:noProof/>
          <w:color w:val="auto"/>
          <w:kern w:val="2"/>
          <w:sz w:val="24"/>
          <w:lang w:val="en-IE" w:eastAsia="en-IE"/>
        </w:rPr>
      </w:pPr>
      <w:hyperlink w:anchor="_Toc223947602" w:history="1">
        <w:r w:rsidR="00FD1E19" w:rsidRPr="0083031C">
          <w:rPr>
            <w:rStyle w:val="Hyperlink"/>
            <w:noProof/>
          </w:rPr>
          <w:t>OPERATIONAL EXPENDITURE AND SPECIFIC PROGRAMMES</w:t>
        </w:r>
        <w:r w:rsidR="00FD1E19">
          <w:rPr>
            <w:noProof/>
            <w:webHidden/>
          </w:rPr>
          <w:tab/>
        </w:r>
        <w:r w:rsidR="00FD1E19">
          <w:rPr>
            <w:noProof/>
            <w:webHidden/>
          </w:rPr>
          <w:fldChar w:fldCharType="begin"/>
        </w:r>
        <w:r w:rsidR="00FD1E19">
          <w:rPr>
            <w:noProof/>
            <w:webHidden/>
          </w:rPr>
          <w:instrText xml:space="preserve"> PAGEREF _Toc223947602 \h </w:instrText>
        </w:r>
        <w:r w:rsidR="00FD1E19">
          <w:rPr>
            <w:noProof/>
            <w:webHidden/>
          </w:rPr>
        </w:r>
        <w:r w:rsidR="00FD1E19">
          <w:rPr>
            <w:noProof/>
            <w:webHidden/>
          </w:rPr>
          <w:fldChar w:fldCharType="separate"/>
        </w:r>
        <w:r w:rsidR="00606BEE">
          <w:rPr>
            <w:noProof/>
            <w:webHidden/>
          </w:rPr>
          <w:t>83</w:t>
        </w:r>
        <w:r w:rsidR="00FD1E19">
          <w:rPr>
            <w:noProof/>
            <w:webHidden/>
          </w:rPr>
          <w:fldChar w:fldCharType="end"/>
        </w:r>
      </w:hyperlink>
    </w:p>
    <w:p w14:paraId="64297C4C" w14:textId="49D72FEE" w:rsidR="00FD1E19" w:rsidRDefault="00EE4C2D" w:rsidP="00FD1E19">
      <w:pPr>
        <w:pStyle w:val="TOC1"/>
        <w:tabs>
          <w:tab w:val="left" w:pos="480"/>
          <w:tab w:val="right" w:leader="dot" w:pos="9629"/>
        </w:tabs>
        <w:rPr>
          <w:rFonts w:asciiTheme="minorHAnsi" w:eastAsiaTheme="minorEastAsia" w:hAnsiTheme="minorHAnsi" w:cstheme="minorBidi"/>
          <w:noProof/>
          <w:color w:val="auto"/>
          <w:kern w:val="2"/>
          <w:sz w:val="24"/>
          <w:lang w:val="en-IE" w:eastAsia="en-IE"/>
        </w:rPr>
      </w:pPr>
      <w:hyperlink w:anchor="_Toc223947603" w:history="1">
        <w:r w:rsidR="00FD1E19" w:rsidRPr="00FD1E19">
          <w:rPr>
            <w:rStyle w:val="Hyperlink"/>
            <w:noProof/>
            <w:lang w:val="en-US"/>
          </w:rPr>
          <w:t>3.</w:t>
        </w:r>
        <w:r w:rsidR="00FD1E19">
          <w:rPr>
            <w:rFonts w:asciiTheme="minorHAnsi" w:eastAsiaTheme="minorEastAsia" w:hAnsiTheme="minorHAnsi" w:cstheme="minorBidi"/>
            <w:noProof/>
            <w:color w:val="auto"/>
            <w:kern w:val="2"/>
            <w:sz w:val="24"/>
            <w:lang w:val="en-IE" w:eastAsia="en-IE"/>
          </w:rPr>
          <w:tab/>
        </w:r>
        <w:r w:rsidR="00FD1E19" w:rsidRPr="0083031C">
          <w:rPr>
            <w:rStyle w:val="Hyperlink"/>
            <w:noProof/>
            <w:lang w:val="en-US"/>
          </w:rPr>
          <w:t>GLOSSARY</w:t>
        </w:r>
        <w:r w:rsidR="00FD1E19">
          <w:rPr>
            <w:noProof/>
            <w:webHidden/>
          </w:rPr>
          <w:tab/>
        </w:r>
        <w:r w:rsidR="00FD1E19">
          <w:rPr>
            <w:noProof/>
            <w:webHidden/>
          </w:rPr>
          <w:fldChar w:fldCharType="begin"/>
        </w:r>
        <w:r w:rsidR="00FD1E19">
          <w:rPr>
            <w:noProof/>
            <w:webHidden/>
          </w:rPr>
          <w:instrText xml:space="preserve"> PAGEREF _Toc223947603 \h </w:instrText>
        </w:r>
        <w:r w:rsidR="00FD1E19">
          <w:rPr>
            <w:noProof/>
            <w:webHidden/>
          </w:rPr>
        </w:r>
        <w:r w:rsidR="00FD1E19">
          <w:rPr>
            <w:noProof/>
            <w:webHidden/>
          </w:rPr>
          <w:fldChar w:fldCharType="separate"/>
        </w:r>
        <w:r w:rsidR="00606BEE">
          <w:rPr>
            <w:noProof/>
            <w:webHidden/>
          </w:rPr>
          <w:t>89</w:t>
        </w:r>
        <w:r w:rsidR="00FD1E19">
          <w:rPr>
            <w:noProof/>
            <w:webHidden/>
          </w:rPr>
          <w:fldChar w:fldCharType="end"/>
        </w:r>
      </w:hyperlink>
    </w:p>
    <w:p w14:paraId="26926A0B" w14:textId="77777777" w:rsidR="00FD1E19" w:rsidRDefault="00FD1E19" w:rsidP="00FD1E19">
      <w:pPr>
        <w:pStyle w:val="Textstand-alone"/>
      </w:pPr>
      <w:r>
        <w:rPr>
          <w:b/>
          <w:color w:val="0F4761" w:themeColor="accent1" w:themeShade="BF"/>
        </w:rPr>
        <w:fldChar w:fldCharType="end"/>
      </w:r>
      <w:r>
        <w:br w:type="page"/>
      </w:r>
    </w:p>
    <w:p w14:paraId="59FAFA31" w14:textId="77777777" w:rsidR="00FD1E19" w:rsidRPr="008104CE" w:rsidRDefault="00FD1E19" w:rsidP="00FD1E19">
      <w:pPr>
        <w:pStyle w:val="HEADER1PartBUDG"/>
        <w:ind w:left="709" w:hanging="709"/>
        <w:rPr>
          <w:noProof/>
        </w:rPr>
      </w:pPr>
      <w:bookmarkStart w:id="185" w:name="_Toc223947596"/>
      <w:r w:rsidRPr="008104CE">
        <w:rPr>
          <w:noProof/>
        </w:rPr>
        <w:t>BACKGROUND</w:t>
      </w:r>
      <w:bookmarkEnd w:id="185"/>
    </w:p>
    <w:p w14:paraId="0C5D0D9C" w14:textId="77777777" w:rsidR="00FD1E19" w:rsidRDefault="00FD1E19" w:rsidP="00FD1E19">
      <w:pPr>
        <w:pStyle w:val="Textstand-alone"/>
      </w:pPr>
      <w:r>
        <w:t xml:space="preserve">Launched in 1959, the EDF is the main instrument for providing EU aid for development cooperation to the African, Caribbean and Pacific (ACP) states and overseas countries and territories (OCTs).  Its primary objective is to reduce and ultimately eradicate poverty. </w:t>
      </w:r>
    </w:p>
    <w:p w14:paraId="68DFCB0C" w14:textId="77777777" w:rsidR="00FD1E19" w:rsidRDefault="00FD1E19" w:rsidP="00FD1E19">
      <w:pPr>
        <w:pStyle w:val="Textstand-alone"/>
      </w:pPr>
      <w:r>
        <w:t xml:space="preserve">The EDF is established by an Internal Agreement of the representatives of the Member States and managed by a specific committee. The EDF resources are ‘ad hoc’ contributions from the EU Member States, which decide on an overall amount that will be allocated to the fund (over a period of five years). In addition to these contributions, it is also possible for Member States to enter into co-financing arrangements or to make voluntary financial contributions to the EDF. The European Commission is responsible for the financial implementation of the operations carried out with EDF resources. The EIB manages the Investment Facility. </w:t>
      </w:r>
    </w:p>
    <w:p w14:paraId="6C7D8018" w14:textId="77777777" w:rsidR="00FD1E19" w:rsidRDefault="00FD1E19" w:rsidP="00FD1E19">
      <w:pPr>
        <w:pStyle w:val="Textstand-alone"/>
      </w:pPr>
      <w:r>
        <w:t>The EDF is a fund operating based on multiannuality. Each EDF is concluded for a period of around five years and is governed by its own financial regulation. The Internal Agreement establishing the last EDF, the 11th EDF (2014-2020), came into force on 1 March 2015. Since 2021, the cooperation with the ACP countries is included in the Neighbourhood, Development and International Cooperation Instrument (NDICI). However, projects that were already ongoing, funded under the EDF, will continue to be implemented, under the respective EDF legal basis.</w:t>
      </w:r>
    </w:p>
    <w:p w14:paraId="25A818C6" w14:textId="77777777" w:rsidR="00FD1E19" w:rsidRDefault="00FD1E19" w:rsidP="00FD1E19">
      <w:pPr>
        <w:pStyle w:val="Textstand-alone"/>
      </w:pPr>
      <w:r>
        <w:t>This report is produced in accordance with Article 39 of the Financial Regulation of 11th EDF</w:t>
      </w:r>
      <w:r>
        <w:rPr>
          <w:rStyle w:val="FootnoteReference"/>
        </w:rPr>
        <w:footnoteReference w:id="18"/>
      </w:r>
      <w:r>
        <w:t xml:space="preserve"> . It provides information on the revenue and expenditure operations of the EDF, with the focus on important events that had a significant impact on financial implementation in 2025.</w:t>
      </w:r>
    </w:p>
    <w:p w14:paraId="3CCB27BE" w14:textId="77777777" w:rsidR="00FD1E19" w:rsidRDefault="00FD1E19" w:rsidP="00FD1E19">
      <w:pPr>
        <w:pStyle w:val="Textstand-alone"/>
      </w:pPr>
      <w:r>
        <w:t>Given that there are no ongoing operations under previous EDFs</w:t>
      </w:r>
      <w:r>
        <w:rPr>
          <w:rStyle w:val="FootnoteReference"/>
        </w:rPr>
        <w:footnoteReference w:id="19"/>
      </w:r>
      <w:r>
        <w:t xml:space="preserve"> , this report includes figures only for the 10th and 11th EDFs.</w:t>
      </w:r>
    </w:p>
    <w:p w14:paraId="58C06642" w14:textId="77777777" w:rsidR="00FD1E19" w:rsidRPr="004E39B5" w:rsidRDefault="00FD1E19" w:rsidP="00FD1E19">
      <w:pPr>
        <w:pStyle w:val="HEADER2PartBUDG"/>
        <w:rPr>
          <w:noProof/>
          <w:lang w:val="en-IE"/>
        </w:rPr>
      </w:pPr>
      <w:bookmarkStart w:id="186" w:name="_Toc223947597"/>
      <w:r w:rsidRPr="004E39B5">
        <w:rPr>
          <w:noProof/>
          <w:lang w:val="en-IE"/>
        </w:rPr>
        <w:t>Previous EDFs</w:t>
      </w:r>
      <w:bookmarkEnd w:id="186"/>
    </w:p>
    <w:p w14:paraId="681FE1B1" w14:textId="77777777" w:rsidR="00FD1E19" w:rsidRPr="008C30F3" w:rsidRDefault="00FD1E19" w:rsidP="00FD1E19">
      <w:pPr>
        <w:pStyle w:val="Textstand-alone"/>
        <w:rPr>
          <w:color w:val="0E2841" w:themeColor="text2"/>
          <w:lang w:val="en-US"/>
        </w:rPr>
      </w:pPr>
      <w:r w:rsidRPr="008C30F3">
        <w:rPr>
          <w:color w:val="0E2841" w:themeColor="text2"/>
          <w:lang w:val="en-US"/>
        </w:rPr>
        <w:t>6TH AND 7TH EDF</w:t>
      </w:r>
    </w:p>
    <w:p w14:paraId="2A223CD6" w14:textId="77777777" w:rsidR="00FD1E19" w:rsidRPr="003F40CA" w:rsidRDefault="00FD1E19" w:rsidP="00FD1E19">
      <w:pPr>
        <w:pStyle w:val="Textstand-alone"/>
      </w:pPr>
      <w:r w:rsidRPr="003F40CA">
        <w:t xml:space="preserve">The 6th EDF was closed in 2006 and the 7th EDF was closed in 2008. </w:t>
      </w:r>
    </w:p>
    <w:p w14:paraId="7E84A90B" w14:textId="77777777" w:rsidR="00FD1E19" w:rsidRPr="003F40CA" w:rsidRDefault="00FD1E19" w:rsidP="00FD1E19">
      <w:pPr>
        <w:pStyle w:val="Textstand-alone"/>
      </w:pPr>
      <w:r w:rsidRPr="003F40CA">
        <w:t>In accordance with article 1(2)(b) of the Internal Agreement of the 9th EDF, balances and decommitments of previous EDFs have been transferred to the 9th EDF.</w:t>
      </w:r>
    </w:p>
    <w:p w14:paraId="4255F9E4" w14:textId="77777777" w:rsidR="00FD1E19" w:rsidRPr="008C30F3" w:rsidRDefault="00FD1E19" w:rsidP="00FD1E19">
      <w:pPr>
        <w:pStyle w:val="Textstand-alone"/>
        <w:rPr>
          <w:color w:val="0E2841" w:themeColor="text2"/>
          <w:lang w:val="en-US"/>
        </w:rPr>
      </w:pPr>
      <w:r w:rsidRPr="008C30F3">
        <w:rPr>
          <w:color w:val="0E2841" w:themeColor="text2"/>
          <w:lang w:val="en-US"/>
        </w:rPr>
        <w:t>8TH AND 9TH EDF</w:t>
      </w:r>
    </w:p>
    <w:p w14:paraId="77607312" w14:textId="77777777" w:rsidR="00FD1E19" w:rsidRDefault="00FD1E19" w:rsidP="00FD1E19">
      <w:pPr>
        <w:pStyle w:val="Textstand-alone"/>
      </w:pPr>
      <w:r>
        <w:t xml:space="preserve">2021 marked the financial and operational closure of the Eighth EDF for a total amount of expenditure of EUR 10 374 million. The Commission  announced the closure of the eight EDF to the Member States in a communication that was presented to the Council in October 2021. </w:t>
      </w:r>
    </w:p>
    <w:p w14:paraId="4A2B722C" w14:textId="77777777" w:rsidR="00FD1E19" w:rsidRDefault="00FD1E19" w:rsidP="00FD1E19">
      <w:pPr>
        <w:pStyle w:val="Textstand-alone"/>
      </w:pPr>
      <w:r>
        <w:t>All eight EDF activities have now been completed, and all checks and controls have been performed. All contracts and financial decisions have also been closed in the EDF accounts. All recovery orders, which were still open after the operational closure, were cashed or waived with the exception of four recovery orders being followed by the Commission’s Legal Service. In line with Commission Decision C(2003)19044, these recovery orders were transferred to the ninth EDF.</w:t>
      </w:r>
    </w:p>
    <w:p w14:paraId="7FC7ECE7" w14:textId="77777777" w:rsidR="00FD1E19" w:rsidRDefault="00FD1E19" w:rsidP="00FD1E19">
      <w:pPr>
        <w:pStyle w:val="Textstand-alone"/>
      </w:pPr>
      <w:r>
        <w:t>The  closure  of the ninth EDF  is  progressing  well. There are still 4 contracts open, out of which 2 concern  audit and evaluations  in Southern  Sudan (Council Decision 2011/315/EU). These actions were decided  after  the ninth EDF sunset  clause and will reach their conclusion within the specified timeframe, contributing to the finalisation of activities and projects associated with the ninth EDF. The full closure of the ninth EDF can only be accomplished once all contracts come to an end and following the completion of their evaluations and audits.</w:t>
      </w:r>
    </w:p>
    <w:p w14:paraId="33D861D7" w14:textId="77777777" w:rsidR="00FD1E19" w:rsidRPr="0034605A" w:rsidRDefault="00FD1E19" w:rsidP="00FD1E19">
      <w:pPr>
        <w:pStyle w:val="Textstand-alone"/>
      </w:pPr>
      <w:r>
        <w:t>From 2015 to 2025, the Commission carried out seven refunds of 8th/9thEDF credits for a total amount of EUR 1925.19</w:t>
      </w:r>
      <w:r>
        <w:rPr>
          <w:rStyle w:val="FootnoteReference"/>
        </w:rPr>
        <w:footnoteReference w:id="20"/>
      </w:r>
      <w:r>
        <w:t xml:space="preserve">  million. A balance of EUR 1.2 million was refunded in January 2026</w:t>
      </w:r>
      <w:r>
        <w:rPr>
          <w:rStyle w:val="FootnoteReference"/>
        </w:rPr>
        <w:footnoteReference w:id="21"/>
      </w:r>
      <w:r>
        <w:t xml:space="preserve">  as part of the payment of the first instalment of Member State contributions to the EDF for the year 2026</w:t>
      </w:r>
      <w:r w:rsidRPr="005C1973">
        <w:t>.</w:t>
      </w:r>
    </w:p>
    <w:p w14:paraId="0F2E3BC4" w14:textId="77777777" w:rsidR="00FD1E19" w:rsidRPr="00640607" w:rsidRDefault="00FD1E19" w:rsidP="00FD1E19">
      <w:pPr>
        <w:pStyle w:val="HEADER2PartBUDG"/>
        <w:keepNext/>
        <w:keepLines/>
        <w:rPr>
          <w:noProof/>
          <w:lang w:val="en-US"/>
        </w:rPr>
      </w:pPr>
      <w:bookmarkStart w:id="187" w:name="_Toc223947598"/>
      <w:r w:rsidRPr="00640607">
        <w:rPr>
          <w:noProof/>
          <w:lang w:val="en-US"/>
        </w:rPr>
        <w:t>10th and 11th EDF</w:t>
      </w:r>
      <w:bookmarkEnd w:id="187"/>
      <w:r w:rsidRPr="00640607">
        <w:rPr>
          <w:noProof/>
          <w:lang w:val="en-US"/>
        </w:rPr>
        <w:t xml:space="preserve"> </w:t>
      </w:r>
    </w:p>
    <w:p w14:paraId="7BB78CB1" w14:textId="77777777" w:rsidR="00FD1E19" w:rsidRPr="0034605A" w:rsidRDefault="00FD1E19" w:rsidP="00FD1E19">
      <w:pPr>
        <w:pStyle w:val="Textstand-alone"/>
        <w:keepNext/>
        <w:keepLines/>
      </w:pPr>
      <w:r w:rsidRPr="008353E9">
        <w:t>The ACP-EC Partnership Agreement (also known as the Cotonou Agreement) was signed on 23 June 2000 in Cotonou by the Member States of the European Community and the ACP States. It entered into force on 1 April 2003 (establishing the 9th EDF).</w:t>
      </w:r>
      <w:r w:rsidRPr="0034605A">
        <w:t xml:space="preserve">The Cotonou Agreement was amended twice, firstly by the agreement signed in Luxembourg on 25 June 2005 (establishing </w:t>
      </w:r>
      <w:r>
        <w:t xml:space="preserve">the </w:t>
      </w:r>
      <w:r w:rsidRPr="0034605A">
        <w:t>10th EDF)</w:t>
      </w:r>
      <w:r>
        <w:t xml:space="preserve"> and</w:t>
      </w:r>
      <w:r w:rsidRPr="0034605A">
        <w:t xml:space="preserve"> secondly by the agreement signed in Ouagadougou on 22 June 2010 (establishing </w:t>
      </w:r>
      <w:r>
        <w:t xml:space="preserve">the </w:t>
      </w:r>
      <w:r w:rsidRPr="0034605A">
        <w:t>11th EDF).</w:t>
      </w:r>
    </w:p>
    <w:p w14:paraId="4B9D4EDF" w14:textId="77777777" w:rsidR="00FD1E19" w:rsidRPr="0034605A" w:rsidRDefault="00FD1E19" w:rsidP="00FD1E19">
      <w:pPr>
        <w:pStyle w:val="Textstand-alone"/>
      </w:pPr>
      <w:r w:rsidRPr="0034605A">
        <w:t>The EU Council Decision of 27 November 2001 (2001/822/EC) on the association of the overseas countries and territories (OCT) with the European Union entered into force on 2 December 2001. This Decision was amended on 19 March 2007 (Decision 2007/249/EC).</w:t>
      </w:r>
    </w:p>
    <w:p w14:paraId="6CE7A27E" w14:textId="77777777" w:rsidR="00FD1E19" w:rsidRPr="0034605A" w:rsidRDefault="00FD1E19" w:rsidP="00FD1E19">
      <w:pPr>
        <w:pStyle w:val="Textstand-alone"/>
      </w:pPr>
      <w:r w:rsidRPr="0034605A">
        <w:t xml:space="preserve">The Internal Agreement on the financing of Community aid under the </w:t>
      </w:r>
      <w:r>
        <w:t>Multiannual Financial Framework</w:t>
      </w:r>
      <w:r w:rsidRPr="0034605A">
        <w:t xml:space="preserve"> for the period 2014-2020 in accordance with the revised Cotonou Agreement, adopted by the </w:t>
      </w:r>
      <w:r>
        <w:t>r</w:t>
      </w:r>
      <w:r w:rsidRPr="0034605A">
        <w:t xml:space="preserve">epresentatives of the </w:t>
      </w:r>
      <w:r>
        <w:t>g</w:t>
      </w:r>
      <w:r w:rsidRPr="0034605A">
        <w:t xml:space="preserve">overnments of the Member States of the European Community on </w:t>
      </w:r>
      <w:r>
        <w:t>A</w:t>
      </w:r>
      <w:r w:rsidRPr="0034605A">
        <w:t>ugust 2013, entered into force on March 2015.</w:t>
      </w:r>
    </w:p>
    <w:p w14:paraId="0D51A1AE" w14:textId="77777777" w:rsidR="00FD1E19" w:rsidRPr="0034605A" w:rsidRDefault="00FD1E19" w:rsidP="00FD1E19">
      <w:pPr>
        <w:pStyle w:val="Textstand-alone"/>
      </w:pPr>
      <w:r w:rsidRPr="0034605A">
        <w:t>Under the Coton</w:t>
      </w:r>
      <w:r>
        <w:t>o</w:t>
      </w:r>
      <w:r w:rsidRPr="0034605A">
        <w:t>u Agreement,</w:t>
      </w:r>
      <w:r>
        <w:t xml:space="preserve"> for</w:t>
      </w:r>
      <w:r w:rsidRPr="0034605A">
        <w:t xml:space="preserve"> the second period (2008-2013), the 10th EDF </w:t>
      </w:r>
      <w:r>
        <w:t xml:space="preserve">had </w:t>
      </w:r>
      <w:r w:rsidRPr="0034605A">
        <w:t>an overall budget of EUR</w:t>
      </w:r>
      <w:r>
        <w:t xml:space="preserve"> </w:t>
      </w:r>
      <w:r w:rsidRPr="0034605A">
        <w:t>22 682 million. Of this amount</w:t>
      </w:r>
      <w:r>
        <w:t>:</w:t>
      </w:r>
      <w:r w:rsidRPr="0034605A">
        <w:t xml:space="preserve"> </w:t>
      </w:r>
    </w:p>
    <w:p w14:paraId="0FB444E4" w14:textId="77777777" w:rsidR="00FD1E19" w:rsidRPr="0034605A" w:rsidRDefault="00FD1E19" w:rsidP="00FD1E19">
      <w:pPr>
        <w:pStyle w:val="DGTextstand-alonedashesjustified"/>
      </w:pPr>
      <w:r w:rsidRPr="0034605A">
        <w:t xml:space="preserve">EUR 21 966 million </w:t>
      </w:r>
      <w:r>
        <w:t>was</w:t>
      </w:r>
      <w:r w:rsidRPr="0034605A">
        <w:t xml:space="preserve"> allocated to the ACP countries</w:t>
      </w:r>
      <w:r>
        <w:t>;</w:t>
      </w:r>
      <w:r w:rsidRPr="0034605A">
        <w:t xml:space="preserve"> </w:t>
      </w:r>
    </w:p>
    <w:p w14:paraId="11C3868B" w14:textId="77777777" w:rsidR="00FD1E19" w:rsidRPr="0034605A" w:rsidRDefault="00FD1E19" w:rsidP="00FD1E19">
      <w:pPr>
        <w:pStyle w:val="DGTextstand-alonedashesjustified"/>
      </w:pPr>
      <w:r w:rsidRPr="0034605A">
        <w:t>EUR 286 million to the OCT</w:t>
      </w:r>
      <w:r>
        <w:t>;</w:t>
      </w:r>
      <w:r w:rsidRPr="0034605A">
        <w:t xml:space="preserve"> and </w:t>
      </w:r>
    </w:p>
    <w:p w14:paraId="150D4051" w14:textId="77777777" w:rsidR="00FD1E19" w:rsidRPr="0034605A" w:rsidRDefault="00FD1E19" w:rsidP="00FD1E19">
      <w:pPr>
        <w:pStyle w:val="DGTextstand-alonedashesjustified"/>
      </w:pPr>
      <w:r>
        <w:t xml:space="preserve">EUR </w:t>
      </w:r>
      <w:r w:rsidRPr="0034605A">
        <w:t xml:space="preserve">430 million to the Commission as support expenditure for programming and implementation of the EDF. </w:t>
      </w:r>
    </w:p>
    <w:p w14:paraId="38691148" w14:textId="77777777" w:rsidR="00FD1E19" w:rsidRPr="0034605A" w:rsidRDefault="00FD1E19" w:rsidP="00FD1E19">
      <w:pPr>
        <w:pStyle w:val="Textstand-alone"/>
      </w:pPr>
      <w:r w:rsidRPr="0034605A">
        <w:t xml:space="preserve">The amount for the ACP countries is divided </w:t>
      </w:r>
      <w:r>
        <w:t>as follows</w:t>
      </w:r>
      <w:r w:rsidRPr="0034605A">
        <w:t xml:space="preserve">: </w:t>
      </w:r>
    </w:p>
    <w:p w14:paraId="31C8D74A" w14:textId="77777777" w:rsidR="00FD1E19" w:rsidRPr="0034605A" w:rsidRDefault="00FD1E19" w:rsidP="00FD1E19">
      <w:pPr>
        <w:pStyle w:val="DGTextstand-alonedashesjustified"/>
      </w:pPr>
      <w:r>
        <w:t xml:space="preserve">EUR 17  766 million to </w:t>
      </w:r>
      <w:r w:rsidRPr="0034605A">
        <w:t>national and regional indicative programmes</w:t>
      </w:r>
      <w:r>
        <w:t>;</w:t>
      </w:r>
      <w:r w:rsidRPr="0034605A">
        <w:t xml:space="preserve"> </w:t>
      </w:r>
    </w:p>
    <w:p w14:paraId="00F80D73" w14:textId="77777777" w:rsidR="00FD1E19" w:rsidRPr="0034605A" w:rsidRDefault="00FD1E19" w:rsidP="00FD1E19">
      <w:pPr>
        <w:pStyle w:val="DGTextstand-alonedashesjustified"/>
      </w:pPr>
      <w:r w:rsidRPr="0034605A">
        <w:t>EUR 2 700 million to intra-ACP and intra-regional cooperation</w:t>
      </w:r>
      <w:r>
        <w:t>;</w:t>
      </w:r>
      <w:r w:rsidRPr="0034605A">
        <w:t xml:space="preserve"> and </w:t>
      </w:r>
    </w:p>
    <w:p w14:paraId="4728A6E7" w14:textId="77777777" w:rsidR="00FD1E19" w:rsidRPr="0034605A" w:rsidRDefault="00FD1E19" w:rsidP="00FD1E19">
      <w:pPr>
        <w:pStyle w:val="DGTextstand-alonedashesjustified"/>
      </w:pPr>
      <w:r w:rsidRPr="0034605A">
        <w:t xml:space="preserve">EUR 1 500 million to Investment Facilities. </w:t>
      </w:r>
    </w:p>
    <w:p w14:paraId="7D97D99C" w14:textId="77777777" w:rsidR="00FD1E19" w:rsidRPr="0034605A" w:rsidRDefault="00FD1E19" w:rsidP="00FD1E19">
      <w:pPr>
        <w:pStyle w:val="Textstand-alone"/>
      </w:pPr>
      <w:r w:rsidRPr="00EA012E">
        <w:t>Notably, an increased share of the budget was devoted to regional programmes, thereby emphasising the importance of regional economic integration as the basic framework for national and local development. An innovation in the 10th EDF was the creation of ‘incentive amounts’ for each country</w:t>
      </w:r>
      <w:r w:rsidRPr="0034605A">
        <w:t>.</w:t>
      </w:r>
    </w:p>
    <w:p w14:paraId="45843E57" w14:textId="77777777" w:rsidR="00FD1E19" w:rsidRPr="0034605A" w:rsidRDefault="00FD1E19" w:rsidP="00FD1E19">
      <w:pPr>
        <w:pStyle w:val="Textstand-alone"/>
      </w:pPr>
      <w:r w:rsidRPr="0034605A">
        <w:t>Under the Cotonou Agreement, the third period (2014-2020) of Community aid to the ACP States and OCTs is funded by the 11th EDF for an amount of EUR 30 506 million, of which:</w:t>
      </w:r>
    </w:p>
    <w:p w14:paraId="7D58756E" w14:textId="77777777" w:rsidR="00FD1E19" w:rsidRPr="0034605A" w:rsidRDefault="00FD1E19" w:rsidP="00FD1E19">
      <w:pPr>
        <w:pStyle w:val="DGTextstand-alonedashesjustified"/>
      </w:pPr>
      <w:r w:rsidRPr="0034605A">
        <w:t>EUR 29 089 million is allocated to the ACP countries in accordance with Article 1.2(a) and Article 2(d) of the Internal Agreement, of which EUR 27 955 million</w:t>
      </w:r>
      <w:r>
        <w:t xml:space="preserve"> was</w:t>
      </w:r>
      <w:r w:rsidRPr="0034605A">
        <w:t xml:space="preserve"> managed by the European Commission;</w:t>
      </w:r>
    </w:p>
    <w:p w14:paraId="459DF765" w14:textId="77777777" w:rsidR="00FD1E19" w:rsidRPr="0034605A" w:rsidRDefault="00FD1E19" w:rsidP="00FD1E19">
      <w:pPr>
        <w:pStyle w:val="DGTextstand-alonedashesjustified"/>
      </w:pPr>
      <w:r w:rsidRPr="0034605A">
        <w:t xml:space="preserve">EUR 364.5 million is allocated to the OCTs in accordance with Article 1.2(a) and Article 3.1 of the Internal Agreement, of which 359.5 million </w:t>
      </w:r>
      <w:r>
        <w:t>wa</w:t>
      </w:r>
      <w:r w:rsidRPr="0034605A">
        <w:t>s managed by the European Commission;</w:t>
      </w:r>
      <w:r>
        <w:t xml:space="preserve"> and</w:t>
      </w:r>
    </w:p>
    <w:p w14:paraId="5828B009" w14:textId="77777777" w:rsidR="00FD1E19" w:rsidRDefault="00FD1E19" w:rsidP="00FD1E19">
      <w:pPr>
        <w:pStyle w:val="DGTextstand-alonedashesjustified"/>
      </w:pPr>
      <w:r w:rsidRPr="0034605A">
        <w:t>EUR 1 052.5 million is for the Commission to finance the costs arising from the programming and implementation of 11th EDF resources, in accordance with Article 1.2(a) of the Internal Agreement.</w:t>
      </w:r>
    </w:p>
    <w:p w14:paraId="2BF63B03" w14:textId="77777777" w:rsidR="00FD1E19" w:rsidRDefault="00FD1E19" w:rsidP="00FD1E19">
      <w:pPr>
        <w:rPr>
          <w:rFonts w:ascii="Verdana" w:hAnsi="Verdana"/>
          <w:noProof/>
          <w:sz w:val="18"/>
          <w:szCs w:val="18"/>
        </w:rPr>
      </w:pPr>
      <w:r>
        <w:rPr>
          <w:noProof/>
        </w:rPr>
        <w:br w:type="page"/>
      </w:r>
    </w:p>
    <w:p w14:paraId="2042B197" w14:textId="77777777" w:rsidR="00FD1E19" w:rsidRPr="008104CE" w:rsidRDefault="00FD1E19" w:rsidP="00FD1E19">
      <w:pPr>
        <w:pStyle w:val="HEADER1PartBUDG"/>
        <w:ind w:left="709" w:hanging="709"/>
        <w:rPr>
          <w:noProof/>
        </w:rPr>
      </w:pPr>
      <w:bookmarkStart w:id="188" w:name="_Toc223947599"/>
      <w:r w:rsidRPr="008104CE">
        <w:rPr>
          <w:noProof/>
        </w:rPr>
        <w:t>FINANCIAL IMPLEMENTATION</w:t>
      </w:r>
      <w:bookmarkEnd w:id="188"/>
    </w:p>
    <w:p w14:paraId="39A3BCFB" w14:textId="77777777" w:rsidR="00FD1E19" w:rsidRPr="00067775" w:rsidRDefault="00FD1E19" w:rsidP="00FD1E19">
      <w:pPr>
        <w:pStyle w:val="HEADER2PartBUDG"/>
        <w:rPr>
          <w:noProof/>
        </w:rPr>
      </w:pPr>
      <w:bookmarkStart w:id="189" w:name="_Toc223947600"/>
      <w:r w:rsidRPr="00067775">
        <w:rPr>
          <w:noProof/>
        </w:rPr>
        <w:t>FINANCIAL OUTTURN</w:t>
      </w:r>
      <w:bookmarkEnd w:id="189"/>
    </w:p>
    <w:p w14:paraId="5995BBD4" w14:textId="77777777" w:rsidR="00FD1E19" w:rsidRDefault="00FD1E19" w:rsidP="00FD1E19">
      <w:pPr>
        <w:pStyle w:val="HEADER5"/>
        <w:rPr>
          <w:noProof/>
        </w:rPr>
      </w:pPr>
      <w:r w:rsidRPr="003F1AF8">
        <w:rPr>
          <w:noProof/>
        </w:rPr>
        <w:t>EVOLUTION OF 10</w:t>
      </w:r>
      <w:r w:rsidRPr="003F1AF8">
        <w:rPr>
          <w:noProof/>
          <w:vertAlign w:val="superscript"/>
        </w:rPr>
        <w:t>th</w:t>
      </w:r>
      <w:r w:rsidRPr="003F1AF8">
        <w:rPr>
          <w:noProof/>
        </w:rPr>
        <w:t xml:space="preserve"> EDF </w:t>
      </w:r>
      <w:r>
        <w:rPr>
          <w:noProof/>
        </w:rPr>
        <w:t>APPROPRIATIONS</w:t>
      </w:r>
    </w:p>
    <w:p w14:paraId="60539B44" w14:textId="77777777" w:rsidR="00FD1E19" w:rsidRDefault="00FD1E19" w:rsidP="00FD1E19">
      <w:pPr>
        <w:pStyle w:val="HEADER5"/>
        <w:rPr>
          <w:noProof/>
        </w:rPr>
      </w:pPr>
    </w:p>
    <w:p w14:paraId="02786516" w14:textId="77777777" w:rsidR="00FD1E19" w:rsidRDefault="00FD1E19" w:rsidP="00FD1E19">
      <w:pPr>
        <w:pStyle w:val="HEADER5"/>
        <w:rPr>
          <w:noProof/>
        </w:rPr>
      </w:pPr>
    </w:p>
    <w:tbl>
      <w:tblPr>
        <w:tblW w:w="5000" w:type="pct"/>
        <w:tblLook w:val="04A0" w:firstRow="1" w:lastRow="0" w:firstColumn="1" w:lastColumn="0" w:noHBand="0" w:noVBand="1"/>
      </w:tblPr>
      <w:tblGrid>
        <w:gridCol w:w="483"/>
        <w:gridCol w:w="3047"/>
        <w:gridCol w:w="1334"/>
        <w:gridCol w:w="1779"/>
        <w:gridCol w:w="1309"/>
        <w:gridCol w:w="568"/>
        <w:gridCol w:w="1334"/>
      </w:tblGrid>
      <w:tr w:rsidR="00FD1E19" w14:paraId="7C7F2D2C" w14:textId="77777777" w:rsidTr="00BE7E4A">
        <w:trPr>
          <w:trHeight w:val="683"/>
        </w:trPr>
        <w:tc>
          <w:tcPr>
            <w:tcW w:w="10180" w:type="dxa"/>
            <w:gridSpan w:val="7"/>
            <w:tcBorders>
              <w:top w:val="single" w:sz="4" w:space="0" w:color="auto"/>
              <w:left w:val="single" w:sz="4" w:space="0" w:color="auto"/>
              <w:bottom w:val="nil"/>
              <w:right w:val="single" w:sz="4" w:space="0" w:color="auto"/>
            </w:tcBorders>
            <w:shd w:val="clear" w:color="FFFFFF" w:fill="FFFFFF"/>
            <w:vAlign w:val="center"/>
            <w:hideMark/>
          </w:tcPr>
          <w:p w14:paraId="5FCAA740"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10th EDF</w:t>
            </w:r>
            <w:r>
              <w:rPr>
                <w:rFonts w:ascii="Arial" w:hAnsi="Arial" w:cs="Arial"/>
                <w:b/>
                <w:bCs/>
                <w:noProof/>
                <w:color w:val="000000"/>
                <w:sz w:val="14"/>
                <w:szCs w:val="14"/>
              </w:rPr>
              <w:br/>
              <w:t>EVOLUTION OF APPROPRIATIONS:  31 December 2025</w:t>
            </w:r>
            <w:r>
              <w:rPr>
                <w:rFonts w:ascii="Arial" w:hAnsi="Arial" w:cs="Arial"/>
                <w:b/>
                <w:bCs/>
                <w:noProof/>
                <w:color w:val="000000"/>
                <w:sz w:val="14"/>
                <w:szCs w:val="14"/>
              </w:rPr>
              <w:br/>
              <w:t>ANALYSIS OF CREDITS PER INSTRUMENT</w:t>
            </w:r>
          </w:p>
        </w:tc>
      </w:tr>
      <w:tr w:rsidR="00FD1E19" w14:paraId="2F0DB2FA" w14:textId="77777777" w:rsidTr="00BE7E4A">
        <w:trPr>
          <w:trHeight w:val="180"/>
        </w:trPr>
        <w:tc>
          <w:tcPr>
            <w:tcW w:w="3674" w:type="dxa"/>
            <w:gridSpan w:val="2"/>
            <w:tcBorders>
              <w:top w:val="nil"/>
              <w:left w:val="single" w:sz="4" w:space="0" w:color="auto"/>
              <w:bottom w:val="nil"/>
              <w:right w:val="nil"/>
            </w:tcBorders>
            <w:shd w:val="clear" w:color="FFFFFF" w:fill="FFFFFF"/>
            <w:noWrap/>
            <w:vAlign w:val="center"/>
            <w:hideMark/>
          </w:tcPr>
          <w:p w14:paraId="35F4E98C"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452" w:type="dxa"/>
            <w:tcBorders>
              <w:top w:val="nil"/>
              <w:left w:val="nil"/>
              <w:bottom w:val="nil"/>
              <w:right w:val="nil"/>
            </w:tcBorders>
            <w:shd w:val="clear" w:color="FFFFFF" w:fill="FFFFFF"/>
            <w:noWrap/>
            <w:vAlign w:val="center"/>
            <w:hideMark/>
          </w:tcPr>
          <w:p w14:paraId="0FB05D61"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758" w:type="dxa"/>
            <w:tcBorders>
              <w:top w:val="nil"/>
              <w:left w:val="nil"/>
              <w:bottom w:val="nil"/>
              <w:right w:val="nil"/>
            </w:tcBorders>
            <w:shd w:val="clear" w:color="FFFFFF" w:fill="FFFFFF"/>
            <w:noWrap/>
            <w:vAlign w:val="center"/>
            <w:hideMark/>
          </w:tcPr>
          <w:p w14:paraId="7BFB0A95"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425" w:type="dxa"/>
            <w:tcBorders>
              <w:top w:val="nil"/>
              <w:left w:val="nil"/>
              <w:bottom w:val="nil"/>
              <w:right w:val="nil"/>
            </w:tcBorders>
            <w:shd w:val="clear" w:color="FFFFFF" w:fill="FFFFFF"/>
            <w:noWrap/>
            <w:vAlign w:val="center"/>
            <w:hideMark/>
          </w:tcPr>
          <w:p w14:paraId="68D1E6BE"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419" w:type="dxa"/>
            <w:tcBorders>
              <w:top w:val="nil"/>
              <w:left w:val="nil"/>
              <w:bottom w:val="nil"/>
              <w:right w:val="nil"/>
            </w:tcBorders>
            <w:shd w:val="clear" w:color="FFFFFF" w:fill="FFFFFF"/>
            <w:noWrap/>
            <w:vAlign w:val="center"/>
            <w:hideMark/>
          </w:tcPr>
          <w:p w14:paraId="578E0786"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452" w:type="dxa"/>
            <w:tcBorders>
              <w:top w:val="nil"/>
              <w:left w:val="nil"/>
              <w:bottom w:val="nil"/>
              <w:right w:val="single" w:sz="4" w:space="0" w:color="auto"/>
            </w:tcBorders>
            <w:shd w:val="clear" w:color="FFFFFF" w:fill="FFFFFF"/>
            <w:noWrap/>
            <w:vAlign w:val="center"/>
            <w:hideMark/>
          </w:tcPr>
          <w:p w14:paraId="7EC38D39" w14:textId="77777777" w:rsidR="00FD1E19" w:rsidRDefault="00FD1E19" w:rsidP="00BE7E4A">
            <w:pPr>
              <w:jc w:val="right"/>
              <w:rPr>
                <w:rFonts w:ascii="Arial" w:hAnsi="Arial" w:cs="Arial"/>
                <w:noProof/>
                <w:color w:val="000000"/>
                <w:sz w:val="14"/>
                <w:szCs w:val="14"/>
              </w:rPr>
            </w:pPr>
            <w:r>
              <w:rPr>
                <w:rFonts w:ascii="Arial" w:hAnsi="Arial" w:cs="Arial"/>
                <w:noProof/>
                <w:color w:val="000000"/>
                <w:sz w:val="14"/>
                <w:szCs w:val="14"/>
              </w:rPr>
              <w:t>(EUR million)</w:t>
            </w:r>
          </w:p>
        </w:tc>
      </w:tr>
      <w:tr w:rsidR="00FD1E19" w14:paraId="4ED111FC" w14:textId="77777777" w:rsidTr="00BE7E4A">
        <w:trPr>
          <w:trHeight w:val="990"/>
        </w:trPr>
        <w:tc>
          <w:tcPr>
            <w:tcW w:w="3674" w:type="dxa"/>
            <w:gridSpan w:val="2"/>
            <w:tcBorders>
              <w:top w:val="single" w:sz="4" w:space="0" w:color="000000"/>
              <w:left w:val="single" w:sz="4" w:space="0" w:color="auto"/>
              <w:bottom w:val="single" w:sz="4" w:space="0" w:color="000000"/>
              <w:right w:val="single" w:sz="4" w:space="0" w:color="000000"/>
            </w:tcBorders>
            <w:shd w:val="clear" w:color="FFFFFF" w:fill="FFFFFF"/>
            <w:vAlign w:val="center"/>
            <w:hideMark/>
          </w:tcPr>
          <w:p w14:paraId="3B97F09F"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INSTRUMENT</w:t>
            </w:r>
          </w:p>
        </w:tc>
        <w:tc>
          <w:tcPr>
            <w:tcW w:w="1452" w:type="dxa"/>
            <w:tcBorders>
              <w:top w:val="single" w:sz="4" w:space="0" w:color="000000"/>
              <w:left w:val="nil"/>
              <w:bottom w:val="single" w:sz="4" w:space="0" w:color="000000"/>
              <w:right w:val="single" w:sz="4" w:space="0" w:color="000000"/>
            </w:tcBorders>
            <w:shd w:val="clear" w:color="FFFFFF" w:fill="FFFFFF"/>
            <w:vAlign w:val="center"/>
            <w:hideMark/>
          </w:tcPr>
          <w:p w14:paraId="4EF6C865"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INITIAL APPROPRIATION</w:t>
            </w:r>
          </w:p>
        </w:tc>
        <w:tc>
          <w:tcPr>
            <w:tcW w:w="1758" w:type="dxa"/>
            <w:tcBorders>
              <w:top w:val="single" w:sz="4" w:space="0" w:color="000000"/>
              <w:left w:val="nil"/>
              <w:bottom w:val="single" w:sz="4" w:space="0" w:color="000000"/>
              <w:right w:val="single" w:sz="4" w:space="0" w:color="000000"/>
            </w:tcBorders>
            <w:shd w:val="clear" w:color="FFFFFF" w:fill="FFFFFF"/>
            <w:vAlign w:val="center"/>
            <w:hideMark/>
          </w:tcPr>
          <w:p w14:paraId="6C72B337"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INCREASES/DECREASES IN CUMULATIVE  RESOURCES AT 31 DECEMBER 2024</w:t>
            </w:r>
          </w:p>
        </w:tc>
        <w:tc>
          <w:tcPr>
            <w:tcW w:w="1425" w:type="dxa"/>
            <w:tcBorders>
              <w:top w:val="single" w:sz="4" w:space="0" w:color="000000"/>
              <w:left w:val="nil"/>
              <w:bottom w:val="single" w:sz="4" w:space="0" w:color="000000"/>
              <w:right w:val="single" w:sz="4" w:space="0" w:color="000000"/>
            </w:tcBorders>
            <w:shd w:val="clear" w:color="FFFFFF" w:fill="FFFFFF"/>
            <w:vAlign w:val="center"/>
            <w:hideMark/>
          </w:tcPr>
          <w:p w14:paraId="07522DBC"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INCREASE OR DECREASE IN RESOURCES IN 2025</w:t>
            </w:r>
          </w:p>
        </w:tc>
        <w:tc>
          <w:tcPr>
            <w:tcW w:w="419" w:type="dxa"/>
            <w:tcBorders>
              <w:top w:val="single" w:sz="4" w:space="0" w:color="000000"/>
              <w:left w:val="nil"/>
              <w:bottom w:val="single" w:sz="4" w:space="0" w:color="000000"/>
              <w:right w:val="single" w:sz="4" w:space="0" w:color="000000"/>
            </w:tcBorders>
            <w:shd w:val="clear" w:color="FFFFFF" w:fill="FFFFFF"/>
            <w:noWrap/>
            <w:vAlign w:val="center"/>
            <w:hideMark/>
          </w:tcPr>
          <w:p w14:paraId="76B1365F"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Notes</w:t>
            </w:r>
          </w:p>
        </w:tc>
        <w:tc>
          <w:tcPr>
            <w:tcW w:w="1452" w:type="dxa"/>
            <w:tcBorders>
              <w:top w:val="single" w:sz="4" w:space="0" w:color="000000"/>
              <w:left w:val="nil"/>
              <w:bottom w:val="single" w:sz="4" w:space="0" w:color="000000"/>
              <w:right w:val="single" w:sz="4" w:space="0" w:color="auto"/>
            </w:tcBorders>
            <w:shd w:val="clear" w:color="FFFFFF" w:fill="FFFFFF"/>
            <w:vAlign w:val="center"/>
            <w:hideMark/>
          </w:tcPr>
          <w:p w14:paraId="077FD9BE"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CURRENT LEVEL APPROPRIATION</w:t>
            </w:r>
          </w:p>
        </w:tc>
      </w:tr>
      <w:tr w:rsidR="00FD1E19" w14:paraId="4E163172" w14:textId="77777777" w:rsidTr="00BE7E4A">
        <w:trPr>
          <w:trHeight w:val="297"/>
        </w:trPr>
        <w:tc>
          <w:tcPr>
            <w:tcW w:w="327" w:type="dxa"/>
            <w:tcBorders>
              <w:top w:val="nil"/>
              <w:left w:val="single" w:sz="4" w:space="0" w:color="auto"/>
              <w:bottom w:val="nil"/>
              <w:right w:val="single" w:sz="4" w:space="0" w:color="000000"/>
            </w:tcBorders>
            <w:shd w:val="clear" w:color="FFFFFF" w:fill="FFFFFF"/>
            <w:noWrap/>
            <w:vAlign w:val="bottom"/>
            <w:hideMark/>
          </w:tcPr>
          <w:p w14:paraId="45ABC0B8"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3347" w:type="dxa"/>
            <w:tcBorders>
              <w:top w:val="nil"/>
              <w:left w:val="nil"/>
              <w:bottom w:val="single" w:sz="4" w:space="0" w:color="000000"/>
              <w:right w:val="single" w:sz="4" w:space="0" w:color="000000"/>
            </w:tcBorders>
            <w:shd w:val="clear" w:color="FFFFFF" w:fill="FFFFFF"/>
            <w:noWrap/>
            <w:vAlign w:val="bottom"/>
            <w:hideMark/>
          </w:tcPr>
          <w:p w14:paraId="690D3A51"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Co-financing</w:t>
            </w:r>
          </w:p>
        </w:tc>
        <w:tc>
          <w:tcPr>
            <w:tcW w:w="1452" w:type="dxa"/>
            <w:tcBorders>
              <w:top w:val="nil"/>
              <w:left w:val="nil"/>
              <w:bottom w:val="single" w:sz="4" w:space="0" w:color="000000"/>
              <w:right w:val="single" w:sz="4" w:space="0" w:color="000000"/>
            </w:tcBorders>
            <w:shd w:val="clear" w:color="FFFFFF" w:fill="FFFFFF"/>
            <w:noWrap/>
            <w:vAlign w:val="bottom"/>
            <w:hideMark/>
          </w:tcPr>
          <w:p w14:paraId="3B832FB6"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758" w:type="dxa"/>
            <w:tcBorders>
              <w:top w:val="nil"/>
              <w:left w:val="nil"/>
              <w:bottom w:val="single" w:sz="4" w:space="0" w:color="000000"/>
              <w:right w:val="single" w:sz="4" w:space="0" w:color="000000"/>
            </w:tcBorders>
            <w:shd w:val="clear" w:color="FFFFFF" w:fill="FFFFFF"/>
            <w:noWrap/>
            <w:vAlign w:val="bottom"/>
            <w:hideMark/>
          </w:tcPr>
          <w:p w14:paraId="32CA1D61"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202</w:t>
            </w:r>
          </w:p>
        </w:tc>
        <w:tc>
          <w:tcPr>
            <w:tcW w:w="1425" w:type="dxa"/>
            <w:tcBorders>
              <w:top w:val="nil"/>
              <w:left w:val="nil"/>
              <w:bottom w:val="single" w:sz="4" w:space="0" w:color="000000"/>
              <w:right w:val="single" w:sz="4" w:space="0" w:color="000000"/>
            </w:tcBorders>
            <w:shd w:val="clear" w:color="FFFFFF" w:fill="FFFFFF"/>
            <w:noWrap/>
            <w:vAlign w:val="bottom"/>
            <w:hideMark/>
          </w:tcPr>
          <w:p w14:paraId="0ED5D7ED" w14:textId="77777777" w:rsidR="00FD1E19" w:rsidRDefault="00FD1E19" w:rsidP="00BE7E4A">
            <w:pPr>
              <w:jc w:val="right"/>
              <w:rPr>
                <w:rFonts w:ascii="Arial" w:hAnsi="Arial" w:cs="Arial"/>
                <w:b/>
                <w:bCs/>
                <w:i/>
                <w:iCs/>
                <w:noProof/>
                <w:color w:val="FF0000"/>
                <w:sz w:val="14"/>
                <w:szCs w:val="14"/>
              </w:rPr>
            </w:pPr>
            <w:r>
              <w:rPr>
                <w:rFonts w:ascii="Arial" w:hAnsi="Arial" w:cs="Arial"/>
                <w:b/>
                <w:bCs/>
                <w:i/>
                <w:iCs/>
                <w:noProof/>
                <w:color w:val="FF0000"/>
                <w:sz w:val="14"/>
                <w:szCs w:val="14"/>
              </w:rPr>
              <w:t>(9)</w:t>
            </w:r>
          </w:p>
        </w:tc>
        <w:tc>
          <w:tcPr>
            <w:tcW w:w="419" w:type="dxa"/>
            <w:tcBorders>
              <w:top w:val="nil"/>
              <w:left w:val="nil"/>
              <w:bottom w:val="single" w:sz="4" w:space="0" w:color="000000"/>
              <w:right w:val="single" w:sz="4" w:space="0" w:color="000000"/>
            </w:tcBorders>
            <w:shd w:val="clear" w:color="FFFFFF" w:fill="FFFFFF"/>
            <w:noWrap/>
            <w:vAlign w:val="bottom"/>
            <w:hideMark/>
          </w:tcPr>
          <w:p w14:paraId="3CC94FBA"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452" w:type="dxa"/>
            <w:tcBorders>
              <w:top w:val="nil"/>
              <w:left w:val="nil"/>
              <w:bottom w:val="single" w:sz="4" w:space="0" w:color="000000"/>
              <w:right w:val="single" w:sz="4" w:space="0" w:color="auto"/>
            </w:tcBorders>
            <w:shd w:val="clear" w:color="FFFFFF" w:fill="FFFFFF"/>
            <w:noWrap/>
            <w:vAlign w:val="bottom"/>
            <w:hideMark/>
          </w:tcPr>
          <w:p w14:paraId="120467FE"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193</w:t>
            </w:r>
          </w:p>
        </w:tc>
      </w:tr>
      <w:tr w:rsidR="00FD1E19" w14:paraId="0BCD4FAE" w14:textId="77777777" w:rsidTr="00BE7E4A">
        <w:trPr>
          <w:trHeight w:val="297"/>
        </w:trPr>
        <w:tc>
          <w:tcPr>
            <w:tcW w:w="327" w:type="dxa"/>
            <w:vMerge w:val="restart"/>
            <w:tcBorders>
              <w:top w:val="nil"/>
              <w:left w:val="single" w:sz="4" w:space="0" w:color="auto"/>
              <w:bottom w:val="single" w:sz="4" w:space="0" w:color="000000"/>
              <w:right w:val="single" w:sz="4" w:space="0" w:color="000000"/>
            </w:tcBorders>
            <w:shd w:val="clear" w:color="FFFFFF" w:fill="FFFFFF"/>
            <w:vAlign w:val="center"/>
            <w:hideMark/>
          </w:tcPr>
          <w:p w14:paraId="4473C8C4"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ACP</w:t>
            </w:r>
          </w:p>
        </w:tc>
        <w:tc>
          <w:tcPr>
            <w:tcW w:w="3347" w:type="dxa"/>
            <w:tcBorders>
              <w:top w:val="nil"/>
              <w:left w:val="nil"/>
              <w:bottom w:val="single" w:sz="4" w:space="0" w:color="000000"/>
              <w:right w:val="single" w:sz="4" w:space="0" w:color="000000"/>
            </w:tcBorders>
            <w:shd w:val="clear" w:color="FFFFFF" w:fill="FFFFFF"/>
            <w:noWrap/>
            <w:vAlign w:val="bottom"/>
            <w:hideMark/>
          </w:tcPr>
          <w:p w14:paraId="28E9E5B0"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Regular MS Contributions</w:t>
            </w:r>
          </w:p>
        </w:tc>
        <w:tc>
          <w:tcPr>
            <w:tcW w:w="1452" w:type="dxa"/>
            <w:tcBorders>
              <w:top w:val="nil"/>
              <w:left w:val="nil"/>
              <w:bottom w:val="single" w:sz="4" w:space="0" w:color="000000"/>
              <w:right w:val="single" w:sz="4" w:space="0" w:color="000000"/>
            </w:tcBorders>
            <w:shd w:val="clear" w:color="FFFFFF" w:fill="FFFFFF"/>
            <w:noWrap/>
            <w:vAlign w:val="bottom"/>
            <w:hideMark/>
          </w:tcPr>
          <w:p w14:paraId="301D6CA7"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21.326</w:t>
            </w:r>
          </w:p>
        </w:tc>
        <w:tc>
          <w:tcPr>
            <w:tcW w:w="1758" w:type="dxa"/>
            <w:tcBorders>
              <w:top w:val="nil"/>
              <w:left w:val="nil"/>
              <w:bottom w:val="single" w:sz="4" w:space="0" w:color="000000"/>
              <w:right w:val="single" w:sz="4" w:space="0" w:color="000000"/>
            </w:tcBorders>
            <w:shd w:val="clear" w:color="FFFFFF" w:fill="FFFFFF"/>
            <w:noWrap/>
            <w:vAlign w:val="bottom"/>
            <w:hideMark/>
          </w:tcPr>
          <w:p w14:paraId="73DE02BB" w14:textId="77777777" w:rsidR="00FD1E19" w:rsidRDefault="00FD1E19" w:rsidP="00BE7E4A">
            <w:pPr>
              <w:jc w:val="right"/>
              <w:rPr>
                <w:rFonts w:ascii="Arial" w:hAnsi="Arial" w:cs="Arial"/>
                <w:b/>
                <w:bCs/>
                <w:i/>
                <w:iCs/>
                <w:noProof/>
                <w:color w:val="FF0000"/>
                <w:sz w:val="14"/>
                <w:szCs w:val="14"/>
              </w:rPr>
            </w:pPr>
            <w:r>
              <w:rPr>
                <w:rFonts w:ascii="Arial" w:hAnsi="Arial" w:cs="Arial"/>
                <w:b/>
                <w:bCs/>
                <w:i/>
                <w:iCs/>
                <w:noProof/>
                <w:color w:val="FF0000"/>
                <w:sz w:val="14"/>
                <w:szCs w:val="14"/>
              </w:rPr>
              <w:t>(710)</w:t>
            </w:r>
          </w:p>
        </w:tc>
        <w:tc>
          <w:tcPr>
            <w:tcW w:w="1425" w:type="dxa"/>
            <w:tcBorders>
              <w:top w:val="nil"/>
              <w:left w:val="nil"/>
              <w:bottom w:val="single" w:sz="4" w:space="0" w:color="000000"/>
              <w:right w:val="single" w:sz="4" w:space="0" w:color="000000"/>
            </w:tcBorders>
            <w:shd w:val="clear" w:color="FFFFFF" w:fill="FFFFFF"/>
            <w:noWrap/>
            <w:vAlign w:val="bottom"/>
            <w:hideMark/>
          </w:tcPr>
          <w:p w14:paraId="271BA563" w14:textId="77777777" w:rsidR="00FD1E19" w:rsidRDefault="00FD1E19" w:rsidP="00BE7E4A">
            <w:pPr>
              <w:jc w:val="right"/>
              <w:rPr>
                <w:rFonts w:ascii="Arial" w:hAnsi="Arial" w:cs="Arial"/>
                <w:b/>
                <w:bCs/>
                <w:i/>
                <w:iCs/>
                <w:noProof/>
                <w:color w:val="FF0000"/>
                <w:sz w:val="14"/>
                <w:szCs w:val="14"/>
              </w:rPr>
            </w:pPr>
            <w:r>
              <w:rPr>
                <w:rFonts w:ascii="Arial" w:hAnsi="Arial" w:cs="Arial"/>
                <w:b/>
                <w:bCs/>
                <w:i/>
                <w:iCs/>
                <w:noProof/>
                <w:color w:val="FF0000"/>
                <w:sz w:val="14"/>
                <w:szCs w:val="14"/>
              </w:rPr>
              <w:t>(86)</w:t>
            </w:r>
          </w:p>
        </w:tc>
        <w:tc>
          <w:tcPr>
            <w:tcW w:w="419" w:type="dxa"/>
            <w:tcBorders>
              <w:top w:val="nil"/>
              <w:left w:val="nil"/>
              <w:bottom w:val="single" w:sz="4" w:space="0" w:color="000000"/>
              <w:right w:val="single" w:sz="4" w:space="0" w:color="000000"/>
            </w:tcBorders>
            <w:shd w:val="clear" w:color="FFFFFF" w:fill="FFFFFF"/>
            <w:noWrap/>
            <w:vAlign w:val="bottom"/>
            <w:hideMark/>
          </w:tcPr>
          <w:p w14:paraId="6AA49EB4"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452" w:type="dxa"/>
            <w:tcBorders>
              <w:top w:val="nil"/>
              <w:left w:val="nil"/>
              <w:bottom w:val="single" w:sz="4" w:space="0" w:color="000000"/>
              <w:right w:val="single" w:sz="4" w:space="0" w:color="auto"/>
            </w:tcBorders>
            <w:shd w:val="clear" w:color="FFFFFF" w:fill="FFFFFF"/>
            <w:noWrap/>
            <w:vAlign w:val="bottom"/>
            <w:hideMark/>
          </w:tcPr>
          <w:p w14:paraId="48695421"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20.530</w:t>
            </w:r>
          </w:p>
        </w:tc>
      </w:tr>
      <w:tr w:rsidR="00FD1E19" w14:paraId="517F0D28" w14:textId="77777777" w:rsidTr="00BE7E4A">
        <w:trPr>
          <w:trHeight w:val="297"/>
        </w:trPr>
        <w:tc>
          <w:tcPr>
            <w:tcW w:w="327" w:type="dxa"/>
            <w:vMerge/>
            <w:tcBorders>
              <w:top w:val="nil"/>
              <w:left w:val="single" w:sz="4" w:space="0" w:color="auto"/>
              <w:bottom w:val="single" w:sz="4" w:space="0" w:color="000000"/>
              <w:right w:val="single" w:sz="4" w:space="0" w:color="000000"/>
            </w:tcBorders>
            <w:vAlign w:val="center"/>
            <w:hideMark/>
          </w:tcPr>
          <w:p w14:paraId="5E7689F2" w14:textId="77777777" w:rsidR="00FD1E19" w:rsidRDefault="00FD1E19" w:rsidP="00BE7E4A">
            <w:pPr>
              <w:rPr>
                <w:rFonts w:ascii="Arial" w:hAnsi="Arial" w:cs="Arial"/>
                <w:noProof/>
                <w:color w:val="000000"/>
                <w:sz w:val="14"/>
                <w:szCs w:val="14"/>
              </w:rPr>
            </w:pPr>
          </w:p>
        </w:tc>
        <w:tc>
          <w:tcPr>
            <w:tcW w:w="3347" w:type="dxa"/>
            <w:tcBorders>
              <w:top w:val="nil"/>
              <w:left w:val="nil"/>
              <w:bottom w:val="single" w:sz="4" w:space="0" w:color="000000"/>
              <w:right w:val="single" w:sz="4" w:space="0" w:color="000000"/>
            </w:tcBorders>
            <w:shd w:val="clear" w:color="FFFFFF" w:fill="999999"/>
            <w:noWrap/>
            <w:vAlign w:val="bottom"/>
            <w:hideMark/>
          </w:tcPr>
          <w:p w14:paraId="0496EA8D"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SUB TOTAL ACP</w:t>
            </w:r>
          </w:p>
        </w:tc>
        <w:tc>
          <w:tcPr>
            <w:tcW w:w="1452" w:type="dxa"/>
            <w:tcBorders>
              <w:top w:val="nil"/>
              <w:left w:val="nil"/>
              <w:bottom w:val="single" w:sz="4" w:space="0" w:color="000000"/>
              <w:right w:val="single" w:sz="4" w:space="0" w:color="000000"/>
            </w:tcBorders>
            <w:shd w:val="clear" w:color="FFFFFF" w:fill="999999"/>
            <w:noWrap/>
            <w:vAlign w:val="bottom"/>
            <w:hideMark/>
          </w:tcPr>
          <w:p w14:paraId="2CB0CA56"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21.326</w:t>
            </w:r>
          </w:p>
        </w:tc>
        <w:tc>
          <w:tcPr>
            <w:tcW w:w="1758" w:type="dxa"/>
            <w:tcBorders>
              <w:top w:val="nil"/>
              <w:left w:val="nil"/>
              <w:bottom w:val="single" w:sz="4" w:space="0" w:color="000000"/>
              <w:right w:val="single" w:sz="4" w:space="0" w:color="000000"/>
            </w:tcBorders>
            <w:shd w:val="clear" w:color="FFFFFF" w:fill="999999"/>
            <w:noWrap/>
            <w:vAlign w:val="bottom"/>
            <w:hideMark/>
          </w:tcPr>
          <w:p w14:paraId="154F180A" w14:textId="77777777" w:rsidR="00FD1E19" w:rsidRDefault="00FD1E19" w:rsidP="00BE7E4A">
            <w:pPr>
              <w:jc w:val="right"/>
              <w:rPr>
                <w:rFonts w:ascii="Arial" w:hAnsi="Arial" w:cs="Arial"/>
                <w:b/>
                <w:bCs/>
                <w:noProof/>
                <w:color w:val="FF0000"/>
                <w:sz w:val="16"/>
                <w:szCs w:val="16"/>
              </w:rPr>
            </w:pPr>
            <w:r>
              <w:rPr>
                <w:rFonts w:ascii="Arial" w:hAnsi="Arial" w:cs="Arial"/>
                <w:b/>
                <w:bCs/>
                <w:noProof/>
                <w:color w:val="FF0000"/>
                <w:sz w:val="16"/>
                <w:szCs w:val="16"/>
              </w:rPr>
              <w:t>(508)</w:t>
            </w:r>
          </w:p>
        </w:tc>
        <w:tc>
          <w:tcPr>
            <w:tcW w:w="1425" w:type="dxa"/>
            <w:tcBorders>
              <w:top w:val="nil"/>
              <w:left w:val="nil"/>
              <w:bottom w:val="single" w:sz="4" w:space="0" w:color="000000"/>
              <w:right w:val="single" w:sz="4" w:space="0" w:color="000000"/>
            </w:tcBorders>
            <w:shd w:val="clear" w:color="FFFFFF" w:fill="999999"/>
            <w:noWrap/>
            <w:vAlign w:val="bottom"/>
            <w:hideMark/>
          </w:tcPr>
          <w:p w14:paraId="165A0676" w14:textId="77777777" w:rsidR="00FD1E19" w:rsidRDefault="00FD1E19" w:rsidP="00BE7E4A">
            <w:pPr>
              <w:jc w:val="right"/>
              <w:rPr>
                <w:rFonts w:ascii="Arial" w:hAnsi="Arial" w:cs="Arial"/>
                <w:b/>
                <w:bCs/>
                <w:noProof/>
                <w:color w:val="FF0000"/>
                <w:sz w:val="16"/>
                <w:szCs w:val="16"/>
              </w:rPr>
            </w:pPr>
            <w:r>
              <w:rPr>
                <w:rFonts w:ascii="Arial" w:hAnsi="Arial" w:cs="Arial"/>
                <w:b/>
                <w:bCs/>
                <w:noProof/>
                <w:color w:val="FF0000"/>
                <w:sz w:val="16"/>
                <w:szCs w:val="16"/>
              </w:rPr>
              <w:t>(95)</w:t>
            </w:r>
          </w:p>
        </w:tc>
        <w:tc>
          <w:tcPr>
            <w:tcW w:w="419" w:type="dxa"/>
            <w:tcBorders>
              <w:top w:val="nil"/>
              <w:left w:val="nil"/>
              <w:bottom w:val="single" w:sz="4" w:space="0" w:color="000000"/>
              <w:right w:val="single" w:sz="4" w:space="0" w:color="000000"/>
            </w:tcBorders>
            <w:shd w:val="clear" w:color="FFFFFF" w:fill="999999"/>
            <w:noWrap/>
            <w:vAlign w:val="center"/>
            <w:hideMark/>
          </w:tcPr>
          <w:p w14:paraId="16B693A5"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 </w:t>
            </w:r>
          </w:p>
        </w:tc>
        <w:tc>
          <w:tcPr>
            <w:tcW w:w="1452" w:type="dxa"/>
            <w:tcBorders>
              <w:top w:val="nil"/>
              <w:left w:val="nil"/>
              <w:bottom w:val="single" w:sz="4" w:space="0" w:color="000000"/>
              <w:right w:val="single" w:sz="4" w:space="0" w:color="auto"/>
            </w:tcBorders>
            <w:shd w:val="clear" w:color="FFFFFF" w:fill="999999"/>
            <w:noWrap/>
            <w:vAlign w:val="bottom"/>
            <w:hideMark/>
          </w:tcPr>
          <w:p w14:paraId="754ACBF3"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20.723</w:t>
            </w:r>
          </w:p>
        </w:tc>
      </w:tr>
      <w:tr w:rsidR="00FD1E19" w14:paraId="1E62CC57" w14:textId="77777777" w:rsidTr="00BE7E4A">
        <w:trPr>
          <w:trHeight w:val="150"/>
        </w:trPr>
        <w:tc>
          <w:tcPr>
            <w:tcW w:w="327" w:type="dxa"/>
            <w:tcBorders>
              <w:top w:val="nil"/>
              <w:left w:val="single" w:sz="4" w:space="0" w:color="auto"/>
              <w:bottom w:val="nil"/>
              <w:right w:val="nil"/>
            </w:tcBorders>
            <w:shd w:val="clear" w:color="FFFFFF" w:fill="FFFFFF"/>
            <w:noWrap/>
            <w:vAlign w:val="center"/>
            <w:hideMark/>
          </w:tcPr>
          <w:p w14:paraId="12289652" w14:textId="77777777" w:rsidR="00FD1E19" w:rsidRDefault="00FD1E19" w:rsidP="00BE7E4A">
            <w:pPr>
              <w:rPr>
                <w:rFonts w:ascii="Arial" w:hAnsi="Arial" w:cs="Arial"/>
                <w:noProof/>
                <w:color w:val="000000"/>
              </w:rPr>
            </w:pPr>
            <w:r>
              <w:rPr>
                <w:rFonts w:ascii="Arial" w:hAnsi="Arial" w:cs="Arial"/>
                <w:noProof/>
                <w:color w:val="000000"/>
              </w:rPr>
              <w:t> </w:t>
            </w:r>
          </w:p>
        </w:tc>
        <w:tc>
          <w:tcPr>
            <w:tcW w:w="3347" w:type="dxa"/>
            <w:tcBorders>
              <w:top w:val="nil"/>
              <w:left w:val="nil"/>
              <w:bottom w:val="nil"/>
              <w:right w:val="nil"/>
            </w:tcBorders>
            <w:shd w:val="clear" w:color="FFFFFF" w:fill="FFFFFF"/>
            <w:noWrap/>
            <w:vAlign w:val="center"/>
            <w:hideMark/>
          </w:tcPr>
          <w:p w14:paraId="3A1B72A6" w14:textId="77777777" w:rsidR="00FD1E19" w:rsidRDefault="00FD1E19" w:rsidP="00BE7E4A">
            <w:pPr>
              <w:rPr>
                <w:rFonts w:ascii="Arial" w:hAnsi="Arial" w:cs="Arial"/>
                <w:noProof/>
                <w:color w:val="000000"/>
              </w:rPr>
            </w:pPr>
            <w:r>
              <w:rPr>
                <w:rFonts w:ascii="Arial" w:hAnsi="Arial" w:cs="Arial"/>
                <w:noProof/>
                <w:color w:val="000000"/>
              </w:rPr>
              <w:t> </w:t>
            </w:r>
          </w:p>
        </w:tc>
        <w:tc>
          <w:tcPr>
            <w:tcW w:w="1452" w:type="dxa"/>
            <w:tcBorders>
              <w:top w:val="nil"/>
              <w:left w:val="nil"/>
              <w:bottom w:val="nil"/>
              <w:right w:val="nil"/>
            </w:tcBorders>
            <w:shd w:val="clear" w:color="FFFFFF" w:fill="FFFFFF"/>
            <w:noWrap/>
            <w:vAlign w:val="center"/>
            <w:hideMark/>
          </w:tcPr>
          <w:p w14:paraId="4A0A203F" w14:textId="77777777" w:rsidR="00FD1E19" w:rsidRDefault="00FD1E19" w:rsidP="00BE7E4A">
            <w:pPr>
              <w:rPr>
                <w:rFonts w:ascii="Arial" w:hAnsi="Arial" w:cs="Arial"/>
                <w:noProof/>
                <w:color w:val="000000"/>
              </w:rPr>
            </w:pPr>
            <w:r>
              <w:rPr>
                <w:rFonts w:ascii="Arial" w:hAnsi="Arial" w:cs="Arial"/>
                <w:noProof/>
                <w:color w:val="000000"/>
              </w:rPr>
              <w:t> </w:t>
            </w:r>
          </w:p>
        </w:tc>
        <w:tc>
          <w:tcPr>
            <w:tcW w:w="1758" w:type="dxa"/>
            <w:tcBorders>
              <w:top w:val="nil"/>
              <w:left w:val="nil"/>
              <w:bottom w:val="nil"/>
              <w:right w:val="nil"/>
            </w:tcBorders>
            <w:shd w:val="clear" w:color="FFFFFF" w:fill="FFFFFF"/>
            <w:noWrap/>
            <w:vAlign w:val="center"/>
            <w:hideMark/>
          </w:tcPr>
          <w:p w14:paraId="0183F7D8" w14:textId="77777777" w:rsidR="00FD1E19" w:rsidRDefault="00FD1E19" w:rsidP="00BE7E4A">
            <w:pPr>
              <w:rPr>
                <w:rFonts w:ascii="Arial" w:hAnsi="Arial" w:cs="Arial"/>
                <w:noProof/>
                <w:color w:val="000000"/>
              </w:rPr>
            </w:pPr>
            <w:r>
              <w:rPr>
                <w:rFonts w:ascii="Arial" w:hAnsi="Arial" w:cs="Arial"/>
                <w:noProof/>
                <w:color w:val="000000"/>
              </w:rPr>
              <w:t> </w:t>
            </w:r>
          </w:p>
        </w:tc>
        <w:tc>
          <w:tcPr>
            <w:tcW w:w="1425" w:type="dxa"/>
            <w:tcBorders>
              <w:top w:val="nil"/>
              <w:left w:val="nil"/>
              <w:bottom w:val="nil"/>
              <w:right w:val="nil"/>
            </w:tcBorders>
            <w:shd w:val="clear" w:color="FFFFFF" w:fill="FFFFFF"/>
            <w:noWrap/>
            <w:vAlign w:val="center"/>
            <w:hideMark/>
          </w:tcPr>
          <w:p w14:paraId="3EC7BC9C" w14:textId="77777777" w:rsidR="00FD1E19" w:rsidRDefault="00FD1E19" w:rsidP="00BE7E4A">
            <w:pPr>
              <w:rPr>
                <w:rFonts w:ascii="Arial" w:hAnsi="Arial" w:cs="Arial"/>
                <w:noProof/>
                <w:color w:val="000000"/>
              </w:rPr>
            </w:pPr>
            <w:r>
              <w:rPr>
                <w:rFonts w:ascii="Arial" w:hAnsi="Arial" w:cs="Arial"/>
                <w:noProof/>
                <w:color w:val="000000"/>
              </w:rPr>
              <w:t> </w:t>
            </w:r>
          </w:p>
        </w:tc>
        <w:tc>
          <w:tcPr>
            <w:tcW w:w="419" w:type="dxa"/>
            <w:tcBorders>
              <w:top w:val="nil"/>
              <w:left w:val="nil"/>
              <w:bottom w:val="nil"/>
              <w:right w:val="nil"/>
            </w:tcBorders>
            <w:shd w:val="clear" w:color="FFFFFF" w:fill="FFFFFF"/>
            <w:noWrap/>
            <w:vAlign w:val="center"/>
            <w:hideMark/>
          </w:tcPr>
          <w:p w14:paraId="0F9B8DC9" w14:textId="77777777" w:rsidR="00FD1E19" w:rsidRDefault="00FD1E19" w:rsidP="00BE7E4A">
            <w:pPr>
              <w:rPr>
                <w:rFonts w:ascii="Arial" w:hAnsi="Arial" w:cs="Arial"/>
                <w:noProof/>
                <w:color w:val="000000"/>
              </w:rPr>
            </w:pPr>
            <w:r>
              <w:rPr>
                <w:rFonts w:ascii="Arial" w:hAnsi="Arial" w:cs="Arial"/>
                <w:noProof/>
                <w:color w:val="000000"/>
              </w:rPr>
              <w:t> </w:t>
            </w:r>
          </w:p>
        </w:tc>
        <w:tc>
          <w:tcPr>
            <w:tcW w:w="1452" w:type="dxa"/>
            <w:tcBorders>
              <w:top w:val="nil"/>
              <w:left w:val="nil"/>
              <w:bottom w:val="nil"/>
              <w:right w:val="single" w:sz="4" w:space="0" w:color="auto"/>
            </w:tcBorders>
            <w:shd w:val="clear" w:color="FFFFFF" w:fill="FFFFFF"/>
            <w:noWrap/>
            <w:vAlign w:val="center"/>
            <w:hideMark/>
          </w:tcPr>
          <w:p w14:paraId="5D9B002E" w14:textId="77777777" w:rsidR="00FD1E19" w:rsidRDefault="00FD1E19" w:rsidP="00BE7E4A">
            <w:pPr>
              <w:rPr>
                <w:rFonts w:ascii="Arial" w:hAnsi="Arial" w:cs="Arial"/>
                <w:noProof/>
                <w:color w:val="000000"/>
              </w:rPr>
            </w:pPr>
            <w:r>
              <w:rPr>
                <w:rFonts w:ascii="Arial" w:hAnsi="Arial" w:cs="Arial"/>
                <w:noProof/>
                <w:color w:val="000000"/>
              </w:rPr>
              <w:t> </w:t>
            </w:r>
          </w:p>
        </w:tc>
      </w:tr>
      <w:tr w:rsidR="00FD1E19" w14:paraId="2FB5BDE7" w14:textId="77777777" w:rsidTr="00BE7E4A">
        <w:trPr>
          <w:trHeight w:val="297"/>
        </w:trPr>
        <w:tc>
          <w:tcPr>
            <w:tcW w:w="327" w:type="dxa"/>
            <w:vMerge w:val="restart"/>
            <w:tcBorders>
              <w:top w:val="nil"/>
              <w:left w:val="single" w:sz="4" w:space="0" w:color="auto"/>
              <w:bottom w:val="single" w:sz="4" w:space="0" w:color="000000"/>
              <w:right w:val="single" w:sz="4" w:space="0" w:color="000000"/>
            </w:tcBorders>
            <w:shd w:val="clear" w:color="FFFFFF" w:fill="FFFFFF"/>
            <w:vAlign w:val="center"/>
            <w:hideMark/>
          </w:tcPr>
          <w:p w14:paraId="4F45E119"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OCT</w:t>
            </w:r>
          </w:p>
        </w:tc>
        <w:tc>
          <w:tcPr>
            <w:tcW w:w="3347" w:type="dxa"/>
            <w:tcBorders>
              <w:top w:val="single" w:sz="4" w:space="0" w:color="000000"/>
              <w:left w:val="nil"/>
              <w:bottom w:val="single" w:sz="4" w:space="0" w:color="000000"/>
              <w:right w:val="single" w:sz="4" w:space="0" w:color="000000"/>
            </w:tcBorders>
            <w:shd w:val="clear" w:color="FFFFFF" w:fill="FFFFFF"/>
            <w:noWrap/>
            <w:vAlign w:val="bottom"/>
            <w:hideMark/>
          </w:tcPr>
          <w:p w14:paraId="46D95E76"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Regular MS Contributions</w:t>
            </w:r>
          </w:p>
        </w:tc>
        <w:tc>
          <w:tcPr>
            <w:tcW w:w="1452" w:type="dxa"/>
            <w:tcBorders>
              <w:top w:val="single" w:sz="4" w:space="0" w:color="000000"/>
              <w:left w:val="nil"/>
              <w:bottom w:val="single" w:sz="4" w:space="0" w:color="000000"/>
              <w:right w:val="single" w:sz="4" w:space="0" w:color="000000"/>
            </w:tcBorders>
            <w:shd w:val="clear" w:color="FFFFFF" w:fill="FFFFFF"/>
            <w:noWrap/>
            <w:vAlign w:val="bottom"/>
            <w:hideMark/>
          </w:tcPr>
          <w:p w14:paraId="1C09C1AA"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758" w:type="dxa"/>
            <w:tcBorders>
              <w:top w:val="single" w:sz="4" w:space="0" w:color="000000"/>
              <w:left w:val="nil"/>
              <w:bottom w:val="single" w:sz="4" w:space="0" w:color="000000"/>
              <w:right w:val="single" w:sz="4" w:space="0" w:color="000000"/>
            </w:tcBorders>
            <w:shd w:val="clear" w:color="FFFFFF" w:fill="FFFFFF"/>
            <w:noWrap/>
            <w:vAlign w:val="bottom"/>
            <w:hideMark/>
          </w:tcPr>
          <w:p w14:paraId="3D5766B5"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236</w:t>
            </w:r>
          </w:p>
        </w:tc>
        <w:tc>
          <w:tcPr>
            <w:tcW w:w="1425" w:type="dxa"/>
            <w:tcBorders>
              <w:top w:val="single" w:sz="4" w:space="0" w:color="000000"/>
              <w:left w:val="nil"/>
              <w:bottom w:val="single" w:sz="4" w:space="0" w:color="000000"/>
              <w:right w:val="single" w:sz="4" w:space="0" w:color="000000"/>
            </w:tcBorders>
            <w:shd w:val="clear" w:color="FFFFFF" w:fill="FFFFFF"/>
            <w:noWrap/>
            <w:vAlign w:val="bottom"/>
            <w:hideMark/>
          </w:tcPr>
          <w:p w14:paraId="5D0C0053" w14:textId="77777777" w:rsidR="00FD1E19" w:rsidRDefault="00FD1E19" w:rsidP="00BE7E4A">
            <w:pPr>
              <w:jc w:val="right"/>
              <w:rPr>
                <w:rFonts w:ascii="Arial" w:hAnsi="Arial" w:cs="Arial"/>
                <w:b/>
                <w:bCs/>
                <w:i/>
                <w:iCs/>
                <w:noProof/>
                <w:color w:val="FF0000"/>
                <w:sz w:val="14"/>
                <w:szCs w:val="14"/>
              </w:rPr>
            </w:pPr>
            <w:r>
              <w:rPr>
                <w:rFonts w:ascii="Arial" w:hAnsi="Arial" w:cs="Arial"/>
                <w:b/>
                <w:bCs/>
                <w:i/>
                <w:iCs/>
                <w:noProof/>
                <w:color w:val="FF0000"/>
                <w:sz w:val="14"/>
                <w:szCs w:val="14"/>
              </w:rPr>
              <w:t>(1)</w:t>
            </w:r>
          </w:p>
        </w:tc>
        <w:tc>
          <w:tcPr>
            <w:tcW w:w="419" w:type="dxa"/>
            <w:tcBorders>
              <w:top w:val="single" w:sz="4" w:space="0" w:color="000000"/>
              <w:left w:val="nil"/>
              <w:bottom w:val="single" w:sz="4" w:space="0" w:color="000000"/>
              <w:right w:val="single" w:sz="4" w:space="0" w:color="000000"/>
            </w:tcBorders>
            <w:shd w:val="clear" w:color="FFFFFF" w:fill="FFFFFF"/>
            <w:noWrap/>
            <w:vAlign w:val="bottom"/>
            <w:hideMark/>
          </w:tcPr>
          <w:p w14:paraId="30755070"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452" w:type="dxa"/>
            <w:tcBorders>
              <w:top w:val="single" w:sz="4" w:space="0" w:color="000000"/>
              <w:left w:val="nil"/>
              <w:bottom w:val="single" w:sz="4" w:space="0" w:color="000000"/>
              <w:right w:val="single" w:sz="4" w:space="0" w:color="auto"/>
            </w:tcBorders>
            <w:shd w:val="clear" w:color="FFFFFF" w:fill="FFFFFF"/>
            <w:noWrap/>
            <w:vAlign w:val="bottom"/>
            <w:hideMark/>
          </w:tcPr>
          <w:p w14:paraId="1F9B9BD3"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236</w:t>
            </w:r>
          </w:p>
        </w:tc>
      </w:tr>
      <w:tr w:rsidR="00FD1E19" w14:paraId="4156F4BF" w14:textId="77777777" w:rsidTr="00BE7E4A">
        <w:trPr>
          <w:trHeight w:val="297"/>
        </w:trPr>
        <w:tc>
          <w:tcPr>
            <w:tcW w:w="327" w:type="dxa"/>
            <w:vMerge/>
            <w:tcBorders>
              <w:top w:val="nil"/>
              <w:left w:val="single" w:sz="4" w:space="0" w:color="auto"/>
              <w:bottom w:val="single" w:sz="4" w:space="0" w:color="000000"/>
              <w:right w:val="single" w:sz="4" w:space="0" w:color="000000"/>
            </w:tcBorders>
            <w:vAlign w:val="center"/>
            <w:hideMark/>
          </w:tcPr>
          <w:p w14:paraId="6A430EFF" w14:textId="77777777" w:rsidR="00FD1E19" w:rsidRDefault="00FD1E19" w:rsidP="00BE7E4A">
            <w:pPr>
              <w:rPr>
                <w:rFonts w:ascii="Arial" w:hAnsi="Arial" w:cs="Arial"/>
                <w:noProof/>
                <w:color w:val="000000"/>
                <w:sz w:val="14"/>
                <w:szCs w:val="14"/>
              </w:rPr>
            </w:pPr>
          </w:p>
        </w:tc>
        <w:tc>
          <w:tcPr>
            <w:tcW w:w="3347" w:type="dxa"/>
            <w:tcBorders>
              <w:top w:val="nil"/>
              <w:left w:val="nil"/>
              <w:bottom w:val="single" w:sz="4" w:space="0" w:color="000000"/>
              <w:right w:val="single" w:sz="4" w:space="0" w:color="000000"/>
            </w:tcBorders>
            <w:shd w:val="clear" w:color="FFFFFF" w:fill="999999"/>
            <w:noWrap/>
            <w:vAlign w:val="bottom"/>
            <w:hideMark/>
          </w:tcPr>
          <w:p w14:paraId="29A342CD"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SUB TOTAL OCT</w:t>
            </w:r>
          </w:p>
        </w:tc>
        <w:tc>
          <w:tcPr>
            <w:tcW w:w="1452" w:type="dxa"/>
            <w:tcBorders>
              <w:top w:val="nil"/>
              <w:left w:val="nil"/>
              <w:bottom w:val="single" w:sz="4" w:space="0" w:color="000000"/>
              <w:right w:val="single" w:sz="4" w:space="0" w:color="000000"/>
            </w:tcBorders>
            <w:shd w:val="clear" w:color="FFFFFF" w:fill="999999"/>
            <w:noWrap/>
            <w:vAlign w:val="bottom"/>
            <w:hideMark/>
          </w:tcPr>
          <w:p w14:paraId="7746771B"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0</w:t>
            </w:r>
          </w:p>
        </w:tc>
        <w:tc>
          <w:tcPr>
            <w:tcW w:w="1758" w:type="dxa"/>
            <w:tcBorders>
              <w:top w:val="nil"/>
              <w:left w:val="nil"/>
              <w:bottom w:val="single" w:sz="4" w:space="0" w:color="000000"/>
              <w:right w:val="single" w:sz="4" w:space="0" w:color="000000"/>
            </w:tcBorders>
            <w:shd w:val="clear" w:color="FFFFFF" w:fill="999999"/>
            <w:noWrap/>
            <w:vAlign w:val="bottom"/>
            <w:hideMark/>
          </w:tcPr>
          <w:p w14:paraId="65542F55"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236</w:t>
            </w:r>
          </w:p>
        </w:tc>
        <w:tc>
          <w:tcPr>
            <w:tcW w:w="1425" w:type="dxa"/>
            <w:tcBorders>
              <w:top w:val="nil"/>
              <w:left w:val="nil"/>
              <w:bottom w:val="single" w:sz="4" w:space="0" w:color="000000"/>
              <w:right w:val="single" w:sz="4" w:space="0" w:color="000000"/>
            </w:tcBorders>
            <w:shd w:val="clear" w:color="FFFFFF" w:fill="999999"/>
            <w:noWrap/>
            <w:vAlign w:val="bottom"/>
            <w:hideMark/>
          </w:tcPr>
          <w:p w14:paraId="69A8B8B4" w14:textId="77777777" w:rsidR="00FD1E19" w:rsidRDefault="00FD1E19" w:rsidP="00BE7E4A">
            <w:pPr>
              <w:jc w:val="right"/>
              <w:rPr>
                <w:rFonts w:ascii="Arial" w:hAnsi="Arial" w:cs="Arial"/>
                <w:b/>
                <w:bCs/>
                <w:noProof/>
                <w:color w:val="FF0000"/>
                <w:sz w:val="16"/>
                <w:szCs w:val="16"/>
              </w:rPr>
            </w:pPr>
            <w:r>
              <w:rPr>
                <w:rFonts w:ascii="Arial" w:hAnsi="Arial" w:cs="Arial"/>
                <w:b/>
                <w:bCs/>
                <w:noProof/>
                <w:color w:val="FF0000"/>
                <w:sz w:val="16"/>
                <w:szCs w:val="16"/>
              </w:rPr>
              <w:t>(1)</w:t>
            </w:r>
          </w:p>
        </w:tc>
        <w:tc>
          <w:tcPr>
            <w:tcW w:w="419" w:type="dxa"/>
            <w:tcBorders>
              <w:top w:val="nil"/>
              <w:left w:val="nil"/>
              <w:bottom w:val="single" w:sz="4" w:space="0" w:color="000000"/>
              <w:right w:val="single" w:sz="4" w:space="0" w:color="000000"/>
            </w:tcBorders>
            <w:shd w:val="clear" w:color="FFFFFF" w:fill="999999"/>
            <w:noWrap/>
            <w:vAlign w:val="center"/>
            <w:hideMark/>
          </w:tcPr>
          <w:p w14:paraId="08C2AFA7"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 </w:t>
            </w:r>
          </w:p>
        </w:tc>
        <w:tc>
          <w:tcPr>
            <w:tcW w:w="1452" w:type="dxa"/>
            <w:tcBorders>
              <w:top w:val="nil"/>
              <w:left w:val="nil"/>
              <w:bottom w:val="single" w:sz="4" w:space="0" w:color="000000"/>
              <w:right w:val="single" w:sz="4" w:space="0" w:color="auto"/>
            </w:tcBorders>
            <w:shd w:val="clear" w:color="FFFFFF" w:fill="999999"/>
            <w:noWrap/>
            <w:vAlign w:val="bottom"/>
            <w:hideMark/>
          </w:tcPr>
          <w:p w14:paraId="2FD9607A"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236</w:t>
            </w:r>
          </w:p>
        </w:tc>
      </w:tr>
      <w:tr w:rsidR="00FD1E19" w14:paraId="1DE22167" w14:textId="77777777" w:rsidTr="00BE7E4A">
        <w:trPr>
          <w:trHeight w:val="150"/>
        </w:trPr>
        <w:tc>
          <w:tcPr>
            <w:tcW w:w="327" w:type="dxa"/>
            <w:tcBorders>
              <w:top w:val="nil"/>
              <w:left w:val="single" w:sz="4" w:space="0" w:color="auto"/>
              <w:bottom w:val="nil"/>
              <w:right w:val="nil"/>
            </w:tcBorders>
            <w:shd w:val="clear" w:color="FFFFFF" w:fill="FFFFFF"/>
            <w:noWrap/>
            <w:vAlign w:val="center"/>
            <w:hideMark/>
          </w:tcPr>
          <w:p w14:paraId="3FF827B7" w14:textId="77777777" w:rsidR="00FD1E19" w:rsidRDefault="00FD1E19" w:rsidP="00BE7E4A">
            <w:pPr>
              <w:rPr>
                <w:rFonts w:ascii="Arial" w:hAnsi="Arial" w:cs="Arial"/>
                <w:noProof/>
                <w:color w:val="000000"/>
              </w:rPr>
            </w:pPr>
            <w:r>
              <w:rPr>
                <w:rFonts w:ascii="Arial" w:hAnsi="Arial" w:cs="Arial"/>
                <w:noProof/>
                <w:color w:val="000000"/>
              </w:rPr>
              <w:t> </w:t>
            </w:r>
          </w:p>
        </w:tc>
        <w:tc>
          <w:tcPr>
            <w:tcW w:w="3347" w:type="dxa"/>
            <w:tcBorders>
              <w:top w:val="nil"/>
              <w:left w:val="nil"/>
              <w:bottom w:val="nil"/>
              <w:right w:val="nil"/>
            </w:tcBorders>
            <w:shd w:val="clear" w:color="FFFFFF" w:fill="FFFFFF"/>
            <w:noWrap/>
            <w:vAlign w:val="center"/>
            <w:hideMark/>
          </w:tcPr>
          <w:p w14:paraId="2E1879A3" w14:textId="77777777" w:rsidR="00FD1E19" w:rsidRDefault="00FD1E19" w:rsidP="00BE7E4A">
            <w:pPr>
              <w:rPr>
                <w:rFonts w:ascii="Arial" w:hAnsi="Arial" w:cs="Arial"/>
                <w:noProof/>
                <w:color w:val="000000"/>
              </w:rPr>
            </w:pPr>
            <w:r>
              <w:rPr>
                <w:rFonts w:ascii="Arial" w:hAnsi="Arial" w:cs="Arial"/>
                <w:noProof/>
                <w:color w:val="000000"/>
              </w:rPr>
              <w:t> </w:t>
            </w:r>
          </w:p>
        </w:tc>
        <w:tc>
          <w:tcPr>
            <w:tcW w:w="1452" w:type="dxa"/>
            <w:tcBorders>
              <w:top w:val="nil"/>
              <w:left w:val="nil"/>
              <w:bottom w:val="nil"/>
              <w:right w:val="nil"/>
            </w:tcBorders>
            <w:shd w:val="clear" w:color="FFFFFF" w:fill="FFFFFF"/>
            <w:noWrap/>
            <w:vAlign w:val="center"/>
            <w:hideMark/>
          </w:tcPr>
          <w:p w14:paraId="7BFF3A1A" w14:textId="77777777" w:rsidR="00FD1E19" w:rsidRDefault="00FD1E19" w:rsidP="00BE7E4A">
            <w:pPr>
              <w:rPr>
                <w:rFonts w:ascii="Arial" w:hAnsi="Arial" w:cs="Arial"/>
                <w:noProof/>
                <w:color w:val="000000"/>
              </w:rPr>
            </w:pPr>
            <w:r>
              <w:rPr>
                <w:rFonts w:ascii="Arial" w:hAnsi="Arial" w:cs="Arial"/>
                <w:noProof/>
                <w:color w:val="000000"/>
              </w:rPr>
              <w:t> </w:t>
            </w:r>
          </w:p>
        </w:tc>
        <w:tc>
          <w:tcPr>
            <w:tcW w:w="1758" w:type="dxa"/>
            <w:tcBorders>
              <w:top w:val="nil"/>
              <w:left w:val="nil"/>
              <w:bottom w:val="nil"/>
              <w:right w:val="nil"/>
            </w:tcBorders>
            <w:shd w:val="clear" w:color="FFFFFF" w:fill="FFFFFF"/>
            <w:noWrap/>
            <w:vAlign w:val="center"/>
            <w:hideMark/>
          </w:tcPr>
          <w:p w14:paraId="0964FA20" w14:textId="77777777" w:rsidR="00FD1E19" w:rsidRDefault="00FD1E19" w:rsidP="00BE7E4A">
            <w:pPr>
              <w:rPr>
                <w:rFonts w:ascii="Arial" w:hAnsi="Arial" w:cs="Arial"/>
                <w:noProof/>
                <w:color w:val="000000"/>
              </w:rPr>
            </w:pPr>
            <w:r>
              <w:rPr>
                <w:rFonts w:ascii="Arial" w:hAnsi="Arial" w:cs="Arial"/>
                <w:noProof/>
                <w:color w:val="000000"/>
              </w:rPr>
              <w:t> </w:t>
            </w:r>
          </w:p>
        </w:tc>
        <w:tc>
          <w:tcPr>
            <w:tcW w:w="1425" w:type="dxa"/>
            <w:tcBorders>
              <w:top w:val="nil"/>
              <w:left w:val="nil"/>
              <w:bottom w:val="nil"/>
              <w:right w:val="nil"/>
            </w:tcBorders>
            <w:shd w:val="clear" w:color="FFFFFF" w:fill="FFFFFF"/>
            <w:noWrap/>
            <w:vAlign w:val="center"/>
            <w:hideMark/>
          </w:tcPr>
          <w:p w14:paraId="01DC48B7" w14:textId="77777777" w:rsidR="00FD1E19" w:rsidRDefault="00FD1E19" w:rsidP="00BE7E4A">
            <w:pPr>
              <w:rPr>
                <w:rFonts w:ascii="Arial" w:hAnsi="Arial" w:cs="Arial"/>
                <w:noProof/>
                <w:color w:val="000000"/>
              </w:rPr>
            </w:pPr>
            <w:r>
              <w:rPr>
                <w:rFonts w:ascii="Arial" w:hAnsi="Arial" w:cs="Arial"/>
                <w:noProof/>
                <w:color w:val="000000"/>
              </w:rPr>
              <w:t> </w:t>
            </w:r>
          </w:p>
        </w:tc>
        <w:tc>
          <w:tcPr>
            <w:tcW w:w="419" w:type="dxa"/>
            <w:tcBorders>
              <w:top w:val="nil"/>
              <w:left w:val="nil"/>
              <w:bottom w:val="nil"/>
              <w:right w:val="nil"/>
            </w:tcBorders>
            <w:shd w:val="clear" w:color="FFFFFF" w:fill="FFFFFF"/>
            <w:noWrap/>
            <w:vAlign w:val="center"/>
            <w:hideMark/>
          </w:tcPr>
          <w:p w14:paraId="7ADE3299" w14:textId="77777777" w:rsidR="00FD1E19" w:rsidRDefault="00FD1E19" w:rsidP="00BE7E4A">
            <w:pPr>
              <w:rPr>
                <w:rFonts w:ascii="Arial" w:hAnsi="Arial" w:cs="Arial"/>
                <w:noProof/>
                <w:color w:val="000000"/>
              </w:rPr>
            </w:pPr>
            <w:r>
              <w:rPr>
                <w:rFonts w:ascii="Arial" w:hAnsi="Arial" w:cs="Arial"/>
                <w:noProof/>
                <w:color w:val="000000"/>
              </w:rPr>
              <w:t> </w:t>
            </w:r>
          </w:p>
        </w:tc>
        <w:tc>
          <w:tcPr>
            <w:tcW w:w="1452" w:type="dxa"/>
            <w:tcBorders>
              <w:top w:val="nil"/>
              <w:left w:val="nil"/>
              <w:bottom w:val="nil"/>
              <w:right w:val="single" w:sz="4" w:space="0" w:color="auto"/>
            </w:tcBorders>
            <w:shd w:val="clear" w:color="FFFFFF" w:fill="FFFFFF"/>
            <w:noWrap/>
            <w:vAlign w:val="center"/>
            <w:hideMark/>
          </w:tcPr>
          <w:p w14:paraId="39481889" w14:textId="77777777" w:rsidR="00FD1E19" w:rsidRDefault="00FD1E19" w:rsidP="00BE7E4A">
            <w:pPr>
              <w:rPr>
                <w:rFonts w:ascii="Arial" w:hAnsi="Arial" w:cs="Arial"/>
                <w:noProof/>
                <w:color w:val="000000"/>
              </w:rPr>
            </w:pPr>
            <w:r>
              <w:rPr>
                <w:rFonts w:ascii="Arial" w:hAnsi="Arial" w:cs="Arial"/>
                <w:noProof/>
                <w:color w:val="000000"/>
              </w:rPr>
              <w:t> </w:t>
            </w:r>
          </w:p>
        </w:tc>
      </w:tr>
      <w:tr w:rsidR="00FD1E19" w14:paraId="2FD1E825" w14:textId="77777777" w:rsidTr="00BE7E4A">
        <w:trPr>
          <w:trHeight w:val="297"/>
        </w:trPr>
        <w:tc>
          <w:tcPr>
            <w:tcW w:w="327" w:type="dxa"/>
            <w:tcBorders>
              <w:top w:val="single" w:sz="4" w:space="0" w:color="000000"/>
              <w:left w:val="single" w:sz="4" w:space="0" w:color="auto"/>
              <w:bottom w:val="single" w:sz="4" w:space="0" w:color="auto"/>
              <w:right w:val="nil"/>
            </w:tcBorders>
            <w:shd w:val="clear" w:color="FFFFFF" w:fill="808080"/>
            <w:noWrap/>
            <w:vAlign w:val="center"/>
            <w:hideMark/>
          </w:tcPr>
          <w:p w14:paraId="072839E6"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3347" w:type="dxa"/>
            <w:tcBorders>
              <w:top w:val="single" w:sz="4" w:space="0" w:color="000000"/>
              <w:left w:val="nil"/>
              <w:bottom w:val="single" w:sz="4" w:space="0" w:color="auto"/>
              <w:right w:val="single" w:sz="4" w:space="0" w:color="000000"/>
            </w:tcBorders>
            <w:shd w:val="clear" w:color="FFFFFF" w:fill="808080"/>
            <w:noWrap/>
            <w:vAlign w:val="bottom"/>
            <w:hideMark/>
          </w:tcPr>
          <w:p w14:paraId="2D41D8FD"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TOTAL 10th EDF</w:t>
            </w:r>
          </w:p>
        </w:tc>
        <w:tc>
          <w:tcPr>
            <w:tcW w:w="1452" w:type="dxa"/>
            <w:tcBorders>
              <w:top w:val="single" w:sz="4" w:space="0" w:color="000000"/>
              <w:left w:val="nil"/>
              <w:bottom w:val="single" w:sz="4" w:space="0" w:color="auto"/>
              <w:right w:val="single" w:sz="4" w:space="0" w:color="000000"/>
            </w:tcBorders>
            <w:shd w:val="clear" w:color="FFFFFF" w:fill="808080"/>
            <w:noWrap/>
            <w:vAlign w:val="bottom"/>
            <w:hideMark/>
          </w:tcPr>
          <w:p w14:paraId="522E30BC"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21.326</w:t>
            </w:r>
          </w:p>
        </w:tc>
        <w:tc>
          <w:tcPr>
            <w:tcW w:w="1758" w:type="dxa"/>
            <w:tcBorders>
              <w:top w:val="single" w:sz="4" w:space="0" w:color="000000"/>
              <w:left w:val="nil"/>
              <w:bottom w:val="single" w:sz="4" w:space="0" w:color="auto"/>
              <w:right w:val="single" w:sz="4" w:space="0" w:color="000000"/>
            </w:tcBorders>
            <w:shd w:val="clear" w:color="FFFFFF" w:fill="808080"/>
            <w:noWrap/>
            <w:vAlign w:val="bottom"/>
            <w:hideMark/>
          </w:tcPr>
          <w:p w14:paraId="5110796F" w14:textId="77777777" w:rsidR="00FD1E19" w:rsidRDefault="00FD1E19" w:rsidP="00BE7E4A">
            <w:pPr>
              <w:jc w:val="right"/>
              <w:rPr>
                <w:rFonts w:ascii="Arial" w:hAnsi="Arial" w:cs="Arial"/>
                <w:b/>
                <w:bCs/>
                <w:noProof/>
                <w:color w:val="FF0000"/>
                <w:sz w:val="16"/>
                <w:szCs w:val="16"/>
              </w:rPr>
            </w:pPr>
            <w:r>
              <w:rPr>
                <w:rFonts w:ascii="Arial" w:hAnsi="Arial" w:cs="Arial"/>
                <w:b/>
                <w:bCs/>
                <w:noProof/>
                <w:color w:val="FF0000"/>
                <w:sz w:val="16"/>
                <w:szCs w:val="16"/>
              </w:rPr>
              <w:t>(272)</w:t>
            </w:r>
          </w:p>
        </w:tc>
        <w:tc>
          <w:tcPr>
            <w:tcW w:w="1425" w:type="dxa"/>
            <w:tcBorders>
              <w:top w:val="single" w:sz="4" w:space="0" w:color="000000"/>
              <w:left w:val="nil"/>
              <w:bottom w:val="single" w:sz="4" w:space="0" w:color="auto"/>
              <w:right w:val="single" w:sz="4" w:space="0" w:color="000000"/>
            </w:tcBorders>
            <w:shd w:val="clear" w:color="FFFFFF" w:fill="808080"/>
            <w:noWrap/>
            <w:vAlign w:val="bottom"/>
            <w:hideMark/>
          </w:tcPr>
          <w:p w14:paraId="000F68B3" w14:textId="77777777" w:rsidR="00FD1E19" w:rsidRDefault="00FD1E19" w:rsidP="00BE7E4A">
            <w:pPr>
              <w:jc w:val="right"/>
              <w:rPr>
                <w:rFonts w:ascii="Arial" w:hAnsi="Arial" w:cs="Arial"/>
                <w:b/>
                <w:bCs/>
                <w:noProof/>
                <w:color w:val="FF0000"/>
                <w:sz w:val="16"/>
                <w:szCs w:val="16"/>
              </w:rPr>
            </w:pPr>
            <w:r>
              <w:rPr>
                <w:rFonts w:ascii="Arial" w:hAnsi="Arial" w:cs="Arial"/>
                <w:b/>
                <w:bCs/>
                <w:noProof/>
                <w:color w:val="FF0000"/>
                <w:sz w:val="16"/>
                <w:szCs w:val="16"/>
              </w:rPr>
              <w:t>(95)</w:t>
            </w:r>
          </w:p>
        </w:tc>
        <w:tc>
          <w:tcPr>
            <w:tcW w:w="419" w:type="dxa"/>
            <w:tcBorders>
              <w:top w:val="single" w:sz="4" w:space="0" w:color="000000"/>
              <w:left w:val="nil"/>
              <w:bottom w:val="single" w:sz="4" w:space="0" w:color="auto"/>
              <w:right w:val="single" w:sz="4" w:space="0" w:color="000000"/>
            </w:tcBorders>
            <w:shd w:val="clear" w:color="FFFFFF" w:fill="808080"/>
            <w:noWrap/>
            <w:vAlign w:val="center"/>
            <w:hideMark/>
          </w:tcPr>
          <w:p w14:paraId="6A30588B" w14:textId="77777777" w:rsidR="00FD1E19" w:rsidRDefault="00FD1E19" w:rsidP="00BE7E4A">
            <w:pPr>
              <w:rPr>
                <w:rFonts w:ascii="Arial" w:hAnsi="Arial" w:cs="Arial"/>
                <w:noProof/>
                <w:color w:val="FFFFFF"/>
                <w:sz w:val="14"/>
                <w:szCs w:val="14"/>
              </w:rPr>
            </w:pPr>
            <w:r>
              <w:rPr>
                <w:rFonts w:ascii="Arial" w:hAnsi="Arial" w:cs="Arial"/>
                <w:noProof/>
                <w:color w:val="FFFFFF"/>
                <w:sz w:val="14"/>
                <w:szCs w:val="14"/>
              </w:rPr>
              <w:t> </w:t>
            </w:r>
          </w:p>
        </w:tc>
        <w:tc>
          <w:tcPr>
            <w:tcW w:w="1452" w:type="dxa"/>
            <w:tcBorders>
              <w:top w:val="single" w:sz="4" w:space="0" w:color="000000"/>
              <w:left w:val="nil"/>
              <w:bottom w:val="single" w:sz="4" w:space="0" w:color="auto"/>
              <w:right w:val="single" w:sz="4" w:space="0" w:color="auto"/>
            </w:tcBorders>
            <w:shd w:val="clear" w:color="FFFFFF" w:fill="808080"/>
            <w:noWrap/>
            <w:vAlign w:val="bottom"/>
            <w:hideMark/>
          </w:tcPr>
          <w:p w14:paraId="5BC1AB35"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20.959</w:t>
            </w:r>
          </w:p>
        </w:tc>
      </w:tr>
    </w:tbl>
    <w:p w14:paraId="22C3AFC1" w14:textId="77777777" w:rsidR="00FD1E19" w:rsidRDefault="00FD1E19" w:rsidP="00FD1E19">
      <w:pPr>
        <w:pStyle w:val="HEADER5"/>
        <w:rPr>
          <w:noProof/>
        </w:rPr>
      </w:pPr>
    </w:p>
    <w:p w14:paraId="483A508F" w14:textId="77777777" w:rsidR="00FD1E19" w:rsidRDefault="00FD1E19" w:rsidP="00FD1E19">
      <w:pPr>
        <w:pStyle w:val="HEADER5"/>
        <w:rPr>
          <w:noProof/>
        </w:rPr>
      </w:pPr>
    </w:p>
    <w:p w14:paraId="003168CD" w14:textId="77777777" w:rsidR="00FD1E19" w:rsidRPr="003F1AF8" w:rsidRDefault="00FD1E19" w:rsidP="00FD1E19">
      <w:pPr>
        <w:pStyle w:val="HEADER5"/>
        <w:rPr>
          <w:noProof/>
        </w:rPr>
      </w:pPr>
    </w:p>
    <w:p w14:paraId="028E34B4" w14:textId="77777777" w:rsidR="00FD1E19" w:rsidRDefault="00FD1E19" w:rsidP="00FD1E19">
      <w:pPr>
        <w:jc w:val="both"/>
        <w:rPr>
          <w:rFonts w:cstheme="minorHAnsi"/>
          <w:noProof/>
          <w:sz w:val="18"/>
          <w:szCs w:val="18"/>
        </w:rPr>
      </w:pPr>
    </w:p>
    <w:p w14:paraId="248881A9" w14:textId="77777777" w:rsidR="00FD1E19" w:rsidRPr="00893412" w:rsidRDefault="00FD1E19" w:rsidP="00FD1E19">
      <w:pPr>
        <w:jc w:val="both"/>
        <w:rPr>
          <w:rFonts w:cstheme="minorHAnsi"/>
          <w:noProof/>
          <w:sz w:val="18"/>
          <w:szCs w:val="18"/>
        </w:rPr>
      </w:pPr>
    </w:p>
    <w:p w14:paraId="23E2EEF3" w14:textId="77777777" w:rsidR="00FD1E19" w:rsidRDefault="00FD1E19" w:rsidP="00FD1E19">
      <w:pPr>
        <w:pStyle w:val="HEADER5"/>
        <w:rPr>
          <w:noProof/>
        </w:rPr>
      </w:pPr>
    </w:p>
    <w:p w14:paraId="53F5AD91" w14:textId="77777777" w:rsidR="00FD1E19" w:rsidRDefault="00FD1E19" w:rsidP="00FD1E19">
      <w:pPr>
        <w:rPr>
          <w:rFonts w:ascii="Verdana" w:hAnsi="Verdana"/>
          <w:b/>
          <w:noProof/>
          <w:color w:val="016794"/>
          <w:sz w:val="18"/>
          <w:szCs w:val="18"/>
        </w:rPr>
      </w:pPr>
      <w:r>
        <w:rPr>
          <w:noProof/>
        </w:rPr>
        <w:br w:type="page"/>
      </w:r>
    </w:p>
    <w:p w14:paraId="1310683C" w14:textId="77777777" w:rsidR="00FD1E19" w:rsidRDefault="00FD1E19" w:rsidP="00FD1E19">
      <w:pPr>
        <w:pStyle w:val="HEADER5"/>
        <w:rPr>
          <w:noProof/>
        </w:rPr>
      </w:pPr>
      <w:r w:rsidRPr="003F1AF8">
        <w:rPr>
          <w:noProof/>
        </w:rPr>
        <w:t>EVOLUTION OF 11</w:t>
      </w:r>
      <w:r w:rsidRPr="003F1AF8">
        <w:rPr>
          <w:noProof/>
          <w:vertAlign w:val="superscript"/>
        </w:rPr>
        <w:t>th</w:t>
      </w:r>
      <w:r w:rsidRPr="003F1AF8">
        <w:rPr>
          <w:noProof/>
        </w:rPr>
        <w:t xml:space="preserve"> EDF APPROPRIATIONS</w:t>
      </w:r>
    </w:p>
    <w:p w14:paraId="777B8BC7" w14:textId="77777777" w:rsidR="00FD1E19" w:rsidRDefault="00FD1E19" w:rsidP="00FD1E19">
      <w:pPr>
        <w:pStyle w:val="HEADER5"/>
        <w:rPr>
          <w:noProof/>
        </w:rPr>
      </w:pPr>
    </w:p>
    <w:tbl>
      <w:tblPr>
        <w:tblW w:w="5000" w:type="pct"/>
        <w:tblLook w:val="04A0" w:firstRow="1" w:lastRow="0" w:firstColumn="1" w:lastColumn="0" w:noHBand="0" w:noVBand="1"/>
      </w:tblPr>
      <w:tblGrid>
        <w:gridCol w:w="505"/>
        <w:gridCol w:w="2905"/>
        <w:gridCol w:w="1345"/>
        <w:gridCol w:w="1903"/>
        <w:gridCol w:w="1255"/>
        <w:gridCol w:w="596"/>
        <w:gridCol w:w="1345"/>
      </w:tblGrid>
      <w:tr w:rsidR="00FD1E19" w14:paraId="0D799DE8" w14:textId="77777777" w:rsidTr="00BE7E4A">
        <w:trPr>
          <w:trHeight w:val="683"/>
        </w:trPr>
        <w:tc>
          <w:tcPr>
            <w:tcW w:w="9629" w:type="dxa"/>
            <w:gridSpan w:val="7"/>
            <w:tcBorders>
              <w:top w:val="single" w:sz="4" w:space="0" w:color="auto"/>
              <w:left w:val="single" w:sz="4" w:space="0" w:color="auto"/>
              <w:bottom w:val="nil"/>
              <w:right w:val="single" w:sz="4" w:space="0" w:color="auto"/>
            </w:tcBorders>
            <w:shd w:val="clear" w:color="FFFFFF" w:fill="FFFFFF"/>
            <w:vAlign w:val="center"/>
            <w:hideMark/>
          </w:tcPr>
          <w:p w14:paraId="59AE4428"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11th EDF</w:t>
            </w:r>
            <w:r>
              <w:rPr>
                <w:rFonts w:ascii="Arial" w:hAnsi="Arial" w:cs="Arial"/>
                <w:b/>
                <w:bCs/>
                <w:noProof/>
                <w:color w:val="000000"/>
                <w:sz w:val="14"/>
                <w:szCs w:val="14"/>
              </w:rPr>
              <w:br/>
              <w:t>EVOLUTION OF APPROPRIATIONS:  31 December 2025</w:t>
            </w:r>
            <w:r>
              <w:rPr>
                <w:rFonts w:ascii="Arial" w:hAnsi="Arial" w:cs="Arial"/>
                <w:b/>
                <w:bCs/>
                <w:noProof/>
                <w:color w:val="000000"/>
                <w:sz w:val="14"/>
                <w:szCs w:val="14"/>
              </w:rPr>
              <w:br/>
              <w:t>ANALYSIS OF CREDITS PER INSTRUMENT</w:t>
            </w:r>
          </w:p>
        </w:tc>
      </w:tr>
      <w:tr w:rsidR="00FD1E19" w14:paraId="7A0E1234" w14:textId="77777777" w:rsidTr="00BE7E4A">
        <w:trPr>
          <w:trHeight w:val="180"/>
        </w:trPr>
        <w:tc>
          <w:tcPr>
            <w:tcW w:w="3447" w:type="dxa"/>
            <w:gridSpan w:val="2"/>
            <w:tcBorders>
              <w:top w:val="nil"/>
              <w:left w:val="single" w:sz="4" w:space="0" w:color="auto"/>
              <w:bottom w:val="nil"/>
              <w:right w:val="nil"/>
            </w:tcBorders>
            <w:shd w:val="clear" w:color="FFFFFF" w:fill="FFFFFF"/>
            <w:noWrap/>
            <w:vAlign w:val="center"/>
            <w:hideMark/>
          </w:tcPr>
          <w:p w14:paraId="0DAB8BED"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304" w:type="dxa"/>
            <w:tcBorders>
              <w:top w:val="nil"/>
              <w:left w:val="nil"/>
              <w:bottom w:val="nil"/>
              <w:right w:val="nil"/>
            </w:tcBorders>
            <w:shd w:val="clear" w:color="FFFFFF" w:fill="FFFFFF"/>
            <w:noWrap/>
            <w:vAlign w:val="center"/>
            <w:hideMark/>
          </w:tcPr>
          <w:p w14:paraId="0923B0E2"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736" w:type="dxa"/>
            <w:tcBorders>
              <w:top w:val="nil"/>
              <w:left w:val="nil"/>
              <w:bottom w:val="nil"/>
              <w:right w:val="nil"/>
            </w:tcBorders>
            <w:shd w:val="clear" w:color="FFFFFF" w:fill="FFFFFF"/>
            <w:noWrap/>
            <w:vAlign w:val="center"/>
            <w:hideMark/>
          </w:tcPr>
          <w:p w14:paraId="394580E7"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280" w:type="dxa"/>
            <w:tcBorders>
              <w:top w:val="nil"/>
              <w:left w:val="nil"/>
              <w:bottom w:val="nil"/>
              <w:right w:val="nil"/>
            </w:tcBorders>
            <w:shd w:val="clear" w:color="FFFFFF" w:fill="FFFFFF"/>
            <w:noWrap/>
            <w:vAlign w:val="center"/>
            <w:hideMark/>
          </w:tcPr>
          <w:p w14:paraId="3A6EFD9A"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558" w:type="dxa"/>
            <w:tcBorders>
              <w:top w:val="nil"/>
              <w:left w:val="nil"/>
              <w:bottom w:val="nil"/>
              <w:right w:val="nil"/>
            </w:tcBorders>
            <w:shd w:val="clear" w:color="FFFFFF" w:fill="FFFFFF"/>
            <w:noWrap/>
            <w:vAlign w:val="center"/>
            <w:hideMark/>
          </w:tcPr>
          <w:p w14:paraId="4F03D50F"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 </w:t>
            </w:r>
          </w:p>
        </w:tc>
        <w:tc>
          <w:tcPr>
            <w:tcW w:w="1304" w:type="dxa"/>
            <w:tcBorders>
              <w:top w:val="nil"/>
              <w:left w:val="nil"/>
              <w:bottom w:val="nil"/>
              <w:right w:val="single" w:sz="4" w:space="0" w:color="auto"/>
            </w:tcBorders>
            <w:shd w:val="clear" w:color="FFFFFF" w:fill="FFFFFF"/>
            <w:noWrap/>
            <w:vAlign w:val="center"/>
            <w:hideMark/>
          </w:tcPr>
          <w:p w14:paraId="611191AA" w14:textId="77777777" w:rsidR="00FD1E19" w:rsidRDefault="00FD1E19" w:rsidP="00BE7E4A">
            <w:pPr>
              <w:jc w:val="right"/>
              <w:rPr>
                <w:rFonts w:ascii="Arial" w:hAnsi="Arial" w:cs="Arial"/>
                <w:noProof/>
                <w:color w:val="000000"/>
                <w:sz w:val="14"/>
                <w:szCs w:val="14"/>
              </w:rPr>
            </w:pPr>
            <w:r>
              <w:rPr>
                <w:rFonts w:ascii="Arial" w:hAnsi="Arial" w:cs="Arial"/>
                <w:noProof/>
                <w:color w:val="000000"/>
                <w:sz w:val="14"/>
                <w:szCs w:val="14"/>
              </w:rPr>
              <w:t>(EUR million)</w:t>
            </w:r>
          </w:p>
        </w:tc>
      </w:tr>
      <w:tr w:rsidR="00FD1E19" w14:paraId="2C8F70CB" w14:textId="77777777" w:rsidTr="00BE7E4A">
        <w:trPr>
          <w:trHeight w:val="990"/>
        </w:trPr>
        <w:tc>
          <w:tcPr>
            <w:tcW w:w="3447" w:type="dxa"/>
            <w:gridSpan w:val="2"/>
            <w:tcBorders>
              <w:top w:val="single" w:sz="4" w:space="0" w:color="000000"/>
              <w:left w:val="single" w:sz="4" w:space="0" w:color="auto"/>
              <w:bottom w:val="single" w:sz="4" w:space="0" w:color="000000"/>
              <w:right w:val="single" w:sz="4" w:space="0" w:color="000000"/>
            </w:tcBorders>
            <w:shd w:val="clear" w:color="FFFFFF" w:fill="FFFFFF"/>
            <w:vAlign w:val="center"/>
            <w:hideMark/>
          </w:tcPr>
          <w:p w14:paraId="08DD40DE"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INSTRUMENT</w:t>
            </w:r>
          </w:p>
        </w:tc>
        <w:tc>
          <w:tcPr>
            <w:tcW w:w="1304" w:type="dxa"/>
            <w:tcBorders>
              <w:top w:val="single" w:sz="4" w:space="0" w:color="000000"/>
              <w:left w:val="nil"/>
              <w:bottom w:val="single" w:sz="4" w:space="0" w:color="000000"/>
              <w:right w:val="single" w:sz="4" w:space="0" w:color="000000"/>
            </w:tcBorders>
            <w:shd w:val="clear" w:color="FFFFFF" w:fill="FFFFFF"/>
            <w:vAlign w:val="center"/>
            <w:hideMark/>
          </w:tcPr>
          <w:p w14:paraId="2B0E2E63"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INITIAL APPROPRIATION</w:t>
            </w:r>
          </w:p>
        </w:tc>
        <w:tc>
          <w:tcPr>
            <w:tcW w:w="1736" w:type="dxa"/>
            <w:tcBorders>
              <w:top w:val="single" w:sz="4" w:space="0" w:color="000000"/>
              <w:left w:val="nil"/>
              <w:bottom w:val="single" w:sz="4" w:space="0" w:color="000000"/>
              <w:right w:val="single" w:sz="4" w:space="0" w:color="000000"/>
            </w:tcBorders>
            <w:shd w:val="clear" w:color="FFFFFF" w:fill="FFFFFF"/>
            <w:vAlign w:val="center"/>
            <w:hideMark/>
          </w:tcPr>
          <w:p w14:paraId="5A16461C"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INCREASES/DECREASES IN CUMULATIVE  RESOURCES AT 31 DECEMBER 2024</w:t>
            </w:r>
          </w:p>
        </w:tc>
        <w:tc>
          <w:tcPr>
            <w:tcW w:w="1280" w:type="dxa"/>
            <w:tcBorders>
              <w:top w:val="single" w:sz="4" w:space="0" w:color="000000"/>
              <w:left w:val="nil"/>
              <w:bottom w:val="single" w:sz="4" w:space="0" w:color="000000"/>
              <w:right w:val="single" w:sz="4" w:space="0" w:color="000000"/>
            </w:tcBorders>
            <w:shd w:val="clear" w:color="FFFFFF" w:fill="FFFFFF"/>
            <w:vAlign w:val="center"/>
            <w:hideMark/>
          </w:tcPr>
          <w:p w14:paraId="238C7837"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INCREASE OR DECREASE IN RESOURCES IN 2025</w:t>
            </w:r>
          </w:p>
        </w:tc>
        <w:tc>
          <w:tcPr>
            <w:tcW w:w="558" w:type="dxa"/>
            <w:tcBorders>
              <w:top w:val="single" w:sz="4" w:space="0" w:color="000000"/>
              <w:left w:val="nil"/>
              <w:bottom w:val="single" w:sz="4" w:space="0" w:color="000000"/>
              <w:right w:val="single" w:sz="4" w:space="0" w:color="000000"/>
            </w:tcBorders>
            <w:shd w:val="clear" w:color="FFFFFF" w:fill="FFFFFF"/>
            <w:noWrap/>
            <w:vAlign w:val="center"/>
            <w:hideMark/>
          </w:tcPr>
          <w:p w14:paraId="5EEC99DD"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Notes</w:t>
            </w:r>
          </w:p>
        </w:tc>
        <w:tc>
          <w:tcPr>
            <w:tcW w:w="1304" w:type="dxa"/>
            <w:tcBorders>
              <w:top w:val="single" w:sz="4" w:space="0" w:color="000000"/>
              <w:left w:val="nil"/>
              <w:bottom w:val="single" w:sz="4" w:space="0" w:color="000000"/>
              <w:right w:val="single" w:sz="4" w:space="0" w:color="auto"/>
            </w:tcBorders>
            <w:shd w:val="clear" w:color="FFFFFF" w:fill="FFFFFF"/>
            <w:vAlign w:val="center"/>
            <w:hideMark/>
          </w:tcPr>
          <w:p w14:paraId="35D7A2DB"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CURRENT LEVEL APPROPRIATION</w:t>
            </w:r>
          </w:p>
        </w:tc>
      </w:tr>
      <w:tr w:rsidR="00FD1E19" w14:paraId="1B86DF2C" w14:textId="77777777" w:rsidTr="00BE7E4A">
        <w:trPr>
          <w:trHeight w:val="297"/>
        </w:trPr>
        <w:tc>
          <w:tcPr>
            <w:tcW w:w="476" w:type="dxa"/>
            <w:tcBorders>
              <w:top w:val="nil"/>
              <w:left w:val="single" w:sz="4" w:space="0" w:color="auto"/>
              <w:bottom w:val="nil"/>
              <w:right w:val="single" w:sz="4" w:space="0" w:color="000000"/>
            </w:tcBorders>
            <w:shd w:val="clear" w:color="FFFFFF" w:fill="FFFFFF"/>
            <w:noWrap/>
            <w:vAlign w:val="bottom"/>
            <w:hideMark/>
          </w:tcPr>
          <w:p w14:paraId="15E6EF4B"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2971" w:type="dxa"/>
            <w:tcBorders>
              <w:top w:val="nil"/>
              <w:left w:val="nil"/>
              <w:bottom w:val="single" w:sz="4" w:space="0" w:color="000000"/>
              <w:right w:val="single" w:sz="4" w:space="0" w:color="000000"/>
            </w:tcBorders>
            <w:shd w:val="clear" w:color="FFFFFF" w:fill="FFFFFF"/>
            <w:noWrap/>
            <w:vAlign w:val="bottom"/>
            <w:hideMark/>
          </w:tcPr>
          <w:p w14:paraId="5776D807"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Co-financing</w:t>
            </w:r>
          </w:p>
        </w:tc>
        <w:tc>
          <w:tcPr>
            <w:tcW w:w="1304" w:type="dxa"/>
            <w:tcBorders>
              <w:top w:val="nil"/>
              <w:left w:val="nil"/>
              <w:bottom w:val="single" w:sz="4" w:space="0" w:color="000000"/>
              <w:right w:val="single" w:sz="4" w:space="0" w:color="000000"/>
            </w:tcBorders>
            <w:shd w:val="clear" w:color="FFFFFF" w:fill="FFFFFF"/>
            <w:noWrap/>
            <w:vAlign w:val="bottom"/>
            <w:hideMark/>
          </w:tcPr>
          <w:p w14:paraId="054A5ED6"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14:paraId="1124E680"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91</w:t>
            </w:r>
          </w:p>
        </w:tc>
        <w:tc>
          <w:tcPr>
            <w:tcW w:w="1280" w:type="dxa"/>
            <w:tcBorders>
              <w:top w:val="nil"/>
              <w:left w:val="nil"/>
              <w:bottom w:val="single" w:sz="4" w:space="0" w:color="000000"/>
              <w:right w:val="single" w:sz="4" w:space="0" w:color="000000"/>
            </w:tcBorders>
            <w:shd w:val="clear" w:color="FFFFFF" w:fill="FFFFFF"/>
            <w:noWrap/>
            <w:vAlign w:val="bottom"/>
            <w:hideMark/>
          </w:tcPr>
          <w:p w14:paraId="4FAB7D2A"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14:paraId="00ED84BC"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14:paraId="3309D6EC"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91</w:t>
            </w:r>
          </w:p>
        </w:tc>
      </w:tr>
      <w:tr w:rsidR="00FD1E19" w14:paraId="1AF073B5" w14:textId="77777777" w:rsidTr="00BE7E4A">
        <w:trPr>
          <w:trHeight w:val="297"/>
        </w:trPr>
        <w:tc>
          <w:tcPr>
            <w:tcW w:w="476" w:type="dxa"/>
            <w:vMerge w:val="restart"/>
            <w:tcBorders>
              <w:top w:val="nil"/>
              <w:left w:val="single" w:sz="4" w:space="0" w:color="auto"/>
              <w:bottom w:val="nil"/>
              <w:right w:val="single" w:sz="4" w:space="0" w:color="000000"/>
            </w:tcBorders>
            <w:shd w:val="clear" w:color="FFFFFF" w:fill="FFFFFF"/>
            <w:vAlign w:val="center"/>
            <w:hideMark/>
          </w:tcPr>
          <w:p w14:paraId="202C6C3F"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ACP</w:t>
            </w:r>
          </w:p>
        </w:tc>
        <w:tc>
          <w:tcPr>
            <w:tcW w:w="2971" w:type="dxa"/>
            <w:tcBorders>
              <w:top w:val="nil"/>
              <w:left w:val="nil"/>
              <w:bottom w:val="single" w:sz="4" w:space="0" w:color="000000"/>
              <w:right w:val="single" w:sz="4" w:space="0" w:color="000000"/>
            </w:tcBorders>
            <w:shd w:val="clear" w:color="FFFFFF" w:fill="FFFFFF"/>
            <w:noWrap/>
            <w:vAlign w:val="bottom"/>
            <w:hideMark/>
          </w:tcPr>
          <w:p w14:paraId="63417321"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EC Internal SLA</w:t>
            </w:r>
          </w:p>
        </w:tc>
        <w:tc>
          <w:tcPr>
            <w:tcW w:w="1304" w:type="dxa"/>
            <w:tcBorders>
              <w:top w:val="nil"/>
              <w:left w:val="nil"/>
              <w:bottom w:val="single" w:sz="4" w:space="0" w:color="000000"/>
              <w:right w:val="single" w:sz="4" w:space="0" w:color="000000"/>
            </w:tcBorders>
            <w:shd w:val="clear" w:color="FFFFFF" w:fill="FFFFFF"/>
            <w:noWrap/>
            <w:vAlign w:val="bottom"/>
            <w:hideMark/>
          </w:tcPr>
          <w:p w14:paraId="60EAB10F"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14:paraId="26977C8B"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1</w:t>
            </w:r>
          </w:p>
        </w:tc>
        <w:tc>
          <w:tcPr>
            <w:tcW w:w="1280" w:type="dxa"/>
            <w:tcBorders>
              <w:top w:val="nil"/>
              <w:left w:val="nil"/>
              <w:bottom w:val="single" w:sz="4" w:space="0" w:color="000000"/>
              <w:right w:val="single" w:sz="4" w:space="0" w:color="000000"/>
            </w:tcBorders>
            <w:shd w:val="clear" w:color="FFFFFF" w:fill="FFFFFF"/>
            <w:noWrap/>
            <w:vAlign w:val="bottom"/>
            <w:hideMark/>
          </w:tcPr>
          <w:p w14:paraId="1C91B026"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14:paraId="1C1F5881"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14:paraId="79931744"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1</w:t>
            </w:r>
          </w:p>
        </w:tc>
      </w:tr>
      <w:tr w:rsidR="00FD1E19" w14:paraId="53D090A2" w14:textId="77777777" w:rsidTr="00BE7E4A">
        <w:trPr>
          <w:trHeight w:val="297"/>
        </w:trPr>
        <w:tc>
          <w:tcPr>
            <w:tcW w:w="476" w:type="dxa"/>
            <w:vMerge/>
            <w:tcBorders>
              <w:top w:val="nil"/>
              <w:left w:val="single" w:sz="4" w:space="0" w:color="auto"/>
              <w:bottom w:val="nil"/>
              <w:right w:val="single" w:sz="4" w:space="0" w:color="000000"/>
            </w:tcBorders>
            <w:vAlign w:val="center"/>
            <w:hideMark/>
          </w:tcPr>
          <w:p w14:paraId="15939EBA" w14:textId="77777777" w:rsidR="00FD1E19" w:rsidRDefault="00FD1E19" w:rsidP="00BE7E4A">
            <w:pPr>
              <w:rPr>
                <w:rFonts w:ascii="Arial" w:hAnsi="Arial" w:cs="Arial"/>
                <w:noProof/>
                <w:color w:val="000000"/>
                <w:sz w:val="14"/>
                <w:szCs w:val="14"/>
              </w:rPr>
            </w:pPr>
          </w:p>
        </w:tc>
        <w:tc>
          <w:tcPr>
            <w:tcW w:w="2971" w:type="dxa"/>
            <w:tcBorders>
              <w:top w:val="nil"/>
              <w:left w:val="nil"/>
              <w:bottom w:val="single" w:sz="4" w:space="0" w:color="000000"/>
              <w:right w:val="single" w:sz="4" w:space="0" w:color="000000"/>
            </w:tcBorders>
            <w:shd w:val="clear" w:color="FFFFFF" w:fill="FFFFFF"/>
            <w:noWrap/>
            <w:vAlign w:val="bottom"/>
            <w:hideMark/>
          </w:tcPr>
          <w:p w14:paraId="5B3D1358"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Regular MS Contributions</w:t>
            </w:r>
          </w:p>
        </w:tc>
        <w:tc>
          <w:tcPr>
            <w:tcW w:w="1304" w:type="dxa"/>
            <w:tcBorders>
              <w:top w:val="nil"/>
              <w:left w:val="nil"/>
              <w:bottom w:val="single" w:sz="4" w:space="0" w:color="000000"/>
              <w:right w:val="single" w:sz="4" w:space="0" w:color="000000"/>
            </w:tcBorders>
            <w:shd w:val="clear" w:color="FFFFFF" w:fill="FFFFFF"/>
            <w:noWrap/>
            <w:vAlign w:val="bottom"/>
            <w:hideMark/>
          </w:tcPr>
          <w:p w14:paraId="511C05A3"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30.060</w:t>
            </w:r>
          </w:p>
        </w:tc>
        <w:tc>
          <w:tcPr>
            <w:tcW w:w="1736" w:type="dxa"/>
            <w:tcBorders>
              <w:top w:val="nil"/>
              <w:left w:val="nil"/>
              <w:bottom w:val="single" w:sz="4" w:space="0" w:color="000000"/>
              <w:right w:val="single" w:sz="4" w:space="0" w:color="000000"/>
            </w:tcBorders>
            <w:shd w:val="clear" w:color="FFFFFF" w:fill="FFFFFF"/>
            <w:noWrap/>
            <w:vAlign w:val="bottom"/>
            <w:hideMark/>
          </w:tcPr>
          <w:p w14:paraId="3B1122EB" w14:textId="77777777" w:rsidR="00FD1E19" w:rsidRDefault="00FD1E19" w:rsidP="00BE7E4A">
            <w:pPr>
              <w:jc w:val="right"/>
              <w:rPr>
                <w:rFonts w:ascii="Arial" w:hAnsi="Arial" w:cs="Arial"/>
                <w:b/>
                <w:bCs/>
                <w:i/>
                <w:iCs/>
                <w:noProof/>
                <w:color w:val="FF0000"/>
                <w:sz w:val="14"/>
                <w:szCs w:val="14"/>
              </w:rPr>
            </w:pPr>
            <w:r>
              <w:rPr>
                <w:rFonts w:ascii="Arial" w:hAnsi="Arial" w:cs="Arial"/>
                <w:b/>
                <w:bCs/>
                <w:i/>
                <w:iCs/>
                <w:noProof/>
                <w:color w:val="FF0000"/>
                <w:sz w:val="14"/>
                <w:szCs w:val="14"/>
              </w:rPr>
              <w:t>(855)</w:t>
            </w:r>
          </w:p>
        </w:tc>
        <w:tc>
          <w:tcPr>
            <w:tcW w:w="1280" w:type="dxa"/>
            <w:tcBorders>
              <w:top w:val="nil"/>
              <w:left w:val="nil"/>
              <w:bottom w:val="single" w:sz="4" w:space="0" w:color="000000"/>
              <w:right w:val="single" w:sz="4" w:space="0" w:color="000000"/>
            </w:tcBorders>
            <w:shd w:val="clear" w:color="FFFFFF" w:fill="FFFFFF"/>
            <w:noWrap/>
            <w:vAlign w:val="bottom"/>
            <w:hideMark/>
          </w:tcPr>
          <w:p w14:paraId="1B757002"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74</w:t>
            </w:r>
          </w:p>
        </w:tc>
        <w:tc>
          <w:tcPr>
            <w:tcW w:w="558" w:type="dxa"/>
            <w:tcBorders>
              <w:top w:val="nil"/>
              <w:left w:val="nil"/>
              <w:bottom w:val="single" w:sz="4" w:space="0" w:color="000000"/>
              <w:right w:val="single" w:sz="4" w:space="0" w:color="000000"/>
            </w:tcBorders>
            <w:shd w:val="clear" w:color="FFFFFF" w:fill="FFFFFF"/>
            <w:noWrap/>
            <w:vAlign w:val="bottom"/>
            <w:hideMark/>
          </w:tcPr>
          <w:p w14:paraId="0356C004"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14:paraId="32111147"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29.279</w:t>
            </w:r>
          </w:p>
        </w:tc>
      </w:tr>
      <w:tr w:rsidR="00FD1E19" w14:paraId="11878EBF" w14:textId="77777777" w:rsidTr="00BE7E4A">
        <w:trPr>
          <w:trHeight w:val="297"/>
        </w:trPr>
        <w:tc>
          <w:tcPr>
            <w:tcW w:w="476" w:type="dxa"/>
            <w:tcBorders>
              <w:top w:val="nil"/>
              <w:left w:val="single" w:sz="4" w:space="0" w:color="auto"/>
              <w:bottom w:val="single" w:sz="4" w:space="0" w:color="000000"/>
              <w:right w:val="single" w:sz="4" w:space="0" w:color="000000"/>
            </w:tcBorders>
            <w:shd w:val="clear" w:color="FFFFFF" w:fill="FFFFFF"/>
            <w:noWrap/>
            <w:vAlign w:val="center"/>
            <w:hideMark/>
          </w:tcPr>
          <w:p w14:paraId="03496767" w14:textId="77777777" w:rsidR="00FD1E19" w:rsidRDefault="00FD1E19" w:rsidP="00BE7E4A">
            <w:pPr>
              <w:rPr>
                <w:rFonts w:ascii="Arial" w:hAnsi="Arial" w:cs="Arial"/>
                <w:noProof/>
                <w:color w:val="000000"/>
              </w:rPr>
            </w:pPr>
            <w:r>
              <w:rPr>
                <w:rFonts w:ascii="Arial" w:hAnsi="Arial" w:cs="Arial"/>
                <w:noProof/>
                <w:color w:val="000000"/>
              </w:rPr>
              <w:t> </w:t>
            </w:r>
          </w:p>
        </w:tc>
        <w:tc>
          <w:tcPr>
            <w:tcW w:w="2971" w:type="dxa"/>
            <w:tcBorders>
              <w:top w:val="nil"/>
              <w:left w:val="nil"/>
              <w:bottom w:val="single" w:sz="4" w:space="0" w:color="000000"/>
              <w:right w:val="single" w:sz="4" w:space="0" w:color="000000"/>
            </w:tcBorders>
            <w:shd w:val="clear" w:color="FFFFFF" w:fill="999999"/>
            <w:noWrap/>
            <w:vAlign w:val="bottom"/>
            <w:hideMark/>
          </w:tcPr>
          <w:p w14:paraId="32109803"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SUB TOTAL ACP</w:t>
            </w:r>
          </w:p>
        </w:tc>
        <w:tc>
          <w:tcPr>
            <w:tcW w:w="1304" w:type="dxa"/>
            <w:tcBorders>
              <w:top w:val="nil"/>
              <w:left w:val="nil"/>
              <w:bottom w:val="single" w:sz="4" w:space="0" w:color="000000"/>
              <w:right w:val="single" w:sz="4" w:space="0" w:color="000000"/>
            </w:tcBorders>
            <w:shd w:val="clear" w:color="FFFFFF" w:fill="999999"/>
            <w:noWrap/>
            <w:vAlign w:val="bottom"/>
            <w:hideMark/>
          </w:tcPr>
          <w:p w14:paraId="41A46A68"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30.060</w:t>
            </w:r>
          </w:p>
        </w:tc>
        <w:tc>
          <w:tcPr>
            <w:tcW w:w="1736" w:type="dxa"/>
            <w:tcBorders>
              <w:top w:val="nil"/>
              <w:left w:val="nil"/>
              <w:bottom w:val="single" w:sz="4" w:space="0" w:color="000000"/>
              <w:right w:val="single" w:sz="4" w:space="0" w:color="000000"/>
            </w:tcBorders>
            <w:shd w:val="clear" w:color="FFFFFF" w:fill="999999"/>
            <w:noWrap/>
            <w:vAlign w:val="bottom"/>
            <w:hideMark/>
          </w:tcPr>
          <w:p w14:paraId="5B92F4EA" w14:textId="77777777" w:rsidR="00FD1E19" w:rsidRDefault="00FD1E19" w:rsidP="00BE7E4A">
            <w:pPr>
              <w:jc w:val="right"/>
              <w:rPr>
                <w:rFonts w:ascii="Arial" w:hAnsi="Arial" w:cs="Arial"/>
                <w:b/>
                <w:bCs/>
                <w:noProof/>
                <w:color w:val="FF0000"/>
                <w:sz w:val="16"/>
                <w:szCs w:val="16"/>
              </w:rPr>
            </w:pPr>
            <w:r>
              <w:rPr>
                <w:rFonts w:ascii="Arial" w:hAnsi="Arial" w:cs="Arial"/>
                <w:b/>
                <w:bCs/>
                <w:noProof/>
                <w:color w:val="FF0000"/>
                <w:sz w:val="16"/>
                <w:szCs w:val="16"/>
              </w:rPr>
              <w:t>(763)</w:t>
            </w:r>
          </w:p>
        </w:tc>
        <w:tc>
          <w:tcPr>
            <w:tcW w:w="1280" w:type="dxa"/>
            <w:tcBorders>
              <w:top w:val="nil"/>
              <w:left w:val="nil"/>
              <w:bottom w:val="single" w:sz="4" w:space="0" w:color="000000"/>
              <w:right w:val="single" w:sz="4" w:space="0" w:color="000000"/>
            </w:tcBorders>
            <w:shd w:val="clear" w:color="FFFFFF" w:fill="999999"/>
            <w:noWrap/>
            <w:vAlign w:val="bottom"/>
            <w:hideMark/>
          </w:tcPr>
          <w:p w14:paraId="2FCAACBF"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 </w:t>
            </w:r>
          </w:p>
        </w:tc>
        <w:tc>
          <w:tcPr>
            <w:tcW w:w="558" w:type="dxa"/>
            <w:tcBorders>
              <w:top w:val="nil"/>
              <w:left w:val="nil"/>
              <w:bottom w:val="single" w:sz="4" w:space="0" w:color="000000"/>
              <w:right w:val="single" w:sz="4" w:space="0" w:color="000000"/>
            </w:tcBorders>
            <w:shd w:val="clear" w:color="FFFFFF" w:fill="999999"/>
            <w:noWrap/>
            <w:vAlign w:val="center"/>
            <w:hideMark/>
          </w:tcPr>
          <w:p w14:paraId="0D51D8E8"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 </w:t>
            </w:r>
          </w:p>
        </w:tc>
        <w:tc>
          <w:tcPr>
            <w:tcW w:w="1304" w:type="dxa"/>
            <w:tcBorders>
              <w:top w:val="nil"/>
              <w:left w:val="nil"/>
              <w:bottom w:val="single" w:sz="4" w:space="0" w:color="000000"/>
              <w:right w:val="single" w:sz="4" w:space="0" w:color="auto"/>
            </w:tcBorders>
            <w:shd w:val="clear" w:color="FFFFFF" w:fill="999999"/>
            <w:noWrap/>
            <w:vAlign w:val="bottom"/>
            <w:hideMark/>
          </w:tcPr>
          <w:p w14:paraId="17FAF4A1"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29.372</w:t>
            </w:r>
          </w:p>
        </w:tc>
      </w:tr>
      <w:tr w:rsidR="00FD1E19" w14:paraId="2A325516" w14:textId="77777777" w:rsidTr="00BE7E4A">
        <w:trPr>
          <w:trHeight w:val="150"/>
        </w:trPr>
        <w:tc>
          <w:tcPr>
            <w:tcW w:w="476" w:type="dxa"/>
            <w:tcBorders>
              <w:top w:val="nil"/>
              <w:left w:val="single" w:sz="4" w:space="0" w:color="auto"/>
              <w:bottom w:val="nil"/>
              <w:right w:val="nil"/>
            </w:tcBorders>
            <w:shd w:val="clear" w:color="FFFFFF" w:fill="FFFFFF"/>
            <w:noWrap/>
            <w:vAlign w:val="center"/>
            <w:hideMark/>
          </w:tcPr>
          <w:p w14:paraId="187BE917" w14:textId="77777777" w:rsidR="00FD1E19" w:rsidRDefault="00FD1E19" w:rsidP="00BE7E4A">
            <w:pPr>
              <w:rPr>
                <w:rFonts w:ascii="Arial" w:hAnsi="Arial" w:cs="Arial"/>
                <w:noProof/>
                <w:color w:val="000000"/>
              </w:rPr>
            </w:pPr>
            <w:r>
              <w:rPr>
                <w:rFonts w:ascii="Arial" w:hAnsi="Arial" w:cs="Arial"/>
                <w:noProof/>
                <w:color w:val="000000"/>
              </w:rPr>
              <w:t> </w:t>
            </w:r>
          </w:p>
        </w:tc>
        <w:tc>
          <w:tcPr>
            <w:tcW w:w="2971" w:type="dxa"/>
            <w:tcBorders>
              <w:top w:val="nil"/>
              <w:left w:val="nil"/>
              <w:bottom w:val="nil"/>
              <w:right w:val="nil"/>
            </w:tcBorders>
            <w:shd w:val="clear" w:color="FFFFFF" w:fill="FFFFFF"/>
            <w:noWrap/>
            <w:vAlign w:val="center"/>
            <w:hideMark/>
          </w:tcPr>
          <w:p w14:paraId="64A9D791" w14:textId="77777777" w:rsidR="00FD1E19" w:rsidRDefault="00FD1E19" w:rsidP="00BE7E4A">
            <w:pPr>
              <w:rPr>
                <w:rFonts w:ascii="Arial" w:hAnsi="Arial" w:cs="Arial"/>
                <w:noProof/>
                <w:color w:val="000000"/>
              </w:rPr>
            </w:pPr>
            <w:r>
              <w:rPr>
                <w:rFonts w:ascii="Arial" w:hAnsi="Arial" w:cs="Arial"/>
                <w:noProof/>
                <w:color w:val="000000"/>
              </w:rPr>
              <w:t> </w:t>
            </w:r>
          </w:p>
        </w:tc>
        <w:tc>
          <w:tcPr>
            <w:tcW w:w="1304" w:type="dxa"/>
            <w:tcBorders>
              <w:top w:val="nil"/>
              <w:left w:val="nil"/>
              <w:bottom w:val="nil"/>
              <w:right w:val="nil"/>
            </w:tcBorders>
            <w:shd w:val="clear" w:color="FFFFFF" w:fill="FFFFFF"/>
            <w:noWrap/>
            <w:vAlign w:val="center"/>
            <w:hideMark/>
          </w:tcPr>
          <w:p w14:paraId="62BFC910" w14:textId="77777777" w:rsidR="00FD1E19" w:rsidRDefault="00FD1E19" w:rsidP="00BE7E4A">
            <w:pPr>
              <w:rPr>
                <w:rFonts w:ascii="Arial" w:hAnsi="Arial" w:cs="Arial"/>
                <w:noProof/>
                <w:color w:val="000000"/>
              </w:rPr>
            </w:pPr>
            <w:r>
              <w:rPr>
                <w:rFonts w:ascii="Arial" w:hAnsi="Arial" w:cs="Arial"/>
                <w:noProof/>
                <w:color w:val="000000"/>
              </w:rPr>
              <w:t> </w:t>
            </w:r>
          </w:p>
        </w:tc>
        <w:tc>
          <w:tcPr>
            <w:tcW w:w="1736" w:type="dxa"/>
            <w:tcBorders>
              <w:top w:val="nil"/>
              <w:left w:val="nil"/>
              <w:bottom w:val="nil"/>
              <w:right w:val="nil"/>
            </w:tcBorders>
            <w:shd w:val="clear" w:color="FFFFFF" w:fill="FFFFFF"/>
            <w:noWrap/>
            <w:vAlign w:val="center"/>
            <w:hideMark/>
          </w:tcPr>
          <w:p w14:paraId="72916086" w14:textId="77777777" w:rsidR="00FD1E19" w:rsidRDefault="00FD1E19" w:rsidP="00BE7E4A">
            <w:pPr>
              <w:rPr>
                <w:rFonts w:ascii="Arial" w:hAnsi="Arial" w:cs="Arial"/>
                <w:noProof/>
                <w:color w:val="000000"/>
              </w:rPr>
            </w:pPr>
            <w:r>
              <w:rPr>
                <w:rFonts w:ascii="Arial" w:hAnsi="Arial" w:cs="Arial"/>
                <w:noProof/>
                <w:color w:val="000000"/>
              </w:rPr>
              <w:t> </w:t>
            </w:r>
          </w:p>
        </w:tc>
        <w:tc>
          <w:tcPr>
            <w:tcW w:w="1280" w:type="dxa"/>
            <w:tcBorders>
              <w:top w:val="nil"/>
              <w:left w:val="nil"/>
              <w:bottom w:val="nil"/>
              <w:right w:val="nil"/>
            </w:tcBorders>
            <w:shd w:val="clear" w:color="FFFFFF" w:fill="FFFFFF"/>
            <w:noWrap/>
            <w:vAlign w:val="center"/>
            <w:hideMark/>
          </w:tcPr>
          <w:p w14:paraId="4E30DC3B" w14:textId="77777777" w:rsidR="00FD1E19" w:rsidRDefault="00FD1E19" w:rsidP="00BE7E4A">
            <w:pPr>
              <w:rPr>
                <w:rFonts w:ascii="Arial" w:hAnsi="Arial" w:cs="Arial"/>
                <w:noProof/>
                <w:color w:val="000000"/>
              </w:rPr>
            </w:pPr>
            <w:r>
              <w:rPr>
                <w:rFonts w:ascii="Arial" w:hAnsi="Arial" w:cs="Arial"/>
                <w:noProof/>
                <w:color w:val="000000"/>
              </w:rPr>
              <w:t> </w:t>
            </w:r>
          </w:p>
        </w:tc>
        <w:tc>
          <w:tcPr>
            <w:tcW w:w="558" w:type="dxa"/>
            <w:tcBorders>
              <w:top w:val="nil"/>
              <w:left w:val="nil"/>
              <w:bottom w:val="nil"/>
              <w:right w:val="nil"/>
            </w:tcBorders>
            <w:shd w:val="clear" w:color="FFFFFF" w:fill="FFFFFF"/>
            <w:noWrap/>
            <w:vAlign w:val="center"/>
            <w:hideMark/>
          </w:tcPr>
          <w:p w14:paraId="437D9E79" w14:textId="77777777" w:rsidR="00FD1E19" w:rsidRDefault="00FD1E19" w:rsidP="00BE7E4A">
            <w:pPr>
              <w:rPr>
                <w:rFonts w:ascii="Arial" w:hAnsi="Arial" w:cs="Arial"/>
                <w:noProof/>
                <w:color w:val="000000"/>
              </w:rPr>
            </w:pPr>
            <w:r>
              <w:rPr>
                <w:rFonts w:ascii="Arial" w:hAnsi="Arial" w:cs="Arial"/>
                <w:noProof/>
                <w:color w:val="000000"/>
              </w:rPr>
              <w:t> </w:t>
            </w:r>
          </w:p>
        </w:tc>
        <w:tc>
          <w:tcPr>
            <w:tcW w:w="1304" w:type="dxa"/>
            <w:tcBorders>
              <w:top w:val="nil"/>
              <w:left w:val="nil"/>
              <w:bottom w:val="nil"/>
              <w:right w:val="single" w:sz="4" w:space="0" w:color="auto"/>
            </w:tcBorders>
            <w:shd w:val="clear" w:color="FFFFFF" w:fill="FFFFFF"/>
            <w:noWrap/>
            <w:vAlign w:val="center"/>
            <w:hideMark/>
          </w:tcPr>
          <w:p w14:paraId="45355608" w14:textId="77777777" w:rsidR="00FD1E19" w:rsidRDefault="00FD1E19" w:rsidP="00BE7E4A">
            <w:pPr>
              <w:rPr>
                <w:rFonts w:ascii="Arial" w:hAnsi="Arial" w:cs="Arial"/>
                <w:noProof/>
                <w:color w:val="000000"/>
              </w:rPr>
            </w:pPr>
            <w:r>
              <w:rPr>
                <w:rFonts w:ascii="Arial" w:hAnsi="Arial" w:cs="Arial"/>
                <w:noProof/>
                <w:color w:val="000000"/>
              </w:rPr>
              <w:t> </w:t>
            </w:r>
          </w:p>
        </w:tc>
      </w:tr>
      <w:tr w:rsidR="00FD1E19" w14:paraId="27F10ACC" w14:textId="77777777" w:rsidTr="00BE7E4A">
        <w:trPr>
          <w:trHeight w:val="297"/>
        </w:trPr>
        <w:tc>
          <w:tcPr>
            <w:tcW w:w="476" w:type="dxa"/>
            <w:tcBorders>
              <w:top w:val="single" w:sz="4" w:space="0" w:color="000000"/>
              <w:left w:val="single" w:sz="4" w:space="0" w:color="auto"/>
              <w:bottom w:val="nil"/>
              <w:right w:val="single" w:sz="4" w:space="0" w:color="000000"/>
            </w:tcBorders>
            <w:shd w:val="clear" w:color="FFFFFF" w:fill="FFFFFF"/>
            <w:noWrap/>
            <w:vAlign w:val="bottom"/>
            <w:hideMark/>
          </w:tcPr>
          <w:p w14:paraId="67F70136"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2971" w:type="dxa"/>
            <w:tcBorders>
              <w:top w:val="single" w:sz="4" w:space="0" w:color="000000"/>
              <w:left w:val="nil"/>
              <w:bottom w:val="single" w:sz="4" w:space="0" w:color="000000"/>
              <w:right w:val="single" w:sz="4" w:space="0" w:color="000000"/>
            </w:tcBorders>
            <w:shd w:val="clear" w:color="FFFFFF" w:fill="FFFFFF"/>
            <w:noWrap/>
            <w:vAlign w:val="bottom"/>
            <w:hideMark/>
          </w:tcPr>
          <w:p w14:paraId="09F654C1"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Co-financing</w:t>
            </w:r>
          </w:p>
        </w:tc>
        <w:tc>
          <w:tcPr>
            <w:tcW w:w="1304" w:type="dxa"/>
            <w:tcBorders>
              <w:top w:val="single" w:sz="4" w:space="0" w:color="000000"/>
              <w:left w:val="nil"/>
              <w:bottom w:val="single" w:sz="4" w:space="0" w:color="000000"/>
              <w:right w:val="single" w:sz="4" w:space="0" w:color="000000"/>
            </w:tcBorders>
            <w:shd w:val="clear" w:color="FFFFFF" w:fill="FFFFFF"/>
            <w:noWrap/>
            <w:vAlign w:val="bottom"/>
            <w:hideMark/>
          </w:tcPr>
          <w:p w14:paraId="4A1E2550"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736" w:type="dxa"/>
            <w:tcBorders>
              <w:top w:val="single" w:sz="4" w:space="0" w:color="000000"/>
              <w:left w:val="nil"/>
              <w:bottom w:val="single" w:sz="4" w:space="0" w:color="000000"/>
              <w:right w:val="single" w:sz="4" w:space="0" w:color="000000"/>
            </w:tcBorders>
            <w:shd w:val="clear" w:color="FFFFFF" w:fill="FFFFFF"/>
            <w:noWrap/>
            <w:vAlign w:val="bottom"/>
            <w:hideMark/>
          </w:tcPr>
          <w:p w14:paraId="018A468F"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280" w:type="dxa"/>
            <w:tcBorders>
              <w:top w:val="single" w:sz="4" w:space="0" w:color="000000"/>
              <w:left w:val="nil"/>
              <w:bottom w:val="single" w:sz="4" w:space="0" w:color="000000"/>
              <w:right w:val="single" w:sz="4" w:space="0" w:color="000000"/>
            </w:tcBorders>
            <w:shd w:val="clear" w:color="FFFFFF" w:fill="FFFFFF"/>
            <w:noWrap/>
            <w:vAlign w:val="bottom"/>
            <w:hideMark/>
          </w:tcPr>
          <w:p w14:paraId="30C17CEB"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 </w:t>
            </w:r>
          </w:p>
        </w:tc>
        <w:tc>
          <w:tcPr>
            <w:tcW w:w="558" w:type="dxa"/>
            <w:tcBorders>
              <w:top w:val="single" w:sz="4" w:space="0" w:color="000000"/>
              <w:left w:val="nil"/>
              <w:bottom w:val="single" w:sz="4" w:space="0" w:color="000000"/>
              <w:right w:val="single" w:sz="4" w:space="0" w:color="000000"/>
            </w:tcBorders>
            <w:shd w:val="clear" w:color="FFFFFF" w:fill="FFFFFF"/>
            <w:noWrap/>
            <w:vAlign w:val="bottom"/>
            <w:hideMark/>
          </w:tcPr>
          <w:p w14:paraId="09E21A38"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304" w:type="dxa"/>
            <w:tcBorders>
              <w:top w:val="single" w:sz="4" w:space="0" w:color="000000"/>
              <w:left w:val="nil"/>
              <w:bottom w:val="single" w:sz="4" w:space="0" w:color="000000"/>
              <w:right w:val="single" w:sz="4" w:space="0" w:color="auto"/>
            </w:tcBorders>
            <w:shd w:val="clear" w:color="FFFFFF" w:fill="FFFFFF"/>
            <w:noWrap/>
            <w:vAlign w:val="bottom"/>
            <w:hideMark/>
          </w:tcPr>
          <w:p w14:paraId="421482F7"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r>
      <w:tr w:rsidR="00FD1E19" w14:paraId="30AFF780" w14:textId="77777777" w:rsidTr="00BE7E4A">
        <w:trPr>
          <w:trHeight w:val="297"/>
        </w:trPr>
        <w:tc>
          <w:tcPr>
            <w:tcW w:w="476" w:type="dxa"/>
            <w:vMerge w:val="restart"/>
            <w:tcBorders>
              <w:top w:val="nil"/>
              <w:left w:val="single" w:sz="4" w:space="0" w:color="auto"/>
              <w:bottom w:val="nil"/>
              <w:right w:val="single" w:sz="4" w:space="0" w:color="000000"/>
            </w:tcBorders>
            <w:shd w:val="clear" w:color="FFFFFF" w:fill="FFFFFF"/>
            <w:vAlign w:val="center"/>
            <w:hideMark/>
          </w:tcPr>
          <w:p w14:paraId="6537F3CC" w14:textId="77777777" w:rsidR="00FD1E19" w:rsidRDefault="00FD1E19" w:rsidP="00BE7E4A">
            <w:pPr>
              <w:jc w:val="center"/>
              <w:rPr>
                <w:rFonts w:ascii="Arial" w:hAnsi="Arial" w:cs="Arial"/>
                <w:noProof/>
                <w:color w:val="000000"/>
                <w:sz w:val="14"/>
                <w:szCs w:val="14"/>
              </w:rPr>
            </w:pPr>
            <w:r>
              <w:rPr>
                <w:rFonts w:ascii="Arial" w:hAnsi="Arial" w:cs="Arial"/>
                <w:noProof/>
                <w:color w:val="000000"/>
                <w:sz w:val="14"/>
                <w:szCs w:val="14"/>
              </w:rPr>
              <w:t>OCT</w:t>
            </w:r>
          </w:p>
        </w:tc>
        <w:tc>
          <w:tcPr>
            <w:tcW w:w="2971" w:type="dxa"/>
            <w:tcBorders>
              <w:top w:val="nil"/>
              <w:left w:val="nil"/>
              <w:bottom w:val="single" w:sz="4" w:space="0" w:color="000000"/>
              <w:right w:val="single" w:sz="4" w:space="0" w:color="000000"/>
            </w:tcBorders>
            <w:shd w:val="clear" w:color="FFFFFF" w:fill="FFFFFF"/>
            <w:noWrap/>
            <w:vAlign w:val="bottom"/>
            <w:hideMark/>
          </w:tcPr>
          <w:p w14:paraId="2E90C216"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EC Internal SLA</w:t>
            </w:r>
          </w:p>
        </w:tc>
        <w:tc>
          <w:tcPr>
            <w:tcW w:w="1304" w:type="dxa"/>
            <w:tcBorders>
              <w:top w:val="nil"/>
              <w:left w:val="nil"/>
              <w:bottom w:val="single" w:sz="4" w:space="0" w:color="000000"/>
              <w:right w:val="single" w:sz="4" w:space="0" w:color="000000"/>
            </w:tcBorders>
            <w:shd w:val="clear" w:color="FFFFFF" w:fill="FFFFFF"/>
            <w:noWrap/>
            <w:vAlign w:val="bottom"/>
            <w:hideMark/>
          </w:tcPr>
          <w:p w14:paraId="02728BD4"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14:paraId="7F6B0294"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280" w:type="dxa"/>
            <w:tcBorders>
              <w:top w:val="nil"/>
              <w:left w:val="nil"/>
              <w:bottom w:val="single" w:sz="4" w:space="0" w:color="000000"/>
              <w:right w:val="single" w:sz="4" w:space="0" w:color="000000"/>
            </w:tcBorders>
            <w:shd w:val="clear" w:color="FFFFFF" w:fill="FFFFFF"/>
            <w:noWrap/>
            <w:vAlign w:val="bottom"/>
            <w:hideMark/>
          </w:tcPr>
          <w:p w14:paraId="474EDB4F"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 </w:t>
            </w:r>
          </w:p>
        </w:tc>
        <w:tc>
          <w:tcPr>
            <w:tcW w:w="558" w:type="dxa"/>
            <w:tcBorders>
              <w:top w:val="nil"/>
              <w:left w:val="nil"/>
              <w:bottom w:val="single" w:sz="4" w:space="0" w:color="000000"/>
              <w:right w:val="single" w:sz="4" w:space="0" w:color="000000"/>
            </w:tcBorders>
            <w:shd w:val="clear" w:color="FFFFFF" w:fill="FFFFFF"/>
            <w:noWrap/>
            <w:vAlign w:val="bottom"/>
            <w:hideMark/>
          </w:tcPr>
          <w:p w14:paraId="374033B3"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14:paraId="350C373D"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r>
      <w:tr w:rsidR="00FD1E19" w14:paraId="308C6978" w14:textId="77777777" w:rsidTr="00BE7E4A">
        <w:trPr>
          <w:trHeight w:val="297"/>
        </w:trPr>
        <w:tc>
          <w:tcPr>
            <w:tcW w:w="476" w:type="dxa"/>
            <w:vMerge/>
            <w:tcBorders>
              <w:top w:val="nil"/>
              <w:left w:val="single" w:sz="4" w:space="0" w:color="auto"/>
              <w:bottom w:val="nil"/>
              <w:right w:val="single" w:sz="4" w:space="0" w:color="000000"/>
            </w:tcBorders>
            <w:vAlign w:val="center"/>
            <w:hideMark/>
          </w:tcPr>
          <w:p w14:paraId="69B6C942" w14:textId="77777777" w:rsidR="00FD1E19" w:rsidRDefault="00FD1E19" w:rsidP="00BE7E4A">
            <w:pPr>
              <w:rPr>
                <w:rFonts w:ascii="Arial" w:hAnsi="Arial" w:cs="Arial"/>
                <w:noProof/>
                <w:color w:val="000000"/>
                <w:sz w:val="14"/>
                <w:szCs w:val="14"/>
              </w:rPr>
            </w:pPr>
          </w:p>
        </w:tc>
        <w:tc>
          <w:tcPr>
            <w:tcW w:w="2971" w:type="dxa"/>
            <w:tcBorders>
              <w:top w:val="nil"/>
              <w:left w:val="nil"/>
              <w:bottom w:val="single" w:sz="4" w:space="0" w:color="000000"/>
              <w:right w:val="single" w:sz="4" w:space="0" w:color="000000"/>
            </w:tcBorders>
            <w:shd w:val="clear" w:color="FFFFFF" w:fill="FFFFFF"/>
            <w:noWrap/>
            <w:vAlign w:val="bottom"/>
            <w:hideMark/>
          </w:tcPr>
          <w:p w14:paraId="2453C810"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Regular MS Contributions</w:t>
            </w:r>
          </w:p>
        </w:tc>
        <w:tc>
          <w:tcPr>
            <w:tcW w:w="1304" w:type="dxa"/>
            <w:tcBorders>
              <w:top w:val="nil"/>
              <w:left w:val="nil"/>
              <w:bottom w:val="single" w:sz="4" w:space="0" w:color="000000"/>
              <w:right w:val="single" w:sz="4" w:space="0" w:color="000000"/>
            </w:tcBorders>
            <w:shd w:val="clear" w:color="FFFFFF" w:fill="FFFFFF"/>
            <w:noWrap/>
            <w:vAlign w:val="bottom"/>
            <w:hideMark/>
          </w:tcPr>
          <w:p w14:paraId="3D2ED48C"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0</w:t>
            </w:r>
          </w:p>
        </w:tc>
        <w:tc>
          <w:tcPr>
            <w:tcW w:w="1736" w:type="dxa"/>
            <w:tcBorders>
              <w:top w:val="nil"/>
              <w:left w:val="nil"/>
              <w:bottom w:val="single" w:sz="4" w:space="0" w:color="000000"/>
              <w:right w:val="single" w:sz="4" w:space="0" w:color="000000"/>
            </w:tcBorders>
            <w:shd w:val="clear" w:color="FFFFFF" w:fill="FFFFFF"/>
            <w:noWrap/>
            <w:vAlign w:val="bottom"/>
            <w:hideMark/>
          </w:tcPr>
          <w:p w14:paraId="489CC451"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354</w:t>
            </w:r>
          </w:p>
        </w:tc>
        <w:tc>
          <w:tcPr>
            <w:tcW w:w="1280" w:type="dxa"/>
            <w:tcBorders>
              <w:top w:val="nil"/>
              <w:left w:val="nil"/>
              <w:bottom w:val="single" w:sz="4" w:space="0" w:color="000000"/>
              <w:right w:val="single" w:sz="4" w:space="0" w:color="000000"/>
            </w:tcBorders>
            <w:shd w:val="clear" w:color="FFFFFF" w:fill="FFFFFF"/>
            <w:noWrap/>
            <w:vAlign w:val="bottom"/>
            <w:hideMark/>
          </w:tcPr>
          <w:p w14:paraId="41243FE0"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1</w:t>
            </w:r>
          </w:p>
        </w:tc>
        <w:tc>
          <w:tcPr>
            <w:tcW w:w="558" w:type="dxa"/>
            <w:tcBorders>
              <w:top w:val="nil"/>
              <w:left w:val="nil"/>
              <w:bottom w:val="single" w:sz="4" w:space="0" w:color="000000"/>
              <w:right w:val="single" w:sz="4" w:space="0" w:color="000000"/>
            </w:tcBorders>
            <w:shd w:val="clear" w:color="FFFFFF" w:fill="FFFFFF"/>
            <w:noWrap/>
            <w:vAlign w:val="bottom"/>
            <w:hideMark/>
          </w:tcPr>
          <w:p w14:paraId="26B35629" w14:textId="77777777" w:rsidR="00FD1E19" w:rsidRDefault="00FD1E19" w:rsidP="00BE7E4A">
            <w:pPr>
              <w:rPr>
                <w:rFonts w:ascii="Arial" w:hAnsi="Arial" w:cs="Arial"/>
                <w:b/>
                <w:bCs/>
                <w:i/>
                <w:iCs/>
                <w:noProof/>
                <w:color w:val="000000"/>
                <w:sz w:val="14"/>
                <w:szCs w:val="14"/>
              </w:rPr>
            </w:pPr>
            <w:r>
              <w:rPr>
                <w:rFonts w:ascii="Arial" w:hAnsi="Arial" w:cs="Arial"/>
                <w:b/>
                <w:bCs/>
                <w:i/>
                <w:iCs/>
                <w:noProof/>
                <w:color w:val="000000"/>
                <w:sz w:val="14"/>
                <w:szCs w:val="14"/>
              </w:rPr>
              <w:t> </w:t>
            </w:r>
          </w:p>
        </w:tc>
        <w:tc>
          <w:tcPr>
            <w:tcW w:w="1304" w:type="dxa"/>
            <w:tcBorders>
              <w:top w:val="nil"/>
              <w:left w:val="nil"/>
              <w:bottom w:val="single" w:sz="4" w:space="0" w:color="000000"/>
              <w:right w:val="single" w:sz="4" w:space="0" w:color="auto"/>
            </w:tcBorders>
            <w:shd w:val="clear" w:color="FFFFFF" w:fill="FFFFFF"/>
            <w:noWrap/>
            <w:vAlign w:val="bottom"/>
            <w:hideMark/>
          </w:tcPr>
          <w:p w14:paraId="48FD17F2" w14:textId="77777777" w:rsidR="00FD1E19" w:rsidRDefault="00FD1E19" w:rsidP="00BE7E4A">
            <w:pPr>
              <w:jc w:val="right"/>
              <w:rPr>
                <w:rFonts w:ascii="Arial" w:hAnsi="Arial" w:cs="Arial"/>
                <w:b/>
                <w:bCs/>
                <w:i/>
                <w:iCs/>
                <w:noProof/>
                <w:color w:val="000000"/>
                <w:sz w:val="14"/>
                <w:szCs w:val="14"/>
              </w:rPr>
            </w:pPr>
            <w:r>
              <w:rPr>
                <w:rFonts w:ascii="Arial" w:hAnsi="Arial" w:cs="Arial"/>
                <w:b/>
                <w:bCs/>
                <w:i/>
                <w:iCs/>
                <w:noProof/>
                <w:color w:val="000000"/>
                <w:sz w:val="14"/>
                <w:szCs w:val="14"/>
              </w:rPr>
              <w:t>354</w:t>
            </w:r>
          </w:p>
        </w:tc>
      </w:tr>
      <w:tr w:rsidR="00FD1E19" w14:paraId="6FA3BF52" w14:textId="77777777" w:rsidTr="00BE7E4A">
        <w:trPr>
          <w:trHeight w:val="297"/>
        </w:trPr>
        <w:tc>
          <w:tcPr>
            <w:tcW w:w="476" w:type="dxa"/>
            <w:tcBorders>
              <w:top w:val="nil"/>
              <w:left w:val="single" w:sz="4" w:space="0" w:color="auto"/>
              <w:bottom w:val="single" w:sz="4" w:space="0" w:color="000000"/>
              <w:right w:val="single" w:sz="4" w:space="0" w:color="000000"/>
            </w:tcBorders>
            <w:shd w:val="clear" w:color="FFFFFF" w:fill="FFFFFF"/>
            <w:noWrap/>
            <w:vAlign w:val="center"/>
            <w:hideMark/>
          </w:tcPr>
          <w:p w14:paraId="15B6F02C" w14:textId="77777777" w:rsidR="00FD1E19" w:rsidRDefault="00FD1E19" w:rsidP="00BE7E4A">
            <w:pPr>
              <w:rPr>
                <w:rFonts w:ascii="Arial" w:hAnsi="Arial" w:cs="Arial"/>
                <w:noProof/>
                <w:color w:val="000000"/>
              </w:rPr>
            </w:pPr>
            <w:r>
              <w:rPr>
                <w:rFonts w:ascii="Arial" w:hAnsi="Arial" w:cs="Arial"/>
                <w:noProof/>
                <w:color w:val="000000"/>
              </w:rPr>
              <w:t> </w:t>
            </w:r>
          </w:p>
        </w:tc>
        <w:tc>
          <w:tcPr>
            <w:tcW w:w="2971" w:type="dxa"/>
            <w:tcBorders>
              <w:top w:val="nil"/>
              <w:left w:val="nil"/>
              <w:bottom w:val="single" w:sz="4" w:space="0" w:color="000000"/>
              <w:right w:val="single" w:sz="4" w:space="0" w:color="000000"/>
            </w:tcBorders>
            <w:shd w:val="clear" w:color="FFFFFF" w:fill="999999"/>
            <w:noWrap/>
            <w:vAlign w:val="bottom"/>
            <w:hideMark/>
          </w:tcPr>
          <w:p w14:paraId="262877B7"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SUB TOTAL OCT</w:t>
            </w:r>
          </w:p>
        </w:tc>
        <w:tc>
          <w:tcPr>
            <w:tcW w:w="1304" w:type="dxa"/>
            <w:tcBorders>
              <w:top w:val="nil"/>
              <w:left w:val="nil"/>
              <w:bottom w:val="single" w:sz="4" w:space="0" w:color="000000"/>
              <w:right w:val="single" w:sz="4" w:space="0" w:color="000000"/>
            </w:tcBorders>
            <w:shd w:val="clear" w:color="FFFFFF" w:fill="999999"/>
            <w:noWrap/>
            <w:vAlign w:val="bottom"/>
            <w:hideMark/>
          </w:tcPr>
          <w:p w14:paraId="79857601"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0</w:t>
            </w:r>
          </w:p>
        </w:tc>
        <w:tc>
          <w:tcPr>
            <w:tcW w:w="1736" w:type="dxa"/>
            <w:tcBorders>
              <w:top w:val="nil"/>
              <w:left w:val="nil"/>
              <w:bottom w:val="single" w:sz="4" w:space="0" w:color="000000"/>
              <w:right w:val="single" w:sz="4" w:space="0" w:color="000000"/>
            </w:tcBorders>
            <w:shd w:val="clear" w:color="FFFFFF" w:fill="999999"/>
            <w:noWrap/>
            <w:vAlign w:val="bottom"/>
            <w:hideMark/>
          </w:tcPr>
          <w:p w14:paraId="100CEBFE"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354</w:t>
            </w:r>
          </w:p>
        </w:tc>
        <w:tc>
          <w:tcPr>
            <w:tcW w:w="1280" w:type="dxa"/>
            <w:tcBorders>
              <w:top w:val="nil"/>
              <w:left w:val="nil"/>
              <w:bottom w:val="single" w:sz="4" w:space="0" w:color="000000"/>
              <w:right w:val="single" w:sz="4" w:space="0" w:color="000000"/>
            </w:tcBorders>
            <w:shd w:val="clear" w:color="FFFFFF" w:fill="999999"/>
            <w:noWrap/>
            <w:vAlign w:val="bottom"/>
            <w:hideMark/>
          </w:tcPr>
          <w:p w14:paraId="5AC62AD7"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 </w:t>
            </w:r>
          </w:p>
        </w:tc>
        <w:tc>
          <w:tcPr>
            <w:tcW w:w="558" w:type="dxa"/>
            <w:tcBorders>
              <w:top w:val="nil"/>
              <w:left w:val="nil"/>
              <w:bottom w:val="single" w:sz="4" w:space="0" w:color="000000"/>
              <w:right w:val="single" w:sz="4" w:space="0" w:color="000000"/>
            </w:tcBorders>
            <w:shd w:val="clear" w:color="FFFFFF" w:fill="999999"/>
            <w:noWrap/>
            <w:vAlign w:val="center"/>
            <w:hideMark/>
          </w:tcPr>
          <w:p w14:paraId="7F666373"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 </w:t>
            </w:r>
          </w:p>
        </w:tc>
        <w:tc>
          <w:tcPr>
            <w:tcW w:w="1304" w:type="dxa"/>
            <w:tcBorders>
              <w:top w:val="nil"/>
              <w:left w:val="nil"/>
              <w:bottom w:val="single" w:sz="4" w:space="0" w:color="000000"/>
              <w:right w:val="single" w:sz="4" w:space="0" w:color="auto"/>
            </w:tcBorders>
            <w:shd w:val="clear" w:color="FFFFFF" w:fill="999999"/>
            <w:noWrap/>
            <w:vAlign w:val="bottom"/>
            <w:hideMark/>
          </w:tcPr>
          <w:p w14:paraId="160241D1" w14:textId="77777777" w:rsidR="00FD1E19" w:rsidRDefault="00FD1E19" w:rsidP="00BE7E4A">
            <w:pPr>
              <w:jc w:val="right"/>
              <w:rPr>
                <w:rFonts w:ascii="Arial" w:hAnsi="Arial" w:cs="Arial"/>
                <w:b/>
                <w:bCs/>
                <w:noProof/>
                <w:color w:val="FFFFFF"/>
                <w:sz w:val="16"/>
                <w:szCs w:val="16"/>
              </w:rPr>
            </w:pPr>
            <w:r>
              <w:rPr>
                <w:rFonts w:ascii="Arial" w:hAnsi="Arial" w:cs="Arial"/>
                <w:b/>
                <w:bCs/>
                <w:noProof/>
                <w:color w:val="FFFFFF"/>
                <w:sz w:val="16"/>
                <w:szCs w:val="16"/>
              </w:rPr>
              <w:t>354</w:t>
            </w:r>
          </w:p>
        </w:tc>
      </w:tr>
      <w:tr w:rsidR="00FD1E19" w14:paraId="66B38C80" w14:textId="77777777" w:rsidTr="00BE7E4A">
        <w:trPr>
          <w:trHeight w:val="150"/>
        </w:trPr>
        <w:tc>
          <w:tcPr>
            <w:tcW w:w="476" w:type="dxa"/>
            <w:tcBorders>
              <w:top w:val="nil"/>
              <w:left w:val="single" w:sz="4" w:space="0" w:color="auto"/>
              <w:bottom w:val="nil"/>
              <w:right w:val="nil"/>
            </w:tcBorders>
            <w:shd w:val="clear" w:color="FFFFFF" w:fill="FFFFFF"/>
            <w:noWrap/>
            <w:vAlign w:val="center"/>
            <w:hideMark/>
          </w:tcPr>
          <w:p w14:paraId="77EFA92B" w14:textId="77777777" w:rsidR="00FD1E19" w:rsidRDefault="00FD1E19" w:rsidP="00BE7E4A">
            <w:pPr>
              <w:rPr>
                <w:rFonts w:ascii="Arial" w:hAnsi="Arial" w:cs="Arial"/>
                <w:noProof/>
                <w:color w:val="000000"/>
              </w:rPr>
            </w:pPr>
            <w:r>
              <w:rPr>
                <w:rFonts w:ascii="Arial" w:hAnsi="Arial" w:cs="Arial"/>
                <w:noProof/>
                <w:color w:val="000000"/>
              </w:rPr>
              <w:t> </w:t>
            </w:r>
          </w:p>
        </w:tc>
        <w:tc>
          <w:tcPr>
            <w:tcW w:w="2971" w:type="dxa"/>
            <w:tcBorders>
              <w:top w:val="nil"/>
              <w:left w:val="nil"/>
              <w:bottom w:val="nil"/>
              <w:right w:val="nil"/>
            </w:tcBorders>
            <w:shd w:val="clear" w:color="FFFFFF" w:fill="FFFFFF"/>
            <w:noWrap/>
            <w:vAlign w:val="center"/>
            <w:hideMark/>
          </w:tcPr>
          <w:p w14:paraId="4039C48B" w14:textId="77777777" w:rsidR="00FD1E19" w:rsidRDefault="00FD1E19" w:rsidP="00BE7E4A">
            <w:pPr>
              <w:rPr>
                <w:rFonts w:ascii="Arial" w:hAnsi="Arial" w:cs="Arial"/>
                <w:noProof/>
                <w:color w:val="000000"/>
              </w:rPr>
            </w:pPr>
            <w:r>
              <w:rPr>
                <w:rFonts w:ascii="Arial" w:hAnsi="Arial" w:cs="Arial"/>
                <w:noProof/>
                <w:color w:val="000000"/>
              </w:rPr>
              <w:t> </w:t>
            </w:r>
          </w:p>
        </w:tc>
        <w:tc>
          <w:tcPr>
            <w:tcW w:w="1304" w:type="dxa"/>
            <w:tcBorders>
              <w:top w:val="nil"/>
              <w:left w:val="nil"/>
              <w:bottom w:val="nil"/>
              <w:right w:val="nil"/>
            </w:tcBorders>
            <w:shd w:val="clear" w:color="FFFFFF" w:fill="FFFFFF"/>
            <w:noWrap/>
            <w:vAlign w:val="center"/>
            <w:hideMark/>
          </w:tcPr>
          <w:p w14:paraId="0335CDF5" w14:textId="77777777" w:rsidR="00FD1E19" w:rsidRDefault="00FD1E19" w:rsidP="00BE7E4A">
            <w:pPr>
              <w:rPr>
                <w:rFonts w:ascii="Arial" w:hAnsi="Arial" w:cs="Arial"/>
                <w:noProof/>
                <w:color w:val="000000"/>
              </w:rPr>
            </w:pPr>
            <w:r>
              <w:rPr>
                <w:rFonts w:ascii="Arial" w:hAnsi="Arial" w:cs="Arial"/>
                <w:noProof/>
                <w:color w:val="000000"/>
              </w:rPr>
              <w:t> </w:t>
            </w:r>
          </w:p>
        </w:tc>
        <w:tc>
          <w:tcPr>
            <w:tcW w:w="1736" w:type="dxa"/>
            <w:tcBorders>
              <w:top w:val="nil"/>
              <w:left w:val="nil"/>
              <w:bottom w:val="nil"/>
              <w:right w:val="nil"/>
            </w:tcBorders>
            <w:shd w:val="clear" w:color="FFFFFF" w:fill="FFFFFF"/>
            <w:noWrap/>
            <w:vAlign w:val="center"/>
            <w:hideMark/>
          </w:tcPr>
          <w:p w14:paraId="422AF217" w14:textId="77777777" w:rsidR="00FD1E19" w:rsidRDefault="00FD1E19" w:rsidP="00BE7E4A">
            <w:pPr>
              <w:rPr>
                <w:rFonts w:ascii="Arial" w:hAnsi="Arial" w:cs="Arial"/>
                <w:noProof/>
                <w:color w:val="000000"/>
              </w:rPr>
            </w:pPr>
            <w:r>
              <w:rPr>
                <w:rFonts w:ascii="Arial" w:hAnsi="Arial" w:cs="Arial"/>
                <w:noProof/>
                <w:color w:val="000000"/>
              </w:rPr>
              <w:t> </w:t>
            </w:r>
          </w:p>
        </w:tc>
        <w:tc>
          <w:tcPr>
            <w:tcW w:w="1280" w:type="dxa"/>
            <w:tcBorders>
              <w:top w:val="nil"/>
              <w:left w:val="nil"/>
              <w:bottom w:val="nil"/>
              <w:right w:val="nil"/>
            </w:tcBorders>
            <w:shd w:val="clear" w:color="FFFFFF" w:fill="FFFFFF"/>
            <w:noWrap/>
            <w:vAlign w:val="center"/>
            <w:hideMark/>
          </w:tcPr>
          <w:p w14:paraId="04963E25" w14:textId="77777777" w:rsidR="00FD1E19" w:rsidRDefault="00FD1E19" w:rsidP="00BE7E4A">
            <w:pPr>
              <w:rPr>
                <w:rFonts w:ascii="Arial" w:hAnsi="Arial" w:cs="Arial"/>
                <w:noProof/>
                <w:color w:val="000000"/>
              </w:rPr>
            </w:pPr>
            <w:r>
              <w:rPr>
                <w:rFonts w:ascii="Arial" w:hAnsi="Arial" w:cs="Arial"/>
                <w:noProof/>
                <w:color w:val="000000"/>
              </w:rPr>
              <w:t> </w:t>
            </w:r>
          </w:p>
        </w:tc>
        <w:tc>
          <w:tcPr>
            <w:tcW w:w="558" w:type="dxa"/>
            <w:tcBorders>
              <w:top w:val="nil"/>
              <w:left w:val="nil"/>
              <w:bottom w:val="nil"/>
              <w:right w:val="nil"/>
            </w:tcBorders>
            <w:shd w:val="clear" w:color="FFFFFF" w:fill="FFFFFF"/>
            <w:noWrap/>
            <w:vAlign w:val="center"/>
            <w:hideMark/>
          </w:tcPr>
          <w:p w14:paraId="12DAB722" w14:textId="77777777" w:rsidR="00FD1E19" w:rsidRDefault="00FD1E19" w:rsidP="00BE7E4A">
            <w:pPr>
              <w:rPr>
                <w:rFonts w:ascii="Arial" w:hAnsi="Arial" w:cs="Arial"/>
                <w:noProof/>
                <w:color w:val="000000"/>
              </w:rPr>
            </w:pPr>
            <w:r>
              <w:rPr>
                <w:rFonts w:ascii="Arial" w:hAnsi="Arial" w:cs="Arial"/>
                <w:noProof/>
                <w:color w:val="000000"/>
              </w:rPr>
              <w:t> </w:t>
            </w:r>
          </w:p>
        </w:tc>
        <w:tc>
          <w:tcPr>
            <w:tcW w:w="1304" w:type="dxa"/>
            <w:tcBorders>
              <w:top w:val="nil"/>
              <w:left w:val="nil"/>
              <w:bottom w:val="nil"/>
              <w:right w:val="single" w:sz="4" w:space="0" w:color="auto"/>
            </w:tcBorders>
            <w:shd w:val="clear" w:color="FFFFFF" w:fill="FFFFFF"/>
            <w:noWrap/>
            <w:vAlign w:val="center"/>
            <w:hideMark/>
          </w:tcPr>
          <w:p w14:paraId="6BB054D6" w14:textId="77777777" w:rsidR="00FD1E19" w:rsidRDefault="00FD1E19" w:rsidP="00BE7E4A">
            <w:pPr>
              <w:rPr>
                <w:rFonts w:ascii="Arial" w:hAnsi="Arial" w:cs="Arial"/>
                <w:noProof/>
                <w:color w:val="000000"/>
              </w:rPr>
            </w:pPr>
            <w:r>
              <w:rPr>
                <w:rFonts w:ascii="Arial" w:hAnsi="Arial" w:cs="Arial"/>
                <w:noProof/>
                <w:color w:val="000000"/>
              </w:rPr>
              <w:t> </w:t>
            </w:r>
          </w:p>
        </w:tc>
      </w:tr>
      <w:tr w:rsidR="00FD1E19" w14:paraId="47F8D404" w14:textId="77777777" w:rsidTr="00BE7E4A">
        <w:trPr>
          <w:trHeight w:val="297"/>
        </w:trPr>
        <w:tc>
          <w:tcPr>
            <w:tcW w:w="476" w:type="dxa"/>
            <w:tcBorders>
              <w:top w:val="single" w:sz="4" w:space="0" w:color="000000"/>
              <w:left w:val="single" w:sz="4" w:space="0" w:color="auto"/>
              <w:bottom w:val="single" w:sz="4" w:space="0" w:color="auto"/>
              <w:right w:val="nil"/>
            </w:tcBorders>
            <w:shd w:val="clear" w:color="FFFFFF" w:fill="808080"/>
            <w:noWrap/>
            <w:vAlign w:val="center"/>
            <w:hideMark/>
          </w:tcPr>
          <w:p w14:paraId="112206F6"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2971" w:type="dxa"/>
            <w:tcBorders>
              <w:top w:val="single" w:sz="4" w:space="0" w:color="000000"/>
              <w:left w:val="nil"/>
              <w:bottom w:val="single" w:sz="4" w:space="0" w:color="auto"/>
              <w:right w:val="single" w:sz="4" w:space="0" w:color="000000"/>
            </w:tcBorders>
            <w:shd w:val="clear" w:color="FFFFFF" w:fill="808080"/>
            <w:noWrap/>
            <w:vAlign w:val="bottom"/>
            <w:hideMark/>
          </w:tcPr>
          <w:p w14:paraId="6171B387" w14:textId="77777777" w:rsidR="00FD1E19" w:rsidRDefault="00FD1E19" w:rsidP="00BE7E4A">
            <w:pPr>
              <w:rPr>
                <w:rFonts w:ascii="Arial" w:hAnsi="Arial" w:cs="Arial"/>
                <w:b/>
                <w:bCs/>
                <w:noProof/>
                <w:color w:val="FFFFFF"/>
                <w:sz w:val="16"/>
                <w:szCs w:val="16"/>
              </w:rPr>
            </w:pPr>
            <w:r>
              <w:rPr>
                <w:rFonts w:ascii="Arial" w:hAnsi="Arial" w:cs="Arial"/>
                <w:b/>
                <w:bCs/>
                <w:noProof/>
                <w:color w:val="FFFFFF"/>
                <w:sz w:val="16"/>
                <w:szCs w:val="16"/>
              </w:rPr>
              <w:t>TOTAL 11th EDF</w:t>
            </w:r>
          </w:p>
        </w:tc>
        <w:tc>
          <w:tcPr>
            <w:tcW w:w="1304" w:type="dxa"/>
            <w:tcBorders>
              <w:top w:val="single" w:sz="4" w:space="0" w:color="000000"/>
              <w:left w:val="nil"/>
              <w:bottom w:val="single" w:sz="4" w:space="0" w:color="auto"/>
              <w:right w:val="single" w:sz="4" w:space="0" w:color="000000"/>
            </w:tcBorders>
            <w:shd w:val="clear" w:color="FFFFFF" w:fill="808080"/>
            <w:noWrap/>
            <w:vAlign w:val="bottom"/>
            <w:hideMark/>
          </w:tcPr>
          <w:p w14:paraId="620129AB" w14:textId="77777777" w:rsidR="00FD1E19" w:rsidRDefault="00FD1E19" w:rsidP="00BE7E4A">
            <w:pPr>
              <w:jc w:val="right"/>
              <w:rPr>
                <w:rFonts w:ascii="Arial" w:hAnsi="Arial" w:cs="Arial"/>
                <w:noProof/>
                <w:color w:val="FFFFFF"/>
                <w:sz w:val="16"/>
                <w:szCs w:val="16"/>
              </w:rPr>
            </w:pPr>
            <w:r>
              <w:rPr>
                <w:rFonts w:ascii="Arial" w:hAnsi="Arial" w:cs="Arial"/>
                <w:noProof/>
                <w:color w:val="FFFFFF"/>
                <w:sz w:val="16"/>
                <w:szCs w:val="16"/>
              </w:rPr>
              <w:t>30.060</w:t>
            </w:r>
          </w:p>
        </w:tc>
        <w:tc>
          <w:tcPr>
            <w:tcW w:w="1736" w:type="dxa"/>
            <w:tcBorders>
              <w:top w:val="single" w:sz="4" w:space="0" w:color="000000"/>
              <w:left w:val="nil"/>
              <w:bottom w:val="single" w:sz="4" w:space="0" w:color="auto"/>
              <w:right w:val="single" w:sz="4" w:space="0" w:color="000000"/>
            </w:tcBorders>
            <w:shd w:val="clear" w:color="FFFFFF" w:fill="808080"/>
            <w:noWrap/>
            <w:vAlign w:val="bottom"/>
            <w:hideMark/>
          </w:tcPr>
          <w:p w14:paraId="61A866FA" w14:textId="77777777" w:rsidR="00FD1E19" w:rsidRDefault="00FD1E19" w:rsidP="00BE7E4A">
            <w:pPr>
              <w:jc w:val="right"/>
              <w:rPr>
                <w:rFonts w:ascii="Arial" w:hAnsi="Arial" w:cs="Arial"/>
                <w:noProof/>
                <w:color w:val="FF0000"/>
                <w:sz w:val="16"/>
                <w:szCs w:val="16"/>
              </w:rPr>
            </w:pPr>
            <w:r>
              <w:rPr>
                <w:rFonts w:ascii="Arial" w:hAnsi="Arial" w:cs="Arial"/>
                <w:noProof/>
                <w:color w:val="FF0000"/>
                <w:sz w:val="16"/>
                <w:szCs w:val="16"/>
              </w:rPr>
              <w:t>(409)</w:t>
            </w:r>
          </w:p>
        </w:tc>
        <w:tc>
          <w:tcPr>
            <w:tcW w:w="1280" w:type="dxa"/>
            <w:tcBorders>
              <w:top w:val="single" w:sz="4" w:space="0" w:color="000000"/>
              <w:left w:val="nil"/>
              <w:bottom w:val="single" w:sz="4" w:space="0" w:color="auto"/>
              <w:right w:val="single" w:sz="4" w:space="0" w:color="000000"/>
            </w:tcBorders>
            <w:shd w:val="clear" w:color="FFFFFF" w:fill="808080"/>
            <w:noWrap/>
            <w:vAlign w:val="bottom"/>
            <w:hideMark/>
          </w:tcPr>
          <w:p w14:paraId="14836734" w14:textId="77777777" w:rsidR="00FD1E19" w:rsidRDefault="00FD1E19" w:rsidP="00BE7E4A">
            <w:pPr>
              <w:jc w:val="right"/>
              <w:rPr>
                <w:rFonts w:ascii="Arial" w:hAnsi="Arial" w:cs="Arial"/>
                <w:noProof/>
                <w:color w:val="FFFFFF"/>
                <w:sz w:val="16"/>
                <w:szCs w:val="16"/>
              </w:rPr>
            </w:pPr>
            <w:r>
              <w:rPr>
                <w:rFonts w:ascii="Arial" w:hAnsi="Arial" w:cs="Arial"/>
                <w:noProof/>
                <w:color w:val="FFFFFF"/>
                <w:sz w:val="16"/>
                <w:szCs w:val="16"/>
              </w:rPr>
              <w:t>75</w:t>
            </w:r>
          </w:p>
        </w:tc>
        <w:tc>
          <w:tcPr>
            <w:tcW w:w="558" w:type="dxa"/>
            <w:tcBorders>
              <w:top w:val="single" w:sz="4" w:space="0" w:color="000000"/>
              <w:left w:val="nil"/>
              <w:bottom w:val="single" w:sz="4" w:space="0" w:color="auto"/>
              <w:right w:val="single" w:sz="4" w:space="0" w:color="000000"/>
            </w:tcBorders>
            <w:shd w:val="clear" w:color="FFFFFF" w:fill="808080"/>
            <w:noWrap/>
            <w:vAlign w:val="center"/>
            <w:hideMark/>
          </w:tcPr>
          <w:p w14:paraId="101AFC54" w14:textId="77777777" w:rsidR="00FD1E19" w:rsidRDefault="00FD1E19" w:rsidP="00BE7E4A">
            <w:pPr>
              <w:rPr>
                <w:rFonts w:ascii="Arial" w:hAnsi="Arial" w:cs="Arial"/>
                <w:noProof/>
                <w:color w:val="FFFFFF"/>
                <w:sz w:val="14"/>
                <w:szCs w:val="14"/>
              </w:rPr>
            </w:pPr>
            <w:r>
              <w:rPr>
                <w:rFonts w:ascii="Arial" w:hAnsi="Arial" w:cs="Arial"/>
                <w:noProof/>
                <w:color w:val="FFFFFF"/>
                <w:sz w:val="14"/>
                <w:szCs w:val="14"/>
              </w:rPr>
              <w:t> </w:t>
            </w:r>
          </w:p>
        </w:tc>
        <w:tc>
          <w:tcPr>
            <w:tcW w:w="1304" w:type="dxa"/>
            <w:tcBorders>
              <w:top w:val="single" w:sz="4" w:space="0" w:color="000000"/>
              <w:left w:val="nil"/>
              <w:bottom w:val="single" w:sz="4" w:space="0" w:color="auto"/>
              <w:right w:val="single" w:sz="4" w:space="0" w:color="auto"/>
            </w:tcBorders>
            <w:shd w:val="clear" w:color="FFFFFF" w:fill="808080"/>
            <w:noWrap/>
            <w:vAlign w:val="bottom"/>
            <w:hideMark/>
          </w:tcPr>
          <w:p w14:paraId="764ECC19" w14:textId="77777777" w:rsidR="00FD1E19" w:rsidRDefault="00FD1E19" w:rsidP="00BE7E4A">
            <w:pPr>
              <w:jc w:val="right"/>
              <w:rPr>
                <w:rFonts w:ascii="Arial" w:hAnsi="Arial" w:cs="Arial"/>
                <w:noProof/>
                <w:color w:val="FFFFFF"/>
                <w:sz w:val="16"/>
                <w:szCs w:val="16"/>
              </w:rPr>
            </w:pPr>
            <w:r>
              <w:rPr>
                <w:rFonts w:ascii="Arial" w:hAnsi="Arial" w:cs="Arial"/>
                <w:noProof/>
                <w:color w:val="FFFFFF"/>
                <w:sz w:val="16"/>
                <w:szCs w:val="16"/>
              </w:rPr>
              <w:t>29.726</w:t>
            </w:r>
          </w:p>
        </w:tc>
      </w:tr>
    </w:tbl>
    <w:p w14:paraId="2FEA7DE3" w14:textId="77777777" w:rsidR="00FD1E19" w:rsidRDefault="00FD1E19" w:rsidP="00FD1E19">
      <w:pPr>
        <w:jc w:val="both"/>
        <w:rPr>
          <w:rFonts w:cstheme="minorHAnsi"/>
          <w:noProof/>
          <w:sz w:val="18"/>
          <w:szCs w:val="18"/>
        </w:rPr>
      </w:pPr>
    </w:p>
    <w:p w14:paraId="51EC3E89" w14:textId="77777777" w:rsidR="00FD1E19" w:rsidRDefault="00FD1E19" w:rsidP="00FD1E19">
      <w:pPr>
        <w:jc w:val="both"/>
        <w:rPr>
          <w:rFonts w:cstheme="minorHAnsi"/>
          <w:noProof/>
          <w:sz w:val="18"/>
          <w:szCs w:val="18"/>
        </w:rPr>
      </w:pPr>
    </w:p>
    <w:p w14:paraId="6F27FC23" w14:textId="77777777" w:rsidR="00FD1E19" w:rsidRDefault="00FD1E19" w:rsidP="00FD1E19">
      <w:pPr>
        <w:jc w:val="both"/>
        <w:rPr>
          <w:rFonts w:cstheme="minorHAnsi"/>
          <w:noProof/>
          <w:sz w:val="18"/>
          <w:szCs w:val="18"/>
        </w:rPr>
      </w:pPr>
    </w:p>
    <w:p w14:paraId="6C00B9E8" w14:textId="77777777" w:rsidR="00FD1E19" w:rsidRPr="004F592F" w:rsidRDefault="00FD1E19" w:rsidP="00FD1E19">
      <w:pPr>
        <w:jc w:val="both"/>
        <w:rPr>
          <w:rFonts w:cstheme="minorHAnsi"/>
          <w:noProof/>
          <w:sz w:val="18"/>
          <w:szCs w:val="18"/>
        </w:rPr>
      </w:pPr>
    </w:p>
    <w:p w14:paraId="72E8E866" w14:textId="77777777" w:rsidR="00FD1E19" w:rsidRDefault="00FD1E19" w:rsidP="00FD1E19">
      <w:pPr>
        <w:jc w:val="both"/>
        <w:rPr>
          <w:rFonts w:cstheme="minorHAnsi"/>
          <w:noProof/>
          <w:sz w:val="20"/>
          <w:szCs w:val="20"/>
        </w:rPr>
      </w:pPr>
    </w:p>
    <w:p w14:paraId="6C287947" w14:textId="77777777" w:rsidR="00FD1E19" w:rsidRPr="003F1AF8" w:rsidRDefault="00FD1E19" w:rsidP="00FD1E19">
      <w:pPr>
        <w:rPr>
          <w:rFonts w:cstheme="minorHAnsi"/>
          <w:noProof/>
          <w:sz w:val="20"/>
          <w:szCs w:val="20"/>
        </w:rPr>
      </w:pPr>
      <w:r>
        <w:rPr>
          <w:rFonts w:cstheme="minorHAnsi"/>
          <w:noProof/>
          <w:sz w:val="20"/>
          <w:szCs w:val="20"/>
        </w:rPr>
        <w:br w:type="page"/>
      </w:r>
    </w:p>
    <w:p w14:paraId="67C18C1B" w14:textId="77777777" w:rsidR="00FD1E19" w:rsidRDefault="00FD1E19" w:rsidP="00FD1E19">
      <w:pPr>
        <w:pStyle w:val="HEADER5"/>
        <w:rPr>
          <w:noProof/>
        </w:rPr>
      </w:pPr>
      <w:r>
        <w:rPr>
          <w:noProof/>
        </w:rPr>
        <w:t>EVOLUTION OF COMMITMENTS, ASSIGNED FUNDS AND PAYMENTS FOR 10</w:t>
      </w:r>
      <w:r w:rsidRPr="003F1AF8">
        <w:rPr>
          <w:noProof/>
          <w:vertAlign w:val="superscript"/>
        </w:rPr>
        <w:t>TH</w:t>
      </w:r>
      <w:r>
        <w:rPr>
          <w:noProof/>
        </w:rPr>
        <w:t xml:space="preserve"> EDF</w:t>
      </w:r>
    </w:p>
    <w:p w14:paraId="0728D6A2" w14:textId="77777777" w:rsidR="00FD1E19" w:rsidRDefault="00FD1E19" w:rsidP="00FD1E19">
      <w:pPr>
        <w:pStyle w:val="HEADER5"/>
        <w:rPr>
          <w:noProof/>
        </w:rPr>
      </w:pPr>
    </w:p>
    <w:tbl>
      <w:tblPr>
        <w:tblW w:w="5000" w:type="pct"/>
        <w:tblLook w:val="04A0" w:firstRow="1" w:lastRow="0" w:firstColumn="1" w:lastColumn="0" w:noHBand="0" w:noVBand="1"/>
      </w:tblPr>
      <w:tblGrid>
        <w:gridCol w:w="254"/>
        <w:gridCol w:w="1352"/>
        <w:gridCol w:w="1352"/>
        <w:gridCol w:w="690"/>
        <w:gridCol w:w="725"/>
        <w:gridCol w:w="671"/>
        <w:gridCol w:w="216"/>
        <w:gridCol w:w="573"/>
        <w:gridCol w:w="725"/>
        <w:gridCol w:w="671"/>
        <w:gridCol w:w="648"/>
        <w:gridCol w:w="725"/>
        <w:gridCol w:w="552"/>
        <w:gridCol w:w="700"/>
      </w:tblGrid>
      <w:tr w:rsidR="00FD1E19" w14:paraId="61A9F798" w14:textId="77777777" w:rsidTr="00BE7E4A">
        <w:trPr>
          <w:trHeight w:val="364"/>
        </w:trPr>
        <w:tc>
          <w:tcPr>
            <w:tcW w:w="9629" w:type="dxa"/>
            <w:gridSpan w:val="14"/>
            <w:tcBorders>
              <w:top w:val="single" w:sz="4" w:space="0" w:color="auto"/>
              <w:left w:val="single" w:sz="4" w:space="0" w:color="auto"/>
              <w:bottom w:val="nil"/>
              <w:right w:val="single" w:sz="4" w:space="0" w:color="auto"/>
            </w:tcBorders>
            <w:shd w:val="clear" w:color="FFFFFF" w:fill="FFFFFF"/>
            <w:vAlign w:val="center"/>
            <w:hideMark/>
          </w:tcPr>
          <w:p w14:paraId="44BEAAC4"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EDF AGGREGATED ACCOUNTS AT 31 DECEMBER 2025</w:t>
            </w:r>
            <w:r>
              <w:rPr>
                <w:rFonts w:ascii="Arial" w:hAnsi="Arial" w:cs="Arial"/>
                <w:b/>
                <w:bCs/>
                <w:noProof/>
                <w:color w:val="000000"/>
                <w:sz w:val="12"/>
                <w:szCs w:val="12"/>
              </w:rPr>
              <w:br/>
              <w:t>CLASS OF AID</w:t>
            </w:r>
          </w:p>
        </w:tc>
      </w:tr>
      <w:tr w:rsidR="00FD1E19" w14:paraId="362FC08A" w14:textId="77777777" w:rsidTr="00BE7E4A">
        <w:trPr>
          <w:trHeight w:val="180"/>
        </w:trPr>
        <w:tc>
          <w:tcPr>
            <w:tcW w:w="9629" w:type="dxa"/>
            <w:gridSpan w:val="14"/>
            <w:tcBorders>
              <w:top w:val="nil"/>
              <w:left w:val="single" w:sz="4" w:space="0" w:color="auto"/>
              <w:bottom w:val="nil"/>
              <w:right w:val="single" w:sz="4" w:space="0" w:color="auto"/>
            </w:tcBorders>
            <w:shd w:val="clear" w:color="FFFFFF" w:fill="FFFFFF"/>
            <w:noWrap/>
            <w:vAlign w:val="center"/>
            <w:hideMark/>
          </w:tcPr>
          <w:p w14:paraId="508C6C9E"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ACP + PTOM - 10 th EDF</w:t>
            </w:r>
          </w:p>
        </w:tc>
      </w:tr>
      <w:tr w:rsidR="00FD1E19" w14:paraId="26227C74" w14:textId="77777777" w:rsidTr="00BE7E4A">
        <w:trPr>
          <w:trHeight w:val="180"/>
        </w:trPr>
        <w:tc>
          <w:tcPr>
            <w:tcW w:w="252" w:type="dxa"/>
            <w:tcBorders>
              <w:top w:val="nil"/>
              <w:left w:val="single" w:sz="4" w:space="0" w:color="auto"/>
              <w:bottom w:val="nil"/>
              <w:right w:val="nil"/>
            </w:tcBorders>
            <w:shd w:val="clear" w:color="FFFFFF" w:fill="FFFFFF"/>
            <w:noWrap/>
            <w:vAlign w:val="center"/>
            <w:hideMark/>
          </w:tcPr>
          <w:p w14:paraId="60FA517C"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1360" w:type="dxa"/>
            <w:tcBorders>
              <w:top w:val="nil"/>
              <w:left w:val="nil"/>
              <w:bottom w:val="nil"/>
              <w:right w:val="nil"/>
            </w:tcBorders>
            <w:shd w:val="clear" w:color="FFFFFF" w:fill="FFFFFF"/>
            <w:noWrap/>
            <w:vAlign w:val="center"/>
            <w:hideMark/>
          </w:tcPr>
          <w:p w14:paraId="7E14FCB3"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1360" w:type="dxa"/>
            <w:tcBorders>
              <w:top w:val="nil"/>
              <w:left w:val="nil"/>
              <w:bottom w:val="nil"/>
              <w:right w:val="nil"/>
            </w:tcBorders>
            <w:shd w:val="clear" w:color="FFFFFF" w:fill="FFFFFF"/>
            <w:noWrap/>
            <w:vAlign w:val="center"/>
            <w:hideMark/>
          </w:tcPr>
          <w:p w14:paraId="062F6C7F"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693" w:type="dxa"/>
            <w:tcBorders>
              <w:top w:val="nil"/>
              <w:left w:val="nil"/>
              <w:bottom w:val="nil"/>
              <w:right w:val="nil"/>
            </w:tcBorders>
            <w:shd w:val="clear" w:color="FFFFFF" w:fill="FFFFFF"/>
            <w:noWrap/>
            <w:vAlign w:val="center"/>
            <w:hideMark/>
          </w:tcPr>
          <w:p w14:paraId="6461F536"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728" w:type="dxa"/>
            <w:tcBorders>
              <w:top w:val="nil"/>
              <w:left w:val="nil"/>
              <w:bottom w:val="nil"/>
              <w:right w:val="nil"/>
            </w:tcBorders>
            <w:shd w:val="clear" w:color="FFFFFF" w:fill="FFFFFF"/>
            <w:noWrap/>
            <w:vAlign w:val="center"/>
            <w:hideMark/>
          </w:tcPr>
          <w:p w14:paraId="1D0917D9"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890" w:type="dxa"/>
            <w:gridSpan w:val="2"/>
            <w:tcBorders>
              <w:top w:val="nil"/>
              <w:left w:val="nil"/>
              <w:bottom w:val="nil"/>
              <w:right w:val="nil"/>
            </w:tcBorders>
            <w:shd w:val="clear" w:color="FFFFFF" w:fill="FFFFFF"/>
            <w:noWrap/>
            <w:vAlign w:val="center"/>
            <w:hideMark/>
          </w:tcPr>
          <w:p w14:paraId="00E4A3A5"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398" w:type="dxa"/>
            <w:tcBorders>
              <w:top w:val="nil"/>
              <w:left w:val="nil"/>
              <w:bottom w:val="nil"/>
              <w:right w:val="nil"/>
            </w:tcBorders>
            <w:shd w:val="clear" w:color="FFFFFF" w:fill="FFFFFF"/>
            <w:noWrap/>
            <w:vAlign w:val="center"/>
            <w:hideMark/>
          </w:tcPr>
          <w:p w14:paraId="5E66B32D"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728" w:type="dxa"/>
            <w:tcBorders>
              <w:top w:val="nil"/>
              <w:left w:val="nil"/>
              <w:bottom w:val="nil"/>
              <w:right w:val="nil"/>
            </w:tcBorders>
            <w:shd w:val="clear" w:color="FFFFFF" w:fill="FFFFFF"/>
            <w:noWrap/>
            <w:vAlign w:val="center"/>
            <w:hideMark/>
          </w:tcPr>
          <w:p w14:paraId="24F4B512"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674" w:type="dxa"/>
            <w:tcBorders>
              <w:top w:val="nil"/>
              <w:left w:val="nil"/>
              <w:bottom w:val="nil"/>
              <w:right w:val="nil"/>
            </w:tcBorders>
            <w:shd w:val="clear" w:color="FFFFFF" w:fill="FFFFFF"/>
            <w:noWrap/>
            <w:vAlign w:val="center"/>
            <w:hideMark/>
          </w:tcPr>
          <w:p w14:paraId="5AD32BCF"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651" w:type="dxa"/>
            <w:tcBorders>
              <w:top w:val="nil"/>
              <w:left w:val="nil"/>
              <w:bottom w:val="nil"/>
              <w:right w:val="nil"/>
            </w:tcBorders>
            <w:shd w:val="clear" w:color="FFFFFF" w:fill="FFFFFF"/>
            <w:noWrap/>
            <w:vAlign w:val="center"/>
            <w:hideMark/>
          </w:tcPr>
          <w:p w14:paraId="72448DD8"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728" w:type="dxa"/>
            <w:tcBorders>
              <w:top w:val="nil"/>
              <w:left w:val="nil"/>
              <w:bottom w:val="nil"/>
              <w:right w:val="nil"/>
            </w:tcBorders>
            <w:shd w:val="clear" w:color="FFFFFF" w:fill="FFFFFF"/>
            <w:noWrap/>
            <w:vAlign w:val="center"/>
            <w:hideMark/>
          </w:tcPr>
          <w:p w14:paraId="4B029C04"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1167" w:type="dxa"/>
            <w:gridSpan w:val="2"/>
            <w:tcBorders>
              <w:top w:val="nil"/>
              <w:left w:val="nil"/>
              <w:bottom w:val="nil"/>
              <w:right w:val="single" w:sz="4" w:space="0" w:color="auto"/>
            </w:tcBorders>
            <w:shd w:val="clear" w:color="FFFFFF" w:fill="FFFFFF"/>
            <w:noWrap/>
            <w:vAlign w:val="center"/>
            <w:hideMark/>
          </w:tcPr>
          <w:p w14:paraId="3E282BBB" w14:textId="77777777" w:rsidR="00FD1E19" w:rsidRDefault="00FD1E19" w:rsidP="00BE7E4A">
            <w:pPr>
              <w:jc w:val="right"/>
              <w:rPr>
                <w:rFonts w:ascii="Arial" w:hAnsi="Arial" w:cs="Arial"/>
                <w:noProof/>
                <w:color w:val="000000"/>
                <w:sz w:val="12"/>
                <w:szCs w:val="12"/>
              </w:rPr>
            </w:pPr>
            <w:r>
              <w:rPr>
                <w:rFonts w:ascii="Arial" w:hAnsi="Arial" w:cs="Arial"/>
                <w:noProof/>
                <w:color w:val="000000"/>
                <w:sz w:val="12"/>
                <w:szCs w:val="12"/>
              </w:rPr>
              <w:t>(EUR million)</w:t>
            </w:r>
          </w:p>
        </w:tc>
      </w:tr>
      <w:tr w:rsidR="00FD1E19" w14:paraId="298D04CC" w14:textId="77777777" w:rsidTr="00BE7E4A">
        <w:trPr>
          <w:trHeight w:val="180"/>
        </w:trPr>
        <w:tc>
          <w:tcPr>
            <w:tcW w:w="2972" w:type="dxa"/>
            <w:gridSpan w:val="3"/>
            <w:vMerge w:val="restart"/>
            <w:tcBorders>
              <w:top w:val="single" w:sz="4" w:space="0" w:color="000000"/>
              <w:left w:val="single" w:sz="4" w:space="0" w:color="auto"/>
              <w:bottom w:val="single" w:sz="4" w:space="0" w:color="000000"/>
              <w:right w:val="single" w:sz="4" w:space="0" w:color="000000"/>
            </w:tcBorders>
            <w:shd w:val="clear" w:color="FFFFFF" w:fill="FFFFFF"/>
            <w:noWrap/>
            <w:vAlign w:val="center"/>
            <w:hideMark/>
          </w:tcPr>
          <w:p w14:paraId="140D279D"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69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57B571B9" w14:textId="77777777" w:rsidR="00FD1E19" w:rsidRPr="00AB76DF" w:rsidRDefault="00FD1E19" w:rsidP="00BE7E4A">
            <w:pPr>
              <w:jc w:val="center"/>
              <w:rPr>
                <w:rFonts w:ascii="Arial" w:hAnsi="Arial" w:cs="Arial"/>
                <w:b/>
                <w:bCs/>
                <w:noProof/>
                <w:color w:val="000000"/>
                <w:sz w:val="10"/>
                <w:szCs w:val="10"/>
              </w:rPr>
            </w:pPr>
            <w:r w:rsidRPr="00AB76DF">
              <w:rPr>
                <w:rFonts w:ascii="Arial" w:hAnsi="Arial" w:cs="Arial"/>
                <w:b/>
                <w:bCs/>
                <w:noProof/>
                <w:color w:val="000000"/>
                <w:sz w:val="10"/>
                <w:szCs w:val="10"/>
              </w:rPr>
              <w:t>CREDITS</w:t>
            </w:r>
          </w:p>
        </w:tc>
        <w:tc>
          <w:tcPr>
            <w:tcW w:w="2016" w:type="dxa"/>
            <w:gridSpan w:val="4"/>
            <w:tcBorders>
              <w:top w:val="single" w:sz="4" w:space="0" w:color="000000"/>
              <w:left w:val="nil"/>
              <w:bottom w:val="single" w:sz="4" w:space="0" w:color="000000"/>
              <w:right w:val="single" w:sz="4" w:space="0" w:color="000000"/>
            </w:tcBorders>
            <w:shd w:val="clear" w:color="FFFFFF" w:fill="FFFFFF"/>
            <w:noWrap/>
            <w:vAlign w:val="center"/>
            <w:hideMark/>
          </w:tcPr>
          <w:p w14:paraId="66D8AF2E"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DECISIONS</w:t>
            </w:r>
          </w:p>
        </w:tc>
        <w:tc>
          <w:tcPr>
            <w:tcW w:w="2053" w:type="dxa"/>
            <w:gridSpan w:val="3"/>
            <w:tcBorders>
              <w:top w:val="single" w:sz="4" w:space="0" w:color="000000"/>
              <w:left w:val="nil"/>
              <w:bottom w:val="single" w:sz="4" w:space="0" w:color="000000"/>
              <w:right w:val="single" w:sz="4" w:space="0" w:color="000000"/>
            </w:tcBorders>
            <w:shd w:val="clear" w:color="FFFFFF" w:fill="FFFFFF"/>
            <w:noWrap/>
            <w:vAlign w:val="center"/>
            <w:hideMark/>
          </w:tcPr>
          <w:p w14:paraId="21C563E9"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ASSIGNED FUNDS</w:t>
            </w:r>
          </w:p>
        </w:tc>
        <w:tc>
          <w:tcPr>
            <w:tcW w:w="1895" w:type="dxa"/>
            <w:gridSpan w:val="3"/>
            <w:tcBorders>
              <w:top w:val="single" w:sz="4" w:space="0" w:color="000000"/>
              <w:left w:val="nil"/>
              <w:bottom w:val="single" w:sz="4" w:space="0" w:color="000000"/>
              <w:right w:val="single" w:sz="4" w:space="0" w:color="auto"/>
            </w:tcBorders>
            <w:shd w:val="clear" w:color="FFFFFF" w:fill="FFFFFF"/>
            <w:noWrap/>
            <w:vAlign w:val="center"/>
            <w:hideMark/>
          </w:tcPr>
          <w:p w14:paraId="2C96A036"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PAYMENTS</w:t>
            </w:r>
          </w:p>
        </w:tc>
      </w:tr>
      <w:tr w:rsidR="00FD1E19" w14:paraId="606F84B3" w14:textId="77777777" w:rsidTr="00BE7E4A">
        <w:trPr>
          <w:trHeight w:val="180"/>
        </w:trPr>
        <w:tc>
          <w:tcPr>
            <w:tcW w:w="2972" w:type="dxa"/>
            <w:gridSpan w:val="3"/>
            <w:vMerge/>
            <w:tcBorders>
              <w:top w:val="single" w:sz="4" w:space="0" w:color="000000"/>
              <w:left w:val="single" w:sz="4" w:space="0" w:color="auto"/>
              <w:bottom w:val="single" w:sz="4" w:space="0" w:color="000000"/>
              <w:right w:val="single" w:sz="4" w:space="0" w:color="000000"/>
            </w:tcBorders>
            <w:vAlign w:val="center"/>
            <w:hideMark/>
          </w:tcPr>
          <w:p w14:paraId="21FDBD09" w14:textId="77777777" w:rsidR="00FD1E19" w:rsidRDefault="00FD1E19" w:rsidP="00BE7E4A">
            <w:pPr>
              <w:rPr>
                <w:rFonts w:ascii="Arial" w:hAnsi="Arial" w:cs="Arial"/>
                <w:noProof/>
                <w:color w:val="000000"/>
                <w:sz w:val="14"/>
                <w:szCs w:val="14"/>
              </w:rPr>
            </w:pPr>
          </w:p>
        </w:tc>
        <w:tc>
          <w:tcPr>
            <w:tcW w:w="693" w:type="dxa"/>
            <w:vMerge/>
            <w:tcBorders>
              <w:top w:val="single" w:sz="4" w:space="0" w:color="000000"/>
              <w:left w:val="single" w:sz="4" w:space="0" w:color="000000"/>
              <w:bottom w:val="single" w:sz="4" w:space="0" w:color="000000"/>
              <w:right w:val="single" w:sz="4" w:space="0" w:color="000000"/>
            </w:tcBorders>
            <w:vAlign w:val="center"/>
            <w:hideMark/>
          </w:tcPr>
          <w:p w14:paraId="1E49BB38" w14:textId="77777777" w:rsidR="00FD1E19" w:rsidRPr="002138D9" w:rsidRDefault="00FD1E19" w:rsidP="00BE7E4A">
            <w:pPr>
              <w:rPr>
                <w:rFonts w:ascii="Arial" w:hAnsi="Arial" w:cs="Arial"/>
                <w:b/>
                <w:bCs/>
                <w:noProof/>
                <w:color w:val="000000"/>
                <w:sz w:val="12"/>
                <w:szCs w:val="12"/>
              </w:rPr>
            </w:pPr>
          </w:p>
        </w:tc>
        <w:tc>
          <w:tcPr>
            <w:tcW w:w="728" w:type="dxa"/>
            <w:tcBorders>
              <w:top w:val="nil"/>
              <w:left w:val="nil"/>
              <w:bottom w:val="single" w:sz="4" w:space="0" w:color="000000"/>
              <w:right w:val="single" w:sz="4" w:space="0" w:color="000000"/>
            </w:tcBorders>
            <w:shd w:val="clear" w:color="FFFFFF" w:fill="FFFFFF"/>
            <w:noWrap/>
            <w:vAlign w:val="center"/>
            <w:hideMark/>
          </w:tcPr>
          <w:p w14:paraId="0DA0089F"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AGGREG.</w:t>
            </w:r>
          </w:p>
        </w:tc>
        <w:tc>
          <w:tcPr>
            <w:tcW w:w="674" w:type="dxa"/>
            <w:tcBorders>
              <w:top w:val="nil"/>
              <w:left w:val="nil"/>
              <w:bottom w:val="single" w:sz="4" w:space="0" w:color="000000"/>
              <w:right w:val="single" w:sz="4" w:space="0" w:color="000000"/>
            </w:tcBorders>
            <w:shd w:val="clear" w:color="FFFFFF" w:fill="FFFFFF"/>
            <w:noWrap/>
            <w:vAlign w:val="center"/>
            <w:hideMark/>
          </w:tcPr>
          <w:p w14:paraId="4F7774DB"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ANNUAL</w:t>
            </w:r>
          </w:p>
        </w:tc>
        <w:tc>
          <w:tcPr>
            <w:tcW w:w="614" w:type="dxa"/>
            <w:gridSpan w:val="2"/>
            <w:tcBorders>
              <w:top w:val="nil"/>
              <w:left w:val="nil"/>
              <w:bottom w:val="single" w:sz="4" w:space="0" w:color="000000"/>
              <w:right w:val="single" w:sz="4" w:space="0" w:color="000000"/>
            </w:tcBorders>
            <w:shd w:val="clear" w:color="FFFFFF" w:fill="FFFFFF"/>
            <w:noWrap/>
            <w:vAlign w:val="center"/>
            <w:hideMark/>
          </w:tcPr>
          <w:p w14:paraId="34CADF22"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w:t>
            </w:r>
          </w:p>
        </w:tc>
        <w:tc>
          <w:tcPr>
            <w:tcW w:w="728" w:type="dxa"/>
            <w:tcBorders>
              <w:top w:val="nil"/>
              <w:left w:val="nil"/>
              <w:bottom w:val="single" w:sz="4" w:space="0" w:color="000000"/>
              <w:right w:val="single" w:sz="4" w:space="0" w:color="000000"/>
            </w:tcBorders>
            <w:shd w:val="clear" w:color="FFFFFF" w:fill="FFFFFF"/>
            <w:noWrap/>
            <w:vAlign w:val="center"/>
            <w:hideMark/>
          </w:tcPr>
          <w:p w14:paraId="65DEF291"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AGGREG.</w:t>
            </w:r>
          </w:p>
        </w:tc>
        <w:tc>
          <w:tcPr>
            <w:tcW w:w="674" w:type="dxa"/>
            <w:tcBorders>
              <w:top w:val="nil"/>
              <w:left w:val="nil"/>
              <w:bottom w:val="single" w:sz="4" w:space="0" w:color="000000"/>
              <w:right w:val="single" w:sz="4" w:space="0" w:color="000000"/>
            </w:tcBorders>
            <w:shd w:val="clear" w:color="FFFFFF" w:fill="FFFFFF"/>
            <w:noWrap/>
            <w:vAlign w:val="center"/>
            <w:hideMark/>
          </w:tcPr>
          <w:p w14:paraId="350C8F00"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ANNUAL</w:t>
            </w:r>
          </w:p>
        </w:tc>
        <w:tc>
          <w:tcPr>
            <w:tcW w:w="651" w:type="dxa"/>
            <w:tcBorders>
              <w:top w:val="nil"/>
              <w:left w:val="nil"/>
              <w:bottom w:val="single" w:sz="4" w:space="0" w:color="000000"/>
              <w:right w:val="single" w:sz="4" w:space="0" w:color="000000"/>
            </w:tcBorders>
            <w:shd w:val="clear" w:color="FFFFFF" w:fill="FFFFFF"/>
            <w:noWrap/>
            <w:vAlign w:val="center"/>
            <w:hideMark/>
          </w:tcPr>
          <w:p w14:paraId="3DD6C32C"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w:t>
            </w:r>
          </w:p>
        </w:tc>
        <w:tc>
          <w:tcPr>
            <w:tcW w:w="728" w:type="dxa"/>
            <w:tcBorders>
              <w:top w:val="nil"/>
              <w:left w:val="nil"/>
              <w:bottom w:val="single" w:sz="4" w:space="0" w:color="000000"/>
              <w:right w:val="single" w:sz="4" w:space="0" w:color="000000"/>
            </w:tcBorders>
            <w:shd w:val="clear" w:color="FFFFFF" w:fill="FFFFFF"/>
            <w:noWrap/>
            <w:vAlign w:val="center"/>
            <w:hideMark/>
          </w:tcPr>
          <w:p w14:paraId="730A5675"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AGGREG.</w:t>
            </w:r>
          </w:p>
        </w:tc>
        <w:tc>
          <w:tcPr>
            <w:tcW w:w="464" w:type="dxa"/>
            <w:tcBorders>
              <w:top w:val="nil"/>
              <w:left w:val="nil"/>
              <w:bottom w:val="single" w:sz="4" w:space="0" w:color="000000"/>
              <w:right w:val="single" w:sz="4" w:space="0" w:color="000000"/>
            </w:tcBorders>
            <w:shd w:val="clear" w:color="FFFFFF" w:fill="FFFFFF"/>
            <w:noWrap/>
            <w:vAlign w:val="center"/>
            <w:hideMark/>
          </w:tcPr>
          <w:p w14:paraId="6EA3C0C9"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ANNUAL</w:t>
            </w:r>
          </w:p>
        </w:tc>
        <w:tc>
          <w:tcPr>
            <w:tcW w:w="703" w:type="dxa"/>
            <w:tcBorders>
              <w:top w:val="nil"/>
              <w:left w:val="nil"/>
              <w:bottom w:val="single" w:sz="4" w:space="0" w:color="000000"/>
              <w:right w:val="single" w:sz="4" w:space="0" w:color="auto"/>
            </w:tcBorders>
            <w:shd w:val="clear" w:color="FFFFFF" w:fill="FFFFFF"/>
            <w:noWrap/>
            <w:vAlign w:val="center"/>
            <w:hideMark/>
          </w:tcPr>
          <w:p w14:paraId="1B27C9A5" w14:textId="77777777" w:rsidR="00FD1E19" w:rsidRPr="00AB76DF" w:rsidRDefault="00FD1E19" w:rsidP="00BE7E4A">
            <w:pPr>
              <w:jc w:val="center"/>
              <w:rPr>
                <w:rFonts w:ascii="Arial" w:hAnsi="Arial" w:cs="Arial"/>
                <w:b/>
                <w:bCs/>
                <w:noProof/>
                <w:color w:val="000000"/>
                <w:sz w:val="8"/>
                <w:szCs w:val="8"/>
              </w:rPr>
            </w:pPr>
            <w:r w:rsidRPr="00AB76DF">
              <w:rPr>
                <w:rFonts w:ascii="Arial" w:hAnsi="Arial" w:cs="Arial"/>
                <w:b/>
                <w:bCs/>
                <w:noProof/>
                <w:color w:val="000000"/>
                <w:sz w:val="8"/>
                <w:szCs w:val="8"/>
              </w:rPr>
              <w:t>%</w:t>
            </w:r>
          </w:p>
        </w:tc>
      </w:tr>
      <w:tr w:rsidR="00FD1E19" w14:paraId="705B28CB" w14:textId="77777777" w:rsidTr="00BE7E4A">
        <w:trPr>
          <w:trHeight w:val="180"/>
        </w:trPr>
        <w:tc>
          <w:tcPr>
            <w:tcW w:w="2972" w:type="dxa"/>
            <w:gridSpan w:val="3"/>
            <w:vMerge/>
            <w:tcBorders>
              <w:top w:val="single" w:sz="4" w:space="0" w:color="000000"/>
              <w:left w:val="single" w:sz="4" w:space="0" w:color="auto"/>
              <w:bottom w:val="single" w:sz="4" w:space="0" w:color="000000"/>
              <w:right w:val="single" w:sz="4" w:space="0" w:color="000000"/>
            </w:tcBorders>
            <w:vAlign w:val="center"/>
            <w:hideMark/>
          </w:tcPr>
          <w:p w14:paraId="3142A4FD" w14:textId="77777777" w:rsidR="00FD1E19" w:rsidRDefault="00FD1E19" w:rsidP="00BE7E4A">
            <w:pPr>
              <w:rPr>
                <w:rFonts w:ascii="Arial" w:hAnsi="Arial" w:cs="Arial"/>
                <w:noProof/>
                <w:color w:val="000000"/>
                <w:sz w:val="14"/>
                <w:szCs w:val="14"/>
              </w:rPr>
            </w:pPr>
          </w:p>
        </w:tc>
        <w:tc>
          <w:tcPr>
            <w:tcW w:w="693" w:type="dxa"/>
            <w:tcBorders>
              <w:top w:val="nil"/>
              <w:left w:val="nil"/>
              <w:bottom w:val="single" w:sz="4" w:space="0" w:color="000000"/>
              <w:right w:val="single" w:sz="4" w:space="0" w:color="000000"/>
            </w:tcBorders>
            <w:shd w:val="clear" w:color="FFFFFF" w:fill="FFFFFF"/>
            <w:noWrap/>
            <w:vAlign w:val="center"/>
            <w:hideMark/>
          </w:tcPr>
          <w:p w14:paraId="64C04F35"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(1)</w:t>
            </w:r>
          </w:p>
        </w:tc>
        <w:tc>
          <w:tcPr>
            <w:tcW w:w="728" w:type="dxa"/>
            <w:tcBorders>
              <w:top w:val="nil"/>
              <w:left w:val="nil"/>
              <w:bottom w:val="single" w:sz="4" w:space="0" w:color="000000"/>
              <w:right w:val="single" w:sz="4" w:space="0" w:color="000000"/>
            </w:tcBorders>
            <w:shd w:val="clear" w:color="FFFFFF" w:fill="FFFFFF"/>
            <w:noWrap/>
            <w:vAlign w:val="center"/>
            <w:hideMark/>
          </w:tcPr>
          <w:p w14:paraId="40AB812A"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(2)</w:t>
            </w:r>
          </w:p>
        </w:tc>
        <w:tc>
          <w:tcPr>
            <w:tcW w:w="674" w:type="dxa"/>
            <w:tcBorders>
              <w:top w:val="nil"/>
              <w:left w:val="nil"/>
              <w:bottom w:val="single" w:sz="4" w:space="0" w:color="000000"/>
              <w:right w:val="single" w:sz="4" w:space="0" w:color="000000"/>
            </w:tcBorders>
            <w:shd w:val="clear" w:color="FFFFFF" w:fill="FFFFFF"/>
            <w:noWrap/>
            <w:vAlign w:val="center"/>
            <w:hideMark/>
          </w:tcPr>
          <w:p w14:paraId="0E870B17"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 </w:t>
            </w:r>
          </w:p>
        </w:tc>
        <w:tc>
          <w:tcPr>
            <w:tcW w:w="614" w:type="dxa"/>
            <w:gridSpan w:val="2"/>
            <w:tcBorders>
              <w:top w:val="nil"/>
              <w:left w:val="nil"/>
              <w:bottom w:val="single" w:sz="4" w:space="0" w:color="000000"/>
              <w:right w:val="single" w:sz="4" w:space="0" w:color="000000"/>
            </w:tcBorders>
            <w:shd w:val="clear" w:color="FFFFFF" w:fill="FFFFFF"/>
            <w:noWrap/>
            <w:vAlign w:val="center"/>
            <w:hideMark/>
          </w:tcPr>
          <w:p w14:paraId="6DC13B3B"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(2) : (1)</w:t>
            </w:r>
          </w:p>
        </w:tc>
        <w:tc>
          <w:tcPr>
            <w:tcW w:w="728" w:type="dxa"/>
            <w:tcBorders>
              <w:top w:val="nil"/>
              <w:left w:val="nil"/>
              <w:bottom w:val="single" w:sz="4" w:space="0" w:color="000000"/>
              <w:right w:val="single" w:sz="4" w:space="0" w:color="000000"/>
            </w:tcBorders>
            <w:shd w:val="clear" w:color="FFFFFF" w:fill="FFFFFF"/>
            <w:noWrap/>
            <w:vAlign w:val="center"/>
            <w:hideMark/>
          </w:tcPr>
          <w:p w14:paraId="290A4A62"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(3)</w:t>
            </w:r>
          </w:p>
        </w:tc>
        <w:tc>
          <w:tcPr>
            <w:tcW w:w="674" w:type="dxa"/>
            <w:tcBorders>
              <w:top w:val="nil"/>
              <w:left w:val="nil"/>
              <w:bottom w:val="single" w:sz="4" w:space="0" w:color="000000"/>
              <w:right w:val="single" w:sz="4" w:space="0" w:color="000000"/>
            </w:tcBorders>
            <w:shd w:val="clear" w:color="FFFFFF" w:fill="FFFFFF"/>
            <w:noWrap/>
            <w:vAlign w:val="center"/>
            <w:hideMark/>
          </w:tcPr>
          <w:p w14:paraId="0AD46680"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14:paraId="116CE843"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(3) : (2)</w:t>
            </w:r>
          </w:p>
        </w:tc>
        <w:tc>
          <w:tcPr>
            <w:tcW w:w="728" w:type="dxa"/>
            <w:tcBorders>
              <w:top w:val="nil"/>
              <w:left w:val="nil"/>
              <w:bottom w:val="single" w:sz="4" w:space="0" w:color="000000"/>
              <w:right w:val="single" w:sz="4" w:space="0" w:color="000000"/>
            </w:tcBorders>
            <w:shd w:val="clear" w:color="FFFFFF" w:fill="FFFFFF"/>
            <w:noWrap/>
            <w:vAlign w:val="center"/>
            <w:hideMark/>
          </w:tcPr>
          <w:p w14:paraId="1A1708D1"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(4)</w:t>
            </w:r>
          </w:p>
        </w:tc>
        <w:tc>
          <w:tcPr>
            <w:tcW w:w="464" w:type="dxa"/>
            <w:tcBorders>
              <w:top w:val="nil"/>
              <w:left w:val="nil"/>
              <w:bottom w:val="single" w:sz="4" w:space="0" w:color="000000"/>
              <w:right w:val="single" w:sz="4" w:space="0" w:color="000000"/>
            </w:tcBorders>
            <w:shd w:val="clear" w:color="FFFFFF" w:fill="FFFFFF"/>
            <w:noWrap/>
            <w:vAlign w:val="center"/>
            <w:hideMark/>
          </w:tcPr>
          <w:p w14:paraId="00B9EF6E"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14:paraId="7822F698" w14:textId="77777777" w:rsidR="00FD1E19" w:rsidRPr="002138D9" w:rsidRDefault="00FD1E19" w:rsidP="00BE7E4A">
            <w:pPr>
              <w:jc w:val="center"/>
              <w:rPr>
                <w:rFonts w:ascii="Arial" w:hAnsi="Arial" w:cs="Arial"/>
                <w:b/>
                <w:bCs/>
                <w:noProof/>
                <w:color w:val="000000"/>
                <w:sz w:val="12"/>
                <w:szCs w:val="12"/>
              </w:rPr>
            </w:pPr>
            <w:r w:rsidRPr="002138D9">
              <w:rPr>
                <w:rFonts w:ascii="Arial" w:hAnsi="Arial" w:cs="Arial"/>
                <w:b/>
                <w:bCs/>
                <w:noProof/>
                <w:color w:val="000000"/>
                <w:sz w:val="12"/>
                <w:szCs w:val="12"/>
              </w:rPr>
              <w:t>(4) : (3)</w:t>
            </w:r>
          </w:p>
        </w:tc>
      </w:tr>
      <w:tr w:rsidR="00FD1E19" w14:paraId="59E554E7" w14:textId="77777777" w:rsidTr="00BE7E4A">
        <w:trPr>
          <w:trHeight w:val="222"/>
        </w:trPr>
        <w:tc>
          <w:tcPr>
            <w:tcW w:w="252" w:type="dxa"/>
            <w:tcBorders>
              <w:top w:val="nil"/>
              <w:left w:val="single" w:sz="4" w:space="0" w:color="auto"/>
              <w:bottom w:val="nil"/>
              <w:right w:val="nil"/>
            </w:tcBorders>
            <w:shd w:val="clear" w:color="FFFFFF" w:fill="FFFFFF"/>
            <w:noWrap/>
            <w:vAlign w:val="bottom"/>
            <w:hideMark/>
          </w:tcPr>
          <w:p w14:paraId="7438D79F"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 </w:t>
            </w:r>
          </w:p>
        </w:tc>
        <w:tc>
          <w:tcPr>
            <w:tcW w:w="2720" w:type="dxa"/>
            <w:gridSpan w:val="2"/>
            <w:tcBorders>
              <w:top w:val="nil"/>
              <w:left w:val="nil"/>
              <w:bottom w:val="nil"/>
              <w:right w:val="nil"/>
            </w:tcBorders>
            <w:shd w:val="clear" w:color="FFFFFF" w:fill="FFFFFF"/>
            <w:noWrap/>
            <w:vAlign w:val="bottom"/>
            <w:hideMark/>
          </w:tcPr>
          <w:p w14:paraId="43B4F3E9"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 </w:t>
            </w:r>
          </w:p>
        </w:tc>
        <w:tc>
          <w:tcPr>
            <w:tcW w:w="693" w:type="dxa"/>
            <w:tcBorders>
              <w:top w:val="nil"/>
              <w:left w:val="single" w:sz="4" w:space="0" w:color="FFFFFF"/>
              <w:bottom w:val="nil"/>
              <w:right w:val="nil"/>
            </w:tcBorders>
            <w:shd w:val="clear" w:color="FFFFFF" w:fill="FFFFFF"/>
            <w:noWrap/>
            <w:vAlign w:val="center"/>
            <w:hideMark/>
          </w:tcPr>
          <w:p w14:paraId="0FFE02F2"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FFFFFF"/>
              <w:bottom w:val="nil"/>
              <w:right w:val="nil"/>
            </w:tcBorders>
            <w:shd w:val="clear" w:color="FFFFFF" w:fill="FFFFFF"/>
            <w:noWrap/>
            <w:vAlign w:val="center"/>
            <w:hideMark/>
          </w:tcPr>
          <w:p w14:paraId="1EC3B477"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890" w:type="dxa"/>
            <w:gridSpan w:val="2"/>
            <w:tcBorders>
              <w:top w:val="nil"/>
              <w:left w:val="single" w:sz="4" w:space="0" w:color="FFFFFF"/>
              <w:bottom w:val="nil"/>
              <w:right w:val="nil"/>
            </w:tcBorders>
            <w:shd w:val="clear" w:color="FFFFFF" w:fill="FFFFFF"/>
            <w:noWrap/>
            <w:vAlign w:val="center"/>
            <w:hideMark/>
          </w:tcPr>
          <w:p w14:paraId="54EEF5B2"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single" w:sz="4" w:space="0" w:color="FFFFFF"/>
              <w:bottom w:val="nil"/>
              <w:right w:val="nil"/>
            </w:tcBorders>
            <w:shd w:val="clear" w:color="FFFFFF" w:fill="FFFFFF"/>
            <w:noWrap/>
            <w:vAlign w:val="center"/>
            <w:hideMark/>
          </w:tcPr>
          <w:p w14:paraId="6E549DE7"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FFFFFF"/>
              <w:bottom w:val="nil"/>
              <w:right w:val="nil"/>
            </w:tcBorders>
            <w:shd w:val="clear" w:color="FFFFFF" w:fill="FFFFFF"/>
            <w:noWrap/>
            <w:vAlign w:val="center"/>
            <w:hideMark/>
          </w:tcPr>
          <w:p w14:paraId="3F3AAADE"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74" w:type="dxa"/>
            <w:tcBorders>
              <w:top w:val="nil"/>
              <w:left w:val="single" w:sz="4" w:space="0" w:color="FFFFFF"/>
              <w:bottom w:val="nil"/>
              <w:right w:val="nil"/>
            </w:tcBorders>
            <w:shd w:val="clear" w:color="FFFFFF" w:fill="FFFFFF"/>
            <w:noWrap/>
            <w:vAlign w:val="center"/>
            <w:hideMark/>
          </w:tcPr>
          <w:p w14:paraId="48B9DB8B"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single" w:sz="4" w:space="0" w:color="FFFFFF"/>
              <w:bottom w:val="nil"/>
              <w:right w:val="nil"/>
            </w:tcBorders>
            <w:shd w:val="clear" w:color="FFFFFF" w:fill="FFFFFF"/>
            <w:noWrap/>
            <w:vAlign w:val="center"/>
            <w:hideMark/>
          </w:tcPr>
          <w:p w14:paraId="1D28359F"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FFFFFF"/>
              <w:bottom w:val="nil"/>
              <w:right w:val="nil"/>
            </w:tcBorders>
            <w:shd w:val="clear" w:color="FFFFFF" w:fill="FFFFFF"/>
            <w:noWrap/>
            <w:vAlign w:val="center"/>
            <w:hideMark/>
          </w:tcPr>
          <w:p w14:paraId="2A9DCB3C"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464" w:type="dxa"/>
            <w:tcBorders>
              <w:top w:val="nil"/>
              <w:left w:val="single" w:sz="4" w:space="0" w:color="FFFFFF"/>
              <w:bottom w:val="nil"/>
              <w:right w:val="nil"/>
            </w:tcBorders>
            <w:shd w:val="clear" w:color="FFFFFF" w:fill="FFFFFF"/>
            <w:noWrap/>
            <w:vAlign w:val="center"/>
            <w:hideMark/>
          </w:tcPr>
          <w:p w14:paraId="028A98AA"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single" w:sz="4" w:space="0" w:color="FFFFFF"/>
              <w:bottom w:val="nil"/>
              <w:right w:val="single" w:sz="4" w:space="0" w:color="auto"/>
            </w:tcBorders>
            <w:shd w:val="clear" w:color="FFFFFF" w:fill="FFFFFF"/>
            <w:noWrap/>
            <w:vAlign w:val="center"/>
            <w:hideMark/>
          </w:tcPr>
          <w:p w14:paraId="1A0F5966"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r>
      <w:tr w:rsidR="00FD1E19" w14:paraId="72E901AC" w14:textId="77777777" w:rsidTr="00BE7E4A">
        <w:trPr>
          <w:trHeight w:val="222"/>
        </w:trPr>
        <w:tc>
          <w:tcPr>
            <w:tcW w:w="252" w:type="dxa"/>
            <w:tcBorders>
              <w:top w:val="single" w:sz="4" w:space="0" w:color="000000"/>
              <w:left w:val="single" w:sz="4" w:space="0" w:color="auto"/>
              <w:bottom w:val="nil"/>
              <w:right w:val="single" w:sz="4" w:space="0" w:color="000000"/>
            </w:tcBorders>
            <w:shd w:val="clear" w:color="FFFFFF" w:fill="999999"/>
            <w:noWrap/>
            <w:vAlign w:val="bottom"/>
            <w:hideMark/>
          </w:tcPr>
          <w:p w14:paraId="4DF71143" w14:textId="77777777" w:rsidR="00FD1E19" w:rsidRDefault="00FD1E19" w:rsidP="00BE7E4A">
            <w:pPr>
              <w:rPr>
                <w:rFonts w:ascii="Arial" w:hAnsi="Arial" w:cs="Arial"/>
                <w:b/>
                <w:bCs/>
                <w:noProof/>
                <w:color w:val="000000"/>
                <w:sz w:val="14"/>
                <w:szCs w:val="14"/>
              </w:rPr>
            </w:pPr>
            <w:r>
              <w:rPr>
                <w:rFonts w:ascii="Arial" w:hAnsi="Arial" w:cs="Arial"/>
                <w:b/>
                <w:bCs/>
                <w:noProof/>
                <w:color w:val="000000"/>
                <w:sz w:val="14"/>
                <w:szCs w:val="14"/>
              </w:rPr>
              <w:t> </w:t>
            </w:r>
          </w:p>
        </w:tc>
        <w:tc>
          <w:tcPr>
            <w:tcW w:w="2720" w:type="dxa"/>
            <w:gridSpan w:val="2"/>
            <w:tcBorders>
              <w:top w:val="single" w:sz="4" w:space="0" w:color="000000"/>
              <w:left w:val="nil"/>
              <w:bottom w:val="nil"/>
              <w:right w:val="nil"/>
            </w:tcBorders>
            <w:shd w:val="clear" w:color="FFFFFF" w:fill="C0C0C0"/>
            <w:noWrap/>
            <w:vAlign w:val="bottom"/>
            <w:hideMark/>
          </w:tcPr>
          <w:p w14:paraId="1A5E0E09" w14:textId="77777777" w:rsidR="00FD1E19" w:rsidRDefault="00FD1E19" w:rsidP="00BE7E4A">
            <w:pPr>
              <w:rPr>
                <w:rFonts w:ascii="Arial" w:hAnsi="Arial" w:cs="Arial"/>
                <w:b/>
                <w:bCs/>
                <w:noProof/>
                <w:color w:val="000000"/>
                <w:sz w:val="14"/>
                <w:szCs w:val="14"/>
              </w:rPr>
            </w:pPr>
            <w:r>
              <w:rPr>
                <w:rFonts w:ascii="Arial" w:hAnsi="Arial" w:cs="Arial"/>
                <w:b/>
                <w:bCs/>
                <w:noProof/>
                <w:color w:val="000000"/>
                <w:sz w:val="14"/>
                <w:szCs w:val="14"/>
              </w:rPr>
              <w:t>Regular MS Contributions</w:t>
            </w:r>
          </w:p>
        </w:tc>
        <w:tc>
          <w:tcPr>
            <w:tcW w:w="693" w:type="dxa"/>
            <w:tcBorders>
              <w:top w:val="single" w:sz="4" w:space="0" w:color="000000"/>
              <w:left w:val="single" w:sz="4" w:space="0" w:color="000000"/>
              <w:bottom w:val="nil"/>
              <w:right w:val="nil"/>
            </w:tcBorders>
            <w:shd w:val="clear" w:color="FFFFFF" w:fill="C0C0C0"/>
            <w:noWrap/>
            <w:vAlign w:val="center"/>
            <w:hideMark/>
          </w:tcPr>
          <w:p w14:paraId="254D28D1"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14:paraId="1C23A096"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890" w:type="dxa"/>
            <w:gridSpan w:val="2"/>
            <w:tcBorders>
              <w:top w:val="single" w:sz="4" w:space="0" w:color="000000"/>
              <w:left w:val="single" w:sz="4" w:space="0" w:color="000000"/>
              <w:bottom w:val="nil"/>
              <w:right w:val="nil"/>
            </w:tcBorders>
            <w:shd w:val="clear" w:color="FFFFFF" w:fill="C0C0C0"/>
            <w:noWrap/>
            <w:vAlign w:val="center"/>
            <w:hideMark/>
          </w:tcPr>
          <w:p w14:paraId="1DD458FC"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398" w:type="dxa"/>
            <w:tcBorders>
              <w:top w:val="single" w:sz="4" w:space="0" w:color="000000"/>
              <w:left w:val="single" w:sz="4" w:space="0" w:color="000000"/>
              <w:bottom w:val="nil"/>
              <w:right w:val="nil"/>
            </w:tcBorders>
            <w:shd w:val="clear" w:color="FFFFFF" w:fill="C0C0C0"/>
            <w:noWrap/>
            <w:vAlign w:val="center"/>
            <w:hideMark/>
          </w:tcPr>
          <w:p w14:paraId="766681C0"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14:paraId="558CAA85"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674" w:type="dxa"/>
            <w:tcBorders>
              <w:top w:val="single" w:sz="4" w:space="0" w:color="000000"/>
              <w:left w:val="single" w:sz="4" w:space="0" w:color="000000"/>
              <w:bottom w:val="nil"/>
              <w:right w:val="nil"/>
            </w:tcBorders>
            <w:shd w:val="clear" w:color="FFFFFF" w:fill="C0C0C0"/>
            <w:noWrap/>
            <w:vAlign w:val="center"/>
            <w:hideMark/>
          </w:tcPr>
          <w:p w14:paraId="10768F41"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651" w:type="dxa"/>
            <w:tcBorders>
              <w:top w:val="single" w:sz="4" w:space="0" w:color="000000"/>
              <w:left w:val="single" w:sz="4" w:space="0" w:color="000000"/>
              <w:bottom w:val="nil"/>
              <w:right w:val="nil"/>
            </w:tcBorders>
            <w:shd w:val="clear" w:color="FFFFFF" w:fill="C0C0C0"/>
            <w:noWrap/>
            <w:vAlign w:val="center"/>
            <w:hideMark/>
          </w:tcPr>
          <w:p w14:paraId="2F626969"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14:paraId="6D72AED8"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464" w:type="dxa"/>
            <w:tcBorders>
              <w:top w:val="single" w:sz="4" w:space="0" w:color="000000"/>
              <w:left w:val="single" w:sz="4" w:space="0" w:color="000000"/>
              <w:bottom w:val="nil"/>
              <w:right w:val="nil"/>
            </w:tcBorders>
            <w:shd w:val="clear" w:color="FFFFFF" w:fill="C0C0C0"/>
            <w:noWrap/>
            <w:vAlign w:val="center"/>
            <w:hideMark/>
          </w:tcPr>
          <w:p w14:paraId="63AA7C2B"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03" w:type="dxa"/>
            <w:tcBorders>
              <w:top w:val="single" w:sz="4" w:space="0" w:color="000000"/>
              <w:left w:val="single" w:sz="4" w:space="0" w:color="000000"/>
              <w:bottom w:val="nil"/>
              <w:right w:val="single" w:sz="4" w:space="0" w:color="auto"/>
            </w:tcBorders>
            <w:shd w:val="clear" w:color="FFFFFF" w:fill="C0C0C0"/>
            <w:noWrap/>
            <w:vAlign w:val="center"/>
            <w:hideMark/>
          </w:tcPr>
          <w:p w14:paraId="1E6A6673"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r>
      <w:tr w:rsidR="00FD1E19" w14:paraId="02E67A11" w14:textId="77777777" w:rsidTr="00BE7E4A">
        <w:trPr>
          <w:trHeight w:val="222"/>
        </w:trPr>
        <w:tc>
          <w:tcPr>
            <w:tcW w:w="252" w:type="dxa"/>
            <w:tcBorders>
              <w:top w:val="nil"/>
              <w:left w:val="single" w:sz="4" w:space="0" w:color="auto"/>
              <w:bottom w:val="nil"/>
              <w:right w:val="single" w:sz="4" w:space="0" w:color="000000"/>
            </w:tcBorders>
            <w:shd w:val="clear" w:color="FFFFFF" w:fill="999999"/>
            <w:noWrap/>
            <w:vAlign w:val="bottom"/>
            <w:hideMark/>
          </w:tcPr>
          <w:p w14:paraId="6FF210A7"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 </w:t>
            </w:r>
          </w:p>
        </w:tc>
        <w:tc>
          <w:tcPr>
            <w:tcW w:w="2720" w:type="dxa"/>
            <w:gridSpan w:val="2"/>
            <w:tcBorders>
              <w:top w:val="nil"/>
              <w:left w:val="nil"/>
              <w:bottom w:val="nil"/>
              <w:right w:val="nil"/>
            </w:tcBorders>
            <w:shd w:val="clear" w:color="FFFFFF" w:fill="DEDCDC"/>
            <w:noWrap/>
            <w:vAlign w:val="bottom"/>
            <w:hideMark/>
          </w:tcPr>
          <w:p w14:paraId="3475C989"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Allocations</w:t>
            </w:r>
          </w:p>
        </w:tc>
        <w:tc>
          <w:tcPr>
            <w:tcW w:w="693" w:type="dxa"/>
            <w:tcBorders>
              <w:top w:val="nil"/>
              <w:left w:val="single" w:sz="4" w:space="0" w:color="000000"/>
              <w:bottom w:val="nil"/>
              <w:right w:val="nil"/>
            </w:tcBorders>
            <w:shd w:val="clear" w:color="FFFFFF" w:fill="DEDCDC"/>
            <w:noWrap/>
            <w:vAlign w:val="center"/>
            <w:hideMark/>
          </w:tcPr>
          <w:p w14:paraId="25C151C8"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046B244D"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890" w:type="dxa"/>
            <w:gridSpan w:val="2"/>
            <w:tcBorders>
              <w:top w:val="nil"/>
              <w:left w:val="single" w:sz="4" w:space="0" w:color="000000"/>
              <w:bottom w:val="nil"/>
              <w:right w:val="nil"/>
            </w:tcBorders>
            <w:shd w:val="clear" w:color="FFFFFF" w:fill="DEDCDC"/>
            <w:noWrap/>
            <w:vAlign w:val="center"/>
            <w:hideMark/>
          </w:tcPr>
          <w:p w14:paraId="1D5C4BC2"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single" w:sz="4" w:space="0" w:color="000000"/>
              <w:bottom w:val="nil"/>
              <w:right w:val="nil"/>
            </w:tcBorders>
            <w:shd w:val="clear" w:color="FFFFFF" w:fill="DEDCDC"/>
            <w:noWrap/>
            <w:vAlign w:val="center"/>
            <w:hideMark/>
          </w:tcPr>
          <w:p w14:paraId="78D30446"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5257F77A"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74" w:type="dxa"/>
            <w:tcBorders>
              <w:top w:val="nil"/>
              <w:left w:val="single" w:sz="4" w:space="0" w:color="000000"/>
              <w:bottom w:val="nil"/>
              <w:right w:val="nil"/>
            </w:tcBorders>
            <w:shd w:val="clear" w:color="FFFFFF" w:fill="DEDCDC"/>
            <w:noWrap/>
            <w:vAlign w:val="center"/>
            <w:hideMark/>
          </w:tcPr>
          <w:p w14:paraId="13BDDB84"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single" w:sz="4" w:space="0" w:color="000000"/>
              <w:bottom w:val="nil"/>
              <w:right w:val="nil"/>
            </w:tcBorders>
            <w:shd w:val="clear" w:color="FFFFFF" w:fill="DEDCDC"/>
            <w:noWrap/>
            <w:vAlign w:val="center"/>
            <w:hideMark/>
          </w:tcPr>
          <w:p w14:paraId="759B0269"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56B85D78"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464" w:type="dxa"/>
            <w:tcBorders>
              <w:top w:val="nil"/>
              <w:left w:val="single" w:sz="4" w:space="0" w:color="000000"/>
              <w:bottom w:val="nil"/>
              <w:right w:val="nil"/>
            </w:tcBorders>
            <w:shd w:val="clear" w:color="FFFFFF" w:fill="DEDCDC"/>
            <w:noWrap/>
            <w:vAlign w:val="center"/>
            <w:hideMark/>
          </w:tcPr>
          <w:p w14:paraId="79E6B103"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14:paraId="2221B9ED"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r>
      <w:tr w:rsidR="00FD1E19" w14:paraId="76E625E1" w14:textId="77777777" w:rsidTr="00BE7E4A">
        <w:trPr>
          <w:trHeight w:val="244"/>
        </w:trPr>
        <w:tc>
          <w:tcPr>
            <w:tcW w:w="252" w:type="dxa"/>
            <w:vMerge w:val="restart"/>
            <w:tcBorders>
              <w:top w:val="nil"/>
              <w:left w:val="single" w:sz="4" w:space="0" w:color="auto"/>
              <w:bottom w:val="single" w:sz="4" w:space="0" w:color="000000"/>
              <w:right w:val="single" w:sz="4" w:space="0" w:color="000000"/>
            </w:tcBorders>
            <w:shd w:val="clear" w:color="FFFFFF" w:fill="999999"/>
            <w:vAlign w:val="center"/>
            <w:hideMark/>
          </w:tcPr>
          <w:p w14:paraId="5EE57DCB"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2517C79E"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A ENVELOPE - NATIONAL ALLOCATIONS</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14:paraId="1C51ADFA"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12.247</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048BFE6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12.245</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9AC74B1" w14:textId="77777777" w:rsidR="00FD1E19" w:rsidRDefault="00FD1E19" w:rsidP="00BE7E4A">
            <w:pPr>
              <w:jc w:val="right"/>
              <w:rPr>
                <w:rFonts w:ascii="Arial" w:hAnsi="Arial" w:cs="Arial"/>
                <w:b/>
                <w:bCs/>
                <w:noProof/>
                <w:color w:val="FF0000"/>
                <w:sz w:val="12"/>
                <w:szCs w:val="12"/>
              </w:rPr>
            </w:pPr>
            <w:r>
              <w:rPr>
                <w:rFonts w:ascii="Arial" w:hAnsi="Arial" w:cs="Arial"/>
                <w:b/>
                <w:bCs/>
                <w:noProof/>
                <w:color w:val="FF0000"/>
                <w:sz w:val="12"/>
                <w:szCs w:val="12"/>
              </w:rPr>
              <w:t>(23)</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14:paraId="38055CA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40C04EE8"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12.231</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14:paraId="2C9FE4C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(24)</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14:paraId="0D17D57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666450A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12.204</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14:paraId="3175FEA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14:paraId="16B69E5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5AC6F86A"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76482F9B"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4A574BB6"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B ENVELOPE - NATIONAL ALLOCATIONS</w:t>
            </w:r>
          </w:p>
        </w:tc>
        <w:tc>
          <w:tcPr>
            <w:tcW w:w="693" w:type="dxa"/>
            <w:tcBorders>
              <w:top w:val="nil"/>
              <w:left w:val="nil"/>
              <w:bottom w:val="single" w:sz="4" w:space="0" w:color="000000"/>
              <w:right w:val="single" w:sz="4" w:space="0" w:color="000000"/>
            </w:tcBorders>
            <w:shd w:val="clear" w:color="FFFFFF" w:fill="FFFFFF"/>
            <w:noWrap/>
            <w:vAlign w:val="center"/>
            <w:hideMark/>
          </w:tcPr>
          <w:p w14:paraId="12006F72"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1.960</w:t>
            </w:r>
          </w:p>
        </w:tc>
        <w:tc>
          <w:tcPr>
            <w:tcW w:w="728" w:type="dxa"/>
            <w:tcBorders>
              <w:top w:val="nil"/>
              <w:left w:val="nil"/>
              <w:bottom w:val="single" w:sz="4" w:space="0" w:color="000000"/>
              <w:right w:val="single" w:sz="4" w:space="0" w:color="000000"/>
            </w:tcBorders>
            <w:shd w:val="clear" w:color="FFFFFF" w:fill="FFFFFF"/>
            <w:noWrap/>
            <w:vAlign w:val="center"/>
            <w:hideMark/>
          </w:tcPr>
          <w:p w14:paraId="35C0123A"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1.960</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2487FC2F" w14:textId="77777777" w:rsidR="00FD1E19" w:rsidRDefault="00FD1E19" w:rsidP="00BE7E4A">
            <w:pPr>
              <w:jc w:val="right"/>
              <w:rPr>
                <w:rFonts w:ascii="Arial" w:hAnsi="Arial" w:cs="Arial"/>
                <w:noProof/>
                <w:color w:val="FFFFFF"/>
                <w:sz w:val="12"/>
                <w:szCs w:val="12"/>
              </w:rPr>
            </w:pPr>
            <w:r>
              <w:rPr>
                <w:rFonts w:ascii="Arial" w:hAnsi="Arial" w:cs="Arial"/>
                <w:noProof/>
                <w:color w:val="FFFFFF"/>
                <w:sz w:val="12"/>
                <w:szCs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14:paraId="0FE26AFF"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7C2F7CE5"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1.960</w:t>
            </w:r>
          </w:p>
        </w:tc>
        <w:tc>
          <w:tcPr>
            <w:tcW w:w="674" w:type="dxa"/>
            <w:tcBorders>
              <w:top w:val="nil"/>
              <w:left w:val="nil"/>
              <w:bottom w:val="single" w:sz="4" w:space="0" w:color="000000"/>
              <w:right w:val="single" w:sz="4" w:space="0" w:color="000000"/>
            </w:tcBorders>
            <w:shd w:val="clear" w:color="FFFFFF" w:fill="FFFFFF"/>
            <w:noWrap/>
            <w:vAlign w:val="center"/>
            <w:hideMark/>
          </w:tcPr>
          <w:p w14:paraId="44D7493D" w14:textId="77777777" w:rsidR="00FD1E19" w:rsidRDefault="00FD1E19" w:rsidP="00BE7E4A">
            <w:pPr>
              <w:jc w:val="right"/>
              <w:rPr>
                <w:rFonts w:ascii="Arial" w:hAnsi="Arial" w:cs="Arial"/>
                <w:noProof/>
                <w:color w:val="FFFFFF"/>
                <w:sz w:val="12"/>
                <w:szCs w:val="12"/>
              </w:rPr>
            </w:pPr>
            <w:r>
              <w:rPr>
                <w:rFonts w:ascii="Arial" w:hAnsi="Arial" w:cs="Arial"/>
                <w:noProof/>
                <w:color w:val="FFFFFF"/>
                <w:sz w:val="12"/>
                <w:szCs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14:paraId="1221804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2A43ED5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1.960</w:t>
            </w:r>
          </w:p>
        </w:tc>
        <w:tc>
          <w:tcPr>
            <w:tcW w:w="464" w:type="dxa"/>
            <w:tcBorders>
              <w:top w:val="nil"/>
              <w:left w:val="nil"/>
              <w:bottom w:val="single" w:sz="4" w:space="0" w:color="000000"/>
              <w:right w:val="single" w:sz="4" w:space="0" w:color="000000"/>
            </w:tcBorders>
            <w:shd w:val="clear" w:color="FFFFFF" w:fill="FFFFFF"/>
            <w:noWrap/>
            <w:vAlign w:val="center"/>
            <w:hideMark/>
          </w:tcPr>
          <w:p w14:paraId="0AF483D0" w14:textId="77777777" w:rsidR="00FD1E19" w:rsidRDefault="00FD1E19" w:rsidP="00BE7E4A">
            <w:pPr>
              <w:jc w:val="right"/>
              <w:rPr>
                <w:rFonts w:ascii="Arial" w:hAnsi="Arial" w:cs="Arial"/>
                <w:noProof/>
                <w:color w:val="FFFFFF"/>
                <w:sz w:val="12"/>
                <w:szCs w:val="12"/>
              </w:rPr>
            </w:pPr>
            <w:r>
              <w:rPr>
                <w:rFonts w:ascii="Arial" w:hAnsi="Arial" w:cs="Arial"/>
                <w:noProof/>
                <w:color w:val="FFFFFF"/>
                <w:sz w:val="12"/>
                <w:szCs w:val="12"/>
              </w:rPr>
              <w:t>0</w:t>
            </w:r>
          </w:p>
        </w:tc>
        <w:tc>
          <w:tcPr>
            <w:tcW w:w="703" w:type="dxa"/>
            <w:tcBorders>
              <w:top w:val="nil"/>
              <w:left w:val="nil"/>
              <w:bottom w:val="single" w:sz="4" w:space="0" w:color="000000"/>
              <w:right w:val="single" w:sz="4" w:space="0" w:color="auto"/>
            </w:tcBorders>
            <w:shd w:val="clear" w:color="FFFFFF" w:fill="FFFFFF"/>
            <w:noWrap/>
            <w:vAlign w:val="center"/>
            <w:hideMark/>
          </w:tcPr>
          <w:p w14:paraId="6171834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7FC0FE85"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1E34D360"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6B9DCDAF"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FOOD SECURITY</w:t>
            </w:r>
          </w:p>
        </w:tc>
        <w:tc>
          <w:tcPr>
            <w:tcW w:w="693" w:type="dxa"/>
            <w:tcBorders>
              <w:top w:val="nil"/>
              <w:left w:val="nil"/>
              <w:bottom w:val="single" w:sz="4" w:space="0" w:color="000000"/>
              <w:right w:val="single" w:sz="4" w:space="0" w:color="000000"/>
            </w:tcBorders>
            <w:shd w:val="clear" w:color="FFFFFF" w:fill="FFFFFF"/>
            <w:noWrap/>
            <w:vAlign w:val="center"/>
            <w:hideMark/>
          </w:tcPr>
          <w:p w14:paraId="1FE89B2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341</w:t>
            </w:r>
          </w:p>
        </w:tc>
        <w:tc>
          <w:tcPr>
            <w:tcW w:w="728" w:type="dxa"/>
            <w:tcBorders>
              <w:top w:val="nil"/>
              <w:left w:val="nil"/>
              <w:bottom w:val="single" w:sz="4" w:space="0" w:color="000000"/>
              <w:right w:val="single" w:sz="4" w:space="0" w:color="000000"/>
            </w:tcBorders>
            <w:shd w:val="clear" w:color="FFFFFF" w:fill="FFFFFF"/>
            <w:noWrap/>
            <w:vAlign w:val="center"/>
            <w:hideMark/>
          </w:tcPr>
          <w:p w14:paraId="3995D6B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481</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445A8A90" w14:textId="77777777" w:rsidR="00FD1E19" w:rsidRDefault="00FD1E19" w:rsidP="00BE7E4A">
            <w:pPr>
              <w:jc w:val="right"/>
              <w:rPr>
                <w:rFonts w:ascii="Arial" w:hAnsi="Arial" w:cs="Arial"/>
                <w:b/>
                <w:bCs/>
                <w:noProof/>
                <w:color w:val="FF0000"/>
                <w:sz w:val="12"/>
                <w:szCs w:val="12"/>
              </w:rPr>
            </w:pPr>
            <w:r>
              <w:rPr>
                <w:rFonts w:ascii="Arial" w:hAnsi="Arial" w:cs="Arial"/>
                <w:b/>
                <w:bCs/>
                <w:noProof/>
                <w:color w:val="FF0000"/>
                <w:sz w:val="12"/>
                <w:szCs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14:paraId="6082819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141%</w:t>
            </w:r>
          </w:p>
        </w:tc>
        <w:tc>
          <w:tcPr>
            <w:tcW w:w="728" w:type="dxa"/>
            <w:tcBorders>
              <w:top w:val="nil"/>
              <w:left w:val="nil"/>
              <w:bottom w:val="single" w:sz="4" w:space="0" w:color="000000"/>
              <w:right w:val="single" w:sz="4" w:space="0" w:color="000000"/>
            </w:tcBorders>
            <w:shd w:val="clear" w:color="FFFFFF" w:fill="FFFFFF"/>
            <w:noWrap/>
            <w:vAlign w:val="center"/>
            <w:hideMark/>
          </w:tcPr>
          <w:p w14:paraId="09B352EF"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471</w:t>
            </w:r>
          </w:p>
        </w:tc>
        <w:tc>
          <w:tcPr>
            <w:tcW w:w="674" w:type="dxa"/>
            <w:tcBorders>
              <w:top w:val="nil"/>
              <w:left w:val="nil"/>
              <w:bottom w:val="single" w:sz="4" w:space="0" w:color="000000"/>
              <w:right w:val="single" w:sz="4" w:space="0" w:color="000000"/>
            </w:tcBorders>
            <w:shd w:val="clear" w:color="FFFFFF" w:fill="FFFFFF"/>
            <w:noWrap/>
            <w:vAlign w:val="center"/>
            <w:hideMark/>
          </w:tcPr>
          <w:p w14:paraId="3F8147B5"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(12)</w:t>
            </w:r>
          </w:p>
        </w:tc>
        <w:tc>
          <w:tcPr>
            <w:tcW w:w="651" w:type="dxa"/>
            <w:tcBorders>
              <w:top w:val="nil"/>
              <w:left w:val="nil"/>
              <w:bottom w:val="single" w:sz="4" w:space="0" w:color="000000"/>
              <w:right w:val="single" w:sz="4" w:space="0" w:color="000000"/>
            </w:tcBorders>
            <w:shd w:val="clear" w:color="FFFFFF" w:fill="FFFFFF"/>
            <w:noWrap/>
            <w:vAlign w:val="center"/>
            <w:hideMark/>
          </w:tcPr>
          <w:p w14:paraId="5DA8BD06"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98%</w:t>
            </w:r>
          </w:p>
        </w:tc>
        <w:tc>
          <w:tcPr>
            <w:tcW w:w="728" w:type="dxa"/>
            <w:tcBorders>
              <w:top w:val="nil"/>
              <w:left w:val="nil"/>
              <w:bottom w:val="single" w:sz="4" w:space="0" w:color="000000"/>
              <w:right w:val="single" w:sz="4" w:space="0" w:color="000000"/>
            </w:tcBorders>
            <w:shd w:val="clear" w:color="FFFFFF" w:fill="FFFFFF"/>
            <w:noWrap/>
            <w:vAlign w:val="center"/>
            <w:hideMark/>
          </w:tcPr>
          <w:p w14:paraId="2D6879F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407</w:t>
            </w:r>
          </w:p>
        </w:tc>
        <w:tc>
          <w:tcPr>
            <w:tcW w:w="464" w:type="dxa"/>
            <w:tcBorders>
              <w:top w:val="nil"/>
              <w:left w:val="nil"/>
              <w:bottom w:val="single" w:sz="4" w:space="0" w:color="000000"/>
              <w:right w:val="single" w:sz="4" w:space="0" w:color="000000"/>
            </w:tcBorders>
            <w:shd w:val="clear" w:color="FFFFFF" w:fill="FFFFFF"/>
            <w:noWrap/>
            <w:vAlign w:val="center"/>
            <w:hideMark/>
          </w:tcPr>
          <w:p w14:paraId="1C1B594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52</w:t>
            </w:r>
          </w:p>
        </w:tc>
        <w:tc>
          <w:tcPr>
            <w:tcW w:w="703" w:type="dxa"/>
            <w:tcBorders>
              <w:top w:val="nil"/>
              <w:left w:val="nil"/>
              <w:bottom w:val="single" w:sz="4" w:space="0" w:color="000000"/>
              <w:right w:val="single" w:sz="4" w:space="0" w:color="auto"/>
            </w:tcBorders>
            <w:shd w:val="clear" w:color="FFFFFF" w:fill="FFFFFF"/>
            <w:noWrap/>
            <w:vAlign w:val="center"/>
            <w:hideMark/>
          </w:tcPr>
          <w:p w14:paraId="603C2E16"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87%</w:t>
            </w:r>
          </w:p>
        </w:tc>
      </w:tr>
      <w:tr w:rsidR="00FD1E19" w14:paraId="74F624FB"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29F1302D"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24D1EB91"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IMPLEMENTATION COSTS AND INTERESTS REVENUES</w:t>
            </w:r>
          </w:p>
        </w:tc>
        <w:tc>
          <w:tcPr>
            <w:tcW w:w="693" w:type="dxa"/>
            <w:tcBorders>
              <w:top w:val="nil"/>
              <w:left w:val="nil"/>
              <w:bottom w:val="single" w:sz="4" w:space="0" w:color="000000"/>
              <w:right w:val="single" w:sz="4" w:space="0" w:color="000000"/>
            </w:tcBorders>
            <w:shd w:val="clear" w:color="FFFFFF" w:fill="FFFFFF"/>
            <w:noWrap/>
            <w:vAlign w:val="center"/>
            <w:hideMark/>
          </w:tcPr>
          <w:p w14:paraId="2446DC8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526</w:t>
            </w:r>
          </w:p>
        </w:tc>
        <w:tc>
          <w:tcPr>
            <w:tcW w:w="728" w:type="dxa"/>
            <w:tcBorders>
              <w:top w:val="nil"/>
              <w:left w:val="nil"/>
              <w:bottom w:val="single" w:sz="4" w:space="0" w:color="000000"/>
              <w:right w:val="single" w:sz="4" w:space="0" w:color="000000"/>
            </w:tcBorders>
            <w:shd w:val="clear" w:color="FFFFFF" w:fill="FFFFFF"/>
            <w:noWrap/>
            <w:vAlign w:val="center"/>
            <w:hideMark/>
          </w:tcPr>
          <w:p w14:paraId="4D86685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526</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385D3715"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14:paraId="6B16EEE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69D8F32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526</w:t>
            </w:r>
          </w:p>
        </w:tc>
        <w:tc>
          <w:tcPr>
            <w:tcW w:w="674" w:type="dxa"/>
            <w:tcBorders>
              <w:top w:val="nil"/>
              <w:left w:val="nil"/>
              <w:bottom w:val="single" w:sz="4" w:space="0" w:color="000000"/>
              <w:right w:val="single" w:sz="4" w:space="0" w:color="000000"/>
            </w:tcBorders>
            <w:shd w:val="clear" w:color="FFFFFF" w:fill="FFFFFF"/>
            <w:noWrap/>
            <w:vAlign w:val="center"/>
            <w:hideMark/>
          </w:tcPr>
          <w:p w14:paraId="42F619EE" w14:textId="77777777" w:rsidR="00FD1E19" w:rsidRDefault="00FD1E19" w:rsidP="00BE7E4A">
            <w:pPr>
              <w:jc w:val="right"/>
              <w:rPr>
                <w:rFonts w:ascii="Arial" w:hAnsi="Arial" w:cs="Arial"/>
                <w:noProof/>
                <w:color w:val="FFFFFF"/>
                <w:sz w:val="12"/>
                <w:szCs w:val="12"/>
              </w:rPr>
            </w:pPr>
            <w:r>
              <w:rPr>
                <w:rFonts w:ascii="Arial" w:hAnsi="Arial" w:cs="Arial"/>
                <w:noProof/>
                <w:color w:val="FFFFFF"/>
                <w:sz w:val="12"/>
                <w:szCs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14:paraId="764DA0B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1B1B83D8"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522</w:t>
            </w:r>
          </w:p>
        </w:tc>
        <w:tc>
          <w:tcPr>
            <w:tcW w:w="464" w:type="dxa"/>
            <w:tcBorders>
              <w:top w:val="nil"/>
              <w:left w:val="nil"/>
              <w:bottom w:val="single" w:sz="4" w:space="0" w:color="000000"/>
              <w:right w:val="single" w:sz="4" w:space="0" w:color="000000"/>
            </w:tcBorders>
            <w:shd w:val="clear" w:color="FFFFFF" w:fill="FFFFFF"/>
            <w:noWrap/>
            <w:vAlign w:val="center"/>
            <w:hideMark/>
          </w:tcPr>
          <w:p w14:paraId="099DB696"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14:paraId="0272460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99%</w:t>
            </w:r>
          </w:p>
        </w:tc>
      </w:tr>
      <w:tr w:rsidR="00FD1E19" w14:paraId="173A8CA3"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21F59D3C"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669DCE80"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INTRA-ACP ALLOCATIONS</w:t>
            </w:r>
          </w:p>
        </w:tc>
        <w:tc>
          <w:tcPr>
            <w:tcW w:w="693" w:type="dxa"/>
            <w:tcBorders>
              <w:top w:val="nil"/>
              <w:left w:val="nil"/>
              <w:bottom w:val="single" w:sz="4" w:space="0" w:color="000000"/>
              <w:right w:val="single" w:sz="4" w:space="0" w:color="000000"/>
            </w:tcBorders>
            <w:shd w:val="clear" w:color="FFFFFF" w:fill="FFFFFF"/>
            <w:noWrap/>
            <w:vAlign w:val="center"/>
            <w:hideMark/>
          </w:tcPr>
          <w:p w14:paraId="4F07FE2F"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3.550</w:t>
            </w:r>
          </w:p>
        </w:tc>
        <w:tc>
          <w:tcPr>
            <w:tcW w:w="728" w:type="dxa"/>
            <w:tcBorders>
              <w:top w:val="nil"/>
              <w:left w:val="nil"/>
              <w:bottom w:val="single" w:sz="4" w:space="0" w:color="000000"/>
              <w:right w:val="single" w:sz="4" w:space="0" w:color="000000"/>
            </w:tcBorders>
            <w:shd w:val="clear" w:color="FFFFFF" w:fill="FFFFFF"/>
            <w:noWrap/>
            <w:vAlign w:val="center"/>
            <w:hideMark/>
          </w:tcPr>
          <w:p w14:paraId="00AF2A5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3.538</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5AF725B7" w14:textId="77777777" w:rsidR="00FD1E19" w:rsidRDefault="00FD1E19" w:rsidP="00BE7E4A">
            <w:pPr>
              <w:jc w:val="right"/>
              <w:rPr>
                <w:rFonts w:ascii="Arial" w:hAnsi="Arial" w:cs="Arial"/>
                <w:b/>
                <w:bCs/>
                <w:noProof/>
                <w:color w:val="FF0000"/>
                <w:sz w:val="12"/>
                <w:szCs w:val="12"/>
              </w:rPr>
            </w:pPr>
            <w:r>
              <w:rPr>
                <w:rFonts w:ascii="Arial" w:hAnsi="Arial" w:cs="Arial"/>
                <w:b/>
                <w:bCs/>
                <w:noProof/>
                <w:color w:val="FF0000"/>
                <w:sz w:val="12"/>
                <w:szCs w:val="12"/>
              </w:rPr>
              <w:t>(42)</w:t>
            </w:r>
          </w:p>
        </w:tc>
        <w:tc>
          <w:tcPr>
            <w:tcW w:w="398" w:type="dxa"/>
            <w:tcBorders>
              <w:top w:val="nil"/>
              <w:left w:val="nil"/>
              <w:bottom w:val="single" w:sz="4" w:space="0" w:color="000000"/>
              <w:right w:val="single" w:sz="4" w:space="0" w:color="000000"/>
            </w:tcBorders>
            <w:shd w:val="clear" w:color="FFFFFF" w:fill="FFFFFF"/>
            <w:noWrap/>
            <w:vAlign w:val="center"/>
            <w:hideMark/>
          </w:tcPr>
          <w:p w14:paraId="566EB17A"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6F9B6C0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3.535</w:t>
            </w:r>
          </w:p>
        </w:tc>
        <w:tc>
          <w:tcPr>
            <w:tcW w:w="674" w:type="dxa"/>
            <w:tcBorders>
              <w:top w:val="nil"/>
              <w:left w:val="nil"/>
              <w:bottom w:val="single" w:sz="4" w:space="0" w:color="000000"/>
              <w:right w:val="single" w:sz="4" w:space="0" w:color="000000"/>
            </w:tcBorders>
            <w:shd w:val="clear" w:color="FFFFFF" w:fill="FFFFFF"/>
            <w:noWrap/>
            <w:vAlign w:val="center"/>
            <w:hideMark/>
          </w:tcPr>
          <w:p w14:paraId="388B8F0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(26)</w:t>
            </w:r>
          </w:p>
        </w:tc>
        <w:tc>
          <w:tcPr>
            <w:tcW w:w="651" w:type="dxa"/>
            <w:tcBorders>
              <w:top w:val="nil"/>
              <w:left w:val="nil"/>
              <w:bottom w:val="single" w:sz="4" w:space="0" w:color="000000"/>
              <w:right w:val="single" w:sz="4" w:space="0" w:color="000000"/>
            </w:tcBorders>
            <w:shd w:val="clear" w:color="FFFFFF" w:fill="FFFFFF"/>
            <w:noWrap/>
            <w:vAlign w:val="center"/>
            <w:hideMark/>
          </w:tcPr>
          <w:p w14:paraId="5CF9B9A8"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735446E2"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3.492</w:t>
            </w:r>
          </w:p>
        </w:tc>
        <w:tc>
          <w:tcPr>
            <w:tcW w:w="464" w:type="dxa"/>
            <w:tcBorders>
              <w:top w:val="nil"/>
              <w:left w:val="nil"/>
              <w:bottom w:val="single" w:sz="4" w:space="0" w:color="000000"/>
              <w:right w:val="single" w:sz="4" w:space="0" w:color="000000"/>
            </w:tcBorders>
            <w:shd w:val="clear" w:color="FFFFFF" w:fill="FFFFFF"/>
            <w:noWrap/>
            <w:vAlign w:val="center"/>
            <w:hideMark/>
          </w:tcPr>
          <w:p w14:paraId="033038A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0</w:t>
            </w:r>
          </w:p>
        </w:tc>
        <w:tc>
          <w:tcPr>
            <w:tcW w:w="703" w:type="dxa"/>
            <w:tcBorders>
              <w:top w:val="nil"/>
              <w:left w:val="nil"/>
              <w:bottom w:val="single" w:sz="4" w:space="0" w:color="000000"/>
              <w:right w:val="single" w:sz="4" w:space="0" w:color="auto"/>
            </w:tcBorders>
            <w:shd w:val="clear" w:color="FFFFFF" w:fill="FFFFFF"/>
            <w:noWrap/>
            <w:vAlign w:val="center"/>
            <w:hideMark/>
          </w:tcPr>
          <w:p w14:paraId="6BFAFFF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99%</w:t>
            </w:r>
          </w:p>
        </w:tc>
      </w:tr>
      <w:tr w:rsidR="00FD1E19" w14:paraId="4896E212"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3C3214F8"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685B3A12"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REGIONAL ALLOCATIONS</w:t>
            </w:r>
          </w:p>
        </w:tc>
        <w:tc>
          <w:tcPr>
            <w:tcW w:w="693" w:type="dxa"/>
            <w:tcBorders>
              <w:top w:val="nil"/>
              <w:left w:val="nil"/>
              <w:bottom w:val="single" w:sz="4" w:space="0" w:color="000000"/>
              <w:right w:val="single" w:sz="4" w:space="0" w:color="000000"/>
            </w:tcBorders>
            <w:shd w:val="clear" w:color="FFFFFF" w:fill="FFFFFF"/>
            <w:noWrap/>
            <w:vAlign w:val="center"/>
            <w:hideMark/>
          </w:tcPr>
          <w:p w14:paraId="0ECFA56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1.905</w:t>
            </w:r>
          </w:p>
        </w:tc>
        <w:tc>
          <w:tcPr>
            <w:tcW w:w="728" w:type="dxa"/>
            <w:tcBorders>
              <w:top w:val="nil"/>
              <w:left w:val="nil"/>
              <w:bottom w:val="single" w:sz="4" w:space="0" w:color="000000"/>
              <w:right w:val="single" w:sz="4" w:space="0" w:color="000000"/>
            </w:tcBorders>
            <w:shd w:val="clear" w:color="FFFFFF" w:fill="FFFFFF"/>
            <w:noWrap/>
            <w:vAlign w:val="center"/>
            <w:hideMark/>
          </w:tcPr>
          <w:p w14:paraId="4F09F4C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1.760</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4BFF65C2" w14:textId="77777777" w:rsidR="00FD1E19" w:rsidRDefault="00FD1E19" w:rsidP="00BE7E4A">
            <w:pPr>
              <w:jc w:val="right"/>
              <w:rPr>
                <w:rFonts w:ascii="Arial" w:hAnsi="Arial" w:cs="Arial"/>
                <w:b/>
                <w:bCs/>
                <w:noProof/>
                <w:color w:val="FF0000"/>
                <w:sz w:val="12"/>
                <w:szCs w:val="12"/>
              </w:rPr>
            </w:pPr>
            <w:r>
              <w:rPr>
                <w:rFonts w:ascii="Arial" w:hAnsi="Arial" w:cs="Arial"/>
                <w:b/>
                <w:bCs/>
                <w:noProof/>
                <w:color w:val="FF0000"/>
                <w:sz w:val="12"/>
                <w:szCs w:val="12"/>
              </w:rPr>
              <w:t>(3)</w:t>
            </w:r>
          </w:p>
        </w:tc>
        <w:tc>
          <w:tcPr>
            <w:tcW w:w="398" w:type="dxa"/>
            <w:tcBorders>
              <w:top w:val="nil"/>
              <w:left w:val="nil"/>
              <w:bottom w:val="single" w:sz="4" w:space="0" w:color="000000"/>
              <w:right w:val="single" w:sz="4" w:space="0" w:color="000000"/>
            </w:tcBorders>
            <w:shd w:val="clear" w:color="FFFFFF" w:fill="FFFFFF"/>
            <w:noWrap/>
            <w:vAlign w:val="center"/>
            <w:hideMark/>
          </w:tcPr>
          <w:p w14:paraId="1FEF8E8F"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92%</w:t>
            </w:r>
          </w:p>
        </w:tc>
        <w:tc>
          <w:tcPr>
            <w:tcW w:w="728" w:type="dxa"/>
            <w:tcBorders>
              <w:top w:val="nil"/>
              <w:left w:val="nil"/>
              <w:bottom w:val="single" w:sz="4" w:space="0" w:color="000000"/>
              <w:right w:val="single" w:sz="4" w:space="0" w:color="000000"/>
            </w:tcBorders>
            <w:shd w:val="clear" w:color="FFFFFF" w:fill="FFFFFF"/>
            <w:noWrap/>
            <w:vAlign w:val="center"/>
            <w:hideMark/>
          </w:tcPr>
          <w:p w14:paraId="443CB79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1.755</w:t>
            </w:r>
          </w:p>
        </w:tc>
        <w:tc>
          <w:tcPr>
            <w:tcW w:w="674" w:type="dxa"/>
            <w:tcBorders>
              <w:top w:val="nil"/>
              <w:left w:val="nil"/>
              <w:bottom w:val="single" w:sz="4" w:space="0" w:color="000000"/>
              <w:right w:val="single" w:sz="4" w:space="0" w:color="000000"/>
            </w:tcBorders>
            <w:shd w:val="clear" w:color="FFFFFF" w:fill="FFFFFF"/>
            <w:noWrap/>
            <w:vAlign w:val="center"/>
            <w:hideMark/>
          </w:tcPr>
          <w:p w14:paraId="685B6202"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14:paraId="14CBDE3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6C199922"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1.704</w:t>
            </w:r>
          </w:p>
        </w:tc>
        <w:tc>
          <w:tcPr>
            <w:tcW w:w="464" w:type="dxa"/>
            <w:tcBorders>
              <w:top w:val="nil"/>
              <w:left w:val="nil"/>
              <w:bottom w:val="single" w:sz="4" w:space="0" w:color="000000"/>
              <w:right w:val="single" w:sz="4" w:space="0" w:color="000000"/>
            </w:tcBorders>
            <w:shd w:val="clear" w:color="FFFFFF" w:fill="FFFFFF"/>
            <w:noWrap/>
            <w:vAlign w:val="center"/>
            <w:hideMark/>
          </w:tcPr>
          <w:p w14:paraId="2D14986D"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w:t>
            </w:r>
          </w:p>
        </w:tc>
        <w:tc>
          <w:tcPr>
            <w:tcW w:w="703" w:type="dxa"/>
            <w:tcBorders>
              <w:top w:val="nil"/>
              <w:left w:val="nil"/>
              <w:bottom w:val="single" w:sz="4" w:space="0" w:color="000000"/>
              <w:right w:val="single" w:sz="4" w:space="0" w:color="auto"/>
            </w:tcBorders>
            <w:shd w:val="clear" w:color="FFFFFF" w:fill="FFFFFF"/>
            <w:noWrap/>
            <w:vAlign w:val="center"/>
            <w:hideMark/>
          </w:tcPr>
          <w:p w14:paraId="0A2856C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97%</w:t>
            </w:r>
          </w:p>
        </w:tc>
      </w:tr>
      <w:tr w:rsidR="00FD1E19" w14:paraId="55D9ACB1" w14:textId="77777777" w:rsidTr="00BE7E4A">
        <w:trPr>
          <w:trHeight w:val="222"/>
        </w:trPr>
        <w:tc>
          <w:tcPr>
            <w:tcW w:w="252" w:type="dxa"/>
            <w:vMerge/>
            <w:tcBorders>
              <w:top w:val="nil"/>
              <w:left w:val="single" w:sz="4" w:space="0" w:color="auto"/>
              <w:bottom w:val="single" w:sz="4" w:space="0" w:color="000000"/>
              <w:right w:val="single" w:sz="4" w:space="0" w:color="000000"/>
            </w:tcBorders>
            <w:vAlign w:val="center"/>
            <w:hideMark/>
          </w:tcPr>
          <w:p w14:paraId="5F6BA015"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nil"/>
              <w:right w:val="nil"/>
            </w:tcBorders>
            <w:shd w:val="clear" w:color="FFFFFF" w:fill="C0C0C0"/>
            <w:noWrap/>
            <w:vAlign w:val="bottom"/>
            <w:hideMark/>
          </w:tcPr>
          <w:p w14:paraId="3EE933C6" w14:textId="77777777" w:rsidR="00FD1E19" w:rsidRDefault="00FD1E19" w:rsidP="00BE7E4A">
            <w:pPr>
              <w:rPr>
                <w:rFonts w:ascii="Arial" w:hAnsi="Arial" w:cs="Arial"/>
                <w:b/>
                <w:bCs/>
                <w:noProof/>
                <w:color w:val="000000"/>
                <w:sz w:val="14"/>
                <w:szCs w:val="14"/>
              </w:rPr>
            </w:pPr>
            <w:r>
              <w:rPr>
                <w:rFonts w:ascii="Arial" w:hAnsi="Arial" w:cs="Arial"/>
                <w:b/>
                <w:bCs/>
                <w:noProof/>
                <w:color w:val="000000"/>
                <w:sz w:val="14"/>
                <w:szCs w:val="14"/>
              </w:rPr>
              <w:t>Co-financing</w:t>
            </w:r>
          </w:p>
        </w:tc>
        <w:tc>
          <w:tcPr>
            <w:tcW w:w="693" w:type="dxa"/>
            <w:tcBorders>
              <w:top w:val="nil"/>
              <w:left w:val="single" w:sz="4" w:space="0" w:color="000000"/>
              <w:bottom w:val="nil"/>
              <w:right w:val="nil"/>
            </w:tcBorders>
            <w:shd w:val="clear" w:color="FFFFFF" w:fill="C0C0C0"/>
            <w:noWrap/>
            <w:vAlign w:val="center"/>
            <w:hideMark/>
          </w:tcPr>
          <w:p w14:paraId="13740D39"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nil"/>
              <w:left w:val="single" w:sz="4" w:space="0" w:color="000000"/>
              <w:bottom w:val="nil"/>
              <w:right w:val="nil"/>
            </w:tcBorders>
            <w:shd w:val="clear" w:color="FFFFFF" w:fill="C0C0C0"/>
            <w:noWrap/>
            <w:vAlign w:val="center"/>
            <w:hideMark/>
          </w:tcPr>
          <w:p w14:paraId="662BF276"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890" w:type="dxa"/>
            <w:gridSpan w:val="2"/>
            <w:tcBorders>
              <w:top w:val="nil"/>
              <w:left w:val="single" w:sz="4" w:space="0" w:color="000000"/>
              <w:bottom w:val="nil"/>
              <w:right w:val="nil"/>
            </w:tcBorders>
            <w:shd w:val="clear" w:color="FFFFFF" w:fill="C0C0C0"/>
            <w:noWrap/>
            <w:vAlign w:val="center"/>
            <w:hideMark/>
          </w:tcPr>
          <w:p w14:paraId="3F017FE5"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398" w:type="dxa"/>
            <w:tcBorders>
              <w:top w:val="nil"/>
              <w:left w:val="single" w:sz="4" w:space="0" w:color="000000"/>
              <w:bottom w:val="nil"/>
              <w:right w:val="nil"/>
            </w:tcBorders>
            <w:shd w:val="clear" w:color="FFFFFF" w:fill="C0C0C0"/>
            <w:noWrap/>
            <w:vAlign w:val="center"/>
            <w:hideMark/>
          </w:tcPr>
          <w:p w14:paraId="379444AA"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nil"/>
              <w:left w:val="single" w:sz="4" w:space="0" w:color="000000"/>
              <w:bottom w:val="nil"/>
              <w:right w:val="nil"/>
            </w:tcBorders>
            <w:shd w:val="clear" w:color="FFFFFF" w:fill="C0C0C0"/>
            <w:noWrap/>
            <w:vAlign w:val="center"/>
            <w:hideMark/>
          </w:tcPr>
          <w:p w14:paraId="4E1B0ABE"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674" w:type="dxa"/>
            <w:tcBorders>
              <w:top w:val="nil"/>
              <w:left w:val="single" w:sz="4" w:space="0" w:color="000000"/>
              <w:bottom w:val="nil"/>
              <w:right w:val="nil"/>
            </w:tcBorders>
            <w:shd w:val="clear" w:color="FFFFFF" w:fill="C0C0C0"/>
            <w:noWrap/>
            <w:vAlign w:val="center"/>
            <w:hideMark/>
          </w:tcPr>
          <w:p w14:paraId="7E7804D2"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651" w:type="dxa"/>
            <w:tcBorders>
              <w:top w:val="nil"/>
              <w:left w:val="single" w:sz="4" w:space="0" w:color="000000"/>
              <w:bottom w:val="nil"/>
              <w:right w:val="nil"/>
            </w:tcBorders>
            <w:shd w:val="clear" w:color="FFFFFF" w:fill="C0C0C0"/>
            <w:noWrap/>
            <w:vAlign w:val="center"/>
            <w:hideMark/>
          </w:tcPr>
          <w:p w14:paraId="5D5DD869"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nil"/>
              <w:left w:val="single" w:sz="4" w:space="0" w:color="000000"/>
              <w:bottom w:val="nil"/>
              <w:right w:val="nil"/>
            </w:tcBorders>
            <w:shd w:val="clear" w:color="FFFFFF" w:fill="C0C0C0"/>
            <w:noWrap/>
            <w:vAlign w:val="center"/>
            <w:hideMark/>
          </w:tcPr>
          <w:p w14:paraId="7444122D"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464" w:type="dxa"/>
            <w:tcBorders>
              <w:top w:val="nil"/>
              <w:left w:val="single" w:sz="4" w:space="0" w:color="000000"/>
              <w:bottom w:val="nil"/>
              <w:right w:val="nil"/>
            </w:tcBorders>
            <w:shd w:val="clear" w:color="FFFFFF" w:fill="C0C0C0"/>
            <w:noWrap/>
            <w:vAlign w:val="center"/>
            <w:hideMark/>
          </w:tcPr>
          <w:p w14:paraId="727A46F9"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03" w:type="dxa"/>
            <w:tcBorders>
              <w:top w:val="nil"/>
              <w:left w:val="single" w:sz="4" w:space="0" w:color="000000"/>
              <w:bottom w:val="nil"/>
              <w:right w:val="single" w:sz="4" w:space="0" w:color="auto"/>
            </w:tcBorders>
            <w:shd w:val="clear" w:color="FFFFFF" w:fill="C0C0C0"/>
            <w:noWrap/>
            <w:vAlign w:val="center"/>
            <w:hideMark/>
          </w:tcPr>
          <w:p w14:paraId="5801BDC2"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r>
      <w:tr w:rsidR="00FD1E19" w14:paraId="002C0594" w14:textId="77777777" w:rsidTr="00BE7E4A">
        <w:trPr>
          <w:trHeight w:val="222"/>
        </w:trPr>
        <w:tc>
          <w:tcPr>
            <w:tcW w:w="252" w:type="dxa"/>
            <w:vMerge/>
            <w:tcBorders>
              <w:top w:val="nil"/>
              <w:left w:val="single" w:sz="4" w:space="0" w:color="auto"/>
              <w:bottom w:val="single" w:sz="4" w:space="0" w:color="000000"/>
              <w:right w:val="single" w:sz="4" w:space="0" w:color="000000"/>
            </w:tcBorders>
            <w:vAlign w:val="center"/>
            <w:hideMark/>
          </w:tcPr>
          <w:p w14:paraId="1AC2EDC0" w14:textId="77777777" w:rsidR="00FD1E19" w:rsidRDefault="00FD1E19" w:rsidP="00BE7E4A">
            <w:pPr>
              <w:rPr>
                <w:rFonts w:ascii="Arial" w:hAnsi="Arial" w:cs="Arial"/>
                <w:b/>
                <w:bCs/>
                <w:noProof/>
                <w:color w:val="FFFFFF"/>
                <w:sz w:val="14"/>
                <w:szCs w:val="14"/>
              </w:rPr>
            </w:pPr>
          </w:p>
        </w:tc>
        <w:tc>
          <w:tcPr>
            <w:tcW w:w="2720" w:type="dxa"/>
            <w:gridSpan w:val="2"/>
            <w:tcBorders>
              <w:top w:val="nil"/>
              <w:left w:val="nil"/>
              <w:bottom w:val="nil"/>
              <w:right w:val="nil"/>
            </w:tcBorders>
            <w:shd w:val="clear" w:color="FFFFFF" w:fill="DEDCDC"/>
            <w:noWrap/>
            <w:vAlign w:val="bottom"/>
            <w:hideMark/>
          </w:tcPr>
          <w:p w14:paraId="4327A45C"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Allocations</w:t>
            </w:r>
          </w:p>
        </w:tc>
        <w:tc>
          <w:tcPr>
            <w:tcW w:w="693" w:type="dxa"/>
            <w:tcBorders>
              <w:top w:val="nil"/>
              <w:left w:val="single" w:sz="4" w:space="0" w:color="000000"/>
              <w:bottom w:val="nil"/>
              <w:right w:val="nil"/>
            </w:tcBorders>
            <w:shd w:val="clear" w:color="FFFFFF" w:fill="DEDCDC"/>
            <w:noWrap/>
            <w:vAlign w:val="center"/>
            <w:hideMark/>
          </w:tcPr>
          <w:p w14:paraId="62D92D72"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40B147F4"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890" w:type="dxa"/>
            <w:gridSpan w:val="2"/>
            <w:tcBorders>
              <w:top w:val="nil"/>
              <w:left w:val="single" w:sz="4" w:space="0" w:color="000000"/>
              <w:bottom w:val="nil"/>
              <w:right w:val="nil"/>
            </w:tcBorders>
            <w:shd w:val="clear" w:color="FFFFFF" w:fill="DEDCDC"/>
            <w:noWrap/>
            <w:vAlign w:val="center"/>
            <w:hideMark/>
          </w:tcPr>
          <w:p w14:paraId="6C2237CD"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single" w:sz="4" w:space="0" w:color="000000"/>
              <w:bottom w:val="nil"/>
              <w:right w:val="nil"/>
            </w:tcBorders>
            <w:shd w:val="clear" w:color="FFFFFF" w:fill="DEDCDC"/>
            <w:noWrap/>
            <w:vAlign w:val="center"/>
            <w:hideMark/>
          </w:tcPr>
          <w:p w14:paraId="77C39D58"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26782C23"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74" w:type="dxa"/>
            <w:tcBorders>
              <w:top w:val="nil"/>
              <w:left w:val="single" w:sz="4" w:space="0" w:color="000000"/>
              <w:bottom w:val="nil"/>
              <w:right w:val="nil"/>
            </w:tcBorders>
            <w:shd w:val="clear" w:color="FFFFFF" w:fill="DEDCDC"/>
            <w:noWrap/>
            <w:vAlign w:val="center"/>
            <w:hideMark/>
          </w:tcPr>
          <w:p w14:paraId="6B41F53B"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single" w:sz="4" w:space="0" w:color="000000"/>
              <w:bottom w:val="nil"/>
              <w:right w:val="nil"/>
            </w:tcBorders>
            <w:shd w:val="clear" w:color="FFFFFF" w:fill="DEDCDC"/>
            <w:noWrap/>
            <w:vAlign w:val="center"/>
            <w:hideMark/>
          </w:tcPr>
          <w:p w14:paraId="5C69D351"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62DCA011"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464" w:type="dxa"/>
            <w:tcBorders>
              <w:top w:val="nil"/>
              <w:left w:val="single" w:sz="4" w:space="0" w:color="000000"/>
              <w:bottom w:val="nil"/>
              <w:right w:val="nil"/>
            </w:tcBorders>
            <w:shd w:val="clear" w:color="FFFFFF" w:fill="DEDCDC"/>
            <w:noWrap/>
            <w:vAlign w:val="center"/>
            <w:hideMark/>
          </w:tcPr>
          <w:p w14:paraId="44F59D9E"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14:paraId="1DAC9064"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r>
      <w:tr w:rsidR="00FD1E19" w14:paraId="51EF743C"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33DEA98D"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01B5534"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A ENVELOPE - NATIONAL ALLOCATIONS</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14:paraId="33A058A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178</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2974B676"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175</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7D88A7E7" w14:textId="77777777" w:rsidR="00FD1E19" w:rsidRDefault="00FD1E19" w:rsidP="00BE7E4A">
            <w:pPr>
              <w:jc w:val="right"/>
              <w:rPr>
                <w:rFonts w:ascii="Arial" w:hAnsi="Arial" w:cs="Arial"/>
                <w:b/>
                <w:bCs/>
                <w:noProof/>
                <w:color w:val="FF0000"/>
                <w:sz w:val="12"/>
                <w:szCs w:val="12"/>
              </w:rPr>
            </w:pPr>
            <w:r>
              <w:rPr>
                <w:rFonts w:ascii="Arial" w:hAnsi="Arial" w:cs="Arial"/>
                <w:b/>
                <w:bCs/>
                <w:noProof/>
                <w:color w:val="FF0000"/>
                <w:sz w:val="12"/>
                <w:szCs w:val="12"/>
              </w:rPr>
              <w:t>(0)</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14:paraId="7E9E3D5A"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99%</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17A4B06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175</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14:paraId="240FA83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(0)</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14:paraId="07B4650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2E946F5F"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175</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14:paraId="0F816156"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0</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14:paraId="717FE13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15D6B99B"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6A4B14CF"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5D6A426F"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IMPLEMENTATION COSTS AND INTERESTS REVENUES</w:t>
            </w:r>
          </w:p>
        </w:tc>
        <w:tc>
          <w:tcPr>
            <w:tcW w:w="693" w:type="dxa"/>
            <w:tcBorders>
              <w:top w:val="nil"/>
              <w:left w:val="nil"/>
              <w:bottom w:val="single" w:sz="4" w:space="0" w:color="000000"/>
              <w:right w:val="single" w:sz="4" w:space="0" w:color="000000"/>
            </w:tcBorders>
            <w:shd w:val="clear" w:color="FFFFFF" w:fill="FFFFFF"/>
            <w:noWrap/>
            <w:vAlign w:val="center"/>
            <w:hideMark/>
          </w:tcPr>
          <w:p w14:paraId="5083721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728" w:type="dxa"/>
            <w:tcBorders>
              <w:top w:val="nil"/>
              <w:left w:val="nil"/>
              <w:bottom w:val="single" w:sz="4" w:space="0" w:color="000000"/>
              <w:right w:val="single" w:sz="4" w:space="0" w:color="000000"/>
            </w:tcBorders>
            <w:shd w:val="clear" w:color="FFFFFF" w:fill="FFFFFF"/>
            <w:noWrap/>
            <w:vAlign w:val="center"/>
            <w:hideMark/>
          </w:tcPr>
          <w:p w14:paraId="5DBDC1E9"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53C4FFC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14:paraId="47946F79"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110%</w:t>
            </w:r>
          </w:p>
        </w:tc>
        <w:tc>
          <w:tcPr>
            <w:tcW w:w="728" w:type="dxa"/>
            <w:tcBorders>
              <w:top w:val="nil"/>
              <w:left w:val="nil"/>
              <w:bottom w:val="single" w:sz="4" w:space="0" w:color="000000"/>
              <w:right w:val="single" w:sz="4" w:space="0" w:color="000000"/>
            </w:tcBorders>
            <w:shd w:val="clear" w:color="FFFFFF" w:fill="FFFFFF"/>
            <w:noWrap/>
            <w:vAlign w:val="center"/>
            <w:hideMark/>
          </w:tcPr>
          <w:p w14:paraId="24853F1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674" w:type="dxa"/>
            <w:tcBorders>
              <w:top w:val="nil"/>
              <w:left w:val="nil"/>
              <w:bottom w:val="single" w:sz="4" w:space="0" w:color="000000"/>
              <w:right w:val="single" w:sz="4" w:space="0" w:color="000000"/>
            </w:tcBorders>
            <w:shd w:val="clear" w:color="FFFFFF" w:fill="FFFFFF"/>
            <w:noWrap/>
            <w:vAlign w:val="center"/>
            <w:hideMark/>
          </w:tcPr>
          <w:p w14:paraId="26D114F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14:paraId="3E1D2A02"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7FE15B0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464" w:type="dxa"/>
            <w:tcBorders>
              <w:top w:val="nil"/>
              <w:left w:val="nil"/>
              <w:bottom w:val="single" w:sz="4" w:space="0" w:color="000000"/>
              <w:right w:val="single" w:sz="4" w:space="0" w:color="000000"/>
            </w:tcBorders>
            <w:shd w:val="clear" w:color="FFFFFF" w:fill="FFFFFF"/>
            <w:noWrap/>
            <w:vAlign w:val="center"/>
            <w:hideMark/>
          </w:tcPr>
          <w:p w14:paraId="036D0BC2"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14:paraId="0968D59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07E8AECE"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699B282D"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0614162"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INTRA-ACP ALLOCATIONS</w:t>
            </w:r>
          </w:p>
        </w:tc>
        <w:tc>
          <w:tcPr>
            <w:tcW w:w="693" w:type="dxa"/>
            <w:tcBorders>
              <w:top w:val="nil"/>
              <w:left w:val="nil"/>
              <w:bottom w:val="single" w:sz="4" w:space="0" w:color="000000"/>
              <w:right w:val="single" w:sz="4" w:space="0" w:color="000000"/>
            </w:tcBorders>
            <w:shd w:val="clear" w:color="FFFFFF" w:fill="FFFFFF"/>
            <w:noWrap/>
            <w:vAlign w:val="center"/>
            <w:hideMark/>
          </w:tcPr>
          <w:p w14:paraId="2E1609D2"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11</w:t>
            </w:r>
          </w:p>
        </w:tc>
        <w:tc>
          <w:tcPr>
            <w:tcW w:w="728" w:type="dxa"/>
            <w:tcBorders>
              <w:top w:val="nil"/>
              <w:left w:val="nil"/>
              <w:bottom w:val="single" w:sz="4" w:space="0" w:color="000000"/>
              <w:right w:val="single" w:sz="4" w:space="0" w:color="000000"/>
            </w:tcBorders>
            <w:shd w:val="clear" w:color="FFFFFF" w:fill="FFFFFF"/>
            <w:noWrap/>
            <w:vAlign w:val="center"/>
            <w:hideMark/>
          </w:tcPr>
          <w:p w14:paraId="1E83802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11</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35D734C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14:paraId="1C0F7D86"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194F340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11</w:t>
            </w:r>
          </w:p>
        </w:tc>
        <w:tc>
          <w:tcPr>
            <w:tcW w:w="674" w:type="dxa"/>
            <w:tcBorders>
              <w:top w:val="nil"/>
              <w:left w:val="nil"/>
              <w:bottom w:val="single" w:sz="4" w:space="0" w:color="000000"/>
              <w:right w:val="single" w:sz="4" w:space="0" w:color="000000"/>
            </w:tcBorders>
            <w:shd w:val="clear" w:color="FFFFFF" w:fill="FFFFFF"/>
            <w:noWrap/>
            <w:vAlign w:val="center"/>
            <w:hideMark/>
          </w:tcPr>
          <w:p w14:paraId="0E8AD84B"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14:paraId="7F98651F"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146C591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11</w:t>
            </w:r>
          </w:p>
        </w:tc>
        <w:tc>
          <w:tcPr>
            <w:tcW w:w="464" w:type="dxa"/>
            <w:tcBorders>
              <w:top w:val="nil"/>
              <w:left w:val="nil"/>
              <w:bottom w:val="single" w:sz="4" w:space="0" w:color="000000"/>
              <w:right w:val="single" w:sz="4" w:space="0" w:color="000000"/>
            </w:tcBorders>
            <w:shd w:val="clear" w:color="FFFFFF" w:fill="FFFFFF"/>
            <w:noWrap/>
            <w:vAlign w:val="center"/>
            <w:hideMark/>
          </w:tcPr>
          <w:p w14:paraId="1BA2808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14:paraId="44298539"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28D9A102" w14:textId="77777777" w:rsidTr="00BE7E4A">
        <w:trPr>
          <w:trHeight w:val="222"/>
        </w:trPr>
        <w:tc>
          <w:tcPr>
            <w:tcW w:w="252" w:type="dxa"/>
            <w:tcBorders>
              <w:top w:val="nil"/>
              <w:left w:val="single" w:sz="4" w:space="0" w:color="auto"/>
              <w:bottom w:val="nil"/>
              <w:right w:val="nil"/>
            </w:tcBorders>
            <w:shd w:val="clear" w:color="FFFFFF" w:fill="FFFFFF"/>
            <w:noWrap/>
            <w:vAlign w:val="bottom"/>
            <w:hideMark/>
          </w:tcPr>
          <w:p w14:paraId="0486D92D"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 </w:t>
            </w:r>
          </w:p>
        </w:tc>
        <w:tc>
          <w:tcPr>
            <w:tcW w:w="2720" w:type="dxa"/>
            <w:gridSpan w:val="2"/>
            <w:tcBorders>
              <w:top w:val="nil"/>
              <w:left w:val="nil"/>
              <w:bottom w:val="nil"/>
              <w:right w:val="nil"/>
            </w:tcBorders>
            <w:shd w:val="clear" w:color="FFFFFF" w:fill="FFFFFF"/>
            <w:noWrap/>
            <w:vAlign w:val="bottom"/>
            <w:hideMark/>
          </w:tcPr>
          <w:p w14:paraId="444639A3"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 </w:t>
            </w:r>
          </w:p>
        </w:tc>
        <w:tc>
          <w:tcPr>
            <w:tcW w:w="693" w:type="dxa"/>
            <w:tcBorders>
              <w:top w:val="nil"/>
              <w:left w:val="single" w:sz="4" w:space="0" w:color="FFFFFF"/>
              <w:bottom w:val="nil"/>
              <w:right w:val="nil"/>
            </w:tcBorders>
            <w:shd w:val="clear" w:color="FFFFFF" w:fill="FFFFFF"/>
            <w:noWrap/>
            <w:vAlign w:val="center"/>
            <w:hideMark/>
          </w:tcPr>
          <w:p w14:paraId="551DF516"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FFFFFF"/>
              <w:bottom w:val="nil"/>
              <w:right w:val="nil"/>
            </w:tcBorders>
            <w:shd w:val="clear" w:color="FFFFFF" w:fill="FFFFFF"/>
            <w:noWrap/>
            <w:vAlign w:val="center"/>
            <w:hideMark/>
          </w:tcPr>
          <w:p w14:paraId="795022C8"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890" w:type="dxa"/>
            <w:gridSpan w:val="2"/>
            <w:tcBorders>
              <w:top w:val="nil"/>
              <w:left w:val="single" w:sz="4" w:space="0" w:color="FFFFFF"/>
              <w:bottom w:val="nil"/>
              <w:right w:val="nil"/>
            </w:tcBorders>
            <w:shd w:val="clear" w:color="FFFFFF" w:fill="FFFFFF"/>
            <w:noWrap/>
            <w:vAlign w:val="center"/>
            <w:hideMark/>
          </w:tcPr>
          <w:p w14:paraId="1253520A"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single" w:sz="4" w:space="0" w:color="FFFFFF"/>
              <w:bottom w:val="nil"/>
              <w:right w:val="nil"/>
            </w:tcBorders>
            <w:shd w:val="clear" w:color="FFFFFF" w:fill="FFFFFF"/>
            <w:noWrap/>
            <w:vAlign w:val="center"/>
            <w:hideMark/>
          </w:tcPr>
          <w:p w14:paraId="217EF505"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FFFFFF"/>
              <w:bottom w:val="nil"/>
              <w:right w:val="nil"/>
            </w:tcBorders>
            <w:shd w:val="clear" w:color="FFFFFF" w:fill="FFFFFF"/>
            <w:noWrap/>
            <w:vAlign w:val="center"/>
            <w:hideMark/>
          </w:tcPr>
          <w:p w14:paraId="1E8A7AD0"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74" w:type="dxa"/>
            <w:tcBorders>
              <w:top w:val="nil"/>
              <w:left w:val="single" w:sz="4" w:space="0" w:color="FFFFFF"/>
              <w:bottom w:val="nil"/>
              <w:right w:val="nil"/>
            </w:tcBorders>
            <w:shd w:val="clear" w:color="FFFFFF" w:fill="FFFFFF"/>
            <w:noWrap/>
            <w:vAlign w:val="center"/>
            <w:hideMark/>
          </w:tcPr>
          <w:p w14:paraId="419647AB"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single" w:sz="4" w:space="0" w:color="FFFFFF"/>
              <w:bottom w:val="nil"/>
              <w:right w:val="nil"/>
            </w:tcBorders>
            <w:shd w:val="clear" w:color="FFFFFF" w:fill="FFFFFF"/>
            <w:noWrap/>
            <w:vAlign w:val="center"/>
            <w:hideMark/>
          </w:tcPr>
          <w:p w14:paraId="3D483740"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FFFFFF"/>
              <w:bottom w:val="nil"/>
              <w:right w:val="nil"/>
            </w:tcBorders>
            <w:shd w:val="clear" w:color="FFFFFF" w:fill="FFFFFF"/>
            <w:noWrap/>
            <w:vAlign w:val="center"/>
            <w:hideMark/>
          </w:tcPr>
          <w:p w14:paraId="167C5AB5"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464" w:type="dxa"/>
            <w:tcBorders>
              <w:top w:val="nil"/>
              <w:left w:val="single" w:sz="4" w:space="0" w:color="FFFFFF"/>
              <w:bottom w:val="nil"/>
              <w:right w:val="nil"/>
            </w:tcBorders>
            <w:shd w:val="clear" w:color="FFFFFF" w:fill="FFFFFF"/>
            <w:noWrap/>
            <w:vAlign w:val="center"/>
            <w:hideMark/>
          </w:tcPr>
          <w:p w14:paraId="3BB09E08"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single" w:sz="4" w:space="0" w:color="FFFFFF"/>
              <w:bottom w:val="nil"/>
              <w:right w:val="single" w:sz="4" w:space="0" w:color="auto"/>
            </w:tcBorders>
            <w:shd w:val="clear" w:color="FFFFFF" w:fill="FFFFFF"/>
            <w:noWrap/>
            <w:vAlign w:val="center"/>
            <w:hideMark/>
          </w:tcPr>
          <w:p w14:paraId="01AB6F4D"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r>
      <w:tr w:rsidR="00FD1E19" w14:paraId="0752B869" w14:textId="77777777" w:rsidTr="00BE7E4A">
        <w:trPr>
          <w:trHeight w:val="222"/>
        </w:trPr>
        <w:tc>
          <w:tcPr>
            <w:tcW w:w="252" w:type="dxa"/>
            <w:tcBorders>
              <w:top w:val="single" w:sz="4" w:space="0" w:color="000000"/>
              <w:left w:val="single" w:sz="4" w:space="0" w:color="auto"/>
              <w:bottom w:val="nil"/>
              <w:right w:val="single" w:sz="4" w:space="0" w:color="000000"/>
            </w:tcBorders>
            <w:shd w:val="clear" w:color="FFFFFF" w:fill="999999"/>
            <w:noWrap/>
            <w:vAlign w:val="bottom"/>
            <w:hideMark/>
          </w:tcPr>
          <w:p w14:paraId="4002A0DF" w14:textId="77777777" w:rsidR="00FD1E19" w:rsidRDefault="00FD1E19" w:rsidP="00BE7E4A">
            <w:pPr>
              <w:rPr>
                <w:rFonts w:ascii="Arial" w:hAnsi="Arial" w:cs="Arial"/>
                <w:b/>
                <w:bCs/>
                <w:noProof/>
                <w:color w:val="000000"/>
                <w:sz w:val="14"/>
                <w:szCs w:val="14"/>
              </w:rPr>
            </w:pPr>
            <w:r>
              <w:rPr>
                <w:rFonts w:ascii="Arial" w:hAnsi="Arial" w:cs="Arial"/>
                <w:b/>
                <w:bCs/>
                <w:noProof/>
                <w:color w:val="000000"/>
                <w:sz w:val="14"/>
                <w:szCs w:val="14"/>
              </w:rPr>
              <w:t> </w:t>
            </w:r>
          </w:p>
        </w:tc>
        <w:tc>
          <w:tcPr>
            <w:tcW w:w="2720" w:type="dxa"/>
            <w:gridSpan w:val="2"/>
            <w:tcBorders>
              <w:top w:val="single" w:sz="4" w:space="0" w:color="000000"/>
              <w:left w:val="nil"/>
              <w:bottom w:val="nil"/>
              <w:right w:val="nil"/>
            </w:tcBorders>
            <w:shd w:val="clear" w:color="FFFFFF" w:fill="C0C0C0"/>
            <w:noWrap/>
            <w:vAlign w:val="bottom"/>
            <w:hideMark/>
          </w:tcPr>
          <w:p w14:paraId="3FE25F02" w14:textId="77777777" w:rsidR="00FD1E19" w:rsidRDefault="00FD1E19" w:rsidP="00BE7E4A">
            <w:pPr>
              <w:rPr>
                <w:rFonts w:ascii="Arial" w:hAnsi="Arial" w:cs="Arial"/>
                <w:b/>
                <w:bCs/>
                <w:noProof/>
                <w:color w:val="000000"/>
                <w:sz w:val="14"/>
                <w:szCs w:val="14"/>
              </w:rPr>
            </w:pPr>
            <w:r>
              <w:rPr>
                <w:rFonts w:ascii="Arial" w:hAnsi="Arial" w:cs="Arial"/>
                <w:b/>
                <w:bCs/>
                <w:noProof/>
                <w:color w:val="000000"/>
                <w:sz w:val="14"/>
                <w:szCs w:val="14"/>
              </w:rPr>
              <w:t>Regular MS Contributions</w:t>
            </w:r>
          </w:p>
        </w:tc>
        <w:tc>
          <w:tcPr>
            <w:tcW w:w="693" w:type="dxa"/>
            <w:tcBorders>
              <w:top w:val="single" w:sz="4" w:space="0" w:color="000000"/>
              <w:left w:val="single" w:sz="4" w:space="0" w:color="000000"/>
              <w:bottom w:val="nil"/>
              <w:right w:val="nil"/>
            </w:tcBorders>
            <w:shd w:val="clear" w:color="FFFFFF" w:fill="C0C0C0"/>
            <w:noWrap/>
            <w:vAlign w:val="center"/>
            <w:hideMark/>
          </w:tcPr>
          <w:p w14:paraId="6A639AF4"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14:paraId="0A3C6A92"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890" w:type="dxa"/>
            <w:gridSpan w:val="2"/>
            <w:tcBorders>
              <w:top w:val="single" w:sz="4" w:space="0" w:color="000000"/>
              <w:left w:val="single" w:sz="4" w:space="0" w:color="000000"/>
              <w:bottom w:val="nil"/>
              <w:right w:val="nil"/>
            </w:tcBorders>
            <w:shd w:val="clear" w:color="FFFFFF" w:fill="C0C0C0"/>
            <w:noWrap/>
            <w:vAlign w:val="center"/>
            <w:hideMark/>
          </w:tcPr>
          <w:p w14:paraId="4AD1140B"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398" w:type="dxa"/>
            <w:tcBorders>
              <w:top w:val="single" w:sz="4" w:space="0" w:color="000000"/>
              <w:left w:val="single" w:sz="4" w:space="0" w:color="000000"/>
              <w:bottom w:val="nil"/>
              <w:right w:val="nil"/>
            </w:tcBorders>
            <w:shd w:val="clear" w:color="FFFFFF" w:fill="C0C0C0"/>
            <w:noWrap/>
            <w:vAlign w:val="center"/>
            <w:hideMark/>
          </w:tcPr>
          <w:p w14:paraId="51FABBE4"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14:paraId="1B070820"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674" w:type="dxa"/>
            <w:tcBorders>
              <w:top w:val="single" w:sz="4" w:space="0" w:color="000000"/>
              <w:left w:val="single" w:sz="4" w:space="0" w:color="000000"/>
              <w:bottom w:val="nil"/>
              <w:right w:val="nil"/>
            </w:tcBorders>
            <w:shd w:val="clear" w:color="FFFFFF" w:fill="C0C0C0"/>
            <w:noWrap/>
            <w:vAlign w:val="center"/>
            <w:hideMark/>
          </w:tcPr>
          <w:p w14:paraId="77CF757C"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651" w:type="dxa"/>
            <w:tcBorders>
              <w:top w:val="single" w:sz="4" w:space="0" w:color="000000"/>
              <w:left w:val="single" w:sz="4" w:space="0" w:color="000000"/>
              <w:bottom w:val="nil"/>
              <w:right w:val="nil"/>
            </w:tcBorders>
            <w:shd w:val="clear" w:color="FFFFFF" w:fill="C0C0C0"/>
            <w:noWrap/>
            <w:vAlign w:val="center"/>
            <w:hideMark/>
          </w:tcPr>
          <w:p w14:paraId="6CDB0949"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28" w:type="dxa"/>
            <w:tcBorders>
              <w:top w:val="single" w:sz="4" w:space="0" w:color="000000"/>
              <w:left w:val="single" w:sz="4" w:space="0" w:color="000000"/>
              <w:bottom w:val="nil"/>
              <w:right w:val="nil"/>
            </w:tcBorders>
            <w:shd w:val="clear" w:color="FFFFFF" w:fill="C0C0C0"/>
            <w:noWrap/>
            <w:vAlign w:val="center"/>
            <w:hideMark/>
          </w:tcPr>
          <w:p w14:paraId="2A001D72"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464" w:type="dxa"/>
            <w:tcBorders>
              <w:top w:val="single" w:sz="4" w:space="0" w:color="000000"/>
              <w:left w:val="single" w:sz="4" w:space="0" w:color="000000"/>
              <w:bottom w:val="nil"/>
              <w:right w:val="nil"/>
            </w:tcBorders>
            <w:shd w:val="clear" w:color="FFFFFF" w:fill="C0C0C0"/>
            <w:noWrap/>
            <w:vAlign w:val="center"/>
            <w:hideMark/>
          </w:tcPr>
          <w:p w14:paraId="617675DB"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c>
          <w:tcPr>
            <w:tcW w:w="703" w:type="dxa"/>
            <w:tcBorders>
              <w:top w:val="single" w:sz="4" w:space="0" w:color="000000"/>
              <w:left w:val="single" w:sz="4" w:space="0" w:color="000000"/>
              <w:bottom w:val="nil"/>
              <w:right w:val="single" w:sz="4" w:space="0" w:color="auto"/>
            </w:tcBorders>
            <w:shd w:val="clear" w:color="FFFFFF" w:fill="C0C0C0"/>
            <w:noWrap/>
            <w:vAlign w:val="center"/>
            <w:hideMark/>
          </w:tcPr>
          <w:p w14:paraId="18942B6D"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 </w:t>
            </w:r>
          </w:p>
        </w:tc>
      </w:tr>
      <w:tr w:rsidR="00FD1E19" w14:paraId="50D6EF67" w14:textId="77777777" w:rsidTr="00BE7E4A">
        <w:trPr>
          <w:trHeight w:val="222"/>
        </w:trPr>
        <w:tc>
          <w:tcPr>
            <w:tcW w:w="252" w:type="dxa"/>
            <w:tcBorders>
              <w:top w:val="nil"/>
              <w:left w:val="single" w:sz="4" w:space="0" w:color="auto"/>
              <w:bottom w:val="nil"/>
              <w:right w:val="single" w:sz="4" w:space="0" w:color="000000"/>
            </w:tcBorders>
            <w:shd w:val="clear" w:color="FFFFFF" w:fill="999999"/>
            <w:noWrap/>
            <w:vAlign w:val="bottom"/>
            <w:hideMark/>
          </w:tcPr>
          <w:p w14:paraId="0B795662"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 </w:t>
            </w:r>
          </w:p>
        </w:tc>
        <w:tc>
          <w:tcPr>
            <w:tcW w:w="2720" w:type="dxa"/>
            <w:gridSpan w:val="2"/>
            <w:tcBorders>
              <w:top w:val="nil"/>
              <w:left w:val="nil"/>
              <w:bottom w:val="nil"/>
              <w:right w:val="nil"/>
            </w:tcBorders>
            <w:shd w:val="clear" w:color="FFFFFF" w:fill="DEDCDC"/>
            <w:noWrap/>
            <w:vAlign w:val="bottom"/>
            <w:hideMark/>
          </w:tcPr>
          <w:p w14:paraId="48F3B6F5"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Allocations</w:t>
            </w:r>
          </w:p>
        </w:tc>
        <w:tc>
          <w:tcPr>
            <w:tcW w:w="693" w:type="dxa"/>
            <w:tcBorders>
              <w:top w:val="nil"/>
              <w:left w:val="single" w:sz="4" w:space="0" w:color="000000"/>
              <w:bottom w:val="nil"/>
              <w:right w:val="nil"/>
            </w:tcBorders>
            <w:shd w:val="clear" w:color="FFFFFF" w:fill="DEDCDC"/>
            <w:noWrap/>
            <w:vAlign w:val="center"/>
            <w:hideMark/>
          </w:tcPr>
          <w:p w14:paraId="48BEA82D"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554691A6"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890" w:type="dxa"/>
            <w:gridSpan w:val="2"/>
            <w:tcBorders>
              <w:top w:val="nil"/>
              <w:left w:val="single" w:sz="4" w:space="0" w:color="000000"/>
              <w:bottom w:val="nil"/>
              <w:right w:val="nil"/>
            </w:tcBorders>
            <w:shd w:val="clear" w:color="FFFFFF" w:fill="DEDCDC"/>
            <w:noWrap/>
            <w:vAlign w:val="center"/>
            <w:hideMark/>
          </w:tcPr>
          <w:p w14:paraId="0F4E7C34"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single" w:sz="4" w:space="0" w:color="000000"/>
              <w:bottom w:val="nil"/>
              <w:right w:val="nil"/>
            </w:tcBorders>
            <w:shd w:val="clear" w:color="FFFFFF" w:fill="DEDCDC"/>
            <w:noWrap/>
            <w:vAlign w:val="center"/>
            <w:hideMark/>
          </w:tcPr>
          <w:p w14:paraId="50FF83C6"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756F1533"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74" w:type="dxa"/>
            <w:tcBorders>
              <w:top w:val="nil"/>
              <w:left w:val="single" w:sz="4" w:space="0" w:color="000000"/>
              <w:bottom w:val="nil"/>
              <w:right w:val="nil"/>
            </w:tcBorders>
            <w:shd w:val="clear" w:color="FFFFFF" w:fill="DEDCDC"/>
            <w:noWrap/>
            <w:vAlign w:val="center"/>
            <w:hideMark/>
          </w:tcPr>
          <w:p w14:paraId="418D304D"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single" w:sz="4" w:space="0" w:color="000000"/>
              <w:bottom w:val="nil"/>
              <w:right w:val="nil"/>
            </w:tcBorders>
            <w:shd w:val="clear" w:color="FFFFFF" w:fill="DEDCDC"/>
            <w:noWrap/>
            <w:vAlign w:val="center"/>
            <w:hideMark/>
          </w:tcPr>
          <w:p w14:paraId="6082CDAA"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28" w:type="dxa"/>
            <w:tcBorders>
              <w:top w:val="nil"/>
              <w:left w:val="single" w:sz="4" w:space="0" w:color="000000"/>
              <w:bottom w:val="nil"/>
              <w:right w:val="nil"/>
            </w:tcBorders>
            <w:shd w:val="clear" w:color="FFFFFF" w:fill="DEDCDC"/>
            <w:noWrap/>
            <w:vAlign w:val="center"/>
            <w:hideMark/>
          </w:tcPr>
          <w:p w14:paraId="1518EED8"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464" w:type="dxa"/>
            <w:tcBorders>
              <w:top w:val="nil"/>
              <w:left w:val="single" w:sz="4" w:space="0" w:color="000000"/>
              <w:bottom w:val="nil"/>
              <w:right w:val="nil"/>
            </w:tcBorders>
            <w:shd w:val="clear" w:color="FFFFFF" w:fill="DEDCDC"/>
            <w:noWrap/>
            <w:vAlign w:val="center"/>
            <w:hideMark/>
          </w:tcPr>
          <w:p w14:paraId="788F8026"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single" w:sz="4" w:space="0" w:color="000000"/>
              <w:bottom w:val="nil"/>
              <w:right w:val="single" w:sz="4" w:space="0" w:color="auto"/>
            </w:tcBorders>
            <w:shd w:val="clear" w:color="FFFFFF" w:fill="DEDCDC"/>
            <w:noWrap/>
            <w:vAlign w:val="center"/>
            <w:hideMark/>
          </w:tcPr>
          <w:p w14:paraId="34342E09" w14:textId="77777777" w:rsidR="00FD1E19" w:rsidRDefault="00FD1E19" w:rsidP="00BE7E4A">
            <w:pPr>
              <w:jc w:val="center"/>
              <w:rPr>
                <w:rFonts w:ascii="Arial" w:hAnsi="Arial" w:cs="Arial"/>
                <w:b/>
                <w:bCs/>
                <w:noProof/>
                <w:color w:val="000000"/>
                <w:sz w:val="12"/>
                <w:szCs w:val="12"/>
              </w:rPr>
            </w:pPr>
            <w:r>
              <w:rPr>
                <w:rFonts w:ascii="Arial" w:hAnsi="Arial" w:cs="Arial"/>
                <w:b/>
                <w:bCs/>
                <w:noProof/>
                <w:color w:val="000000"/>
                <w:sz w:val="12"/>
                <w:szCs w:val="12"/>
              </w:rPr>
              <w:t> </w:t>
            </w:r>
          </w:p>
        </w:tc>
      </w:tr>
      <w:tr w:rsidR="00FD1E19" w14:paraId="784585DF" w14:textId="77777777" w:rsidTr="00BE7E4A">
        <w:trPr>
          <w:trHeight w:val="244"/>
        </w:trPr>
        <w:tc>
          <w:tcPr>
            <w:tcW w:w="252" w:type="dxa"/>
            <w:vMerge w:val="restart"/>
            <w:tcBorders>
              <w:top w:val="nil"/>
              <w:left w:val="single" w:sz="4" w:space="0" w:color="auto"/>
              <w:bottom w:val="single" w:sz="4" w:space="0" w:color="000000"/>
              <w:right w:val="single" w:sz="4" w:space="0" w:color="000000"/>
            </w:tcBorders>
            <w:shd w:val="clear" w:color="FFFFFF" w:fill="999999"/>
            <w:vAlign w:val="center"/>
            <w:hideMark/>
          </w:tcPr>
          <w:p w14:paraId="60AB1DFB"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1FA9FEAD"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A ENVELOPE - NATIONAL ALLOCATIONS</w:t>
            </w:r>
          </w:p>
        </w:tc>
        <w:tc>
          <w:tcPr>
            <w:tcW w:w="693" w:type="dxa"/>
            <w:tcBorders>
              <w:top w:val="single" w:sz="4" w:space="0" w:color="000000"/>
              <w:left w:val="nil"/>
              <w:bottom w:val="single" w:sz="4" w:space="0" w:color="000000"/>
              <w:right w:val="single" w:sz="4" w:space="0" w:color="000000"/>
            </w:tcBorders>
            <w:shd w:val="clear" w:color="FFFFFF" w:fill="FFFFFF"/>
            <w:noWrap/>
            <w:vAlign w:val="center"/>
            <w:hideMark/>
          </w:tcPr>
          <w:p w14:paraId="579BFA2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182</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15D98D8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181</w:t>
            </w:r>
          </w:p>
        </w:tc>
        <w:tc>
          <w:tcPr>
            <w:tcW w:w="89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56184811" w14:textId="77777777" w:rsidR="00FD1E19" w:rsidRDefault="00FD1E19" w:rsidP="00BE7E4A">
            <w:pPr>
              <w:jc w:val="right"/>
              <w:rPr>
                <w:rFonts w:ascii="Arial" w:hAnsi="Arial" w:cs="Arial"/>
                <w:b/>
                <w:bCs/>
                <w:noProof/>
                <w:color w:val="FF0000"/>
                <w:sz w:val="12"/>
                <w:szCs w:val="12"/>
              </w:rPr>
            </w:pPr>
            <w:r>
              <w:rPr>
                <w:rFonts w:ascii="Arial" w:hAnsi="Arial" w:cs="Arial"/>
                <w:b/>
                <w:bCs/>
                <w:noProof/>
                <w:color w:val="FF0000"/>
                <w:sz w:val="12"/>
                <w:szCs w:val="12"/>
              </w:rPr>
              <w:t>(1)</w:t>
            </w:r>
          </w:p>
        </w:tc>
        <w:tc>
          <w:tcPr>
            <w:tcW w:w="398" w:type="dxa"/>
            <w:tcBorders>
              <w:top w:val="single" w:sz="4" w:space="0" w:color="000000"/>
              <w:left w:val="nil"/>
              <w:bottom w:val="single" w:sz="4" w:space="0" w:color="000000"/>
              <w:right w:val="single" w:sz="4" w:space="0" w:color="000000"/>
            </w:tcBorders>
            <w:shd w:val="clear" w:color="FFFFFF" w:fill="FFFFFF"/>
            <w:noWrap/>
            <w:vAlign w:val="center"/>
            <w:hideMark/>
          </w:tcPr>
          <w:p w14:paraId="7C9198F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78A5AE3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180</w:t>
            </w:r>
          </w:p>
        </w:tc>
        <w:tc>
          <w:tcPr>
            <w:tcW w:w="674" w:type="dxa"/>
            <w:tcBorders>
              <w:top w:val="single" w:sz="4" w:space="0" w:color="000000"/>
              <w:left w:val="nil"/>
              <w:bottom w:val="single" w:sz="4" w:space="0" w:color="000000"/>
              <w:right w:val="single" w:sz="4" w:space="0" w:color="000000"/>
            </w:tcBorders>
            <w:shd w:val="clear" w:color="FFFFFF" w:fill="FFFFFF"/>
            <w:noWrap/>
            <w:vAlign w:val="center"/>
            <w:hideMark/>
          </w:tcPr>
          <w:p w14:paraId="071A660E" w14:textId="77777777" w:rsidR="00FD1E19" w:rsidRDefault="00FD1E19" w:rsidP="00BE7E4A">
            <w:pPr>
              <w:jc w:val="right"/>
              <w:rPr>
                <w:rFonts w:ascii="Arial" w:hAnsi="Arial" w:cs="Arial"/>
                <w:noProof/>
                <w:color w:val="FFFFFF"/>
                <w:sz w:val="12"/>
                <w:szCs w:val="12"/>
              </w:rPr>
            </w:pPr>
            <w:r>
              <w:rPr>
                <w:rFonts w:ascii="Arial" w:hAnsi="Arial" w:cs="Arial"/>
                <w:noProof/>
                <w:color w:val="FFFFFF"/>
                <w:sz w:val="12"/>
                <w:szCs w:val="12"/>
              </w:rPr>
              <w:t>0</w:t>
            </w:r>
          </w:p>
        </w:tc>
        <w:tc>
          <w:tcPr>
            <w:tcW w:w="651" w:type="dxa"/>
            <w:tcBorders>
              <w:top w:val="single" w:sz="4" w:space="0" w:color="000000"/>
              <w:left w:val="nil"/>
              <w:bottom w:val="single" w:sz="4" w:space="0" w:color="000000"/>
              <w:right w:val="single" w:sz="4" w:space="0" w:color="000000"/>
            </w:tcBorders>
            <w:shd w:val="clear" w:color="FFFFFF" w:fill="FFFFFF"/>
            <w:noWrap/>
            <w:vAlign w:val="center"/>
            <w:hideMark/>
          </w:tcPr>
          <w:p w14:paraId="1AC9DF5C"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99%</w:t>
            </w:r>
          </w:p>
        </w:tc>
        <w:tc>
          <w:tcPr>
            <w:tcW w:w="728" w:type="dxa"/>
            <w:tcBorders>
              <w:top w:val="single" w:sz="4" w:space="0" w:color="000000"/>
              <w:left w:val="nil"/>
              <w:bottom w:val="single" w:sz="4" w:space="0" w:color="000000"/>
              <w:right w:val="single" w:sz="4" w:space="0" w:color="000000"/>
            </w:tcBorders>
            <w:shd w:val="clear" w:color="FFFFFF" w:fill="FFFFFF"/>
            <w:noWrap/>
            <w:vAlign w:val="center"/>
            <w:hideMark/>
          </w:tcPr>
          <w:p w14:paraId="4D8A8FB5"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172</w:t>
            </w:r>
          </w:p>
        </w:tc>
        <w:tc>
          <w:tcPr>
            <w:tcW w:w="464" w:type="dxa"/>
            <w:tcBorders>
              <w:top w:val="single" w:sz="4" w:space="0" w:color="000000"/>
              <w:left w:val="nil"/>
              <w:bottom w:val="single" w:sz="4" w:space="0" w:color="000000"/>
              <w:right w:val="single" w:sz="4" w:space="0" w:color="000000"/>
            </w:tcBorders>
            <w:shd w:val="clear" w:color="FFFFFF" w:fill="FFFFFF"/>
            <w:noWrap/>
            <w:vAlign w:val="center"/>
            <w:hideMark/>
          </w:tcPr>
          <w:p w14:paraId="57B7F0F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single" w:sz="4" w:space="0" w:color="000000"/>
              <w:left w:val="nil"/>
              <w:bottom w:val="single" w:sz="4" w:space="0" w:color="000000"/>
              <w:right w:val="single" w:sz="4" w:space="0" w:color="auto"/>
            </w:tcBorders>
            <w:shd w:val="clear" w:color="FFFFFF" w:fill="FFFFFF"/>
            <w:noWrap/>
            <w:vAlign w:val="center"/>
            <w:hideMark/>
          </w:tcPr>
          <w:p w14:paraId="46A30D6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96%</w:t>
            </w:r>
          </w:p>
        </w:tc>
      </w:tr>
      <w:tr w:rsidR="00FD1E19" w14:paraId="72CB60DE"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1E2DC655"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5D1E6A57"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B ENVELOPE - NATIONAL ALLOCATIONS</w:t>
            </w:r>
          </w:p>
        </w:tc>
        <w:tc>
          <w:tcPr>
            <w:tcW w:w="693" w:type="dxa"/>
            <w:tcBorders>
              <w:top w:val="nil"/>
              <w:left w:val="nil"/>
              <w:bottom w:val="single" w:sz="4" w:space="0" w:color="000000"/>
              <w:right w:val="single" w:sz="4" w:space="0" w:color="000000"/>
            </w:tcBorders>
            <w:shd w:val="clear" w:color="FFFFFF" w:fill="FFFFFF"/>
            <w:noWrap/>
            <w:vAlign w:val="center"/>
            <w:hideMark/>
          </w:tcPr>
          <w:p w14:paraId="72E28609"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14</w:t>
            </w:r>
          </w:p>
        </w:tc>
        <w:tc>
          <w:tcPr>
            <w:tcW w:w="728" w:type="dxa"/>
            <w:tcBorders>
              <w:top w:val="nil"/>
              <w:left w:val="nil"/>
              <w:bottom w:val="single" w:sz="4" w:space="0" w:color="000000"/>
              <w:right w:val="single" w:sz="4" w:space="0" w:color="000000"/>
            </w:tcBorders>
            <w:shd w:val="clear" w:color="FFFFFF" w:fill="FFFFFF"/>
            <w:noWrap/>
            <w:vAlign w:val="center"/>
            <w:hideMark/>
          </w:tcPr>
          <w:p w14:paraId="773CFFD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14</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7A2F4BE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14:paraId="037F6EFB"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4AD13E1E"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14</w:t>
            </w:r>
          </w:p>
        </w:tc>
        <w:tc>
          <w:tcPr>
            <w:tcW w:w="674" w:type="dxa"/>
            <w:tcBorders>
              <w:top w:val="nil"/>
              <w:left w:val="nil"/>
              <w:bottom w:val="single" w:sz="4" w:space="0" w:color="000000"/>
              <w:right w:val="single" w:sz="4" w:space="0" w:color="000000"/>
            </w:tcBorders>
            <w:shd w:val="clear" w:color="FFFFFF" w:fill="FFFFFF"/>
            <w:noWrap/>
            <w:vAlign w:val="center"/>
            <w:hideMark/>
          </w:tcPr>
          <w:p w14:paraId="5848E1CF"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14:paraId="7F0BA507"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7CC6EDC8"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14</w:t>
            </w:r>
          </w:p>
        </w:tc>
        <w:tc>
          <w:tcPr>
            <w:tcW w:w="464" w:type="dxa"/>
            <w:tcBorders>
              <w:top w:val="nil"/>
              <w:left w:val="nil"/>
              <w:bottom w:val="single" w:sz="4" w:space="0" w:color="000000"/>
              <w:right w:val="single" w:sz="4" w:space="0" w:color="000000"/>
            </w:tcBorders>
            <w:shd w:val="clear" w:color="FFFFFF" w:fill="FFFFFF"/>
            <w:noWrap/>
            <w:vAlign w:val="center"/>
            <w:hideMark/>
          </w:tcPr>
          <w:p w14:paraId="769D15C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14:paraId="03586FF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60145783"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7F500933"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3C7DE0BD"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IMPLEMENTATION COSTS AND INTERESTS REVENUES</w:t>
            </w:r>
          </w:p>
        </w:tc>
        <w:tc>
          <w:tcPr>
            <w:tcW w:w="693" w:type="dxa"/>
            <w:tcBorders>
              <w:top w:val="nil"/>
              <w:left w:val="nil"/>
              <w:bottom w:val="single" w:sz="4" w:space="0" w:color="000000"/>
              <w:right w:val="single" w:sz="4" w:space="0" w:color="000000"/>
            </w:tcBorders>
            <w:shd w:val="clear" w:color="FFFFFF" w:fill="FFFFFF"/>
            <w:noWrap/>
            <w:vAlign w:val="center"/>
            <w:hideMark/>
          </w:tcPr>
          <w:p w14:paraId="44238C3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728" w:type="dxa"/>
            <w:tcBorders>
              <w:top w:val="nil"/>
              <w:left w:val="nil"/>
              <w:bottom w:val="single" w:sz="4" w:space="0" w:color="000000"/>
              <w:right w:val="single" w:sz="4" w:space="0" w:color="000000"/>
            </w:tcBorders>
            <w:shd w:val="clear" w:color="FFFFFF" w:fill="FFFFFF"/>
            <w:noWrap/>
            <w:vAlign w:val="center"/>
            <w:hideMark/>
          </w:tcPr>
          <w:p w14:paraId="22C65CB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2EDEB5D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398" w:type="dxa"/>
            <w:tcBorders>
              <w:top w:val="nil"/>
              <w:left w:val="nil"/>
              <w:bottom w:val="single" w:sz="4" w:space="0" w:color="000000"/>
              <w:right w:val="single" w:sz="4" w:space="0" w:color="000000"/>
            </w:tcBorders>
            <w:shd w:val="clear" w:color="FFFFFF" w:fill="FFFFFF"/>
            <w:noWrap/>
            <w:vAlign w:val="center"/>
            <w:hideMark/>
          </w:tcPr>
          <w:p w14:paraId="30F1B94A"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445E25B9"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674" w:type="dxa"/>
            <w:tcBorders>
              <w:top w:val="nil"/>
              <w:left w:val="nil"/>
              <w:bottom w:val="single" w:sz="4" w:space="0" w:color="000000"/>
              <w:right w:val="single" w:sz="4" w:space="0" w:color="000000"/>
            </w:tcBorders>
            <w:shd w:val="clear" w:color="FFFFFF" w:fill="FFFFFF"/>
            <w:noWrap/>
            <w:vAlign w:val="center"/>
            <w:hideMark/>
          </w:tcPr>
          <w:p w14:paraId="6AD9FBE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651" w:type="dxa"/>
            <w:tcBorders>
              <w:top w:val="nil"/>
              <w:left w:val="nil"/>
              <w:bottom w:val="single" w:sz="4" w:space="0" w:color="000000"/>
              <w:right w:val="single" w:sz="4" w:space="0" w:color="000000"/>
            </w:tcBorders>
            <w:shd w:val="clear" w:color="FFFFFF" w:fill="FFFFFF"/>
            <w:noWrap/>
            <w:vAlign w:val="center"/>
            <w:hideMark/>
          </w:tcPr>
          <w:p w14:paraId="47A0C02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7CF78049"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5</w:t>
            </w:r>
          </w:p>
        </w:tc>
        <w:tc>
          <w:tcPr>
            <w:tcW w:w="464" w:type="dxa"/>
            <w:tcBorders>
              <w:top w:val="nil"/>
              <w:left w:val="nil"/>
              <w:bottom w:val="single" w:sz="4" w:space="0" w:color="000000"/>
              <w:right w:val="single" w:sz="4" w:space="0" w:color="000000"/>
            </w:tcBorders>
            <w:shd w:val="clear" w:color="FFFFFF" w:fill="FFFFFF"/>
            <w:noWrap/>
            <w:vAlign w:val="center"/>
            <w:hideMark/>
          </w:tcPr>
          <w:p w14:paraId="3E01699B"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14:paraId="573D272A"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44D4471D" w14:textId="77777777" w:rsidTr="00BE7E4A">
        <w:trPr>
          <w:trHeight w:val="244"/>
        </w:trPr>
        <w:tc>
          <w:tcPr>
            <w:tcW w:w="252" w:type="dxa"/>
            <w:vMerge/>
            <w:tcBorders>
              <w:top w:val="nil"/>
              <w:left w:val="single" w:sz="4" w:space="0" w:color="auto"/>
              <w:bottom w:val="single" w:sz="4" w:space="0" w:color="000000"/>
              <w:right w:val="single" w:sz="4" w:space="0" w:color="000000"/>
            </w:tcBorders>
            <w:vAlign w:val="center"/>
            <w:hideMark/>
          </w:tcPr>
          <w:p w14:paraId="076E33F4" w14:textId="77777777" w:rsidR="00FD1E19" w:rsidRDefault="00FD1E19" w:rsidP="00BE7E4A">
            <w:pPr>
              <w:rPr>
                <w:rFonts w:ascii="Arial" w:hAnsi="Arial" w:cs="Arial"/>
                <w:b/>
                <w:bCs/>
                <w:noProof/>
                <w:color w:val="FFFFFF"/>
                <w:sz w:val="14"/>
                <w:szCs w:val="14"/>
              </w:rPr>
            </w:pPr>
          </w:p>
        </w:tc>
        <w:tc>
          <w:tcPr>
            <w:tcW w:w="272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29CBD8AE"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SUB TOTAL: REGIONAL ALLOCATIONS</w:t>
            </w:r>
          </w:p>
        </w:tc>
        <w:tc>
          <w:tcPr>
            <w:tcW w:w="693" w:type="dxa"/>
            <w:tcBorders>
              <w:top w:val="nil"/>
              <w:left w:val="nil"/>
              <w:bottom w:val="single" w:sz="4" w:space="0" w:color="000000"/>
              <w:right w:val="single" w:sz="4" w:space="0" w:color="000000"/>
            </w:tcBorders>
            <w:shd w:val="clear" w:color="FFFFFF" w:fill="FFFFFF"/>
            <w:noWrap/>
            <w:vAlign w:val="center"/>
            <w:hideMark/>
          </w:tcPr>
          <w:p w14:paraId="0C44582A"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34</w:t>
            </w:r>
          </w:p>
        </w:tc>
        <w:tc>
          <w:tcPr>
            <w:tcW w:w="728" w:type="dxa"/>
            <w:tcBorders>
              <w:top w:val="nil"/>
              <w:left w:val="nil"/>
              <w:bottom w:val="single" w:sz="4" w:space="0" w:color="000000"/>
              <w:right w:val="single" w:sz="4" w:space="0" w:color="000000"/>
            </w:tcBorders>
            <w:shd w:val="clear" w:color="FFFFFF" w:fill="FFFFFF"/>
            <w:noWrap/>
            <w:vAlign w:val="center"/>
            <w:hideMark/>
          </w:tcPr>
          <w:p w14:paraId="34F70BA4"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34</w:t>
            </w:r>
          </w:p>
        </w:tc>
        <w:tc>
          <w:tcPr>
            <w:tcW w:w="890" w:type="dxa"/>
            <w:gridSpan w:val="2"/>
            <w:tcBorders>
              <w:top w:val="nil"/>
              <w:left w:val="nil"/>
              <w:bottom w:val="single" w:sz="4" w:space="0" w:color="000000"/>
              <w:right w:val="single" w:sz="4" w:space="0" w:color="000000"/>
            </w:tcBorders>
            <w:shd w:val="clear" w:color="FFFFFF" w:fill="FFFFFF"/>
            <w:noWrap/>
            <w:vAlign w:val="center"/>
            <w:hideMark/>
          </w:tcPr>
          <w:p w14:paraId="048657E4" w14:textId="77777777" w:rsidR="00FD1E19" w:rsidRDefault="00FD1E19" w:rsidP="00BE7E4A">
            <w:pPr>
              <w:jc w:val="right"/>
              <w:rPr>
                <w:rFonts w:ascii="Arial" w:hAnsi="Arial" w:cs="Arial"/>
                <w:noProof/>
                <w:color w:val="FFFFFF"/>
                <w:sz w:val="12"/>
                <w:szCs w:val="12"/>
              </w:rPr>
            </w:pPr>
            <w:r>
              <w:rPr>
                <w:rFonts w:ascii="Arial" w:hAnsi="Arial" w:cs="Arial"/>
                <w:noProof/>
                <w:color w:val="FFFFFF"/>
                <w:sz w:val="12"/>
                <w:szCs w:val="12"/>
              </w:rPr>
              <w:t>0</w:t>
            </w:r>
          </w:p>
        </w:tc>
        <w:tc>
          <w:tcPr>
            <w:tcW w:w="398" w:type="dxa"/>
            <w:tcBorders>
              <w:top w:val="nil"/>
              <w:left w:val="nil"/>
              <w:bottom w:val="single" w:sz="4" w:space="0" w:color="000000"/>
              <w:right w:val="single" w:sz="4" w:space="0" w:color="000000"/>
            </w:tcBorders>
            <w:shd w:val="clear" w:color="FFFFFF" w:fill="FFFFFF"/>
            <w:noWrap/>
            <w:vAlign w:val="center"/>
            <w:hideMark/>
          </w:tcPr>
          <w:p w14:paraId="30E679FB"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c>
          <w:tcPr>
            <w:tcW w:w="728" w:type="dxa"/>
            <w:tcBorders>
              <w:top w:val="nil"/>
              <w:left w:val="nil"/>
              <w:bottom w:val="single" w:sz="4" w:space="0" w:color="000000"/>
              <w:right w:val="single" w:sz="4" w:space="0" w:color="000000"/>
            </w:tcBorders>
            <w:shd w:val="clear" w:color="FFFFFF" w:fill="FFFFFF"/>
            <w:noWrap/>
            <w:vAlign w:val="center"/>
            <w:hideMark/>
          </w:tcPr>
          <w:p w14:paraId="14E255D9"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34</w:t>
            </w:r>
          </w:p>
        </w:tc>
        <w:tc>
          <w:tcPr>
            <w:tcW w:w="674" w:type="dxa"/>
            <w:tcBorders>
              <w:top w:val="nil"/>
              <w:left w:val="nil"/>
              <w:bottom w:val="single" w:sz="4" w:space="0" w:color="000000"/>
              <w:right w:val="single" w:sz="4" w:space="0" w:color="000000"/>
            </w:tcBorders>
            <w:shd w:val="clear" w:color="FFFFFF" w:fill="FFFFFF"/>
            <w:noWrap/>
            <w:vAlign w:val="center"/>
            <w:hideMark/>
          </w:tcPr>
          <w:p w14:paraId="4A041A22" w14:textId="77777777" w:rsidR="00FD1E19" w:rsidRDefault="00FD1E19" w:rsidP="00BE7E4A">
            <w:pPr>
              <w:jc w:val="right"/>
              <w:rPr>
                <w:rFonts w:ascii="Arial" w:hAnsi="Arial" w:cs="Arial"/>
                <w:noProof/>
                <w:color w:val="FFFFFF"/>
                <w:sz w:val="12"/>
                <w:szCs w:val="12"/>
              </w:rPr>
            </w:pPr>
            <w:r>
              <w:rPr>
                <w:rFonts w:ascii="Arial" w:hAnsi="Arial" w:cs="Arial"/>
                <w:noProof/>
                <w:color w:val="FFFFFF"/>
                <w:sz w:val="12"/>
                <w:szCs w:val="12"/>
              </w:rPr>
              <w:t>0</w:t>
            </w:r>
          </w:p>
        </w:tc>
        <w:tc>
          <w:tcPr>
            <w:tcW w:w="651" w:type="dxa"/>
            <w:tcBorders>
              <w:top w:val="nil"/>
              <w:left w:val="nil"/>
              <w:bottom w:val="single" w:sz="4" w:space="0" w:color="000000"/>
              <w:right w:val="single" w:sz="4" w:space="0" w:color="000000"/>
            </w:tcBorders>
            <w:shd w:val="clear" w:color="FFFFFF" w:fill="FFFFFF"/>
            <w:noWrap/>
            <w:vAlign w:val="center"/>
            <w:hideMark/>
          </w:tcPr>
          <w:p w14:paraId="1A6B5BF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99%</w:t>
            </w:r>
          </w:p>
        </w:tc>
        <w:tc>
          <w:tcPr>
            <w:tcW w:w="728" w:type="dxa"/>
            <w:tcBorders>
              <w:top w:val="nil"/>
              <w:left w:val="nil"/>
              <w:bottom w:val="single" w:sz="4" w:space="0" w:color="000000"/>
              <w:right w:val="single" w:sz="4" w:space="0" w:color="000000"/>
            </w:tcBorders>
            <w:shd w:val="clear" w:color="FFFFFF" w:fill="FFFFFF"/>
            <w:noWrap/>
            <w:vAlign w:val="center"/>
            <w:hideMark/>
          </w:tcPr>
          <w:p w14:paraId="23B34BB3"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34</w:t>
            </w:r>
          </w:p>
        </w:tc>
        <w:tc>
          <w:tcPr>
            <w:tcW w:w="464" w:type="dxa"/>
            <w:tcBorders>
              <w:top w:val="nil"/>
              <w:left w:val="nil"/>
              <w:bottom w:val="single" w:sz="4" w:space="0" w:color="000000"/>
              <w:right w:val="single" w:sz="4" w:space="0" w:color="000000"/>
            </w:tcBorders>
            <w:shd w:val="clear" w:color="FFFFFF" w:fill="FFFFFF"/>
            <w:noWrap/>
            <w:vAlign w:val="center"/>
            <w:hideMark/>
          </w:tcPr>
          <w:p w14:paraId="306BE460"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 </w:t>
            </w:r>
          </w:p>
        </w:tc>
        <w:tc>
          <w:tcPr>
            <w:tcW w:w="703" w:type="dxa"/>
            <w:tcBorders>
              <w:top w:val="nil"/>
              <w:left w:val="nil"/>
              <w:bottom w:val="single" w:sz="4" w:space="0" w:color="000000"/>
              <w:right w:val="single" w:sz="4" w:space="0" w:color="auto"/>
            </w:tcBorders>
            <w:shd w:val="clear" w:color="FFFFFF" w:fill="FFFFFF"/>
            <w:noWrap/>
            <w:vAlign w:val="center"/>
            <w:hideMark/>
          </w:tcPr>
          <w:p w14:paraId="36250241" w14:textId="77777777" w:rsidR="00FD1E19" w:rsidRDefault="00FD1E19" w:rsidP="00BE7E4A">
            <w:pPr>
              <w:jc w:val="right"/>
              <w:rPr>
                <w:rFonts w:ascii="Arial" w:hAnsi="Arial" w:cs="Arial"/>
                <w:b/>
                <w:bCs/>
                <w:noProof/>
                <w:color w:val="000000"/>
                <w:sz w:val="12"/>
                <w:szCs w:val="12"/>
              </w:rPr>
            </w:pPr>
            <w:r>
              <w:rPr>
                <w:rFonts w:ascii="Arial" w:hAnsi="Arial" w:cs="Arial"/>
                <w:b/>
                <w:bCs/>
                <w:noProof/>
                <w:color w:val="000000"/>
                <w:sz w:val="12"/>
                <w:szCs w:val="12"/>
              </w:rPr>
              <w:t>100%</w:t>
            </w:r>
          </w:p>
        </w:tc>
      </w:tr>
      <w:tr w:rsidR="00FD1E19" w14:paraId="1235CE75" w14:textId="77777777" w:rsidTr="00BE7E4A">
        <w:trPr>
          <w:trHeight w:val="222"/>
        </w:trPr>
        <w:tc>
          <w:tcPr>
            <w:tcW w:w="252" w:type="dxa"/>
            <w:tcBorders>
              <w:top w:val="nil"/>
              <w:left w:val="single" w:sz="4" w:space="0" w:color="auto"/>
              <w:bottom w:val="nil"/>
              <w:right w:val="nil"/>
            </w:tcBorders>
            <w:shd w:val="clear" w:color="FFFFFF" w:fill="FFFFFF"/>
            <w:noWrap/>
            <w:vAlign w:val="center"/>
            <w:hideMark/>
          </w:tcPr>
          <w:p w14:paraId="1EB8F2A9"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2720" w:type="dxa"/>
            <w:gridSpan w:val="2"/>
            <w:tcBorders>
              <w:top w:val="nil"/>
              <w:left w:val="nil"/>
              <w:bottom w:val="nil"/>
              <w:right w:val="nil"/>
            </w:tcBorders>
            <w:shd w:val="clear" w:color="FFFFFF" w:fill="FFFFFF"/>
            <w:noWrap/>
            <w:vAlign w:val="center"/>
            <w:hideMark/>
          </w:tcPr>
          <w:p w14:paraId="3842100B"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693" w:type="dxa"/>
            <w:tcBorders>
              <w:top w:val="nil"/>
              <w:left w:val="nil"/>
              <w:bottom w:val="nil"/>
              <w:right w:val="nil"/>
            </w:tcBorders>
            <w:shd w:val="clear" w:color="FFFFFF" w:fill="FFFFFF"/>
            <w:noWrap/>
            <w:vAlign w:val="center"/>
            <w:hideMark/>
          </w:tcPr>
          <w:p w14:paraId="596E36E2"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728" w:type="dxa"/>
            <w:tcBorders>
              <w:top w:val="nil"/>
              <w:left w:val="nil"/>
              <w:bottom w:val="nil"/>
              <w:right w:val="nil"/>
            </w:tcBorders>
            <w:shd w:val="clear" w:color="FFFFFF" w:fill="FFFFFF"/>
            <w:noWrap/>
            <w:vAlign w:val="center"/>
            <w:hideMark/>
          </w:tcPr>
          <w:p w14:paraId="743C617A"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890" w:type="dxa"/>
            <w:gridSpan w:val="2"/>
            <w:tcBorders>
              <w:top w:val="nil"/>
              <w:left w:val="nil"/>
              <w:bottom w:val="nil"/>
              <w:right w:val="nil"/>
            </w:tcBorders>
            <w:shd w:val="clear" w:color="FFFFFF" w:fill="FFFFFF"/>
            <w:noWrap/>
            <w:vAlign w:val="center"/>
            <w:hideMark/>
          </w:tcPr>
          <w:p w14:paraId="4B747C4E"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398" w:type="dxa"/>
            <w:tcBorders>
              <w:top w:val="nil"/>
              <w:left w:val="nil"/>
              <w:bottom w:val="nil"/>
              <w:right w:val="nil"/>
            </w:tcBorders>
            <w:shd w:val="clear" w:color="FFFFFF" w:fill="FFFFFF"/>
            <w:noWrap/>
            <w:vAlign w:val="center"/>
            <w:hideMark/>
          </w:tcPr>
          <w:p w14:paraId="4ED1A742"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728" w:type="dxa"/>
            <w:tcBorders>
              <w:top w:val="nil"/>
              <w:left w:val="nil"/>
              <w:bottom w:val="nil"/>
              <w:right w:val="nil"/>
            </w:tcBorders>
            <w:shd w:val="clear" w:color="FFFFFF" w:fill="FFFFFF"/>
            <w:noWrap/>
            <w:vAlign w:val="center"/>
            <w:hideMark/>
          </w:tcPr>
          <w:p w14:paraId="5C0A7088"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674" w:type="dxa"/>
            <w:tcBorders>
              <w:top w:val="nil"/>
              <w:left w:val="nil"/>
              <w:bottom w:val="nil"/>
              <w:right w:val="nil"/>
            </w:tcBorders>
            <w:shd w:val="clear" w:color="FFFFFF" w:fill="FFFFFF"/>
            <w:noWrap/>
            <w:vAlign w:val="center"/>
            <w:hideMark/>
          </w:tcPr>
          <w:p w14:paraId="178BFE48"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651" w:type="dxa"/>
            <w:tcBorders>
              <w:top w:val="nil"/>
              <w:left w:val="nil"/>
              <w:bottom w:val="nil"/>
              <w:right w:val="nil"/>
            </w:tcBorders>
            <w:shd w:val="clear" w:color="FFFFFF" w:fill="FFFFFF"/>
            <w:noWrap/>
            <w:vAlign w:val="center"/>
            <w:hideMark/>
          </w:tcPr>
          <w:p w14:paraId="70A6C0B5"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728" w:type="dxa"/>
            <w:tcBorders>
              <w:top w:val="nil"/>
              <w:left w:val="nil"/>
              <w:bottom w:val="nil"/>
              <w:right w:val="nil"/>
            </w:tcBorders>
            <w:shd w:val="clear" w:color="FFFFFF" w:fill="FFFFFF"/>
            <w:noWrap/>
            <w:vAlign w:val="center"/>
            <w:hideMark/>
          </w:tcPr>
          <w:p w14:paraId="483BD491"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464" w:type="dxa"/>
            <w:tcBorders>
              <w:top w:val="nil"/>
              <w:left w:val="nil"/>
              <w:bottom w:val="nil"/>
              <w:right w:val="nil"/>
            </w:tcBorders>
            <w:shd w:val="clear" w:color="FFFFFF" w:fill="FFFFFF"/>
            <w:noWrap/>
            <w:vAlign w:val="center"/>
            <w:hideMark/>
          </w:tcPr>
          <w:p w14:paraId="3A569F69"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703" w:type="dxa"/>
            <w:tcBorders>
              <w:top w:val="nil"/>
              <w:left w:val="nil"/>
              <w:bottom w:val="nil"/>
              <w:right w:val="single" w:sz="4" w:space="0" w:color="auto"/>
            </w:tcBorders>
            <w:shd w:val="clear" w:color="FFFFFF" w:fill="FFFFFF"/>
            <w:noWrap/>
            <w:vAlign w:val="center"/>
            <w:hideMark/>
          </w:tcPr>
          <w:p w14:paraId="282E45BB"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r>
      <w:tr w:rsidR="00FD1E19" w14:paraId="62B4B329" w14:textId="77777777" w:rsidTr="00BE7E4A">
        <w:trPr>
          <w:trHeight w:val="222"/>
        </w:trPr>
        <w:tc>
          <w:tcPr>
            <w:tcW w:w="252" w:type="dxa"/>
            <w:tcBorders>
              <w:top w:val="single" w:sz="4" w:space="0" w:color="000000"/>
              <w:left w:val="single" w:sz="4" w:space="0" w:color="auto"/>
              <w:bottom w:val="single" w:sz="4" w:space="0" w:color="auto"/>
              <w:right w:val="single" w:sz="4" w:space="0" w:color="000000"/>
            </w:tcBorders>
            <w:shd w:val="clear" w:color="FFFFFF" w:fill="808080"/>
            <w:noWrap/>
            <w:vAlign w:val="center"/>
            <w:hideMark/>
          </w:tcPr>
          <w:p w14:paraId="353E28D5"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 </w:t>
            </w:r>
          </w:p>
        </w:tc>
        <w:tc>
          <w:tcPr>
            <w:tcW w:w="2720" w:type="dxa"/>
            <w:gridSpan w:val="2"/>
            <w:tcBorders>
              <w:top w:val="single" w:sz="4" w:space="0" w:color="000000"/>
              <w:left w:val="nil"/>
              <w:bottom w:val="single" w:sz="4" w:space="0" w:color="auto"/>
              <w:right w:val="single" w:sz="4" w:space="0" w:color="000000"/>
            </w:tcBorders>
            <w:shd w:val="clear" w:color="FFFFFF" w:fill="808080"/>
            <w:noWrap/>
            <w:vAlign w:val="center"/>
            <w:hideMark/>
          </w:tcPr>
          <w:p w14:paraId="2CB1546A" w14:textId="77777777" w:rsidR="00FD1E19" w:rsidRDefault="00FD1E19" w:rsidP="00BE7E4A">
            <w:pPr>
              <w:rPr>
                <w:rFonts w:ascii="Arial" w:hAnsi="Arial" w:cs="Arial"/>
                <w:b/>
                <w:bCs/>
                <w:noProof/>
                <w:color w:val="FFFFFF"/>
                <w:sz w:val="14"/>
                <w:szCs w:val="14"/>
              </w:rPr>
            </w:pPr>
            <w:r>
              <w:rPr>
                <w:rFonts w:ascii="Arial" w:hAnsi="Arial" w:cs="Arial"/>
                <w:b/>
                <w:bCs/>
                <w:noProof/>
                <w:color w:val="FFFFFF"/>
                <w:sz w:val="14"/>
                <w:szCs w:val="14"/>
              </w:rPr>
              <w:t>TOTAL: ACP+OCT (INCL. RESERVES)    (A+B)</w:t>
            </w:r>
          </w:p>
        </w:tc>
        <w:tc>
          <w:tcPr>
            <w:tcW w:w="693" w:type="dxa"/>
            <w:tcBorders>
              <w:top w:val="single" w:sz="4" w:space="0" w:color="000000"/>
              <w:left w:val="nil"/>
              <w:bottom w:val="single" w:sz="4" w:space="0" w:color="auto"/>
              <w:right w:val="single" w:sz="4" w:space="0" w:color="000000"/>
            </w:tcBorders>
            <w:shd w:val="clear" w:color="FFFFFF" w:fill="808080"/>
            <w:noWrap/>
            <w:vAlign w:val="center"/>
            <w:hideMark/>
          </w:tcPr>
          <w:p w14:paraId="2A00229A"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20.959</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14:paraId="623C3B58"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20.937</w:t>
            </w:r>
          </w:p>
        </w:tc>
        <w:tc>
          <w:tcPr>
            <w:tcW w:w="890" w:type="dxa"/>
            <w:gridSpan w:val="2"/>
            <w:tcBorders>
              <w:top w:val="single" w:sz="4" w:space="0" w:color="000000"/>
              <w:left w:val="nil"/>
              <w:bottom w:val="single" w:sz="4" w:space="0" w:color="auto"/>
              <w:right w:val="single" w:sz="4" w:space="0" w:color="000000"/>
            </w:tcBorders>
            <w:shd w:val="clear" w:color="FFFFFF" w:fill="808080"/>
            <w:noWrap/>
            <w:vAlign w:val="center"/>
            <w:hideMark/>
          </w:tcPr>
          <w:p w14:paraId="3BBD9129" w14:textId="77777777" w:rsidR="00FD1E19" w:rsidRDefault="00FD1E19" w:rsidP="00BE7E4A">
            <w:pPr>
              <w:jc w:val="right"/>
              <w:rPr>
                <w:rFonts w:ascii="Arial" w:hAnsi="Arial" w:cs="Arial"/>
                <w:b/>
                <w:bCs/>
                <w:noProof/>
                <w:color w:val="FF0000"/>
                <w:sz w:val="14"/>
                <w:szCs w:val="14"/>
              </w:rPr>
            </w:pPr>
            <w:r>
              <w:rPr>
                <w:rFonts w:ascii="Arial" w:hAnsi="Arial" w:cs="Arial"/>
                <w:b/>
                <w:bCs/>
                <w:noProof/>
                <w:color w:val="FF0000"/>
                <w:sz w:val="14"/>
                <w:szCs w:val="14"/>
              </w:rPr>
              <w:t>(69)</w:t>
            </w:r>
          </w:p>
        </w:tc>
        <w:tc>
          <w:tcPr>
            <w:tcW w:w="398" w:type="dxa"/>
            <w:tcBorders>
              <w:top w:val="single" w:sz="4" w:space="0" w:color="000000"/>
              <w:left w:val="nil"/>
              <w:bottom w:val="single" w:sz="4" w:space="0" w:color="auto"/>
              <w:right w:val="single" w:sz="4" w:space="0" w:color="000000"/>
            </w:tcBorders>
            <w:shd w:val="clear" w:color="FFFFFF" w:fill="808080"/>
            <w:noWrap/>
            <w:vAlign w:val="center"/>
            <w:hideMark/>
          </w:tcPr>
          <w:p w14:paraId="7276A4D6"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100%</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14:paraId="4C9EA8DE"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20.902</w:t>
            </w:r>
          </w:p>
        </w:tc>
        <w:tc>
          <w:tcPr>
            <w:tcW w:w="674" w:type="dxa"/>
            <w:tcBorders>
              <w:top w:val="single" w:sz="4" w:space="0" w:color="000000"/>
              <w:left w:val="nil"/>
              <w:bottom w:val="single" w:sz="4" w:space="0" w:color="auto"/>
              <w:right w:val="single" w:sz="4" w:space="0" w:color="000000"/>
            </w:tcBorders>
            <w:shd w:val="clear" w:color="FFFFFF" w:fill="808080"/>
            <w:noWrap/>
            <w:vAlign w:val="center"/>
            <w:hideMark/>
          </w:tcPr>
          <w:p w14:paraId="7DC121B0"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(62)</w:t>
            </w:r>
          </w:p>
        </w:tc>
        <w:tc>
          <w:tcPr>
            <w:tcW w:w="651" w:type="dxa"/>
            <w:tcBorders>
              <w:top w:val="single" w:sz="4" w:space="0" w:color="000000"/>
              <w:left w:val="nil"/>
              <w:bottom w:val="single" w:sz="4" w:space="0" w:color="auto"/>
              <w:right w:val="single" w:sz="4" w:space="0" w:color="000000"/>
            </w:tcBorders>
            <w:shd w:val="clear" w:color="FFFFFF" w:fill="808080"/>
            <w:noWrap/>
            <w:vAlign w:val="center"/>
            <w:hideMark/>
          </w:tcPr>
          <w:p w14:paraId="7536635B"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100%</w:t>
            </w:r>
          </w:p>
        </w:tc>
        <w:tc>
          <w:tcPr>
            <w:tcW w:w="728" w:type="dxa"/>
            <w:tcBorders>
              <w:top w:val="single" w:sz="4" w:space="0" w:color="000000"/>
              <w:left w:val="nil"/>
              <w:bottom w:val="single" w:sz="4" w:space="0" w:color="auto"/>
              <w:right w:val="single" w:sz="4" w:space="0" w:color="000000"/>
            </w:tcBorders>
            <w:shd w:val="clear" w:color="FFFFFF" w:fill="808080"/>
            <w:noWrap/>
            <w:vAlign w:val="center"/>
            <w:hideMark/>
          </w:tcPr>
          <w:p w14:paraId="428E952A"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20.705</w:t>
            </w:r>
          </w:p>
        </w:tc>
        <w:tc>
          <w:tcPr>
            <w:tcW w:w="464" w:type="dxa"/>
            <w:tcBorders>
              <w:top w:val="single" w:sz="4" w:space="0" w:color="000000"/>
              <w:left w:val="nil"/>
              <w:bottom w:val="single" w:sz="4" w:space="0" w:color="auto"/>
              <w:right w:val="single" w:sz="4" w:space="0" w:color="000000"/>
            </w:tcBorders>
            <w:shd w:val="clear" w:color="FFFFFF" w:fill="808080"/>
            <w:noWrap/>
            <w:vAlign w:val="center"/>
            <w:hideMark/>
          </w:tcPr>
          <w:p w14:paraId="72FD56E1"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65</w:t>
            </w:r>
          </w:p>
        </w:tc>
        <w:tc>
          <w:tcPr>
            <w:tcW w:w="703" w:type="dxa"/>
            <w:tcBorders>
              <w:top w:val="single" w:sz="4" w:space="0" w:color="000000"/>
              <w:left w:val="nil"/>
              <w:bottom w:val="single" w:sz="4" w:space="0" w:color="auto"/>
              <w:right w:val="single" w:sz="4" w:space="0" w:color="auto"/>
            </w:tcBorders>
            <w:shd w:val="clear" w:color="FFFFFF" w:fill="808080"/>
            <w:noWrap/>
            <w:vAlign w:val="center"/>
            <w:hideMark/>
          </w:tcPr>
          <w:p w14:paraId="7BFAE1C8" w14:textId="77777777" w:rsidR="00FD1E19" w:rsidRDefault="00FD1E19" w:rsidP="00BE7E4A">
            <w:pPr>
              <w:jc w:val="right"/>
              <w:rPr>
                <w:rFonts w:ascii="Arial" w:hAnsi="Arial" w:cs="Arial"/>
                <w:b/>
                <w:bCs/>
                <w:noProof/>
                <w:color w:val="FFFFFF"/>
                <w:sz w:val="14"/>
                <w:szCs w:val="14"/>
              </w:rPr>
            </w:pPr>
            <w:r>
              <w:rPr>
                <w:rFonts w:ascii="Arial" w:hAnsi="Arial" w:cs="Arial"/>
                <w:b/>
                <w:bCs/>
                <w:noProof/>
                <w:color w:val="FFFFFF"/>
                <w:sz w:val="14"/>
                <w:szCs w:val="14"/>
              </w:rPr>
              <w:t>99%</w:t>
            </w:r>
          </w:p>
        </w:tc>
      </w:tr>
    </w:tbl>
    <w:p w14:paraId="494A0F53" w14:textId="77777777" w:rsidR="00FD1E19" w:rsidRDefault="00FD1E19" w:rsidP="00FD1E19">
      <w:pPr>
        <w:pStyle w:val="HEADER5"/>
        <w:rPr>
          <w:noProof/>
        </w:rPr>
      </w:pPr>
      <w:r>
        <w:rPr>
          <w:rFonts w:cstheme="minorHAnsi"/>
          <w:noProof/>
        </w:rPr>
        <w:br w:type="page"/>
      </w:r>
      <w:r>
        <w:rPr>
          <w:noProof/>
        </w:rPr>
        <w:t>EVOLUTION OF COMMITMENTS, ASSIGNED FUNDS AND PAYMENTS FOR 11</w:t>
      </w:r>
      <w:r w:rsidRPr="003F1AF8">
        <w:rPr>
          <w:noProof/>
          <w:vertAlign w:val="superscript"/>
        </w:rPr>
        <w:t>TH</w:t>
      </w:r>
      <w:r>
        <w:rPr>
          <w:noProof/>
        </w:rPr>
        <w:t xml:space="preserve"> EDF</w:t>
      </w:r>
    </w:p>
    <w:p w14:paraId="393ABE6A" w14:textId="77777777" w:rsidR="00FD1E19" w:rsidRDefault="00FD1E19" w:rsidP="00FD1E19">
      <w:pPr>
        <w:jc w:val="both"/>
        <w:rPr>
          <w:rFonts w:cstheme="minorHAnsi"/>
          <w:b/>
          <w:noProof/>
          <w:sz w:val="18"/>
          <w:szCs w:val="18"/>
        </w:rPr>
      </w:pPr>
    </w:p>
    <w:tbl>
      <w:tblPr>
        <w:tblW w:w="5000" w:type="pct"/>
        <w:tblLook w:val="04A0" w:firstRow="1" w:lastRow="0" w:firstColumn="1" w:lastColumn="0" w:noHBand="0" w:noVBand="1"/>
      </w:tblPr>
      <w:tblGrid>
        <w:gridCol w:w="260"/>
        <w:gridCol w:w="959"/>
        <w:gridCol w:w="958"/>
        <w:gridCol w:w="771"/>
        <w:gridCol w:w="814"/>
        <w:gridCol w:w="750"/>
        <w:gridCol w:w="804"/>
        <w:gridCol w:w="814"/>
        <w:gridCol w:w="563"/>
        <w:gridCol w:w="121"/>
        <w:gridCol w:w="759"/>
        <w:gridCol w:w="814"/>
        <w:gridCol w:w="750"/>
        <w:gridCol w:w="717"/>
      </w:tblGrid>
      <w:tr w:rsidR="003B18DC" w:rsidRPr="003B18DC" w14:paraId="02E7FE8C" w14:textId="77777777" w:rsidTr="00BE7E4A">
        <w:trPr>
          <w:trHeight w:val="364"/>
        </w:trPr>
        <w:tc>
          <w:tcPr>
            <w:tcW w:w="9629" w:type="dxa"/>
            <w:gridSpan w:val="14"/>
            <w:tcBorders>
              <w:top w:val="single" w:sz="4" w:space="0" w:color="auto"/>
              <w:left w:val="single" w:sz="4" w:space="0" w:color="auto"/>
              <w:bottom w:val="nil"/>
              <w:right w:val="single" w:sz="4" w:space="0" w:color="auto"/>
            </w:tcBorders>
            <w:shd w:val="clear" w:color="FFFFFF" w:fill="FFFFFF"/>
            <w:vAlign w:val="center"/>
            <w:hideMark/>
          </w:tcPr>
          <w:p w14:paraId="1C47A094"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EDF AGGREGATED ACCOUNTS AT 31 DECEMBER 2025</w:t>
            </w:r>
            <w:r w:rsidRPr="003B18DC">
              <w:rPr>
                <w:rFonts w:ascii="Arial" w:eastAsia="Times New Roman" w:hAnsi="Arial" w:cs="Arial"/>
                <w:b/>
                <w:bCs/>
                <w:noProof/>
                <w:color w:val="000000"/>
                <w:kern w:val="0"/>
                <w:sz w:val="12"/>
                <w:szCs w:val="12"/>
                <w:lang w:eastAsia="en-GB"/>
                <w14:ligatures w14:val="none"/>
              </w:rPr>
              <w:br/>
              <w:t>CLASS OF AID</w:t>
            </w:r>
          </w:p>
        </w:tc>
      </w:tr>
      <w:tr w:rsidR="003B18DC" w:rsidRPr="003B18DC" w14:paraId="0843687F" w14:textId="77777777" w:rsidTr="00BE7E4A">
        <w:trPr>
          <w:trHeight w:val="180"/>
        </w:trPr>
        <w:tc>
          <w:tcPr>
            <w:tcW w:w="9629" w:type="dxa"/>
            <w:gridSpan w:val="14"/>
            <w:tcBorders>
              <w:top w:val="nil"/>
              <w:left w:val="single" w:sz="4" w:space="0" w:color="auto"/>
              <w:bottom w:val="nil"/>
              <w:right w:val="single" w:sz="4" w:space="0" w:color="auto"/>
            </w:tcBorders>
            <w:shd w:val="clear" w:color="FFFFFF" w:fill="FFFFFF"/>
            <w:noWrap/>
            <w:vAlign w:val="center"/>
            <w:hideMark/>
          </w:tcPr>
          <w:p w14:paraId="191CFDD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ACP + PTOM - 11 th EDF</w:t>
            </w:r>
          </w:p>
        </w:tc>
      </w:tr>
      <w:tr w:rsidR="003B18DC" w:rsidRPr="003B18DC" w14:paraId="0BF8AE27" w14:textId="77777777" w:rsidTr="00BE7E4A">
        <w:trPr>
          <w:trHeight w:val="180"/>
        </w:trPr>
        <w:tc>
          <w:tcPr>
            <w:tcW w:w="255" w:type="dxa"/>
            <w:tcBorders>
              <w:top w:val="nil"/>
              <w:left w:val="single" w:sz="4" w:space="0" w:color="auto"/>
              <w:bottom w:val="nil"/>
              <w:right w:val="nil"/>
            </w:tcBorders>
            <w:shd w:val="clear" w:color="FFFFFF" w:fill="FFFFFF"/>
            <w:noWrap/>
            <w:vAlign w:val="center"/>
            <w:hideMark/>
          </w:tcPr>
          <w:p w14:paraId="1D0C8184"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937" w:type="dxa"/>
            <w:tcBorders>
              <w:top w:val="nil"/>
              <w:left w:val="nil"/>
              <w:bottom w:val="nil"/>
              <w:right w:val="nil"/>
            </w:tcBorders>
            <w:shd w:val="clear" w:color="FFFFFF" w:fill="FFFFFF"/>
            <w:noWrap/>
            <w:vAlign w:val="center"/>
            <w:hideMark/>
          </w:tcPr>
          <w:p w14:paraId="03D17355"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936" w:type="dxa"/>
            <w:tcBorders>
              <w:top w:val="nil"/>
              <w:left w:val="nil"/>
              <w:bottom w:val="nil"/>
              <w:right w:val="nil"/>
            </w:tcBorders>
            <w:shd w:val="clear" w:color="FFFFFF" w:fill="FFFFFF"/>
            <w:noWrap/>
            <w:vAlign w:val="center"/>
            <w:hideMark/>
          </w:tcPr>
          <w:p w14:paraId="15423735"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753" w:type="dxa"/>
            <w:tcBorders>
              <w:top w:val="nil"/>
              <w:left w:val="nil"/>
              <w:bottom w:val="nil"/>
              <w:right w:val="nil"/>
            </w:tcBorders>
            <w:shd w:val="clear" w:color="FFFFFF" w:fill="FFFFFF"/>
            <w:noWrap/>
            <w:vAlign w:val="center"/>
            <w:hideMark/>
          </w:tcPr>
          <w:p w14:paraId="284CAFFE"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795" w:type="dxa"/>
            <w:tcBorders>
              <w:top w:val="nil"/>
              <w:left w:val="nil"/>
              <w:bottom w:val="nil"/>
              <w:right w:val="nil"/>
            </w:tcBorders>
            <w:shd w:val="clear" w:color="FFFFFF" w:fill="FFFFFF"/>
            <w:noWrap/>
            <w:vAlign w:val="center"/>
            <w:hideMark/>
          </w:tcPr>
          <w:p w14:paraId="21085E8B"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733" w:type="dxa"/>
            <w:tcBorders>
              <w:top w:val="nil"/>
              <w:left w:val="nil"/>
              <w:bottom w:val="nil"/>
              <w:right w:val="nil"/>
            </w:tcBorders>
            <w:shd w:val="clear" w:color="FFFFFF" w:fill="FFFFFF"/>
            <w:noWrap/>
            <w:vAlign w:val="center"/>
            <w:hideMark/>
          </w:tcPr>
          <w:p w14:paraId="591FC7F9"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786" w:type="dxa"/>
            <w:tcBorders>
              <w:top w:val="nil"/>
              <w:left w:val="nil"/>
              <w:bottom w:val="nil"/>
              <w:right w:val="nil"/>
            </w:tcBorders>
            <w:shd w:val="clear" w:color="FFFFFF" w:fill="FFFFFF"/>
            <w:noWrap/>
            <w:vAlign w:val="center"/>
            <w:hideMark/>
          </w:tcPr>
          <w:p w14:paraId="33476E41"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795" w:type="dxa"/>
            <w:tcBorders>
              <w:top w:val="nil"/>
              <w:left w:val="nil"/>
              <w:bottom w:val="nil"/>
              <w:right w:val="nil"/>
            </w:tcBorders>
            <w:shd w:val="clear" w:color="FFFFFF" w:fill="FFFFFF"/>
            <w:noWrap/>
            <w:vAlign w:val="center"/>
            <w:hideMark/>
          </w:tcPr>
          <w:p w14:paraId="565D8270"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550" w:type="dxa"/>
            <w:tcBorders>
              <w:top w:val="nil"/>
              <w:left w:val="nil"/>
              <w:bottom w:val="nil"/>
              <w:right w:val="nil"/>
            </w:tcBorders>
            <w:shd w:val="clear" w:color="FFFFFF" w:fill="FFFFFF"/>
            <w:noWrap/>
            <w:vAlign w:val="center"/>
            <w:hideMark/>
          </w:tcPr>
          <w:p w14:paraId="5C61DFD2"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860" w:type="dxa"/>
            <w:gridSpan w:val="2"/>
            <w:tcBorders>
              <w:top w:val="nil"/>
              <w:left w:val="nil"/>
              <w:bottom w:val="nil"/>
              <w:right w:val="nil"/>
            </w:tcBorders>
            <w:shd w:val="clear" w:color="FFFFFF" w:fill="FFFFFF"/>
            <w:noWrap/>
            <w:vAlign w:val="center"/>
            <w:hideMark/>
          </w:tcPr>
          <w:p w14:paraId="31D47307"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795" w:type="dxa"/>
            <w:tcBorders>
              <w:top w:val="nil"/>
              <w:left w:val="nil"/>
              <w:bottom w:val="nil"/>
              <w:right w:val="nil"/>
            </w:tcBorders>
            <w:shd w:val="clear" w:color="FFFFFF" w:fill="FFFFFF"/>
            <w:noWrap/>
            <w:vAlign w:val="center"/>
            <w:hideMark/>
          </w:tcPr>
          <w:p w14:paraId="3E4D910F"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1434" w:type="dxa"/>
            <w:gridSpan w:val="2"/>
            <w:tcBorders>
              <w:top w:val="nil"/>
              <w:left w:val="nil"/>
              <w:bottom w:val="nil"/>
              <w:right w:val="single" w:sz="4" w:space="0" w:color="auto"/>
            </w:tcBorders>
            <w:shd w:val="clear" w:color="FFFFFF" w:fill="FFFFFF"/>
            <w:noWrap/>
            <w:vAlign w:val="center"/>
            <w:hideMark/>
          </w:tcPr>
          <w:p w14:paraId="40C2CB29" w14:textId="77777777" w:rsidR="003B18DC" w:rsidRPr="003B18DC" w:rsidRDefault="003B18DC" w:rsidP="003B18DC">
            <w:pPr>
              <w:spacing w:after="0" w:line="240" w:lineRule="auto"/>
              <w:jc w:val="right"/>
              <w:rPr>
                <w:rFonts w:ascii="Arial" w:eastAsia="Times New Roman" w:hAnsi="Arial" w:cs="Arial"/>
                <w:noProof/>
                <w:color w:val="000000"/>
                <w:kern w:val="0"/>
                <w:sz w:val="12"/>
                <w:szCs w:val="12"/>
                <w:lang w:eastAsia="en-GB"/>
                <w14:ligatures w14:val="none"/>
              </w:rPr>
            </w:pPr>
            <w:r w:rsidRPr="003B18DC">
              <w:rPr>
                <w:rFonts w:ascii="Arial" w:eastAsia="Times New Roman" w:hAnsi="Arial" w:cs="Arial"/>
                <w:noProof/>
                <w:color w:val="000000"/>
                <w:kern w:val="0"/>
                <w:sz w:val="12"/>
                <w:szCs w:val="12"/>
                <w:lang w:eastAsia="en-GB"/>
                <w14:ligatures w14:val="none"/>
              </w:rPr>
              <w:t>(EUR million)</w:t>
            </w:r>
          </w:p>
        </w:tc>
      </w:tr>
      <w:tr w:rsidR="003B18DC" w:rsidRPr="003B18DC" w14:paraId="5688A7C6" w14:textId="77777777" w:rsidTr="00BE7E4A">
        <w:trPr>
          <w:trHeight w:val="180"/>
        </w:trPr>
        <w:tc>
          <w:tcPr>
            <w:tcW w:w="2128" w:type="dxa"/>
            <w:gridSpan w:val="3"/>
            <w:vMerge w:val="restart"/>
            <w:tcBorders>
              <w:top w:val="single" w:sz="4" w:space="0" w:color="000000"/>
              <w:left w:val="single" w:sz="4" w:space="0" w:color="auto"/>
              <w:bottom w:val="single" w:sz="4" w:space="0" w:color="000000"/>
              <w:right w:val="single" w:sz="4" w:space="0" w:color="000000"/>
            </w:tcBorders>
            <w:shd w:val="clear" w:color="FFFFFF" w:fill="FFFFFF"/>
            <w:noWrap/>
            <w:vAlign w:val="center"/>
            <w:hideMark/>
          </w:tcPr>
          <w:p w14:paraId="5E3DC1DE"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r w:rsidRPr="003B18DC">
              <w:rPr>
                <w:rFonts w:ascii="Arial" w:eastAsia="Times New Roman" w:hAnsi="Arial" w:cs="Arial"/>
                <w:noProof/>
                <w:color w:val="000000"/>
                <w:kern w:val="0"/>
                <w:sz w:val="14"/>
                <w:szCs w:val="14"/>
                <w:lang w:eastAsia="en-GB"/>
                <w14:ligatures w14:val="none"/>
              </w:rPr>
              <w:t> </w:t>
            </w:r>
          </w:p>
        </w:tc>
        <w:tc>
          <w:tcPr>
            <w:tcW w:w="753" w:type="dxa"/>
            <w:vMerge w:val="restart"/>
            <w:tcBorders>
              <w:top w:val="single" w:sz="4" w:space="0" w:color="000000"/>
              <w:left w:val="single" w:sz="4" w:space="0" w:color="000000"/>
              <w:bottom w:val="single" w:sz="4" w:space="0" w:color="000000"/>
              <w:right w:val="single" w:sz="4" w:space="0" w:color="000000"/>
            </w:tcBorders>
            <w:shd w:val="clear" w:color="FFFFFF" w:fill="FFFFFF"/>
            <w:noWrap/>
            <w:vAlign w:val="center"/>
            <w:hideMark/>
          </w:tcPr>
          <w:p w14:paraId="0243483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CREDITS</w:t>
            </w:r>
          </w:p>
        </w:tc>
        <w:tc>
          <w:tcPr>
            <w:tcW w:w="2314" w:type="dxa"/>
            <w:gridSpan w:val="3"/>
            <w:tcBorders>
              <w:top w:val="single" w:sz="4" w:space="0" w:color="000000"/>
              <w:left w:val="nil"/>
              <w:bottom w:val="single" w:sz="4" w:space="0" w:color="000000"/>
              <w:right w:val="single" w:sz="4" w:space="0" w:color="000000"/>
            </w:tcBorders>
            <w:shd w:val="clear" w:color="FFFFFF" w:fill="FFFFFF"/>
            <w:noWrap/>
            <w:vAlign w:val="center"/>
            <w:hideMark/>
          </w:tcPr>
          <w:p w14:paraId="6A36A61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DECISIONS</w:t>
            </w:r>
          </w:p>
        </w:tc>
        <w:tc>
          <w:tcPr>
            <w:tcW w:w="2205" w:type="dxa"/>
            <w:gridSpan w:val="4"/>
            <w:tcBorders>
              <w:top w:val="single" w:sz="4" w:space="0" w:color="000000"/>
              <w:left w:val="nil"/>
              <w:bottom w:val="single" w:sz="4" w:space="0" w:color="000000"/>
              <w:right w:val="single" w:sz="4" w:space="0" w:color="000000"/>
            </w:tcBorders>
            <w:shd w:val="clear" w:color="FFFFFF" w:fill="FFFFFF"/>
            <w:noWrap/>
            <w:vAlign w:val="center"/>
            <w:hideMark/>
          </w:tcPr>
          <w:p w14:paraId="4D8EDC6F"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ASSIGNED FUNDS</w:t>
            </w:r>
          </w:p>
        </w:tc>
        <w:tc>
          <w:tcPr>
            <w:tcW w:w="2229" w:type="dxa"/>
            <w:gridSpan w:val="3"/>
            <w:tcBorders>
              <w:top w:val="single" w:sz="4" w:space="0" w:color="000000"/>
              <w:left w:val="nil"/>
              <w:bottom w:val="single" w:sz="4" w:space="0" w:color="000000"/>
              <w:right w:val="single" w:sz="4" w:space="0" w:color="auto"/>
            </w:tcBorders>
            <w:shd w:val="clear" w:color="FFFFFF" w:fill="FFFFFF"/>
            <w:noWrap/>
            <w:vAlign w:val="center"/>
            <w:hideMark/>
          </w:tcPr>
          <w:p w14:paraId="7CAB668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PAYMENTS</w:t>
            </w:r>
          </w:p>
        </w:tc>
      </w:tr>
      <w:tr w:rsidR="003B18DC" w:rsidRPr="003B18DC" w14:paraId="12F55BEF" w14:textId="77777777" w:rsidTr="00BE7E4A">
        <w:trPr>
          <w:trHeight w:val="180"/>
        </w:trPr>
        <w:tc>
          <w:tcPr>
            <w:tcW w:w="2128" w:type="dxa"/>
            <w:gridSpan w:val="3"/>
            <w:vMerge/>
            <w:tcBorders>
              <w:top w:val="single" w:sz="4" w:space="0" w:color="000000"/>
              <w:left w:val="single" w:sz="4" w:space="0" w:color="auto"/>
              <w:bottom w:val="single" w:sz="4" w:space="0" w:color="000000"/>
              <w:right w:val="single" w:sz="4" w:space="0" w:color="000000"/>
            </w:tcBorders>
            <w:vAlign w:val="center"/>
            <w:hideMark/>
          </w:tcPr>
          <w:p w14:paraId="53993E41"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p>
        </w:tc>
        <w:tc>
          <w:tcPr>
            <w:tcW w:w="753" w:type="dxa"/>
            <w:vMerge/>
            <w:tcBorders>
              <w:top w:val="single" w:sz="4" w:space="0" w:color="000000"/>
              <w:left w:val="single" w:sz="4" w:space="0" w:color="000000"/>
              <w:bottom w:val="single" w:sz="4" w:space="0" w:color="000000"/>
              <w:right w:val="single" w:sz="4" w:space="0" w:color="000000"/>
            </w:tcBorders>
            <w:vAlign w:val="center"/>
            <w:hideMark/>
          </w:tcPr>
          <w:p w14:paraId="38F62FF6"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p>
        </w:tc>
        <w:tc>
          <w:tcPr>
            <w:tcW w:w="795" w:type="dxa"/>
            <w:tcBorders>
              <w:top w:val="nil"/>
              <w:left w:val="nil"/>
              <w:bottom w:val="single" w:sz="4" w:space="0" w:color="000000"/>
              <w:right w:val="single" w:sz="4" w:space="0" w:color="000000"/>
            </w:tcBorders>
            <w:shd w:val="clear" w:color="FFFFFF" w:fill="FFFFFF"/>
            <w:noWrap/>
            <w:vAlign w:val="center"/>
            <w:hideMark/>
          </w:tcPr>
          <w:p w14:paraId="579ABCDE"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AGGREG.</w:t>
            </w:r>
          </w:p>
        </w:tc>
        <w:tc>
          <w:tcPr>
            <w:tcW w:w="733" w:type="dxa"/>
            <w:tcBorders>
              <w:top w:val="nil"/>
              <w:left w:val="nil"/>
              <w:bottom w:val="single" w:sz="4" w:space="0" w:color="000000"/>
              <w:right w:val="single" w:sz="4" w:space="0" w:color="000000"/>
            </w:tcBorders>
            <w:shd w:val="clear" w:color="FFFFFF" w:fill="FFFFFF"/>
            <w:noWrap/>
            <w:vAlign w:val="center"/>
            <w:hideMark/>
          </w:tcPr>
          <w:p w14:paraId="664C7BF2"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ANNUAL</w:t>
            </w:r>
          </w:p>
        </w:tc>
        <w:tc>
          <w:tcPr>
            <w:tcW w:w="786" w:type="dxa"/>
            <w:tcBorders>
              <w:top w:val="nil"/>
              <w:left w:val="nil"/>
              <w:bottom w:val="single" w:sz="4" w:space="0" w:color="000000"/>
              <w:right w:val="single" w:sz="4" w:space="0" w:color="000000"/>
            </w:tcBorders>
            <w:shd w:val="clear" w:color="FFFFFF" w:fill="FFFFFF"/>
            <w:noWrap/>
            <w:vAlign w:val="center"/>
            <w:hideMark/>
          </w:tcPr>
          <w:p w14:paraId="1F3BD0F4"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w:t>
            </w:r>
          </w:p>
        </w:tc>
        <w:tc>
          <w:tcPr>
            <w:tcW w:w="795" w:type="dxa"/>
            <w:tcBorders>
              <w:top w:val="nil"/>
              <w:left w:val="nil"/>
              <w:bottom w:val="single" w:sz="4" w:space="0" w:color="000000"/>
              <w:right w:val="single" w:sz="4" w:space="0" w:color="000000"/>
            </w:tcBorders>
            <w:shd w:val="clear" w:color="FFFFFF" w:fill="FFFFFF"/>
            <w:noWrap/>
            <w:vAlign w:val="center"/>
            <w:hideMark/>
          </w:tcPr>
          <w:p w14:paraId="54CBD28B"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AGGREG.</w:t>
            </w:r>
          </w:p>
        </w:tc>
        <w:tc>
          <w:tcPr>
            <w:tcW w:w="668" w:type="dxa"/>
            <w:gridSpan w:val="2"/>
            <w:tcBorders>
              <w:top w:val="nil"/>
              <w:left w:val="nil"/>
              <w:bottom w:val="single" w:sz="4" w:space="0" w:color="000000"/>
              <w:right w:val="single" w:sz="4" w:space="0" w:color="000000"/>
            </w:tcBorders>
            <w:shd w:val="clear" w:color="FFFFFF" w:fill="FFFFFF"/>
            <w:noWrap/>
            <w:vAlign w:val="center"/>
            <w:hideMark/>
          </w:tcPr>
          <w:p w14:paraId="2A58F74A"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ANNUAL</w:t>
            </w:r>
          </w:p>
        </w:tc>
        <w:tc>
          <w:tcPr>
            <w:tcW w:w="742" w:type="dxa"/>
            <w:tcBorders>
              <w:top w:val="nil"/>
              <w:left w:val="nil"/>
              <w:bottom w:val="single" w:sz="4" w:space="0" w:color="000000"/>
              <w:right w:val="single" w:sz="4" w:space="0" w:color="000000"/>
            </w:tcBorders>
            <w:shd w:val="clear" w:color="FFFFFF" w:fill="FFFFFF"/>
            <w:noWrap/>
            <w:vAlign w:val="center"/>
            <w:hideMark/>
          </w:tcPr>
          <w:p w14:paraId="32138EBA"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w:t>
            </w:r>
          </w:p>
        </w:tc>
        <w:tc>
          <w:tcPr>
            <w:tcW w:w="795" w:type="dxa"/>
            <w:tcBorders>
              <w:top w:val="nil"/>
              <w:left w:val="nil"/>
              <w:bottom w:val="single" w:sz="4" w:space="0" w:color="000000"/>
              <w:right w:val="single" w:sz="4" w:space="0" w:color="000000"/>
            </w:tcBorders>
            <w:shd w:val="clear" w:color="FFFFFF" w:fill="FFFFFF"/>
            <w:noWrap/>
            <w:vAlign w:val="center"/>
            <w:hideMark/>
          </w:tcPr>
          <w:p w14:paraId="33573BEE"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AGGREG.</w:t>
            </w:r>
          </w:p>
        </w:tc>
        <w:tc>
          <w:tcPr>
            <w:tcW w:w="733" w:type="dxa"/>
            <w:tcBorders>
              <w:top w:val="nil"/>
              <w:left w:val="nil"/>
              <w:bottom w:val="single" w:sz="4" w:space="0" w:color="000000"/>
              <w:right w:val="single" w:sz="4" w:space="0" w:color="000000"/>
            </w:tcBorders>
            <w:shd w:val="clear" w:color="FFFFFF" w:fill="FFFFFF"/>
            <w:noWrap/>
            <w:vAlign w:val="center"/>
            <w:hideMark/>
          </w:tcPr>
          <w:p w14:paraId="34A2E271"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ANNUAL</w:t>
            </w:r>
          </w:p>
        </w:tc>
        <w:tc>
          <w:tcPr>
            <w:tcW w:w="701" w:type="dxa"/>
            <w:tcBorders>
              <w:top w:val="nil"/>
              <w:left w:val="nil"/>
              <w:bottom w:val="single" w:sz="4" w:space="0" w:color="000000"/>
              <w:right w:val="single" w:sz="4" w:space="0" w:color="auto"/>
            </w:tcBorders>
            <w:shd w:val="clear" w:color="FFFFFF" w:fill="FFFFFF"/>
            <w:noWrap/>
            <w:vAlign w:val="center"/>
            <w:hideMark/>
          </w:tcPr>
          <w:p w14:paraId="67D5DFBE" w14:textId="77777777" w:rsidR="003B18DC" w:rsidRPr="003B18DC" w:rsidRDefault="003B18DC" w:rsidP="003B18DC">
            <w:pPr>
              <w:spacing w:after="0" w:line="240" w:lineRule="auto"/>
              <w:jc w:val="center"/>
              <w:rPr>
                <w:rFonts w:ascii="Arial" w:eastAsia="Times New Roman" w:hAnsi="Arial" w:cs="Arial"/>
                <w:b/>
                <w:bCs/>
                <w:noProof/>
                <w:color w:val="000000"/>
                <w:kern w:val="0"/>
                <w:sz w:val="8"/>
                <w:szCs w:val="8"/>
                <w:lang w:eastAsia="en-GB"/>
                <w14:ligatures w14:val="none"/>
              </w:rPr>
            </w:pPr>
            <w:r w:rsidRPr="003B18DC">
              <w:rPr>
                <w:rFonts w:ascii="Arial" w:eastAsia="Times New Roman" w:hAnsi="Arial" w:cs="Arial"/>
                <w:b/>
                <w:bCs/>
                <w:noProof/>
                <w:color w:val="000000"/>
                <w:kern w:val="0"/>
                <w:sz w:val="8"/>
                <w:szCs w:val="8"/>
                <w:lang w:eastAsia="en-GB"/>
                <w14:ligatures w14:val="none"/>
              </w:rPr>
              <w:t>%</w:t>
            </w:r>
          </w:p>
        </w:tc>
      </w:tr>
      <w:tr w:rsidR="003B18DC" w:rsidRPr="003B18DC" w14:paraId="50D5DB83" w14:textId="77777777" w:rsidTr="00BE7E4A">
        <w:trPr>
          <w:trHeight w:val="180"/>
        </w:trPr>
        <w:tc>
          <w:tcPr>
            <w:tcW w:w="2128" w:type="dxa"/>
            <w:gridSpan w:val="3"/>
            <w:vMerge/>
            <w:tcBorders>
              <w:top w:val="single" w:sz="4" w:space="0" w:color="000000"/>
              <w:left w:val="single" w:sz="4" w:space="0" w:color="auto"/>
              <w:bottom w:val="single" w:sz="4" w:space="0" w:color="000000"/>
              <w:right w:val="single" w:sz="4" w:space="0" w:color="000000"/>
            </w:tcBorders>
            <w:vAlign w:val="center"/>
            <w:hideMark/>
          </w:tcPr>
          <w:p w14:paraId="69D4A67B" w14:textId="77777777" w:rsidR="003B18DC" w:rsidRPr="003B18DC" w:rsidRDefault="003B18DC" w:rsidP="003B18DC">
            <w:pPr>
              <w:spacing w:after="0" w:line="240" w:lineRule="auto"/>
              <w:rPr>
                <w:rFonts w:ascii="Arial" w:eastAsia="Times New Roman" w:hAnsi="Arial" w:cs="Arial"/>
                <w:noProof/>
                <w:color w:val="000000"/>
                <w:kern w:val="0"/>
                <w:sz w:val="14"/>
                <w:szCs w:val="14"/>
                <w:lang w:eastAsia="en-GB"/>
                <w14:ligatures w14:val="none"/>
              </w:rPr>
            </w:pPr>
          </w:p>
        </w:tc>
        <w:tc>
          <w:tcPr>
            <w:tcW w:w="753" w:type="dxa"/>
            <w:tcBorders>
              <w:top w:val="nil"/>
              <w:left w:val="nil"/>
              <w:bottom w:val="single" w:sz="4" w:space="0" w:color="000000"/>
              <w:right w:val="single" w:sz="4" w:space="0" w:color="000000"/>
            </w:tcBorders>
            <w:shd w:val="clear" w:color="FFFFFF" w:fill="FFFFFF"/>
            <w:noWrap/>
            <w:vAlign w:val="center"/>
            <w:hideMark/>
          </w:tcPr>
          <w:p w14:paraId="1E03A18A"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(1)</w:t>
            </w:r>
          </w:p>
        </w:tc>
        <w:tc>
          <w:tcPr>
            <w:tcW w:w="795" w:type="dxa"/>
            <w:tcBorders>
              <w:top w:val="nil"/>
              <w:left w:val="nil"/>
              <w:bottom w:val="single" w:sz="4" w:space="0" w:color="000000"/>
              <w:right w:val="single" w:sz="4" w:space="0" w:color="000000"/>
            </w:tcBorders>
            <w:shd w:val="clear" w:color="FFFFFF" w:fill="FFFFFF"/>
            <w:noWrap/>
            <w:vAlign w:val="center"/>
            <w:hideMark/>
          </w:tcPr>
          <w:p w14:paraId="0C58F15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(2)</w:t>
            </w:r>
          </w:p>
        </w:tc>
        <w:tc>
          <w:tcPr>
            <w:tcW w:w="733" w:type="dxa"/>
            <w:tcBorders>
              <w:top w:val="nil"/>
              <w:left w:val="nil"/>
              <w:bottom w:val="single" w:sz="4" w:space="0" w:color="000000"/>
              <w:right w:val="single" w:sz="4" w:space="0" w:color="000000"/>
            </w:tcBorders>
            <w:shd w:val="clear" w:color="FFFFFF" w:fill="FFFFFF"/>
            <w:noWrap/>
            <w:vAlign w:val="center"/>
            <w:hideMark/>
          </w:tcPr>
          <w:p w14:paraId="4B2F7803"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86" w:type="dxa"/>
            <w:tcBorders>
              <w:top w:val="nil"/>
              <w:left w:val="nil"/>
              <w:bottom w:val="single" w:sz="4" w:space="0" w:color="000000"/>
              <w:right w:val="single" w:sz="4" w:space="0" w:color="000000"/>
            </w:tcBorders>
            <w:shd w:val="clear" w:color="FFFFFF" w:fill="FFFFFF"/>
            <w:noWrap/>
            <w:vAlign w:val="center"/>
            <w:hideMark/>
          </w:tcPr>
          <w:p w14:paraId="771BEA05"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(2) : (1)</w:t>
            </w:r>
          </w:p>
        </w:tc>
        <w:tc>
          <w:tcPr>
            <w:tcW w:w="795" w:type="dxa"/>
            <w:tcBorders>
              <w:top w:val="nil"/>
              <w:left w:val="nil"/>
              <w:bottom w:val="single" w:sz="4" w:space="0" w:color="000000"/>
              <w:right w:val="single" w:sz="4" w:space="0" w:color="000000"/>
            </w:tcBorders>
            <w:shd w:val="clear" w:color="FFFFFF" w:fill="FFFFFF"/>
            <w:noWrap/>
            <w:vAlign w:val="center"/>
            <w:hideMark/>
          </w:tcPr>
          <w:p w14:paraId="04EDC75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(3)</w:t>
            </w:r>
          </w:p>
        </w:tc>
        <w:tc>
          <w:tcPr>
            <w:tcW w:w="550" w:type="dxa"/>
            <w:tcBorders>
              <w:top w:val="nil"/>
              <w:left w:val="nil"/>
              <w:bottom w:val="single" w:sz="4" w:space="0" w:color="000000"/>
              <w:right w:val="single" w:sz="4" w:space="0" w:color="000000"/>
            </w:tcBorders>
            <w:shd w:val="clear" w:color="FFFFFF" w:fill="FFFFFF"/>
            <w:noWrap/>
            <w:vAlign w:val="center"/>
            <w:hideMark/>
          </w:tcPr>
          <w:p w14:paraId="31052275"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2D07B1C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(3) : (2)</w:t>
            </w:r>
          </w:p>
        </w:tc>
        <w:tc>
          <w:tcPr>
            <w:tcW w:w="795" w:type="dxa"/>
            <w:tcBorders>
              <w:top w:val="nil"/>
              <w:left w:val="nil"/>
              <w:bottom w:val="single" w:sz="4" w:space="0" w:color="000000"/>
              <w:right w:val="single" w:sz="4" w:space="0" w:color="000000"/>
            </w:tcBorders>
            <w:shd w:val="clear" w:color="FFFFFF" w:fill="FFFFFF"/>
            <w:noWrap/>
            <w:vAlign w:val="center"/>
            <w:hideMark/>
          </w:tcPr>
          <w:p w14:paraId="1B3BFFE1"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(4)</w:t>
            </w:r>
          </w:p>
        </w:tc>
        <w:tc>
          <w:tcPr>
            <w:tcW w:w="733" w:type="dxa"/>
            <w:tcBorders>
              <w:top w:val="nil"/>
              <w:left w:val="nil"/>
              <w:bottom w:val="single" w:sz="4" w:space="0" w:color="000000"/>
              <w:right w:val="single" w:sz="4" w:space="0" w:color="000000"/>
            </w:tcBorders>
            <w:shd w:val="clear" w:color="FFFFFF" w:fill="FFFFFF"/>
            <w:noWrap/>
            <w:vAlign w:val="center"/>
            <w:hideMark/>
          </w:tcPr>
          <w:p w14:paraId="67D41362"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01" w:type="dxa"/>
            <w:tcBorders>
              <w:top w:val="nil"/>
              <w:left w:val="nil"/>
              <w:bottom w:val="single" w:sz="4" w:space="0" w:color="000000"/>
              <w:right w:val="single" w:sz="4" w:space="0" w:color="auto"/>
            </w:tcBorders>
            <w:shd w:val="clear" w:color="FFFFFF" w:fill="FFFFFF"/>
            <w:noWrap/>
            <w:vAlign w:val="center"/>
            <w:hideMark/>
          </w:tcPr>
          <w:p w14:paraId="4DF87CBA"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(4) : (3)</w:t>
            </w:r>
          </w:p>
        </w:tc>
      </w:tr>
      <w:tr w:rsidR="003B18DC" w:rsidRPr="003B18DC" w14:paraId="701BE249" w14:textId="77777777" w:rsidTr="00BE7E4A">
        <w:trPr>
          <w:trHeight w:val="222"/>
        </w:trPr>
        <w:tc>
          <w:tcPr>
            <w:tcW w:w="255" w:type="dxa"/>
            <w:tcBorders>
              <w:top w:val="nil"/>
              <w:left w:val="single" w:sz="4" w:space="0" w:color="auto"/>
              <w:bottom w:val="nil"/>
              <w:right w:val="nil"/>
            </w:tcBorders>
            <w:shd w:val="clear" w:color="FFFFFF" w:fill="FFFFFF"/>
            <w:noWrap/>
            <w:vAlign w:val="bottom"/>
            <w:hideMark/>
          </w:tcPr>
          <w:p w14:paraId="375318AB"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1873" w:type="dxa"/>
            <w:gridSpan w:val="2"/>
            <w:tcBorders>
              <w:top w:val="nil"/>
              <w:left w:val="nil"/>
              <w:bottom w:val="nil"/>
              <w:right w:val="nil"/>
            </w:tcBorders>
            <w:shd w:val="clear" w:color="FFFFFF" w:fill="FFFFFF"/>
            <w:noWrap/>
            <w:vAlign w:val="bottom"/>
            <w:hideMark/>
          </w:tcPr>
          <w:p w14:paraId="09E61711"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53" w:type="dxa"/>
            <w:tcBorders>
              <w:top w:val="nil"/>
              <w:left w:val="single" w:sz="4" w:space="0" w:color="FFFFFF"/>
              <w:bottom w:val="nil"/>
              <w:right w:val="nil"/>
            </w:tcBorders>
            <w:shd w:val="clear" w:color="FFFFFF" w:fill="FFFFFF"/>
            <w:noWrap/>
            <w:vAlign w:val="center"/>
            <w:hideMark/>
          </w:tcPr>
          <w:p w14:paraId="5B0F8A77"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FFFFFF"/>
              <w:bottom w:val="nil"/>
              <w:right w:val="nil"/>
            </w:tcBorders>
            <w:shd w:val="clear" w:color="FFFFFF" w:fill="FFFFFF"/>
            <w:noWrap/>
            <w:vAlign w:val="center"/>
            <w:hideMark/>
          </w:tcPr>
          <w:p w14:paraId="7E3FE64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FFFFFF"/>
              <w:bottom w:val="nil"/>
              <w:right w:val="nil"/>
            </w:tcBorders>
            <w:shd w:val="clear" w:color="FFFFFF" w:fill="FFFFFF"/>
            <w:noWrap/>
            <w:vAlign w:val="center"/>
            <w:hideMark/>
          </w:tcPr>
          <w:p w14:paraId="7471EC9C"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FFFFFF"/>
              <w:bottom w:val="nil"/>
              <w:right w:val="nil"/>
            </w:tcBorders>
            <w:shd w:val="clear" w:color="FFFFFF" w:fill="FFFFFF"/>
            <w:noWrap/>
            <w:vAlign w:val="center"/>
            <w:hideMark/>
          </w:tcPr>
          <w:p w14:paraId="518F0D2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FFFFFF"/>
              <w:bottom w:val="nil"/>
              <w:right w:val="nil"/>
            </w:tcBorders>
            <w:shd w:val="clear" w:color="FFFFFF" w:fill="FFFFFF"/>
            <w:noWrap/>
            <w:vAlign w:val="center"/>
            <w:hideMark/>
          </w:tcPr>
          <w:p w14:paraId="77F7EA47"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FFFFFF"/>
              <w:bottom w:val="nil"/>
              <w:right w:val="nil"/>
            </w:tcBorders>
            <w:shd w:val="clear" w:color="FFFFFF" w:fill="FFFFFF"/>
            <w:noWrap/>
            <w:vAlign w:val="center"/>
            <w:hideMark/>
          </w:tcPr>
          <w:p w14:paraId="7CE39B94"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FFFFFF"/>
              <w:bottom w:val="nil"/>
              <w:right w:val="nil"/>
            </w:tcBorders>
            <w:shd w:val="clear" w:color="FFFFFF" w:fill="FFFFFF"/>
            <w:noWrap/>
            <w:vAlign w:val="center"/>
            <w:hideMark/>
          </w:tcPr>
          <w:p w14:paraId="42D46B49"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FFFFFF"/>
              <w:bottom w:val="nil"/>
              <w:right w:val="nil"/>
            </w:tcBorders>
            <w:shd w:val="clear" w:color="FFFFFF" w:fill="FFFFFF"/>
            <w:noWrap/>
            <w:vAlign w:val="center"/>
            <w:hideMark/>
          </w:tcPr>
          <w:p w14:paraId="6A24A65C"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FFFFFF"/>
              <w:bottom w:val="nil"/>
              <w:right w:val="nil"/>
            </w:tcBorders>
            <w:shd w:val="clear" w:color="FFFFFF" w:fill="FFFFFF"/>
            <w:noWrap/>
            <w:vAlign w:val="center"/>
            <w:hideMark/>
          </w:tcPr>
          <w:p w14:paraId="1B0F054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FFFFFF"/>
              <w:bottom w:val="nil"/>
              <w:right w:val="single" w:sz="4" w:space="0" w:color="auto"/>
            </w:tcBorders>
            <w:shd w:val="clear" w:color="FFFFFF" w:fill="FFFFFF"/>
            <w:noWrap/>
            <w:vAlign w:val="center"/>
            <w:hideMark/>
          </w:tcPr>
          <w:p w14:paraId="2A49E67C"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6E76BBF4" w14:textId="77777777" w:rsidTr="00BE7E4A">
        <w:trPr>
          <w:trHeight w:val="222"/>
        </w:trPr>
        <w:tc>
          <w:tcPr>
            <w:tcW w:w="255" w:type="dxa"/>
            <w:tcBorders>
              <w:top w:val="single" w:sz="4" w:space="0" w:color="000000"/>
              <w:left w:val="single" w:sz="4" w:space="0" w:color="auto"/>
              <w:bottom w:val="nil"/>
              <w:right w:val="single" w:sz="4" w:space="0" w:color="000000"/>
            </w:tcBorders>
            <w:shd w:val="clear" w:color="FFFFFF" w:fill="999999"/>
            <w:noWrap/>
            <w:vAlign w:val="bottom"/>
            <w:hideMark/>
          </w:tcPr>
          <w:p w14:paraId="78C4F00B"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1873" w:type="dxa"/>
            <w:gridSpan w:val="2"/>
            <w:tcBorders>
              <w:top w:val="single" w:sz="4" w:space="0" w:color="000000"/>
              <w:left w:val="nil"/>
              <w:bottom w:val="nil"/>
              <w:right w:val="nil"/>
            </w:tcBorders>
            <w:shd w:val="clear" w:color="FFFFFF" w:fill="C0C0C0"/>
            <w:noWrap/>
            <w:vAlign w:val="bottom"/>
            <w:hideMark/>
          </w:tcPr>
          <w:p w14:paraId="3639DAFF"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Regular MS Contributions</w:t>
            </w:r>
          </w:p>
        </w:tc>
        <w:tc>
          <w:tcPr>
            <w:tcW w:w="753" w:type="dxa"/>
            <w:tcBorders>
              <w:top w:val="single" w:sz="4" w:space="0" w:color="000000"/>
              <w:left w:val="single" w:sz="4" w:space="0" w:color="000000"/>
              <w:bottom w:val="nil"/>
              <w:right w:val="nil"/>
            </w:tcBorders>
            <w:shd w:val="clear" w:color="FFFFFF" w:fill="C0C0C0"/>
            <w:noWrap/>
            <w:vAlign w:val="center"/>
            <w:hideMark/>
          </w:tcPr>
          <w:p w14:paraId="64932BFF"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single" w:sz="4" w:space="0" w:color="000000"/>
              <w:left w:val="single" w:sz="4" w:space="0" w:color="000000"/>
              <w:bottom w:val="nil"/>
              <w:right w:val="nil"/>
            </w:tcBorders>
            <w:shd w:val="clear" w:color="FFFFFF" w:fill="C0C0C0"/>
            <w:noWrap/>
            <w:vAlign w:val="center"/>
            <w:hideMark/>
          </w:tcPr>
          <w:p w14:paraId="7D0BBAC9"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single" w:sz="4" w:space="0" w:color="000000"/>
              <w:left w:val="single" w:sz="4" w:space="0" w:color="000000"/>
              <w:bottom w:val="nil"/>
              <w:right w:val="nil"/>
            </w:tcBorders>
            <w:shd w:val="clear" w:color="FFFFFF" w:fill="C0C0C0"/>
            <w:noWrap/>
            <w:vAlign w:val="center"/>
            <w:hideMark/>
          </w:tcPr>
          <w:p w14:paraId="4609B977"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86" w:type="dxa"/>
            <w:tcBorders>
              <w:top w:val="single" w:sz="4" w:space="0" w:color="000000"/>
              <w:left w:val="single" w:sz="4" w:space="0" w:color="000000"/>
              <w:bottom w:val="nil"/>
              <w:right w:val="nil"/>
            </w:tcBorders>
            <w:shd w:val="clear" w:color="FFFFFF" w:fill="C0C0C0"/>
            <w:noWrap/>
            <w:vAlign w:val="center"/>
            <w:hideMark/>
          </w:tcPr>
          <w:p w14:paraId="7E1CDB39"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single" w:sz="4" w:space="0" w:color="000000"/>
              <w:left w:val="single" w:sz="4" w:space="0" w:color="000000"/>
              <w:bottom w:val="nil"/>
              <w:right w:val="nil"/>
            </w:tcBorders>
            <w:shd w:val="clear" w:color="FFFFFF" w:fill="C0C0C0"/>
            <w:noWrap/>
            <w:vAlign w:val="center"/>
            <w:hideMark/>
          </w:tcPr>
          <w:p w14:paraId="34132779"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550" w:type="dxa"/>
            <w:tcBorders>
              <w:top w:val="single" w:sz="4" w:space="0" w:color="000000"/>
              <w:left w:val="single" w:sz="4" w:space="0" w:color="000000"/>
              <w:bottom w:val="nil"/>
              <w:right w:val="nil"/>
            </w:tcBorders>
            <w:shd w:val="clear" w:color="FFFFFF" w:fill="C0C0C0"/>
            <w:noWrap/>
            <w:vAlign w:val="center"/>
            <w:hideMark/>
          </w:tcPr>
          <w:p w14:paraId="5DDE19E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860" w:type="dxa"/>
            <w:gridSpan w:val="2"/>
            <w:tcBorders>
              <w:top w:val="single" w:sz="4" w:space="0" w:color="000000"/>
              <w:left w:val="single" w:sz="4" w:space="0" w:color="000000"/>
              <w:bottom w:val="nil"/>
              <w:right w:val="nil"/>
            </w:tcBorders>
            <w:shd w:val="clear" w:color="FFFFFF" w:fill="C0C0C0"/>
            <w:noWrap/>
            <w:vAlign w:val="center"/>
            <w:hideMark/>
          </w:tcPr>
          <w:p w14:paraId="2C94C807"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single" w:sz="4" w:space="0" w:color="000000"/>
              <w:left w:val="single" w:sz="4" w:space="0" w:color="000000"/>
              <w:bottom w:val="nil"/>
              <w:right w:val="nil"/>
            </w:tcBorders>
            <w:shd w:val="clear" w:color="FFFFFF" w:fill="C0C0C0"/>
            <w:noWrap/>
            <w:vAlign w:val="center"/>
            <w:hideMark/>
          </w:tcPr>
          <w:p w14:paraId="62CA79DA"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single" w:sz="4" w:space="0" w:color="000000"/>
              <w:left w:val="single" w:sz="4" w:space="0" w:color="000000"/>
              <w:bottom w:val="nil"/>
              <w:right w:val="nil"/>
            </w:tcBorders>
            <w:shd w:val="clear" w:color="FFFFFF" w:fill="C0C0C0"/>
            <w:noWrap/>
            <w:vAlign w:val="center"/>
            <w:hideMark/>
          </w:tcPr>
          <w:p w14:paraId="0CB17AB6"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01" w:type="dxa"/>
            <w:tcBorders>
              <w:top w:val="single" w:sz="4" w:space="0" w:color="000000"/>
              <w:left w:val="single" w:sz="4" w:space="0" w:color="000000"/>
              <w:bottom w:val="nil"/>
              <w:right w:val="single" w:sz="4" w:space="0" w:color="auto"/>
            </w:tcBorders>
            <w:shd w:val="clear" w:color="FFFFFF" w:fill="C0C0C0"/>
            <w:noWrap/>
            <w:vAlign w:val="center"/>
            <w:hideMark/>
          </w:tcPr>
          <w:p w14:paraId="0FBD5BC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r>
      <w:tr w:rsidR="003B18DC" w:rsidRPr="003B18DC" w14:paraId="4393360C" w14:textId="77777777" w:rsidTr="00BE7E4A">
        <w:trPr>
          <w:trHeight w:val="222"/>
        </w:trPr>
        <w:tc>
          <w:tcPr>
            <w:tcW w:w="255" w:type="dxa"/>
            <w:tcBorders>
              <w:top w:val="nil"/>
              <w:left w:val="single" w:sz="4" w:space="0" w:color="auto"/>
              <w:bottom w:val="nil"/>
              <w:right w:val="single" w:sz="4" w:space="0" w:color="000000"/>
            </w:tcBorders>
            <w:shd w:val="clear" w:color="FFFFFF" w:fill="999999"/>
            <w:noWrap/>
            <w:vAlign w:val="bottom"/>
            <w:hideMark/>
          </w:tcPr>
          <w:p w14:paraId="5C157799"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1873" w:type="dxa"/>
            <w:gridSpan w:val="2"/>
            <w:tcBorders>
              <w:top w:val="nil"/>
              <w:left w:val="nil"/>
              <w:bottom w:val="nil"/>
              <w:right w:val="nil"/>
            </w:tcBorders>
            <w:shd w:val="clear" w:color="FFFFFF" w:fill="DEDCDC"/>
            <w:noWrap/>
            <w:vAlign w:val="bottom"/>
            <w:hideMark/>
          </w:tcPr>
          <w:p w14:paraId="3E9A2171"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Allocations</w:t>
            </w:r>
          </w:p>
        </w:tc>
        <w:tc>
          <w:tcPr>
            <w:tcW w:w="753" w:type="dxa"/>
            <w:tcBorders>
              <w:top w:val="nil"/>
              <w:left w:val="single" w:sz="4" w:space="0" w:color="000000"/>
              <w:bottom w:val="nil"/>
              <w:right w:val="nil"/>
            </w:tcBorders>
            <w:shd w:val="clear" w:color="FFFFFF" w:fill="DEDCDC"/>
            <w:noWrap/>
            <w:vAlign w:val="center"/>
            <w:hideMark/>
          </w:tcPr>
          <w:p w14:paraId="3A01C55E"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70FD6E67"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45815BA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000000"/>
              <w:bottom w:val="nil"/>
              <w:right w:val="nil"/>
            </w:tcBorders>
            <w:shd w:val="clear" w:color="FFFFFF" w:fill="DEDCDC"/>
            <w:noWrap/>
            <w:vAlign w:val="center"/>
            <w:hideMark/>
          </w:tcPr>
          <w:p w14:paraId="0EA607C9"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12857600"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000000"/>
              <w:bottom w:val="nil"/>
              <w:right w:val="nil"/>
            </w:tcBorders>
            <w:shd w:val="clear" w:color="FFFFFF" w:fill="DEDCDC"/>
            <w:noWrap/>
            <w:vAlign w:val="center"/>
            <w:hideMark/>
          </w:tcPr>
          <w:p w14:paraId="250C988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000000"/>
              <w:bottom w:val="nil"/>
              <w:right w:val="nil"/>
            </w:tcBorders>
            <w:shd w:val="clear" w:color="FFFFFF" w:fill="DEDCDC"/>
            <w:noWrap/>
            <w:vAlign w:val="center"/>
            <w:hideMark/>
          </w:tcPr>
          <w:p w14:paraId="6F43FAD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1DFAB96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36A6D61E"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000000"/>
              <w:bottom w:val="nil"/>
              <w:right w:val="single" w:sz="4" w:space="0" w:color="auto"/>
            </w:tcBorders>
            <w:shd w:val="clear" w:color="FFFFFF" w:fill="DEDCDC"/>
            <w:noWrap/>
            <w:vAlign w:val="center"/>
            <w:hideMark/>
          </w:tcPr>
          <w:p w14:paraId="39711DD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6FEED824" w14:textId="77777777" w:rsidTr="00BE7E4A">
        <w:trPr>
          <w:trHeight w:val="244"/>
        </w:trPr>
        <w:tc>
          <w:tcPr>
            <w:tcW w:w="255" w:type="dxa"/>
            <w:vMerge w:val="restart"/>
            <w:tcBorders>
              <w:top w:val="nil"/>
              <w:left w:val="single" w:sz="4" w:space="0" w:color="auto"/>
              <w:bottom w:val="single" w:sz="4" w:space="0" w:color="000000"/>
              <w:right w:val="single" w:sz="4" w:space="0" w:color="000000"/>
            </w:tcBorders>
            <w:shd w:val="clear" w:color="FFFFFF" w:fill="999999"/>
            <w:vAlign w:val="center"/>
            <w:hideMark/>
          </w:tcPr>
          <w:p w14:paraId="018D3BE3"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223F188E"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A ENVELOPE - NATIONAL ALLOCATIONS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14:paraId="699DD60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14.977</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6729AD9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14.915</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44F55B90" w14:textId="77777777" w:rsidR="003B18DC" w:rsidRPr="003B18DC" w:rsidRDefault="003B18DC" w:rsidP="003B18DC">
            <w:pPr>
              <w:spacing w:after="0" w:line="240" w:lineRule="auto"/>
              <w:jc w:val="right"/>
              <w:rPr>
                <w:rFonts w:ascii="Arial" w:eastAsia="Times New Roman" w:hAnsi="Arial" w:cs="Arial"/>
                <w:b/>
                <w:bCs/>
                <w:noProof/>
                <w:color w:val="FF0000"/>
                <w:kern w:val="0"/>
                <w:sz w:val="12"/>
                <w:szCs w:val="12"/>
                <w:lang w:eastAsia="en-GB"/>
                <w14:ligatures w14:val="none"/>
              </w:rPr>
            </w:pPr>
            <w:r w:rsidRPr="003B18DC">
              <w:rPr>
                <w:rFonts w:ascii="Arial" w:eastAsia="Times New Roman" w:hAnsi="Arial" w:cs="Arial"/>
                <w:b/>
                <w:bCs/>
                <w:noProof/>
                <w:color w:val="FF0000"/>
                <w:kern w:val="0"/>
                <w:sz w:val="12"/>
                <w:szCs w:val="12"/>
                <w:lang w:eastAsia="en-GB"/>
                <w14:ligatures w14:val="none"/>
              </w:rPr>
              <w:t>(217)</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14:paraId="13C677C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3FED1C2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14.696</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14:paraId="065DD35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(107)</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588296C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99%</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24DE99F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13.280</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0AC5A4D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452</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14:paraId="5B51E5E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90%</w:t>
            </w:r>
          </w:p>
        </w:tc>
      </w:tr>
      <w:tr w:rsidR="003B18DC" w:rsidRPr="003B18DC" w14:paraId="1CA26C28"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38E6C082"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7741691"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B ENVELOPE - NATIONAL ALLOCATIONS</w:t>
            </w:r>
          </w:p>
        </w:tc>
        <w:tc>
          <w:tcPr>
            <w:tcW w:w="753" w:type="dxa"/>
            <w:tcBorders>
              <w:top w:val="nil"/>
              <w:left w:val="nil"/>
              <w:bottom w:val="single" w:sz="4" w:space="0" w:color="000000"/>
              <w:right w:val="single" w:sz="4" w:space="0" w:color="000000"/>
            </w:tcBorders>
            <w:shd w:val="clear" w:color="FFFFFF" w:fill="FFFFFF"/>
            <w:noWrap/>
            <w:vAlign w:val="center"/>
            <w:hideMark/>
          </w:tcPr>
          <w:p w14:paraId="0B927C4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1.053</w:t>
            </w:r>
          </w:p>
        </w:tc>
        <w:tc>
          <w:tcPr>
            <w:tcW w:w="795" w:type="dxa"/>
            <w:tcBorders>
              <w:top w:val="nil"/>
              <w:left w:val="nil"/>
              <w:bottom w:val="single" w:sz="4" w:space="0" w:color="000000"/>
              <w:right w:val="single" w:sz="4" w:space="0" w:color="000000"/>
            </w:tcBorders>
            <w:shd w:val="clear" w:color="FFFFFF" w:fill="FFFFFF"/>
            <w:noWrap/>
            <w:vAlign w:val="center"/>
            <w:hideMark/>
          </w:tcPr>
          <w:p w14:paraId="0DB5EA0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1.053</w:t>
            </w:r>
          </w:p>
        </w:tc>
        <w:tc>
          <w:tcPr>
            <w:tcW w:w="733" w:type="dxa"/>
            <w:tcBorders>
              <w:top w:val="nil"/>
              <w:left w:val="nil"/>
              <w:bottom w:val="single" w:sz="4" w:space="0" w:color="000000"/>
              <w:right w:val="single" w:sz="4" w:space="0" w:color="000000"/>
            </w:tcBorders>
            <w:shd w:val="clear" w:color="FFFFFF" w:fill="FFFFFF"/>
            <w:noWrap/>
            <w:vAlign w:val="center"/>
            <w:hideMark/>
          </w:tcPr>
          <w:p w14:paraId="16E030FE" w14:textId="77777777" w:rsidR="003B18DC" w:rsidRPr="003B18DC" w:rsidRDefault="003B18DC" w:rsidP="003B18DC">
            <w:pPr>
              <w:spacing w:after="0" w:line="240" w:lineRule="auto"/>
              <w:jc w:val="right"/>
              <w:rPr>
                <w:rFonts w:ascii="Arial" w:eastAsia="Times New Roman" w:hAnsi="Arial" w:cs="Arial"/>
                <w:b/>
                <w:bCs/>
                <w:noProof/>
                <w:color w:val="FF0000"/>
                <w:kern w:val="0"/>
                <w:sz w:val="12"/>
                <w:szCs w:val="12"/>
                <w:lang w:eastAsia="en-GB"/>
                <w14:ligatures w14:val="none"/>
              </w:rPr>
            </w:pPr>
            <w:r w:rsidRPr="003B18DC">
              <w:rPr>
                <w:rFonts w:ascii="Arial" w:eastAsia="Times New Roman" w:hAnsi="Arial" w:cs="Arial"/>
                <w:b/>
                <w:bCs/>
                <w:noProof/>
                <w:color w:val="FF0000"/>
                <w:kern w:val="0"/>
                <w:sz w:val="12"/>
                <w:szCs w:val="12"/>
                <w:lang w:eastAsia="en-GB"/>
                <w14:ligatures w14:val="none"/>
              </w:rPr>
              <w:t>(2)</w:t>
            </w:r>
          </w:p>
        </w:tc>
        <w:tc>
          <w:tcPr>
            <w:tcW w:w="786" w:type="dxa"/>
            <w:tcBorders>
              <w:top w:val="nil"/>
              <w:left w:val="nil"/>
              <w:bottom w:val="single" w:sz="4" w:space="0" w:color="000000"/>
              <w:right w:val="single" w:sz="4" w:space="0" w:color="000000"/>
            </w:tcBorders>
            <w:shd w:val="clear" w:color="FFFFFF" w:fill="FFFFFF"/>
            <w:noWrap/>
            <w:vAlign w:val="center"/>
            <w:hideMark/>
          </w:tcPr>
          <w:p w14:paraId="31C42BF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4DD72BD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1.052</w:t>
            </w:r>
          </w:p>
        </w:tc>
        <w:tc>
          <w:tcPr>
            <w:tcW w:w="550" w:type="dxa"/>
            <w:tcBorders>
              <w:top w:val="nil"/>
              <w:left w:val="nil"/>
              <w:bottom w:val="single" w:sz="4" w:space="0" w:color="000000"/>
              <w:right w:val="single" w:sz="4" w:space="0" w:color="000000"/>
            </w:tcBorders>
            <w:shd w:val="clear" w:color="FFFFFF" w:fill="FFFFFF"/>
            <w:noWrap/>
            <w:vAlign w:val="center"/>
            <w:hideMark/>
          </w:tcPr>
          <w:p w14:paraId="52BAE9FE"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67AFA94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58FD501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1.027</w:t>
            </w:r>
          </w:p>
        </w:tc>
        <w:tc>
          <w:tcPr>
            <w:tcW w:w="733" w:type="dxa"/>
            <w:tcBorders>
              <w:top w:val="nil"/>
              <w:left w:val="nil"/>
              <w:bottom w:val="single" w:sz="4" w:space="0" w:color="000000"/>
              <w:right w:val="single" w:sz="4" w:space="0" w:color="000000"/>
            </w:tcBorders>
            <w:shd w:val="clear" w:color="FFFFFF" w:fill="FFFFFF"/>
            <w:noWrap/>
            <w:vAlign w:val="center"/>
            <w:hideMark/>
          </w:tcPr>
          <w:p w14:paraId="08F5AF7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w:t>
            </w:r>
          </w:p>
        </w:tc>
        <w:tc>
          <w:tcPr>
            <w:tcW w:w="701" w:type="dxa"/>
            <w:tcBorders>
              <w:top w:val="nil"/>
              <w:left w:val="nil"/>
              <w:bottom w:val="single" w:sz="4" w:space="0" w:color="000000"/>
              <w:right w:val="single" w:sz="4" w:space="0" w:color="auto"/>
            </w:tcBorders>
            <w:shd w:val="clear" w:color="FFFFFF" w:fill="FFFFFF"/>
            <w:noWrap/>
            <w:vAlign w:val="center"/>
            <w:hideMark/>
          </w:tcPr>
          <w:p w14:paraId="545A05EE"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98%</w:t>
            </w:r>
          </w:p>
        </w:tc>
      </w:tr>
      <w:tr w:rsidR="003B18DC" w:rsidRPr="003B18DC" w14:paraId="35319D6C"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1E1BF534"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319A87FC"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BRIDGING FACILITY</w:t>
            </w:r>
          </w:p>
        </w:tc>
        <w:tc>
          <w:tcPr>
            <w:tcW w:w="753" w:type="dxa"/>
            <w:tcBorders>
              <w:top w:val="nil"/>
              <w:left w:val="nil"/>
              <w:bottom w:val="single" w:sz="4" w:space="0" w:color="000000"/>
              <w:right w:val="single" w:sz="4" w:space="0" w:color="000000"/>
            </w:tcBorders>
            <w:shd w:val="clear" w:color="FFFFFF" w:fill="FFFFFF"/>
            <w:noWrap/>
            <w:vAlign w:val="center"/>
            <w:hideMark/>
          </w:tcPr>
          <w:p w14:paraId="105F9BF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0</w:t>
            </w:r>
          </w:p>
        </w:tc>
        <w:tc>
          <w:tcPr>
            <w:tcW w:w="795" w:type="dxa"/>
            <w:tcBorders>
              <w:top w:val="nil"/>
              <w:left w:val="nil"/>
              <w:bottom w:val="single" w:sz="4" w:space="0" w:color="000000"/>
              <w:right w:val="single" w:sz="4" w:space="0" w:color="000000"/>
            </w:tcBorders>
            <w:shd w:val="clear" w:color="FFFFFF" w:fill="FFFFFF"/>
            <w:noWrap/>
            <w:vAlign w:val="center"/>
            <w:hideMark/>
          </w:tcPr>
          <w:p w14:paraId="3EEE851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5F752FC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nil"/>
              <w:bottom w:val="single" w:sz="4" w:space="0" w:color="000000"/>
              <w:right w:val="single" w:sz="4" w:space="0" w:color="000000"/>
            </w:tcBorders>
            <w:shd w:val="clear" w:color="FFFFFF" w:fill="FFFFFF"/>
            <w:noWrap/>
            <w:vAlign w:val="center"/>
            <w:hideMark/>
          </w:tcPr>
          <w:p w14:paraId="2DB5DBE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34C0F54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nil"/>
              <w:bottom w:val="single" w:sz="4" w:space="0" w:color="000000"/>
              <w:right w:val="single" w:sz="4" w:space="0" w:color="000000"/>
            </w:tcBorders>
            <w:shd w:val="clear" w:color="FFFFFF" w:fill="FFFFFF"/>
            <w:noWrap/>
            <w:vAlign w:val="center"/>
            <w:hideMark/>
          </w:tcPr>
          <w:p w14:paraId="698E2A3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0DF5504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1715694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2B75303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nil"/>
              <w:bottom w:val="single" w:sz="4" w:space="0" w:color="000000"/>
              <w:right w:val="single" w:sz="4" w:space="0" w:color="auto"/>
            </w:tcBorders>
            <w:shd w:val="clear" w:color="FFFFFF" w:fill="FFFFFF"/>
            <w:noWrap/>
            <w:vAlign w:val="center"/>
            <w:hideMark/>
          </w:tcPr>
          <w:p w14:paraId="49C8BE1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7E80E05C"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4B7117FE"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4CB24A5B"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FOOD SECURITY</w:t>
            </w:r>
          </w:p>
        </w:tc>
        <w:tc>
          <w:tcPr>
            <w:tcW w:w="753" w:type="dxa"/>
            <w:tcBorders>
              <w:top w:val="nil"/>
              <w:left w:val="nil"/>
              <w:bottom w:val="single" w:sz="4" w:space="0" w:color="000000"/>
              <w:right w:val="single" w:sz="4" w:space="0" w:color="000000"/>
            </w:tcBorders>
            <w:shd w:val="clear" w:color="FFFFFF" w:fill="FFFFFF"/>
            <w:noWrap/>
            <w:vAlign w:val="center"/>
            <w:hideMark/>
          </w:tcPr>
          <w:p w14:paraId="6EDB722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112</w:t>
            </w:r>
          </w:p>
        </w:tc>
        <w:tc>
          <w:tcPr>
            <w:tcW w:w="795" w:type="dxa"/>
            <w:tcBorders>
              <w:top w:val="nil"/>
              <w:left w:val="nil"/>
              <w:bottom w:val="single" w:sz="4" w:space="0" w:color="000000"/>
              <w:right w:val="single" w:sz="4" w:space="0" w:color="000000"/>
            </w:tcBorders>
            <w:shd w:val="clear" w:color="FFFFFF" w:fill="FFFFFF"/>
            <w:noWrap/>
            <w:vAlign w:val="center"/>
            <w:hideMark/>
          </w:tcPr>
          <w:p w14:paraId="73B72DF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112</w:t>
            </w:r>
          </w:p>
        </w:tc>
        <w:tc>
          <w:tcPr>
            <w:tcW w:w="733" w:type="dxa"/>
            <w:tcBorders>
              <w:top w:val="nil"/>
              <w:left w:val="nil"/>
              <w:bottom w:val="single" w:sz="4" w:space="0" w:color="000000"/>
              <w:right w:val="single" w:sz="4" w:space="0" w:color="000000"/>
            </w:tcBorders>
            <w:shd w:val="clear" w:color="FFFFFF" w:fill="FFFFFF"/>
            <w:noWrap/>
            <w:vAlign w:val="center"/>
            <w:hideMark/>
          </w:tcPr>
          <w:p w14:paraId="556C2B6F"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786" w:type="dxa"/>
            <w:tcBorders>
              <w:top w:val="nil"/>
              <w:left w:val="nil"/>
              <w:bottom w:val="single" w:sz="4" w:space="0" w:color="000000"/>
              <w:right w:val="single" w:sz="4" w:space="0" w:color="000000"/>
            </w:tcBorders>
            <w:shd w:val="clear" w:color="FFFFFF" w:fill="FFFFFF"/>
            <w:noWrap/>
            <w:vAlign w:val="center"/>
            <w:hideMark/>
          </w:tcPr>
          <w:p w14:paraId="31CB2A2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5A1CD21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112</w:t>
            </w:r>
          </w:p>
        </w:tc>
        <w:tc>
          <w:tcPr>
            <w:tcW w:w="550" w:type="dxa"/>
            <w:tcBorders>
              <w:top w:val="nil"/>
              <w:left w:val="nil"/>
              <w:bottom w:val="single" w:sz="4" w:space="0" w:color="000000"/>
              <w:right w:val="single" w:sz="4" w:space="0" w:color="000000"/>
            </w:tcBorders>
            <w:shd w:val="clear" w:color="FFFFFF" w:fill="FFFFFF"/>
            <w:noWrap/>
            <w:vAlign w:val="center"/>
            <w:hideMark/>
          </w:tcPr>
          <w:p w14:paraId="1EB39CFC"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6B9A3BF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16FBA3C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50</w:t>
            </w:r>
          </w:p>
        </w:tc>
        <w:tc>
          <w:tcPr>
            <w:tcW w:w="733" w:type="dxa"/>
            <w:tcBorders>
              <w:top w:val="nil"/>
              <w:left w:val="nil"/>
              <w:bottom w:val="single" w:sz="4" w:space="0" w:color="000000"/>
              <w:right w:val="single" w:sz="4" w:space="0" w:color="000000"/>
            </w:tcBorders>
            <w:shd w:val="clear" w:color="FFFFFF" w:fill="FFFFFF"/>
            <w:noWrap/>
            <w:vAlign w:val="center"/>
            <w:hideMark/>
          </w:tcPr>
          <w:p w14:paraId="4EC7384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7</w:t>
            </w:r>
          </w:p>
        </w:tc>
        <w:tc>
          <w:tcPr>
            <w:tcW w:w="701" w:type="dxa"/>
            <w:tcBorders>
              <w:top w:val="nil"/>
              <w:left w:val="nil"/>
              <w:bottom w:val="single" w:sz="4" w:space="0" w:color="000000"/>
              <w:right w:val="single" w:sz="4" w:space="0" w:color="auto"/>
            </w:tcBorders>
            <w:shd w:val="clear" w:color="FFFFFF" w:fill="FFFFFF"/>
            <w:noWrap/>
            <w:vAlign w:val="center"/>
            <w:hideMark/>
          </w:tcPr>
          <w:p w14:paraId="4BC5CE1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44%</w:t>
            </w:r>
          </w:p>
        </w:tc>
      </w:tr>
      <w:tr w:rsidR="003B18DC" w:rsidRPr="003B18DC" w14:paraId="5E4D72C3"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312C219C"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5121EA3"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IMPLEMENTATION COSTS AND INTERESTS REVENUES</w:t>
            </w:r>
          </w:p>
        </w:tc>
        <w:tc>
          <w:tcPr>
            <w:tcW w:w="753" w:type="dxa"/>
            <w:tcBorders>
              <w:top w:val="nil"/>
              <w:left w:val="nil"/>
              <w:bottom w:val="single" w:sz="4" w:space="0" w:color="000000"/>
              <w:right w:val="single" w:sz="4" w:space="0" w:color="000000"/>
            </w:tcBorders>
            <w:shd w:val="clear" w:color="FFFFFF" w:fill="FFFFFF"/>
            <w:noWrap/>
            <w:vAlign w:val="center"/>
            <w:hideMark/>
          </w:tcPr>
          <w:p w14:paraId="232E193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1.076</w:t>
            </w:r>
          </w:p>
        </w:tc>
        <w:tc>
          <w:tcPr>
            <w:tcW w:w="795" w:type="dxa"/>
            <w:tcBorders>
              <w:top w:val="nil"/>
              <w:left w:val="nil"/>
              <w:bottom w:val="single" w:sz="4" w:space="0" w:color="000000"/>
              <w:right w:val="single" w:sz="4" w:space="0" w:color="000000"/>
            </w:tcBorders>
            <w:shd w:val="clear" w:color="FFFFFF" w:fill="FFFFFF"/>
            <w:noWrap/>
            <w:vAlign w:val="center"/>
            <w:hideMark/>
          </w:tcPr>
          <w:p w14:paraId="3A89860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1.062</w:t>
            </w:r>
          </w:p>
        </w:tc>
        <w:tc>
          <w:tcPr>
            <w:tcW w:w="733" w:type="dxa"/>
            <w:tcBorders>
              <w:top w:val="nil"/>
              <w:left w:val="nil"/>
              <w:bottom w:val="single" w:sz="4" w:space="0" w:color="000000"/>
              <w:right w:val="single" w:sz="4" w:space="0" w:color="000000"/>
            </w:tcBorders>
            <w:shd w:val="clear" w:color="FFFFFF" w:fill="FFFFFF"/>
            <w:noWrap/>
            <w:vAlign w:val="center"/>
            <w:hideMark/>
          </w:tcPr>
          <w:p w14:paraId="48E7A5D7" w14:textId="77777777" w:rsidR="003B18DC" w:rsidRPr="003B18DC" w:rsidRDefault="003B18DC" w:rsidP="003B18DC">
            <w:pPr>
              <w:spacing w:after="0" w:line="240" w:lineRule="auto"/>
              <w:jc w:val="right"/>
              <w:rPr>
                <w:rFonts w:ascii="Arial" w:eastAsia="Times New Roman" w:hAnsi="Arial" w:cs="Arial"/>
                <w:b/>
                <w:bCs/>
                <w:noProof/>
                <w:color w:val="FF0000"/>
                <w:kern w:val="0"/>
                <w:sz w:val="12"/>
                <w:szCs w:val="12"/>
                <w:lang w:eastAsia="en-GB"/>
                <w14:ligatures w14:val="none"/>
              </w:rPr>
            </w:pPr>
            <w:r w:rsidRPr="003B18DC">
              <w:rPr>
                <w:rFonts w:ascii="Arial" w:eastAsia="Times New Roman" w:hAnsi="Arial" w:cs="Arial"/>
                <w:b/>
                <w:bCs/>
                <w:noProof/>
                <w:color w:val="FF0000"/>
                <w:kern w:val="0"/>
                <w:sz w:val="12"/>
                <w:szCs w:val="12"/>
                <w:lang w:eastAsia="en-GB"/>
                <w14:ligatures w14:val="none"/>
              </w:rPr>
              <w:t>(2)</w:t>
            </w:r>
          </w:p>
        </w:tc>
        <w:tc>
          <w:tcPr>
            <w:tcW w:w="786" w:type="dxa"/>
            <w:tcBorders>
              <w:top w:val="nil"/>
              <w:left w:val="nil"/>
              <w:bottom w:val="single" w:sz="4" w:space="0" w:color="000000"/>
              <w:right w:val="single" w:sz="4" w:space="0" w:color="000000"/>
            </w:tcBorders>
            <w:shd w:val="clear" w:color="FFFFFF" w:fill="FFFFFF"/>
            <w:noWrap/>
            <w:vAlign w:val="center"/>
            <w:hideMark/>
          </w:tcPr>
          <w:p w14:paraId="79D2072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99%</w:t>
            </w:r>
          </w:p>
        </w:tc>
        <w:tc>
          <w:tcPr>
            <w:tcW w:w="795" w:type="dxa"/>
            <w:tcBorders>
              <w:top w:val="nil"/>
              <w:left w:val="nil"/>
              <w:bottom w:val="single" w:sz="4" w:space="0" w:color="000000"/>
              <w:right w:val="single" w:sz="4" w:space="0" w:color="000000"/>
            </w:tcBorders>
            <w:shd w:val="clear" w:color="FFFFFF" w:fill="FFFFFF"/>
            <w:noWrap/>
            <w:vAlign w:val="center"/>
            <w:hideMark/>
          </w:tcPr>
          <w:p w14:paraId="0968C85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1.059</w:t>
            </w:r>
          </w:p>
        </w:tc>
        <w:tc>
          <w:tcPr>
            <w:tcW w:w="550" w:type="dxa"/>
            <w:tcBorders>
              <w:top w:val="nil"/>
              <w:left w:val="nil"/>
              <w:bottom w:val="single" w:sz="4" w:space="0" w:color="000000"/>
              <w:right w:val="single" w:sz="4" w:space="0" w:color="000000"/>
            </w:tcBorders>
            <w:shd w:val="clear" w:color="FFFFFF" w:fill="FFFFFF"/>
            <w:noWrap/>
            <w:vAlign w:val="center"/>
            <w:hideMark/>
          </w:tcPr>
          <w:p w14:paraId="13DAB0E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47C1A56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6AF404B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1.008</w:t>
            </w:r>
          </w:p>
        </w:tc>
        <w:tc>
          <w:tcPr>
            <w:tcW w:w="733" w:type="dxa"/>
            <w:tcBorders>
              <w:top w:val="nil"/>
              <w:left w:val="nil"/>
              <w:bottom w:val="single" w:sz="4" w:space="0" w:color="000000"/>
              <w:right w:val="single" w:sz="4" w:space="0" w:color="000000"/>
            </w:tcBorders>
            <w:shd w:val="clear" w:color="FFFFFF" w:fill="FFFFFF"/>
            <w:noWrap/>
            <w:vAlign w:val="center"/>
            <w:hideMark/>
          </w:tcPr>
          <w:p w14:paraId="2E65AA3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41</w:t>
            </w:r>
          </w:p>
        </w:tc>
        <w:tc>
          <w:tcPr>
            <w:tcW w:w="701" w:type="dxa"/>
            <w:tcBorders>
              <w:top w:val="nil"/>
              <w:left w:val="nil"/>
              <w:bottom w:val="single" w:sz="4" w:space="0" w:color="000000"/>
              <w:right w:val="single" w:sz="4" w:space="0" w:color="auto"/>
            </w:tcBorders>
            <w:shd w:val="clear" w:color="FFFFFF" w:fill="FFFFFF"/>
            <w:noWrap/>
            <w:vAlign w:val="center"/>
            <w:hideMark/>
          </w:tcPr>
          <w:p w14:paraId="0D3FA94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95%</w:t>
            </w:r>
          </w:p>
        </w:tc>
      </w:tr>
      <w:tr w:rsidR="003B18DC" w:rsidRPr="003B18DC" w14:paraId="5C2C0DF7"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5C38939B"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1838950"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INTRA-ACP ALLOCATIONS</w:t>
            </w:r>
          </w:p>
        </w:tc>
        <w:tc>
          <w:tcPr>
            <w:tcW w:w="753" w:type="dxa"/>
            <w:tcBorders>
              <w:top w:val="nil"/>
              <w:left w:val="nil"/>
              <w:bottom w:val="single" w:sz="4" w:space="0" w:color="000000"/>
              <w:right w:val="single" w:sz="4" w:space="0" w:color="000000"/>
            </w:tcBorders>
            <w:shd w:val="clear" w:color="FFFFFF" w:fill="FFFFFF"/>
            <w:noWrap/>
            <w:vAlign w:val="center"/>
            <w:hideMark/>
          </w:tcPr>
          <w:p w14:paraId="2E377A0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3.938</w:t>
            </w:r>
          </w:p>
        </w:tc>
        <w:tc>
          <w:tcPr>
            <w:tcW w:w="795" w:type="dxa"/>
            <w:tcBorders>
              <w:top w:val="nil"/>
              <w:left w:val="nil"/>
              <w:bottom w:val="single" w:sz="4" w:space="0" w:color="000000"/>
              <w:right w:val="single" w:sz="4" w:space="0" w:color="000000"/>
            </w:tcBorders>
            <w:shd w:val="clear" w:color="FFFFFF" w:fill="FFFFFF"/>
            <w:noWrap/>
            <w:vAlign w:val="center"/>
            <w:hideMark/>
          </w:tcPr>
          <w:p w14:paraId="2151790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3.846</w:t>
            </w:r>
          </w:p>
        </w:tc>
        <w:tc>
          <w:tcPr>
            <w:tcW w:w="733" w:type="dxa"/>
            <w:tcBorders>
              <w:top w:val="nil"/>
              <w:left w:val="nil"/>
              <w:bottom w:val="single" w:sz="4" w:space="0" w:color="000000"/>
              <w:right w:val="single" w:sz="4" w:space="0" w:color="000000"/>
            </w:tcBorders>
            <w:shd w:val="clear" w:color="FFFFFF" w:fill="FFFFFF"/>
            <w:noWrap/>
            <w:vAlign w:val="center"/>
            <w:hideMark/>
          </w:tcPr>
          <w:p w14:paraId="4D9D952B" w14:textId="77777777" w:rsidR="003B18DC" w:rsidRPr="003B18DC" w:rsidRDefault="003B18DC" w:rsidP="003B18DC">
            <w:pPr>
              <w:spacing w:after="0" w:line="240" w:lineRule="auto"/>
              <w:jc w:val="right"/>
              <w:rPr>
                <w:rFonts w:ascii="Arial" w:eastAsia="Times New Roman" w:hAnsi="Arial" w:cs="Arial"/>
                <w:b/>
                <w:bCs/>
                <w:noProof/>
                <w:color w:val="FF0000"/>
                <w:kern w:val="0"/>
                <w:sz w:val="12"/>
                <w:szCs w:val="12"/>
                <w:lang w:eastAsia="en-GB"/>
                <w14:ligatures w14:val="none"/>
              </w:rPr>
            </w:pPr>
            <w:r w:rsidRPr="003B18DC">
              <w:rPr>
                <w:rFonts w:ascii="Arial" w:eastAsia="Times New Roman" w:hAnsi="Arial" w:cs="Arial"/>
                <w:b/>
                <w:bCs/>
                <w:noProof/>
                <w:color w:val="FF0000"/>
                <w:kern w:val="0"/>
                <w:sz w:val="12"/>
                <w:szCs w:val="12"/>
                <w:lang w:eastAsia="en-GB"/>
                <w14:ligatures w14:val="none"/>
              </w:rPr>
              <w:t>(13)</w:t>
            </w:r>
          </w:p>
        </w:tc>
        <w:tc>
          <w:tcPr>
            <w:tcW w:w="786" w:type="dxa"/>
            <w:tcBorders>
              <w:top w:val="nil"/>
              <w:left w:val="nil"/>
              <w:bottom w:val="single" w:sz="4" w:space="0" w:color="000000"/>
              <w:right w:val="single" w:sz="4" w:space="0" w:color="000000"/>
            </w:tcBorders>
            <w:shd w:val="clear" w:color="FFFFFF" w:fill="FFFFFF"/>
            <w:noWrap/>
            <w:vAlign w:val="center"/>
            <w:hideMark/>
          </w:tcPr>
          <w:p w14:paraId="31705F9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98%</w:t>
            </w:r>
          </w:p>
        </w:tc>
        <w:tc>
          <w:tcPr>
            <w:tcW w:w="795" w:type="dxa"/>
            <w:tcBorders>
              <w:top w:val="nil"/>
              <w:left w:val="nil"/>
              <w:bottom w:val="single" w:sz="4" w:space="0" w:color="000000"/>
              <w:right w:val="single" w:sz="4" w:space="0" w:color="000000"/>
            </w:tcBorders>
            <w:shd w:val="clear" w:color="FFFFFF" w:fill="FFFFFF"/>
            <w:noWrap/>
            <w:vAlign w:val="center"/>
            <w:hideMark/>
          </w:tcPr>
          <w:p w14:paraId="3F10C2AE"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3.910</w:t>
            </w:r>
          </w:p>
        </w:tc>
        <w:tc>
          <w:tcPr>
            <w:tcW w:w="550" w:type="dxa"/>
            <w:tcBorders>
              <w:top w:val="nil"/>
              <w:left w:val="nil"/>
              <w:bottom w:val="single" w:sz="4" w:space="0" w:color="000000"/>
              <w:right w:val="single" w:sz="4" w:space="0" w:color="000000"/>
            </w:tcBorders>
            <w:shd w:val="clear" w:color="FFFFFF" w:fill="FFFFFF"/>
            <w:noWrap/>
            <w:vAlign w:val="center"/>
            <w:hideMark/>
          </w:tcPr>
          <w:p w14:paraId="0109735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(24)</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629A9A2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102%</w:t>
            </w:r>
          </w:p>
        </w:tc>
        <w:tc>
          <w:tcPr>
            <w:tcW w:w="795" w:type="dxa"/>
            <w:tcBorders>
              <w:top w:val="nil"/>
              <w:left w:val="nil"/>
              <w:bottom w:val="single" w:sz="4" w:space="0" w:color="000000"/>
              <w:right w:val="single" w:sz="4" w:space="0" w:color="000000"/>
            </w:tcBorders>
            <w:shd w:val="clear" w:color="FFFFFF" w:fill="FFFFFF"/>
            <w:noWrap/>
            <w:vAlign w:val="center"/>
            <w:hideMark/>
          </w:tcPr>
          <w:p w14:paraId="6019E52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3.635</w:t>
            </w:r>
          </w:p>
        </w:tc>
        <w:tc>
          <w:tcPr>
            <w:tcW w:w="733" w:type="dxa"/>
            <w:tcBorders>
              <w:top w:val="nil"/>
              <w:left w:val="nil"/>
              <w:bottom w:val="single" w:sz="4" w:space="0" w:color="000000"/>
              <w:right w:val="single" w:sz="4" w:space="0" w:color="000000"/>
            </w:tcBorders>
            <w:shd w:val="clear" w:color="FFFFFF" w:fill="FFFFFF"/>
            <w:noWrap/>
            <w:vAlign w:val="center"/>
            <w:hideMark/>
          </w:tcPr>
          <w:p w14:paraId="5C78D39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120</w:t>
            </w:r>
          </w:p>
        </w:tc>
        <w:tc>
          <w:tcPr>
            <w:tcW w:w="701" w:type="dxa"/>
            <w:tcBorders>
              <w:top w:val="nil"/>
              <w:left w:val="nil"/>
              <w:bottom w:val="single" w:sz="4" w:space="0" w:color="000000"/>
              <w:right w:val="single" w:sz="4" w:space="0" w:color="auto"/>
            </w:tcBorders>
            <w:shd w:val="clear" w:color="FFFFFF" w:fill="FFFFFF"/>
            <w:noWrap/>
            <w:vAlign w:val="center"/>
            <w:hideMark/>
          </w:tcPr>
          <w:p w14:paraId="2259700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93%</w:t>
            </w:r>
          </w:p>
        </w:tc>
      </w:tr>
      <w:tr w:rsidR="003B18DC" w:rsidRPr="003B18DC" w14:paraId="7FD4309D"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2120B0DF"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7E2E2350"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REGIONAL ALLOCATIONS</w:t>
            </w:r>
          </w:p>
        </w:tc>
        <w:tc>
          <w:tcPr>
            <w:tcW w:w="753" w:type="dxa"/>
            <w:tcBorders>
              <w:top w:val="nil"/>
              <w:left w:val="nil"/>
              <w:bottom w:val="single" w:sz="4" w:space="0" w:color="000000"/>
              <w:right w:val="single" w:sz="4" w:space="0" w:color="000000"/>
            </w:tcBorders>
            <w:shd w:val="clear" w:color="FFFFFF" w:fill="FFFFFF"/>
            <w:noWrap/>
            <w:vAlign w:val="center"/>
            <w:hideMark/>
          </w:tcPr>
          <w:p w14:paraId="4B0DBF2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7.135</w:t>
            </w:r>
          </w:p>
        </w:tc>
        <w:tc>
          <w:tcPr>
            <w:tcW w:w="795" w:type="dxa"/>
            <w:tcBorders>
              <w:top w:val="nil"/>
              <w:left w:val="nil"/>
              <w:bottom w:val="single" w:sz="4" w:space="0" w:color="000000"/>
              <w:right w:val="single" w:sz="4" w:space="0" w:color="000000"/>
            </w:tcBorders>
            <w:shd w:val="clear" w:color="FFFFFF" w:fill="FFFFFF"/>
            <w:noWrap/>
            <w:vAlign w:val="center"/>
            <w:hideMark/>
          </w:tcPr>
          <w:p w14:paraId="696A339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7.114</w:t>
            </w:r>
          </w:p>
        </w:tc>
        <w:tc>
          <w:tcPr>
            <w:tcW w:w="733" w:type="dxa"/>
            <w:tcBorders>
              <w:top w:val="nil"/>
              <w:left w:val="nil"/>
              <w:bottom w:val="single" w:sz="4" w:space="0" w:color="000000"/>
              <w:right w:val="single" w:sz="4" w:space="0" w:color="000000"/>
            </w:tcBorders>
            <w:shd w:val="clear" w:color="FFFFFF" w:fill="FFFFFF"/>
            <w:noWrap/>
            <w:vAlign w:val="center"/>
            <w:hideMark/>
          </w:tcPr>
          <w:p w14:paraId="2A4B446A" w14:textId="77777777" w:rsidR="003B18DC" w:rsidRPr="003B18DC" w:rsidRDefault="003B18DC" w:rsidP="003B18DC">
            <w:pPr>
              <w:spacing w:after="0" w:line="240" w:lineRule="auto"/>
              <w:jc w:val="right"/>
              <w:rPr>
                <w:rFonts w:ascii="Arial" w:eastAsia="Times New Roman" w:hAnsi="Arial" w:cs="Arial"/>
                <w:b/>
                <w:bCs/>
                <w:noProof/>
                <w:color w:val="FF0000"/>
                <w:kern w:val="0"/>
                <w:sz w:val="12"/>
                <w:szCs w:val="12"/>
                <w:lang w:eastAsia="en-GB"/>
                <w14:ligatures w14:val="none"/>
              </w:rPr>
            </w:pPr>
            <w:r w:rsidRPr="003B18DC">
              <w:rPr>
                <w:rFonts w:ascii="Arial" w:eastAsia="Times New Roman" w:hAnsi="Arial" w:cs="Arial"/>
                <w:b/>
                <w:bCs/>
                <w:noProof/>
                <w:color w:val="FF0000"/>
                <w:kern w:val="0"/>
                <w:sz w:val="12"/>
                <w:szCs w:val="12"/>
                <w:lang w:eastAsia="en-GB"/>
                <w14:ligatures w14:val="none"/>
              </w:rPr>
              <w:t>(54)</w:t>
            </w:r>
          </w:p>
        </w:tc>
        <w:tc>
          <w:tcPr>
            <w:tcW w:w="786" w:type="dxa"/>
            <w:tcBorders>
              <w:top w:val="nil"/>
              <w:left w:val="nil"/>
              <w:bottom w:val="single" w:sz="4" w:space="0" w:color="000000"/>
              <w:right w:val="single" w:sz="4" w:space="0" w:color="000000"/>
            </w:tcBorders>
            <w:shd w:val="clear" w:color="FFFFFF" w:fill="FFFFFF"/>
            <w:noWrap/>
            <w:vAlign w:val="center"/>
            <w:hideMark/>
          </w:tcPr>
          <w:p w14:paraId="248C4E5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35A5D2B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7.051</w:t>
            </w:r>
          </w:p>
        </w:tc>
        <w:tc>
          <w:tcPr>
            <w:tcW w:w="550" w:type="dxa"/>
            <w:tcBorders>
              <w:top w:val="nil"/>
              <w:left w:val="nil"/>
              <w:bottom w:val="single" w:sz="4" w:space="0" w:color="000000"/>
              <w:right w:val="single" w:sz="4" w:space="0" w:color="000000"/>
            </w:tcBorders>
            <w:shd w:val="clear" w:color="FFFFFF" w:fill="FFFFFF"/>
            <w:noWrap/>
            <w:vAlign w:val="center"/>
            <w:hideMark/>
          </w:tcPr>
          <w:p w14:paraId="3591AD6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(31)</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30B5B94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99%</w:t>
            </w:r>
          </w:p>
        </w:tc>
        <w:tc>
          <w:tcPr>
            <w:tcW w:w="795" w:type="dxa"/>
            <w:tcBorders>
              <w:top w:val="nil"/>
              <w:left w:val="nil"/>
              <w:bottom w:val="single" w:sz="4" w:space="0" w:color="000000"/>
              <w:right w:val="single" w:sz="4" w:space="0" w:color="000000"/>
            </w:tcBorders>
            <w:shd w:val="clear" w:color="FFFFFF" w:fill="FFFFFF"/>
            <w:noWrap/>
            <w:vAlign w:val="center"/>
            <w:hideMark/>
          </w:tcPr>
          <w:p w14:paraId="4691E4D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6.415</w:t>
            </w:r>
          </w:p>
        </w:tc>
        <w:tc>
          <w:tcPr>
            <w:tcW w:w="733" w:type="dxa"/>
            <w:tcBorders>
              <w:top w:val="nil"/>
              <w:left w:val="nil"/>
              <w:bottom w:val="single" w:sz="4" w:space="0" w:color="000000"/>
              <w:right w:val="single" w:sz="4" w:space="0" w:color="000000"/>
            </w:tcBorders>
            <w:shd w:val="clear" w:color="FFFFFF" w:fill="FFFFFF"/>
            <w:noWrap/>
            <w:vAlign w:val="center"/>
            <w:hideMark/>
          </w:tcPr>
          <w:p w14:paraId="6604ABE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196</w:t>
            </w:r>
          </w:p>
        </w:tc>
        <w:tc>
          <w:tcPr>
            <w:tcW w:w="701" w:type="dxa"/>
            <w:tcBorders>
              <w:top w:val="nil"/>
              <w:left w:val="nil"/>
              <w:bottom w:val="single" w:sz="4" w:space="0" w:color="000000"/>
              <w:right w:val="single" w:sz="4" w:space="0" w:color="auto"/>
            </w:tcBorders>
            <w:shd w:val="clear" w:color="FFFFFF" w:fill="FFFFFF"/>
            <w:noWrap/>
            <w:vAlign w:val="center"/>
            <w:hideMark/>
          </w:tcPr>
          <w:p w14:paraId="5C428AD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91%</w:t>
            </w:r>
          </w:p>
        </w:tc>
      </w:tr>
      <w:tr w:rsidR="003B18DC" w:rsidRPr="003B18DC" w14:paraId="44A012CD"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0A59FC30"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14:paraId="392C685F"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Co-financing</w:t>
            </w:r>
          </w:p>
        </w:tc>
        <w:tc>
          <w:tcPr>
            <w:tcW w:w="753" w:type="dxa"/>
            <w:tcBorders>
              <w:top w:val="nil"/>
              <w:left w:val="single" w:sz="4" w:space="0" w:color="000000"/>
              <w:bottom w:val="nil"/>
              <w:right w:val="nil"/>
            </w:tcBorders>
            <w:shd w:val="clear" w:color="FFFFFF" w:fill="C0C0C0"/>
            <w:noWrap/>
            <w:vAlign w:val="center"/>
            <w:hideMark/>
          </w:tcPr>
          <w:p w14:paraId="77ACE16B"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3E50CF11"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3D248921"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86" w:type="dxa"/>
            <w:tcBorders>
              <w:top w:val="nil"/>
              <w:left w:val="single" w:sz="4" w:space="0" w:color="000000"/>
              <w:bottom w:val="nil"/>
              <w:right w:val="nil"/>
            </w:tcBorders>
            <w:shd w:val="clear" w:color="FFFFFF" w:fill="C0C0C0"/>
            <w:noWrap/>
            <w:vAlign w:val="center"/>
            <w:hideMark/>
          </w:tcPr>
          <w:p w14:paraId="3DAD9B8B"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4834F432"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550" w:type="dxa"/>
            <w:tcBorders>
              <w:top w:val="nil"/>
              <w:left w:val="single" w:sz="4" w:space="0" w:color="000000"/>
              <w:bottom w:val="nil"/>
              <w:right w:val="nil"/>
            </w:tcBorders>
            <w:shd w:val="clear" w:color="FFFFFF" w:fill="C0C0C0"/>
            <w:noWrap/>
            <w:vAlign w:val="center"/>
            <w:hideMark/>
          </w:tcPr>
          <w:p w14:paraId="3288EDB1"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860" w:type="dxa"/>
            <w:gridSpan w:val="2"/>
            <w:tcBorders>
              <w:top w:val="nil"/>
              <w:left w:val="single" w:sz="4" w:space="0" w:color="000000"/>
              <w:bottom w:val="nil"/>
              <w:right w:val="nil"/>
            </w:tcBorders>
            <w:shd w:val="clear" w:color="FFFFFF" w:fill="C0C0C0"/>
            <w:noWrap/>
            <w:vAlign w:val="center"/>
            <w:hideMark/>
          </w:tcPr>
          <w:p w14:paraId="4A137CBC"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68A5258A"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229E18E5"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01" w:type="dxa"/>
            <w:tcBorders>
              <w:top w:val="nil"/>
              <w:left w:val="single" w:sz="4" w:space="0" w:color="000000"/>
              <w:bottom w:val="nil"/>
              <w:right w:val="single" w:sz="4" w:space="0" w:color="auto"/>
            </w:tcBorders>
            <w:shd w:val="clear" w:color="FFFFFF" w:fill="C0C0C0"/>
            <w:noWrap/>
            <w:vAlign w:val="center"/>
            <w:hideMark/>
          </w:tcPr>
          <w:p w14:paraId="262DC30A"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r>
      <w:tr w:rsidR="003B18DC" w:rsidRPr="003B18DC" w14:paraId="2D47BC69"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4BFE16D7"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14:paraId="6DBF242C"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Allocations</w:t>
            </w:r>
          </w:p>
        </w:tc>
        <w:tc>
          <w:tcPr>
            <w:tcW w:w="753" w:type="dxa"/>
            <w:tcBorders>
              <w:top w:val="nil"/>
              <w:left w:val="single" w:sz="4" w:space="0" w:color="000000"/>
              <w:bottom w:val="nil"/>
              <w:right w:val="nil"/>
            </w:tcBorders>
            <w:shd w:val="clear" w:color="FFFFFF" w:fill="DEDCDC"/>
            <w:noWrap/>
            <w:vAlign w:val="center"/>
            <w:hideMark/>
          </w:tcPr>
          <w:p w14:paraId="58DBA5A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7D6F6A5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3650321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000000"/>
              <w:bottom w:val="nil"/>
              <w:right w:val="nil"/>
            </w:tcBorders>
            <w:shd w:val="clear" w:color="FFFFFF" w:fill="DEDCDC"/>
            <w:noWrap/>
            <w:vAlign w:val="center"/>
            <w:hideMark/>
          </w:tcPr>
          <w:p w14:paraId="3D9DD70C"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6B4FC086"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000000"/>
              <w:bottom w:val="nil"/>
              <w:right w:val="nil"/>
            </w:tcBorders>
            <w:shd w:val="clear" w:color="FFFFFF" w:fill="DEDCDC"/>
            <w:noWrap/>
            <w:vAlign w:val="center"/>
            <w:hideMark/>
          </w:tcPr>
          <w:p w14:paraId="6D99B45C"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000000"/>
              <w:bottom w:val="nil"/>
              <w:right w:val="nil"/>
            </w:tcBorders>
            <w:shd w:val="clear" w:color="FFFFFF" w:fill="DEDCDC"/>
            <w:noWrap/>
            <w:vAlign w:val="center"/>
            <w:hideMark/>
          </w:tcPr>
          <w:p w14:paraId="3CA92BFA"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4108E7B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0DAE45C7"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000000"/>
              <w:bottom w:val="nil"/>
              <w:right w:val="single" w:sz="4" w:space="0" w:color="auto"/>
            </w:tcBorders>
            <w:shd w:val="clear" w:color="FFFFFF" w:fill="DEDCDC"/>
            <w:noWrap/>
            <w:vAlign w:val="center"/>
            <w:hideMark/>
          </w:tcPr>
          <w:p w14:paraId="71B7A527"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4D5EE237"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3413C9B5"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762DFC1E"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A ENVELOPE - NATIONAL ALLOCATIONS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14:paraId="5D2E032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46</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493C03E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45</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1E6E7DC0" w14:textId="77777777" w:rsidR="003B18DC" w:rsidRPr="003B18DC" w:rsidRDefault="003B18DC" w:rsidP="003B18DC">
            <w:pPr>
              <w:spacing w:after="0" w:line="240" w:lineRule="auto"/>
              <w:jc w:val="right"/>
              <w:rPr>
                <w:rFonts w:ascii="Arial" w:eastAsia="Times New Roman" w:hAnsi="Arial" w:cs="Arial"/>
                <w:b/>
                <w:bCs/>
                <w:noProof/>
                <w:color w:val="FF0000"/>
                <w:kern w:val="0"/>
                <w:sz w:val="12"/>
                <w:szCs w:val="12"/>
                <w:lang w:eastAsia="en-GB"/>
                <w14:ligatures w14:val="none"/>
              </w:rPr>
            </w:pPr>
            <w:r w:rsidRPr="003B18DC">
              <w:rPr>
                <w:rFonts w:ascii="Arial" w:eastAsia="Times New Roman" w:hAnsi="Arial" w:cs="Arial"/>
                <w:b/>
                <w:bCs/>
                <w:noProof/>
                <w:color w:val="FF0000"/>
                <w:kern w:val="0"/>
                <w:sz w:val="12"/>
                <w:szCs w:val="12"/>
                <w:lang w:eastAsia="en-GB"/>
                <w14:ligatures w14:val="none"/>
              </w:rPr>
              <w:t>(0)</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14:paraId="0FDAF78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98%</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5E55F80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45</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14:paraId="2318775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(0)</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7CA7F05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51BB42D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43</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1800363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14:paraId="5B2C4BA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97%</w:t>
            </w:r>
          </w:p>
        </w:tc>
      </w:tr>
      <w:tr w:rsidR="003B18DC" w:rsidRPr="003B18DC" w14:paraId="1BE12560"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4C1939B0"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7EC6E961"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IMPLEMENTATION COSTS AND INTERESTS REVENUES</w:t>
            </w:r>
          </w:p>
        </w:tc>
        <w:tc>
          <w:tcPr>
            <w:tcW w:w="753" w:type="dxa"/>
            <w:tcBorders>
              <w:top w:val="nil"/>
              <w:left w:val="nil"/>
              <w:bottom w:val="single" w:sz="4" w:space="0" w:color="000000"/>
              <w:right w:val="single" w:sz="4" w:space="0" w:color="000000"/>
            </w:tcBorders>
            <w:shd w:val="clear" w:color="FFFFFF" w:fill="FFFFFF"/>
            <w:noWrap/>
            <w:vAlign w:val="center"/>
            <w:hideMark/>
          </w:tcPr>
          <w:p w14:paraId="2FF4234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w:t>
            </w:r>
          </w:p>
        </w:tc>
        <w:tc>
          <w:tcPr>
            <w:tcW w:w="795" w:type="dxa"/>
            <w:tcBorders>
              <w:top w:val="nil"/>
              <w:left w:val="nil"/>
              <w:bottom w:val="single" w:sz="4" w:space="0" w:color="000000"/>
              <w:right w:val="single" w:sz="4" w:space="0" w:color="000000"/>
            </w:tcBorders>
            <w:shd w:val="clear" w:color="FFFFFF" w:fill="FFFFFF"/>
            <w:noWrap/>
            <w:vAlign w:val="center"/>
            <w:hideMark/>
          </w:tcPr>
          <w:p w14:paraId="43FA2A2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w:t>
            </w:r>
          </w:p>
        </w:tc>
        <w:tc>
          <w:tcPr>
            <w:tcW w:w="733" w:type="dxa"/>
            <w:tcBorders>
              <w:top w:val="nil"/>
              <w:left w:val="nil"/>
              <w:bottom w:val="single" w:sz="4" w:space="0" w:color="000000"/>
              <w:right w:val="single" w:sz="4" w:space="0" w:color="000000"/>
            </w:tcBorders>
            <w:shd w:val="clear" w:color="FFFFFF" w:fill="FFFFFF"/>
            <w:noWrap/>
            <w:vAlign w:val="center"/>
            <w:hideMark/>
          </w:tcPr>
          <w:p w14:paraId="6F2F8EA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nil"/>
              <w:bottom w:val="single" w:sz="4" w:space="0" w:color="000000"/>
              <w:right w:val="single" w:sz="4" w:space="0" w:color="000000"/>
            </w:tcBorders>
            <w:shd w:val="clear" w:color="FFFFFF" w:fill="FFFFFF"/>
            <w:noWrap/>
            <w:vAlign w:val="center"/>
            <w:hideMark/>
          </w:tcPr>
          <w:p w14:paraId="0E7F916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4EF8F67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w:t>
            </w:r>
          </w:p>
        </w:tc>
        <w:tc>
          <w:tcPr>
            <w:tcW w:w="550" w:type="dxa"/>
            <w:tcBorders>
              <w:top w:val="nil"/>
              <w:left w:val="nil"/>
              <w:bottom w:val="single" w:sz="4" w:space="0" w:color="000000"/>
              <w:right w:val="single" w:sz="4" w:space="0" w:color="000000"/>
            </w:tcBorders>
            <w:shd w:val="clear" w:color="FFFFFF" w:fill="FFFFFF"/>
            <w:noWrap/>
            <w:vAlign w:val="center"/>
            <w:hideMark/>
          </w:tcPr>
          <w:p w14:paraId="40138D2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491B79F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3E2306A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w:t>
            </w:r>
          </w:p>
        </w:tc>
        <w:tc>
          <w:tcPr>
            <w:tcW w:w="733" w:type="dxa"/>
            <w:tcBorders>
              <w:top w:val="nil"/>
              <w:left w:val="nil"/>
              <w:bottom w:val="single" w:sz="4" w:space="0" w:color="000000"/>
              <w:right w:val="single" w:sz="4" w:space="0" w:color="000000"/>
            </w:tcBorders>
            <w:shd w:val="clear" w:color="FFFFFF" w:fill="FFFFFF"/>
            <w:noWrap/>
            <w:vAlign w:val="center"/>
            <w:hideMark/>
          </w:tcPr>
          <w:p w14:paraId="60C2C2D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nil"/>
              <w:bottom w:val="single" w:sz="4" w:space="0" w:color="000000"/>
              <w:right w:val="single" w:sz="4" w:space="0" w:color="auto"/>
            </w:tcBorders>
            <w:shd w:val="clear" w:color="FFFFFF" w:fill="FFFFFF"/>
            <w:noWrap/>
            <w:vAlign w:val="center"/>
            <w:hideMark/>
          </w:tcPr>
          <w:p w14:paraId="2AB9258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r>
      <w:tr w:rsidR="003B18DC" w:rsidRPr="003B18DC" w14:paraId="4F633269"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2763A759"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3517C225"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INTRA-ACP ALLOCATIONS</w:t>
            </w:r>
          </w:p>
        </w:tc>
        <w:tc>
          <w:tcPr>
            <w:tcW w:w="753" w:type="dxa"/>
            <w:tcBorders>
              <w:top w:val="nil"/>
              <w:left w:val="nil"/>
              <w:bottom w:val="single" w:sz="4" w:space="0" w:color="000000"/>
              <w:right w:val="single" w:sz="4" w:space="0" w:color="000000"/>
            </w:tcBorders>
            <w:shd w:val="clear" w:color="FFFFFF" w:fill="FFFFFF"/>
            <w:noWrap/>
            <w:vAlign w:val="center"/>
            <w:hideMark/>
          </w:tcPr>
          <w:p w14:paraId="6B7FE3D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33</w:t>
            </w:r>
          </w:p>
        </w:tc>
        <w:tc>
          <w:tcPr>
            <w:tcW w:w="795" w:type="dxa"/>
            <w:tcBorders>
              <w:top w:val="nil"/>
              <w:left w:val="nil"/>
              <w:bottom w:val="single" w:sz="4" w:space="0" w:color="000000"/>
              <w:right w:val="single" w:sz="4" w:space="0" w:color="000000"/>
            </w:tcBorders>
            <w:shd w:val="clear" w:color="FFFFFF" w:fill="FFFFFF"/>
            <w:noWrap/>
            <w:vAlign w:val="center"/>
            <w:hideMark/>
          </w:tcPr>
          <w:p w14:paraId="2454F6F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33</w:t>
            </w:r>
          </w:p>
        </w:tc>
        <w:tc>
          <w:tcPr>
            <w:tcW w:w="733" w:type="dxa"/>
            <w:tcBorders>
              <w:top w:val="nil"/>
              <w:left w:val="nil"/>
              <w:bottom w:val="single" w:sz="4" w:space="0" w:color="000000"/>
              <w:right w:val="single" w:sz="4" w:space="0" w:color="000000"/>
            </w:tcBorders>
            <w:shd w:val="clear" w:color="FFFFFF" w:fill="FFFFFF"/>
            <w:noWrap/>
            <w:vAlign w:val="center"/>
            <w:hideMark/>
          </w:tcPr>
          <w:p w14:paraId="6A923FCF"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786" w:type="dxa"/>
            <w:tcBorders>
              <w:top w:val="nil"/>
              <w:left w:val="nil"/>
              <w:bottom w:val="single" w:sz="4" w:space="0" w:color="000000"/>
              <w:right w:val="single" w:sz="4" w:space="0" w:color="000000"/>
            </w:tcBorders>
            <w:shd w:val="clear" w:color="FFFFFF" w:fill="FFFFFF"/>
            <w:noWrap/>
            <w:vAlign w:val="center"/>
            <w:hideMark/>
          </w:tcPr>
          <w:p w14:paraId="07A6D44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26294BE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33</w:t>
            </w:r>
          </w:p>
        </w:tc>
        <w:tc>
          <w:tcPr>
            <w:tcW w:w="550" w:type="dxa"/>
            <w:tcBorders>
              <w:top w:val="nil"/>
              <w:left w:val="nil"/>
              <w:bottom w:val="single" w:sz="4" w:space="0" w:color="000000"/>
              <w:right w:val="single" w:sz="4" w:space="0" w:color="000000"/>
            </w:tcBorders>
            <w:shd w:val="clear" w:color="FFFFFF" w:fill="FFFFFF"/>
            <w:noWrap/>
            <w:vAlign w:val="center"/>
            <w:hideMark/>
          </w:tcPr>
          <w:p w14:paraId="1950CC29"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4BB4F71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78772D8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32</w:t>
            </w:r>
          </w:p>
        </w:tc>
        <w:tc>
          <w:tcPr>
            <w:tcW w:w="733" w:type="dxa"/>
            <w:tcBorders>
              <w:top w:val="nil"/>
              <w:left w:val="nil"/>
              <w:bottom w:val="single" w:sz="4" w:space="0" w:color="000000"/>
              <w:right w:val="single" w:sz="4" w:space="0" w:color="000000"/>
            </w:tcBorders>
            <w:shd w:val="clear" w:color="FFFFFF" w:fill="FFFFFF"/>
            <w:noWrap/>
            <w:vAlign w:val="center"/>
            <w:hideMark/>
          </w:tcPr>
          <w:p w14:paraId="0F1A728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w:t>
            </w:r>
          </w:p>
        </w:tc>
        <w:tc>
          <w:tcPr>
            <w:tcW w:w="701" w:type="dxa"/>
            <w:tcBorders>
              <w:top w:val="nil"/>
              <w:left w:val="nil"/>
              <w:bottom w:val="single" w:sz="4" w:space="0" w:color="000000"/>
              <w:right w:val="single" w:sz="4" w:space="0" w:color="auto"/>
            </w:tcBorders>
            <w:shd w:val="clear" w:color="FFFFFF" w:fill="FFFFFF"/>
            <w:noWrap/>
            <w:vAlign w:val="center"/>
            <w:hideMark/>
          </w:tcPr>
          <w:p w14:paraId="04A880D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r>
      <w:tr w:rsidR="003B18DC" w:rsidRPr="003B18DC" w14:paraId="058DFEC6"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2B91C77A"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129E6B4A"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REGIONAL ALLOCATIONS</w:t>
            </w:r>
          </w:p>
        </w:tc>
        <w:tc>
          <w:tcPr>
            <w:tcW w:w="753" w:type="dxa"/>
            <w:tcBorders>
              <w:top w:val="nil"/>
              <w:left w:val="nil"/>
              <w:bottom w:val="single" w:sz="4" w:space="0" w:color="000000"/>
              <w:right w:val="single" w:sz="4" w:space="0" w:color="000000"/>
            </w:tcBorders>
            <w:shd w:val="clear" w:color="FFFFFF" w:fill="FFFFFF"/>
            <w:noWrap/>
            <w:vAlign w:val="center"/>
            <w:hideMark/>
          </w:tcPr>
          <w:p w14:paraId="6286B2C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w:t>
            </w:r>
          </w:p>
        </w:tc>
        <w:tc>
          <w:tcPr>
            <w:tcW w:w="795" w:type="dxa"/>
            <w:tcBorders>
              <w:top w:val="nil"/>
              <w:left w:val="nil"/>
              <w:bottom w:val="single" w:sz="4" w:space="0" w:color="000000"/>
              <w:right w:val="single" w:sz="4" w:space="0" w:color="000000"/>
            </w:tcBorders>
            <w:shd w:val="clear" w:color="FFFFFF" w:fill="FFFFFF"/>
            <w:noWrap/>
            <w:vAlign w:val="center"/>
            <w:hideMark/>
          </w:tcPr>
          <w:p w14:paraId="64862FC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w:t>
            </w:r>
          </w:p>
        </w:tc>
        <w:tc>
          <w:tcPr>
            <w:tcW w:w="733" w:type="dxa"/>
            <w:tcBorders>
              <w:top w:val="nil"/>
              <w:left w:val="nil"/>
              <w:bottom w:val="single" w:sz="4" w:space="0" w:color="000000"/>
              <w:right w:val="single" w:sz="4" w:space="0" w:color="000000"/>
            </w:tcBorders>
            <w:shd w:val="clear" w:color="FFFFFF" w:fill="FFFFFF"/>
            <w:noWrap/>
            <w:vAlign w:val="center"/>
            <w:hideMark/>
          </w:tcPr>
          <w:p w14:paraId="0AE4905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w:t>
            </w:r>
          </w:p>
        </w:tc>
        <w:tc>
          <w:tcPr>
            <w:tcW w:w="786" w:type="dxa"/>
            <w:tcBorders>
              <w:top w:val="nil"/>
              <w:left w:val="nil"/>
              <w:bottom w:val="single" w:sz="4" w:space="0" w:color="000000"/>
              <w:right w:val="single" w:sz="4" w:space="0" w:color="000000"/>
            </w:tcBorders>
            <w:shd w:val="clear" w:color="FFFFFF" w:fill="FFFFFF"/>
            <w:noWrap/>
            <w:vAlign w:val="center"/>
            <w:hideMark/>
          </w:tcPr>
          <w:p w14:paraId="7D81E3F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7B12974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w:t>
            </w:r>
          </w:p>
        </w:tc>
        <w:tc>
          <w:tcPr>
            <w:tcW w:w="550" w:type="dxa"/>
            <w:tcBorders>
              <w:top w:val="nil"/>
              <w:left w:val="nil"/>
              <w:bottom w:val="single" w:sz="4" w:space="0" w:color="000000"/>
              <w:right w:val="single" w:sz="4" w:space="0" w:color="000000"/>
            </w:tcBorders>
            <w:shd w:val="clear" w:color="FFFFFF" w:fill="FFFFFF"/>
            <w:noWrap/>
            <w:vAlign w:val="center"/>
            <w:hideMark/>
          </w:tcPr>
          <w:p w14:paraId="13433D7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4</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1599C5A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473FDC0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w:t>
            </w:r>
          </w:p>
        </w:tc>
        <w:tc>
          <w:tcPr>
            <w:tcW w:w="733" w:type="dxa"/>
            <w:tcBorders>
              <w:top w:val="nil"/>
              <w:left w:val="nil"/>
              <w:bottom w:val="single" w:sz="4" w:space="0" w:color="000000"/>
              <w:right w:val="single" w:sz="4" w:space="0" w:color="000000"/>
            </w:tcBorders>
            <w:shd w:val="clear" w:color="FFFFFF" w:fill="FFFFFF"/>
            <w:noWrap/>
            <w:vAlign w:val="center"/>
            <w:hideMark/>
          </w:tcPr>
          <w:p w14:paraId="77E8BBE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w:t>
            </w:r>
          </w:p>
        </w:tc>
        <w:tc>
          <w:tcPr>
            <w:tcW w:w="701" w:type="dxa"/>
            <w:tcBorders>
              <w:top w:val="nil"/>
              <w:left w:val="nil"/>
              <w:bottom w:val="single" w:sz="4" w:space="0" w:color="000000"/>
              <w:right w:val="single" w:sz="4" w:space="0" w:color="auto"/>
            </w:tcBorders>
            <w:shd w:val="clear" w:color="FFFFFF" w:fill="FFFFFF"/>
            <w:noWrap/>
            <w:vAlign w:val="center"/>
            <w:hideMark/>
          </w:tcPr>
          <w:p w14:paraId="367D721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95%</w:t>
            </w:r>
          </w:p>
        </w:tc>
      </w:tr>
      <w:tr w:rsidR="003B18DC" w:rsidRPr="003B18DC" w14:paraId="5EB88B8F"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3373AA6D"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14:paraId="775DEFC9"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Non-mobilisable reserve</w:t>
            </w:r>
          </w:p>
        </w:tc>
        <w:tc>
          <w:tcPr>
            <w:tcW w:w="753" w:type="dxa"/>
            <w:tcBorders>
              <w:top w:val="nil"/>
              <w:left w:val="single" w:sz="4" w:space="0" w:color="000000"/>
              <w:bottom w:val="nil"/>
              <w:right w:val="nil"/>
            </w:tcBorders>
            <w:shd w:val="clear" w:color="FFFFFF" w:fill="C0C0C0"/>
            <w:noWrap/>
            <w:vAlign w:val="center"/>
            <w:hideMark/>
          </w:tcPr>
          <w:p w14:paraId="69C4EA34"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4259B43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06638E55"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86" w:type="dxa"/>
            <w:tcBorders>
              <w:top w:val="nil"/>
              <w:left w:val="single" w:sz="4" w:space="0" w:color="000000"/>
              <w:bottom w:val="nil"/>
              <w:right w:val="nil"/>
            </w:tcBorders>
            <w:shd w:val="clear" w:color="FFFFFF" w:fill="C0C0C0"/>
            <w:noWrap/>
            <w:vAlign w:val="center"/>
            <w:hideMark/>
          </w:tcPr>
          <w:p w14:paraId="3457F905"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2DF8F9C0"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550" w:type="dxa"/>
            <w:tcBorders>
              <w:top w:val="nil"/>
              <w:left w:val="single" w:sz="4" w:space="0" w:color="000000"/>
              <w:bottom w:val="nil"/>
              <w:right w:val="nil"/>
            </w:tcBorders>
            <w:shd w:val="clear" w:color="FFFFFF" w:fill="C0C0C0"/>
            <w:noWrap/>
            <w:vAlign w:val="center"/>
            <w:hideMark/>
          </w:tcPr>
          <w:p w14:paraId="439218C9"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860" w:type="dxa"/>
            <w:gridSpan w:val="2"/>
            <w:tcBorders>
              <w:top w:val="nil"/>
              <w:left w:val="single" w:sz="4" w:space="0" w:color="000000"/>
              <w:bottom w:val="nil"/>
              <w:right w:val="nil"/>
            </w:tcBorders>
            <w:shd w:val="clear" w:color="FFFFFF" w:fill="C0C0C0"/>
            <w:noWrap/>
            <w:vAlign w:val="center"/>
            <w:hideMark/>
          </w:tcPr>
          <w:p w14:paraId="56CDAF49"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2BCA5C50"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0D4425E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01" w:type="dxa"/>
            <w:tcBorders>
              <w:top w:val="nil"/>
              <w:left w:val="single" w:sz="4" w:space="0" w:color="000000"/>
              <w:bottom w:val="nil"/>
              <w:right w:val="single" w:sz="4" w:space="0" w:color="auto"/>
            </w:tcBorders>
            <w:shd w:val="clear" w:color="FFFFFF" w:fill="C0C0C0"/>
            <w:noWrap/>
            <w:vAlign w:val="center"/>
            <w:hideMark/>
          </w:tcPr>
          <w:p w14:paraId="0A6EFBA4"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r>
      <w:tr w:rsidR="003B18DC" w:rsidRPr="003B18DC" w14:paraId="1C3D1E4B"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68CEC3A4"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14:paraId="5F344A7C"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Reserves</w:t>
            </w:r>
          </w:p>
        </w:tc>
        <w:tc>
          <w:tcPr>
            <w:tcW w:w="753" w:type="dxa"/>
            <w:tcBorders>
              <w:top w:val="nil"/>
              <w:left w:val="single" w:sz="4" w:space="0" w:color="000000"/>
              <w:bottom w:val="nil"/>
              <w:right w:val="nil"/>
            </w:tcBorders>
            <w:shd w:val="clear" w:color="FFFFFF" w:fill="DEDCDC"/>
            <w:noWrap/>
            <w:vAlign w:val="center"/>
            <w:hideMark/>
          </w:tcPr>
          <w:p w14:paraId="741A6411"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337DC50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7AFC8A4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000000"/>
              <w:bottom w:val="nil"/>
              <w:right w:val="nil"/>
            </w:tcBorders>
            <w:shd w:val="clear" w:color="FFFFFF" w:fill="DEDCDC"/>
            <w:noWrap/>
            <w:vAlign w:val="center"/>
            <w:hideMark/>
          </w:tcPr>
          <w:p w14:paraId="45511BAF"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539FDF6A"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000000"/>
              <w:bottom w:val="nil"/>
              <w:right w:val="nil"/>
            </w:tcBorders>
            <w:shd w:val="clear" w:color="FFFFFF" w:fill="DEDCDC"/>
            <w:noWrap/>
            <w:vAlign w:val="center"/>
            <w:hideMark/>
          </w:tcPr>
          <w:p w14:paraId="374AD35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000000"/>
              <w:bottom w:val="nil"/>
              <w:right w:val="nil"/>
            </w:tcBorders>
            <w:shd w:val="clear" w:color="FFFFFF" w:fill="DEDCDC"/>
            <w:noWrap/>
            <w:vAlign w:val="center"/>
            <w:hideMark/>
          </w:tcPr>
          <w:p w14:paraId="4C9B0879"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72A0EF8F"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2313267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000000"/>
              <w:bottom w:val="nil"/>
              <w:right w:val="single" w:sz="4" w:space="0" w:color="auto"/>
            </w:tcBorders>
            <w:shd w:val="clear" w:color="FFFFFF" w:fill="DEDCDC"/>
            <w:noWrap/>
            <w:vAlign w:val="center"/>
            <w:hideMark/>
          </w:tcPr>
          <w:p w14:paraId="30B7F4F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4E8F51AC"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6FBFDB11"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2E440161"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NON-MOBILISABLE RESERVE 10TH EDF</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14:paraId="01F5B6C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287</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4A7220F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1767D62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14:paraId="058ED9D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5448519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14:paraId="756E0B8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19BE254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2EA99ED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3C405E5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14:paraId="0C7062E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4D7AC1B8"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6B3D02D5"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1EA28CEF"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NON-MOBILISABLE RESERVE 11TH EDF</w:t>
            </w:r>
          </w:p>
        </w:tc>
        <w:tc>
          <w:tcPr>
            <w:tcW w:w="753" w:type="dxa"/>
            <w:tcBorders>
              <w:top w:val="nil"/>
              <w:left w:val="nil"/>
              <w:bottom w:val="single" w:sz="4" w:space="0" w:color="000000"/>
              <w:right w:val="single" w:sz="4" w:space="0" w:color="000000"/>
            </w:tcBorders>
            <w:shd w:val="clear" w:color="FFFFFF" w:fill="FFFFFF"/>
            <w:noWrap/>
            <w:vAlign w:val="center"/>
            <w:hideMark/>
          </w:tcPr>
          <w:p w14:paraId="5D05617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699</w:t>
            </w:r>
          </w:p>
        </w:tc>
        <w:tc>
          <w:tcPr>
            <w:tcW w:w="795" w:type="dxa"/>
            <w:tcBorders>
              <w:top w:val="nil"/>
              <w:left w:val="nil"/>
              <w:bottom w:val="single" w:sz="4" w:space="0" w:color="000000"/>
              <w:right w:val="single" w:sz="4" w:space="0" w:color="000000"/>
            </w:tcBorders>
            <w:shd w:val="clear" w:color="FFFFFF" w:fill="FFFFFF"/>
            <w:noWrap/>
            <w:vAlign w:val="center"/>
            <w:hideMark/>
          </w:tcPr>
          <w:p w14:paraId="327A399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15FFA09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nil"/>
              <w:bottom w:val="single" w:sz="4" w:space="0" w:color="000000"/>
              <w:right w:val="single" w:sz="4" w:space="0" w:color="000000"/>
            </w:tcBorders>
            <w:shd w:val="clear" w:color="FFFFFF" w:fill="FFFFFF"/>
            <w:noWrap/>
            <w:vAlign w:val="center"/>
            <w:hideMark/>
          </w:tcPr>
          <w:p w14:paraId="0AC0485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0DA45E7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nil"/>
              <w:bottom w:val="single" w:sz="4" w:space="0" w:color="000000"/>
              <w:right w:val="single" w:sz="4" w:space="0" w:color="000000"/>
            </w:tcBorders>
            <w:shd w:val="clear" w:color="FFFFFF" w:fill="FFFFFF"/>
            <w:noWrap/>
            <w:vAlign w:val="center"/>
            <w:hideMark/>
          </w:tcPr>
          <w:p w14:paraId="75C8D6C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34E5023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5093A59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4B43897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nil"/>
              <w:bottom w:val="single" w:sz="4" w:space="0" w:color="000000"/>
              <w:right w:val="single" w:sz="4" w:space="0" w:color="auto"/>
            </w:tcBorders>
            <w:shd w:val="clear" w:color="FFFFFF" w:fill="FFFFFF"/>
            <w:noWrap/>
            <w:vAlign w:val="center"/>
            <w:hideMark/>
          </w:tcPr>
          <w:p w14:paraId="78FE43C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4CFD3567"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79669212"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14:paraId="6EFEC1C2"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EC Internal SLA</w:t>
            </w:r>
          </w:p>
        </w:tc>
        <w:tc>
          <w:tcPr>
            <w:tcW w:w="753" w:type="dxa"/>
            <w:tcBorders>
              <w:top w:val="nil"/>
              <w:left w:val="single" w:sz="4" w:space="0" w:color="000000"/>
              <w:bottom w:val="nil"/>
              <w:right w:val="nil"/>
            </w:tcBorders>
            <w:shd w:val="clear" w:color="FFFFFF" w:fill="C0C0C0"/>
            <w:noWrap/>
            <w:vAlign w:val="center"/>
            <w:hideMark/>
          </w:tcPr>
          <w:p w14:paraId="3E5C2E2E"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71647A8B"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36BE0C8D"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86" w:type="dxa"/>
            <w:tcBorders>
              <w:top w:val="nil"/>
              <w:left w:val="single" w:sz="4" w:space="0" w:color="000000"/>
              <w:bottom w:val="nil"/>
              <w:right w:val="nil"/>
            </w:tcBorders>
            <w:shd w:val="clear" w:color="FFFFFF" w:fill="C0C0C0"/>
            <w:noWrap/>
            <w:vAlign w:val="center"/>
            <w:hideMark/>
          </w:tcPr>
          <w:p w14:paraId="33F43FFC"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3C477A51"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550" w:type="dxa"/>
            <w:tcBorders>
              <w:top w:val="nil"/>
              <w:left w:val="single" w:sz="4" w:space="0" w:color="000000"/>
              <w:bottom w:val="nil"/>
              <w:right w:val="nil"/>
            </w:tcBorders>
            <w:shd w:val="clear" w:color="FFFFFF" w:fill="C0C0C0"/>
            <w:noWrap/>
            <w:vAlign w:val="center"/>
            <w:hideMark/>
          </w:tcPr>
          <w:p w14:paraId="1D2C521D"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860" w:type="dxa"/>
            <w:gridSpan w:val="2"/>
            <w:tcBorders>
              <w:top w:val="nil"/>
              <w:left w:val="single" w:sz="4" w:space="0" w:color="000000"/>
              <w:bottom w:val="nil"/>
              <w:right w:val="nil"/>
            </w:tcBorders>
            <w:shd w:val="clear" w:color="FFFFFF" w:fill="C0C0C0"/>
            <w:noWrap/>
            <w:vAlign w:val="center"/>
            <w:hideMark/>
          </w:tcPr>
          <w:p w14:paraId="4856F076"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4A53B51C"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0857CFA3"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01" w:type="dxa"/>
            <w:tcBorders>
              <w:top w:val="nil"/>
              <w:left w:val="single" w:sz="4" w:space="0" w:color="000000"/>
              <w:bottom w:val="nil"/>
              <w:right w:val="single" w:sz="4" w:space="0" w:color="auto"/>
            </w:tcBorders>
            <w:shd w:val="clear" w:color="FFFFFF" w:fill="C0C0C0"/>
            <w:noWrap/>
            <w:vAlign w:val="center"/>
            <w:hideMark/>
          </w:tcPr>
          <w:p w14:paraId="2BC5593D"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r>
      <w:tr w:rsidR="003B18DC" w:rsidRPr="003B18DC" w14:paraId="525CB1D4"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28F68BC2"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14:paraId="155C5511"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Reserves</w:t>
            </w:r>
          </w:p>
        </w:tc>
        <w:tc>
          <w:tcPr>
            <w:tcW w:w="753" w:type="dxa"/>
            <w:tcBorders>
              <w:top w:val="nil"/>
              <w:left w:val="single" w:sz="4" w:space="0" w:color="000000"/>
              <w:bottom w:val="nil"/>
              <w:right w:val="nil"/>
            </w:tcBorders>
            <w:shd w:val="clear" w:color="FFFFFF" w:fill="DEDCDC"/>
            <w:noWrap/>
            <w:vAlign w:val="center"/>
            <w:hideMark/>
          </w:tcPr>
          <w:p w14:paraId="12381A8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0D5DC2F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610C8FF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000000"/>
              <w:bottom w:val="nil"/>
              <w:right w:val="nil"/>
            </w:tcBorders>
            <w:shd w:val="clear" w:color="FFFFFF" w:fill="DEDCDC"/>
            <w:noWrap/>
            <w:vAlign w:val="center"/>
            <w:hideMark/>
          </w:tcPr>
          <w:p w14:paraId="39FBA63C"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06252BC9"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000000"/>
              <w:bottom w:val="nil"/>
              <w:right w:val="nil"/>
            </w:tcBorders>
            <w:shd w:val="clear" w:color="FFFFFF" w:fill="DEDCDC"/>
            <w:noWrap/>
            <w:vAlign w:val="center"/>
            <w:hideMark/>
          </w:tcPr>
          <w:p w14:paraId="5B0D654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000000"/>
              <w:bottom w:val="nil"/>
              <w:right w:val="nil"/>
            </w:tcBorders>
            <w:shd w:val="clear" w:color="FFFFFF" w:fill="DEDCDC"/>
            <w:noWrap/>
            <w:vAlign w:val="center"/>
            <w:hideMark/>
          </w:tcPr>
          <w:p w14:paraId="2BF35BE4"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32190069"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04319A09"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000000"/>
              <w:bottom w:val="nil"/>
              <w:right w:val="single" w:sz="4" w:space="0" w:color="auto"/>
            </w:tcBorders>
            <w:shd w:val="clear" w:color="FFFFFF" w:fill="DEDCDC"/>
            <w:noWrap/>
            <w:vAlign w:val="center"/>
            <w:hideMark/>
          </w:tcPr>
          <w:p w14:paraId="7DEEEF3B"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199C30F8"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491EF48C"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4398733B"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A ENVELOPE - NATIONAL ALLOCATIONS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14:paraId="4A89662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1420466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3539904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14:paraId="7C6173E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52%</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41A8128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14:paraId="67DC768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FBBE19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35C997A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11CB8D9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14:paraId="49032B2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r>
      <w:tr w:rsidR="003B18DC" w:rsidRPr="003B18DC" w14:paraId="011B4B81" w14:textId="77777777" w:rsidTr="00BE7E4A">
        <w:trPr>
          <w:trHeight w:val="222"/>
        </w:trPr>
        <w:tc>
          <w:tcPr>
            <w:tcW w:w="255" w:type="dxa"/>
            <w:tcBorders>
              <w:top w:val="nil"/>
              <w:left w:val="single" w:sz="4" w:space="0" w:color="auto"/>
              <w:bottom w:val="nil"/>
              <w:right w:val="nil"/>
            </w:tcBorders>
            <w:shd w:val="clear" w:color="FFFFFF" w:fill="FFFFFF"/>
            <w:noWrap/>
            <w:vAlign w:val="bottom"/>
            <w:hideMark/>
          </w:tcPr>
          <w:p w14:paraId="180F68D9"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1873" w:type="dxa"/>
            <w:gridSpan w:val="2"/>
            <w:tcBorders>
              <w:top w:val="nil"/>
              <w:left w:val="nil"/>
              <w:bottom w:val="nil"/>
              <w:right w:val="nil"/>
            </w:tcBorders>
            <w:shd w:val="clear" w:color="FFFFFF" w:fill="FFFFFF"/>
            <w:noWrap/>
            <w:vAlign w:val="bottom"/>
            <w:hideMark/>
          </w:tcPr>
          <w:p w14:paraId="2235FCA3"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53" w:type="dxa"/>
            <w:tcBorders>
              <w:top w:val="nil"/>
              <w:left w:val="single" w:sz="4" w:space="0" w:color="FFFFFF"/>
              <w:bottom w:val="nil"/>
              <w:right w:val="nil"/>
            </w:tcBorders>
            <w:shd w:val="clear" w:color="FFFFFF" w:fill="FFFFFF"/>
            <w:noWrap/>
            <w:vAlign w:val="center"/>
            <w:hideMark/>
          </w:tcPr>
          <w:p w14:paraId="0C29CEB6"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FFFFFF"/>
              <w:bottom w:val="nil"/>
              <w:right w:val="nil"/>
            </w:tcBorders>
            <w:shd w:val="clear" w:color="FFFFFF" w:fill="FFFFFF"/>
            <w:noWrap/>
            <w:vAlign w:val="center"/>
            <w:hideMark/>
          </w:tcPr>
          <w:p w14:paraId="3AEBD942"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FFFFFF"/>
              <w:bottom w:val="nil"/>
              <w:right w:val="nil"/>
            </w:tcBorders>
            <w:shd w:val="clear" w:color="FFFFFF" w:fill="FFFFFF"/>
            <w:noWrap/>
            <w:vAlign w:val="center"/>
            <w:hideMark/>
          </w:tcPr>
          <w:p w14:paraId="04FA9B36"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FFFFFF"/>
              <w:bottom w:val="nil"/>
              <w:right w:val="nil"/>
            </w:tcBorders>
            <w:shd w:val="clear" w:color="FFFFFF" w:fill="FFFFFF"/>
            <w:noWrap/>
            <w:vAlign w:val="center"/>
            <w:hideMark/>
          </w:tcPr>
          <w:p w14:paraId="1D211F1E"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FFFFFF"/>
              <w:bottom w:val="nil"/>
              <w:right w:val="nil"/>
            </w:tcBorders>
            <w:shd w:val="clear" w:color="FFFFFF" w:fill="FFFFFF"/>
            <w:noWrap/>
            <w:vAlign w:val="center"/>
            <w:hideMark/>
          </w:tcPr>
          <w:p w14:paraId="1AB373BA"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FFFFFF"/>
              <w:bottom w:val="nil"/>
              <w:right w:val="nil"/>
            </w:tcBorders>
            <w:shd w:val="clear" w:color="FFFFFF" w:fill="FFFFFF"/>
            <w:noWrap/>
            <w:vAlign w:val="center"/>
            <w:hideMark/>
          </w:tcPr>
          <w:p w14:paraId="716B7864"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FFFFFF"/>
              <w:bottom w:val="nil"/>
              <w:right w:val="nil"/>
            </w:tcBorders>
            <w:shd w:val="clear" w:color="FFFFFF" w:fill="FFFFFF"/>
            <w:noWrap/>
            <w:vAlign w:val="center"/>
            <w:hideMark/>
          </w:tcPr>
          <w:p w14:paraId="42F67BA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FFFFFF"/>
              <w:bottom w:val="nil"/>
              <w:right w:val="nil"/>
            </w:tcBorders>
            <w:shd w:val="clear" w:color="FFFFFF" w:fill="FFFFFF"/>
            <w:noWrap/>
            <w:vAlign w:val="center"/>
            <w:hideMark/>
          </w:tcPr>
          <w:p w14:paraId="04F2A21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FFFFFF"/>
              <w:bottom w:val="nil"/>
              <w:right w:val="nil"/>
            </w:tcBorders>
            <w:shd w:val="clear" w:color="FFFFFF" w:fill="FFFFFF"/>
            <w:noWrap/>
            <w:vAlign w:val="center"/>
            <w:hideMark/>
          </w:tcPr>
          <w:p w14:paraId="6B411FD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FFFFFF"/>
              <w:bottom w:val="nil"/>
              <w:right w:val="single" w:sz="4" w:space="0" w:color="auto"/>
            </w:tcBorders>
            <w:shd w:val="clear" w:color="FFFFFF" w:fill="FFFFFF"/>
            <w:noWrap/>
            <w:vAlign w:val="center"/>
            <w:hideMark/>
          </w:tcPr>
          <w:p w14:paraId="3C6EC8D4"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6CA76377" w14:textId="77777777" w:rsidTr="00BE7E4A">
        <w:trPr>
          <w:trHeight w:val="222"/>
        </w:trPr>
        <w:tc>
          <w:tcPr>
            <w:tcW w:w="255" w:type="dxa"/>
            <w:tcBorders>
              <w:top w:val="single" w:sz="4" w:space="0" w:color="000000"/>
              <w:left w:val="single" w:sz="4" w:space="0" w:color="auto"/>
              <w:bottom w:val="nil"/>
              <w:right w:val="single" w:sz="4" w:space="0" w:color="000000"/>
            </w:tcBorders>
            <w:shd w:val="clear" w:color="FFFFFF" w:fill="999999"/>
            <w:noWrap/>
            <w:vAlign w:val="bottom"/>
            <w:hideMark/>
          </w:tcPr>
          <w:p w14:paraId="0F2C4937"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1873" w:type="dxa"/>
            <w:gridSpan w:val="2"/>
            <w:tcBorders>
              <w:top w:val="single" w:sz="4" w:space="0" w:color="000000"/>
              <w:left w:val="nil"/>
              <w:bottom w:val="nil"/>
              <w:right w:val="nil"/>
            </w:tcBorders>
            <w:shd w:val="clear" w:color="FFFFFF" w:fill="C0C0C0"/>
            <w:noWrap/>
            <w:vAlign w:val="bottom"/>
            <w:hideMark/>
          </w:tcPr>
          <w:p w14:paraId="3101830C"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Regular MS Contributions</w:t>
            </w:r>
          </w:p>
        </w:tc>
        <w:tc>
          <w:tcPr>
            <w:tcW w:w="753" w:type="dxa"/>
            <w:tcBorders>
              <w:top w:val="single" w:sz="4" w:space="0" w:color="000000"/>
              <w:left w:val="single" w:sz="4" w:space="0" w:color="000000"/>
              <w:bottom w:val="nil"/>
              <w:right w:val="nil"/>
            </w:tcBorders>
            <w:shd w:val="clear" w:color="FFFFFF" w:fill="C0C0C0"/>
            <w:noWrap/>
            <w:vAlign w:val="center"/>
            <w:hideMark/>
          </w:tcPr>
          <w:p w14:paraId="220D2DF4"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single" w:sz="4" w:space="0" w:color="000000"/>
              <w:left w:val="single" w:sz="4" w:space="0" w:color="000000"/>
              <w:bottom w:val="nil"/>
              <w:right w:val="nil"/>
            </w:tcBorders>
            <w:shd w:val="clear" w:color="FFFFFF" w:fill="C0C0C0"/>
            <w:noWrap/>
            <w:vAlign w:val="center"/>
            <w:hideMark/>
          </w:tcPr>
          <w:p w14:paraId="6EA8A984"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single" w:sz="4" w:space="0" w:color="000000"/>
              <w:left w:val="single" w:sz="4" w:space="0" w:color="000000"/>
              <w:bottom w:val="nil"/>
              <w:right w:val="nil"/>
            </w:tcBorders>
            <w:shd w:val="clear" w:color="FFFFFF" w:fill="C0C0C0"/>
            <w:noWrap/>
            <w:vAlign w:val="center"/>
            <w:hideMark/>
          </w:tcPr>
          <w:p w14:paraId="577C142A"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86" w:type="dxa"/>
            <w:tcBorders>
              <w:top w:val="single" w:sz="4" w:space="0" w:color="000000"/>
              <w:left w:val="single" w:sz="4" w:space="0" w:color="000000"/>
              <w:bottom w:val="nil"/>
              <w:right w:val="nil"/>
            </w:tcBorders>
            <w:shd w:val="clear" w:color="FFFFFF" w:fill="C0C0C0"/>
            <w:noWrap/>
            <w:vAlign w:val="center"/>
            <w:hideMark/>
          </w:tcPr>
          <w:p w14:paraId="4E1E845F"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single" w:sz="4" w:space="0" w:color="000000"/>
              <w:left w:val="single" w:sz="4" w:space="0" w:color="000000"/>
              <w:bottom w:val="nil"/>
              <w:right w:val="nil"/>
            </w:tcBorders>
            <w:shd w:val="clear" w:color="FFFFFF" w:fill="C0C0C0"/>
            <w:noWrap/>
            <w:vAlign w:val="center"/>
            <w:hideMark/>
          </w:tcPr>
          <w:p w14:paraId="03C906AF"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550" w:type="dxa"/>
            <w:tcBorders>
              <w:top w:val="single" w:sz="4" w:space="0" w:color="000000"/>
              <w:left w:val="single" w:sz="4" w:space="0" w:color="000000"/>
              <w:bottom w:val="nil"/>
              <w:right w:val="nil"/>
            </w:tcBorders>
            <w:shd w:val="clear" w:color="FFFFFF" w:fill="C0C0C0"/>
            <w:noWrap/>
            <w:vAlign w:val="center"/>
            <w:hideMark/>
          </w:tcPr>
          <w:p w14:paraId="521216B4"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860" w:type="dxa"/>
            <w:gridSpan w:val="2"/>
            <w:tcBorders>
              <w:top w:val="single" w:sz="4" w:space="0" w:color="000000"/>
              <w:left w:val="single" w:sz="4" w:space="0" w:color="000000"/>
              <w:bottom w:val="nil"/>
              <w:right w:val="nil"/>
            </w:tcBorders>
            <w:shd w:val="clear" w:color="FFFFFF" w:fill="C0C0C0"/>
            <w:noWrap/>
            <w:vAlign w:val="center"/>
            <w:hideMark/>
          </w:tcPr>
          <w:p w14:paraId="1AFDDAE6"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single" w:sz="4" w:space="0" w:color="000000"/>
              <w:left w:val="single" w:sz="4" w:space="0" w:color="000000"/>
              <w:bottom w:val="nil"/>
              <w:right w:val="nil"/>
            </w:tcBorders>
            <w:shd w:val="clear" w:color="FFFFFF" w:fill="C0C0C0"/>
            <w:noWrap/>
            <w:vAlign w:val="center"/>
            <w:hideMark/>
          </w:tcPr>
          <w:p w14:paraId="17C3656D"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single" w:sz="4" w:space="0" w:color="000000"/>
              <w:left w:val="single" w:sz="4" w:space="0" w:color="000000"/>
              <w:bottom w:val="nil"/>
              <w:right w:val="nil"/>
            </w:tcBorders>
            <w:shd w:val="clear" w:color="FFFFFF" w:fill="C0C0C0"/>
            <w:noWrap/>
            <w:vAlign w:val="center"/>
            <w:hideMark/>
          </w:tcPr>
          <w:p w14:paraId="3E16BF1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01" w:type="dxa"/>
            <w:tcBorders>
              <w:top w:val="single" w:sz="4" w:space="0" w:color="000000"/>
              <w:left w:val="single" w:sz="4" w:space="0" w:color="000000"/>
              <w:bottom w:val="nil"/>
              <w:right w:val="single" w:sz="4" w:space="0" w:color="auto"/>
            </w:tcBorders>
            <w:shd w:val="clear" w:color="FFFFFF" w:fill="C0C0C0"/>
            <w:noWrap/>
            <w:vAlign w:val="center"/>
            <w:hideMark/>
          </w:tcPr>
          <w:p w14:paraId="09ADD3EA"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r>
      <w:tr w:rsidR="003B18DC" w:rsidRPr="003B18DC" w14:paraId="73C210BB" w14:textId="77777777" w:rsidTr="00BE7E4A">
        <w:trPr>
          <w:trHeight w:val="222"/>
        </w:trPr>
        <w:tc>
          <w:tcPr>
            <w:tcW w:w="255" w:type="dxa"/>
            <w:tcBorders>
              <w:top w:val="nil"/>
              <w:left w:val="single" w:sz="4" w:space="0" w:color="auto"/>
              <w:bottom w:val="nil"/>
              <w:right w:val="single" w:sz="4" w:space="0" w:color="000000"/>
            </w:tcBorders>
            <w:shd w:val="clear" w:color="FFFFFF" w:fill="999999"/>
            <w:noWrap/>
            <w:vAlign w:val="bottom"/>
            <w:hideMark/>
          </w:tcPr>
          <w:p w14:paraId="6C9FB38E"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1873" w:type="dxa"/>
            <w:gridSpan w:val="2"/>
            <w:tcBorders>
              <w:top w:val="nil"/>
              <w:left w:val="nil"/>
              <w:bottom w:val="nil"/>
              <w:right w:val="nil"/>
            </w:tcBorders>
            <w:shd w:val="clear" w:color="FFFFFF" w:fill="DEDCDC"/>
            <w:noWrap/>
            <w:vAlign w:val="bottom"/>
            <w:hideMark/>
          </w:tcPr>
          <w:p w14:paraId="45B83B02"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Allocations</w:t>
            </w:r>
          </w:p>
        </w:tc>
        <w:tc>
          <w:tcPr>
            <w:tcW w:w="753" w:type="dxa"/>
            <w:tcBorders>
              <w:top w:val="nil"/>
              <w:left w:val="single" w:sz="4" w:space="0" w:color="000000"/>
              <w:bottom w:val="nil"/>
              <w:right w:val="nil"/>
            </w:tcBorders>
            <w:shd w:val="clear" w:color="FFFFFF" w:fill="DEDCDC"/>
            <w:noWrap/>
            <w:vAlign w:val="center"/>
            <w:hideMark/>
          </w:tcPr>
          <w:p w14:paraId="47BC8F4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27D13836"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206649E8"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000000"/>
              <w:bottom w:val="nil"/>
              <w:right w:val="nil"/>
            </w:tcBorders>
            <w:shd w:val="clear" w:color="FFFFFF" w:fill="DEDCDC"/>
            <w:noWrap/>
            <w:vAlign w:val="center"/>
            <w:hideMark/>
          </w:tcPr>
          <w:p w14:paraId="0F2E1E67"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77511614"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000000"/>
              <w:bottom w:val="nil"/>
              <w:right w:val="nil"/>
            </w:tcBorders>
            <w:shd w:val="clear" w:color="FFFFFF" w:fill="DEDCDC"/>
            <w:noWrap/>
            <w:vAlign w:val="center"/>
            <w:hideMark/>
          </w:tcPr>
          <w:p w14:paraId="7CC8F419"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000000"/>
              <w:bottom w:val="nil"/>
              <w:right w:val="nil"/>
            </w:tcBorders>
            <w:shd w:val="clear" w:color="FFFFFF" w:fill="DEDCDC"/>
            <w:noWrap/>
            <w:vAlign w:val="center"/>
            <w:hideMark/>
          </w:tcPr>
          <w:p w14:paraId="4449669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4EF1339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16547941"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000000"/>
              <w:bottom w:val="nil"/>
              <w:right w:val="single" w:sz="4" w:space="0" w:color="auto"/>
            </w:tcBorders>
            <w:shd w:val="clear" w:color="FFFFFF" w:fill="DEDCDC"/>
            <w:noWrap/>
            <w:vAlign w:val="center"/>
            <w:hideMark/>
          </w:tcPr>
          <w:p w14:paraId="41BC66D7"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4B714356" w14:textId="77777777" w:rsidTr="00BE7E4A">
        <w:trPr>
          <w:trHeight w:val="244"/>
        </w:trPr>
        <w:tc>
          <w:tcPr>
            <w:tcW w:w="255" w:type="dxa"/>
            <w:vMerge w:val="restart"/>
            <w:tcBorders>
              <w:top w:val="nil"/>
              <w:left w:val="single" w:sz="4" w:space="0" w:color="auto"/>
              <w:bottom w:val="single" w:sz="4" w:space="0" w:color="000000"/>
              <w:right w:val="single" w:sz="4" w:space="0" w:color="000000"/>
            </w:tcBorders>
            <w:shd w:val="clear" w:color="FFFFFF" w:fill="999999"/>
            <w:vAlign w:val="center"/>
            <w:hideMark/>
          </w:tcPr>
          <w:p w14:paraId="7708D2D6"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288D5427"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A ENVELOPE - NATIONAL ALLOCATIONS</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14:paraId="50E2321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211</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10A9432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210</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4880EC21" w14:textId="77777777" w:rsidR="003B18DC" w:rsidRPr="003B18DC" w:rsidRDefault="003B18DC" w:rsidP="003B18DC">
            <w:pPr>
              <w:spacing w:after="0" w:line="240" w:lineRule="auto"/>
              <w:jc w:val="right"/>
              <w:rPr>
                <w:rFonts w:ascii="Arial" w:eastAsia="Times New Roman" w:hAnsi="Arial" w:cs="Arial"/>
                <w:b/>
                <w:bCs/>
                <w:noProof/>
                <w:color w:val="FF0000"/>
                <w:kern w:val="0"/>
                <w:sz w:val="12"/>
                <w:szCs w:val="12"/>
                <w:lang w:eastAsia="en-GB"/>
                <w14:ligatures w14:val="none"/>
              </w:rPr>
            </w:pPr>
            <w:r w:rsidRPr="003B18DC">
              <w:rPr>
                <w:rFonts w:ascii="Arial" w:eastAsia="Times New Roman" w:hAnsi="Arial" w:cs="Arial"/>
                <w:b/>
                <w:bCs/>
                <w:noProof/>
                <w:color w:val="FF0000"/>
                <w:kern w:val="0"/>
                <w:sz w:val="12"/>
                <w:szCs w:val="12"/>
                <w:lang w:eastAsia="en-GB"/>
                <w14:ligatures w14:val="none"/>
              </w:rPr>
              <w:t>(1)</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14:paraId="14EF8F19"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4551752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193</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14:paraId="6107D5B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(0)</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049EE66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92%</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5EFA199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193</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3BB3BE3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14:paraId="79945AEE"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r>
      <w:tr w:rsidR="003B18DC" w:rsidRPr="003B18DC" w14:paraId="69F29881"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53312337"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1F20E12E"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B ENVELOPE - NATIONAL ALLOCATIONS</w:t>
            </w:r>
          </w:p>
        </w:tc>
        <w:tc>
          <w:tcPr>
            <w:tcW w:w="753" w:type="dxa"/>
            <w:tcBorders>
              <w:top w:val="nil"/>
              <w:left w:val="nil"/>
              <w:bottom w:val="single" w:sz="4" w:space="0" w:color="000000"/>
              <w:right w:val="single" w:sz="4" w:space="0" w:color="000000"/>
            </w:tcBorders>
            <w:shd w:val="clear" w:color="FFFFFF" w:fill="FFFFFF"/>
            <w:noWrap/>
            <w:vAlign w:val="center"/>
            <w:hideMark/>
          </w:tcPr>
          <w:p w14:paraId="4B6B604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12</w:t>
            </w:r>
          </w:p>
        </w:tc>
        <w:tc>
          <w:tcPr>
            <w:tcW w:w="795" w:type="dxa"/>
            <w:tcBorders>
              <w:top w:val="nil"/>
              <w:left w:val="nil"/>
              <w:bottom w:val="single" w:sz="4" w:space="0" w:color="000000"/>
              <w:right w:val="single" w:sz="4" w:space="0" w:color="000000"/>
            </w:tcBorders>
            <w:shd w:val="clear" w:color="FFFFFF" w:fill="FFFFFF"/>
            <w:noWrap/>
            <w:vAlign w:val="center"/>
            <w:hideMark/>
          </w:tcPr>
          <w:p w14:paraId="715950F7"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12</w:t>
            </w:r>
          </w:p>
        </w:tc>
        <w:tc>
          <w:tcPr>
            <w:tcW w:w="733" w:type="dxa"/>
            <w:tcBorders>
              <w:top w:val="nil"/>
              <w:left w:val="nil"/>
              <w:bottom w:val="single" w:sz="4" w:space="0" w:color="000000"/>
              <w:right w:val="single" w:sz="4" w:space="0" w:color="000000"/>
            </w:tcBorders>
            <w:shd w:val="clear" w:color="FFFFFF" w:fill="FFFFFF"/>
            <w:noWrap/>
            <w:vAlign w:val="center"/>
            <w:hideMark/>
          </w:tcPr>
          <w:p w14:paraId="0A841762"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786" w:type="dxa"/>
            <w:tcBorders>
              <w:top w:val="nil"/>
              <w:left w:val="nil"/>
              <w:bottom w:val="single" w:sz="4" w:space="0" w:color="000000"/>
              <w:right w:val="single" w:sz="4" w:space="0" w:color="000000"/>
            </w:tcBorders>
            <w:shd w:val="clear" w:color="FFFFFF" w:fill="FFFFFF"/>
            <w:noWrap/>
            <w:vAlign w:val="center"/>
            <w:hideMark/>
          </w:tcPr>
          <w:p w14:paraId="0881C3A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753A8D5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12</w:t>
            </w:r>
          </w:p>
        </w:tc>
        <w:tc>
          <w:tcPr>
            <w:tcW w:w="550" w:type="dxa"/>
            <w:tcBorders>
              <w:top w:val="nil"/>
              <w:left w:val="nil"/>
              <w:bottom w:val="single" w:sz="4" w:space="0" w:color="000000"/>
              <w:right w:val="single" w:sz="4" w:space="0" w:color="000000"/>
            </w:tcBorders>
            <w:shd w:val="clear" w:color="FFFFFF" w:fill="FFFFFF"/>
            <w:noWrap/>
            <w:vAlign w:val="center"/>
            <w:hideMark/>
          </w:tcPr>
          <w:p w14:paraId="624E2A7C"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6BC0C11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5CBBAA3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12</w:t>
            </w:r>
          </w:p>
        </w:tc>
        <w:tc>
          <w:tcPr>
            <w:tcW w:w="733" w:type="dxa"/>
            <w:tcBorders>
              <w:top w:val="nil"/>
              <w:left w:val="nil"/>
              <w:bottom w:val="single" w:sz="4" w:space="0" w:color="000000"/>
              <w:right w:val="single" w:sz="4" w:space="0" w:color="000000"/>
            </w:tcBorders>
            <w:shd w:val="clear" w:color="FFFFFF" w:fill="FFFFFF"/>
            <w:noWrap/>
            <w:vAlign w:val="center"/>
            <w:hideMark/>
          </w:tcPr>
          <w:p w14:paraId="267D5EA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nil"/>
              <w:bottom w:val="single" w:sz="4" w:space="0" w:color="000000"/>
              <w:right w:val="single" w:sz="4" w:space="0" w:color="auto"/>
            </w:tcBorders>
            <w:shd w:val="clear" w:color="FFFFFF" w:fill="FFFFFF"/>
            <w:noWrap/>
            <w:vAlign w:val="center"/>
            <w:hideMark/>
          </w:tcPr>
          <w:p w14:paraId="32A4739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r>
      <w:tr w:rsidR="003B18DC" w:rsidRPr="003B18DC" w14:paraId="2215604F"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1AD17F5B"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720F8E83"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BRIDGING FACILITY</w:t>
            </w:r>
          </w:p>
        </w:tc>
        <w:tc>
          <w:tcPr>
            <w:tcW w:w="753" w:type="dxa"/>
            <w:tcBorders>
              <w:top w:val="nil"/>
              <w:left w:val="nil"/>
              <w:bottom w:val="single" w:sz="4" w:space="0" w:color="000000"/>
              <w:right w:val="single" w:sz="4" w:space="0" w:color="000000"/>
            </w:tcBorders>
            <w:shd w:val="clear" w:color="FFFFFF" w:fill="FFFFFF"/>
            <w:noWrap/>
            <w:vAlign w:val="center"/>
            <w:hideMark/>
          </w:tcPr>
          <w:p w14:paraId="59DB2A3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0</w:t>
            </w:r>
          </w:p>
        </w:tc>
        <w:tc>
          <w:tcPr>
            <w:tcW w:w="795" w:type="dxa"/>
            <w:tcBorders>
              <w:top w:val="nil"/>
              <w:left w:val="nil"/>
              <w:bottom w:val="single" w:sz="4" w:space="0" w:color="000000"/>
              <w:right w:val="single" w:sz="4" w:space="0" w:color="000000"/>
            </w:tcBorders>
            <w:shd w:val="clear" w:color="FFFFFF" w:fill="FFFFFF"/>
            <w:noWrap/>
            <w:vAlign w:val="center"/>
            <w:hideMark/>
          </w:tcPr>
          <w:p w14:paraId="47EFEFF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5AD61BCA"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nil"/>
              <w:bottom w:val="single" w:sz="4" w:space="0" w:color="000000"/>
              <w:right w:val="single" w:sz="4" w:space="0" w:color="000000"/>
            </w:tcBorders>
            <w:shd w:val="clear" w:color="FFFFFF" w:fill="FFFFFF"/>
            <w:noWrap/>
            <w:vAlign w:val="center"/>
            <w:hideMark/>
          </w:tcPr>
          <w:p w14:paraId="62F509A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6D7FE30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nil"/>
              <w:bottom w:val="single" w:sz="4" w:space="0" w:color="000000"/>
              <w:right w:val="single" w:sz="4" w:space="0" w:color="000000"/>
            </w:tcBorders>
            <w:shd w:val="clear" w:color="FFFFFF" w:fill="FFFFFF"/>
            <w:noWrap/>
            <w:vAlign w:val="center"/>
            <w:hideMark/>
          </w:tcPr>
          <w:p w14:paraId="5E36109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5B28150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2BBA832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2D466D6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nil"/>
              <w:bottom w:val="single" w:sz="4" w:space="0" w:color="000000"/>
              <w:right w:val="single" w:sz="4" w:space="0" w:color="auto"/>
            </w:tcBorders>
            <w:shd w:val="clear" w:color="FFFFFF" w:fill="FFFFFF"/>
            <w:noWrap/>
            <w:vAlign w:val="center"/>
            <w:hideMark/>
          </w:tcPr>
          <w:p w14:paraId="01E0A48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3F8EBF49"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291C7B30"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44AEABAA"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IMPLEMENTATION COSTS AND INTERESTS REVENUES</w:t>
            </w:r>
          </w:p>
        </w:tc>
        <w:tc>
          <w:tcPr>
            <w:tcW w:w="753" w:type="dxa"/>
            <w:tcBorders>
              <w:top w:val="nil"/>
              <w:left w:val="nil"/>
              <w:bottom w:val="single" w:sz="4" w:space="0" w:color="000000"/>
              <w:right w:val="single" w:sz="4" w:space="0" w:color="000000"/>
            </w:tcBorders>
            <w:shd w:val="clear" w:color="FFFFFF" w:fill="FFFFFF"/>
            <w:noWrap/>
            <w:vAlign w:val="center"/>
            <w:hideMark/>
          </w:tcPr>
          <w:p w14:paraId="7BFC80AE"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7</w:t>
            </w:r>
          </w:p>
        </w:tc>
        <w:tc>
          <w:tcPr>
            <w:tcW w:w="795" w:type="dxa"/>
            <w:tcBorders>
              <w:top w:val="nil"/>
              <w:left w:val="nil"/>
              <w:bottom w:val="single" w:sz="4" w:space="0" w:color="000000"/>
              <w:right w:val="single" w:sz="4" w:space="0" w:color="000000"/>
            </w:tcBorders>
            <w:shd w:val="clear" w:color="FFFFFF" w:fill="FFFFFF"/>
            <w:noWrap/>
            <w:vAlign w:val="center"/>
            <w:hideMark/>
          </w:tcPr>
          <w:p w14:paraId="20E190F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7</w:t>
            </w:r>
          </w:p>
        </w:tc>
        <w:tc>
          <w:tcPr>
            <w:tcW w:w="733" w:type="dxa"/>
            <w:tcBorders>
              <w:top w:val="nil"/>
              <w:left w:val="nil"/>
              <w:bottom w:val="single" w:sz="4" w:space="0" w:color="000000"/>
              <w:right w:val="single" w:sz="4" w:space="0" w:color="000000"/>
            </w:tcBorders>
            <w:shd w:val="clear" w:color="FFFFFF" w:fill="FFFFFF"/>
            <w:noWrap/>
            <w:vAlign w:val="center"/>
            <w:hideMark/>
          </w:tcPr>
          <w:p w14:paraId="08823F9A"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786" w:type="dxa"/>
            <w:tcBorders>
              <w:top w:val="nil"/>
              <w:left w:val="nil"/>
              <w:bottom w:val="single" w:sz="4" w:space="0" w:color="000000"/>
              <w:right w:val="single" w:sz="4" w:space="0" w:color="000000"/>
            </w:tcBorders>
            <w:shd w:val="clear" w:color="FFFFFF" w:fill="FFFFFF"/>
            <w:noWrap/>
            <w:vAlign w:val="center"/>
            <w:hideMark/>
          </w:tcPr>
          <w:p w14:paraId="07CEA67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1DD469C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6</w:t>
            </w:r>
          </w:p>
        </w:tc>
        <w:tc>
          <w:tcPr>
            <w:tcW w:w="550" w:type="dxa"/>
            <w:tcBorders>
              <w:top w:val="nil"/>
              <w:left w:val="nil"/>
              <w:bottom w:val="single" w:sz="4" w:space="0" w:color="000000"/>
              <w:right w:val="single" w:sz="4" w:space="0" w:color="000000"/>
            </w:tcBorders>
            <w:shd w:val="clear" w:color="FFFFFF" w:fill="FFFFFF"/>
            <w:noWrap/>
            <w:vAlign w:val="center"/>
            <w:hideMark/>
          </w:tcPr>
          <w:p w14:paraId="78EA2B76"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4A9254F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95%</w:t>
            </w:r>
          </w:p>
        </w:tc>
        <w:tc>
          <w:tcPr>
            <w:tcW w:w="795" w:type="dxa"/>
            <w:tcBorders>
              <w:top w:val="nil"/>
              <w:left w:val="nil"/>
              <w:bottom w:val="single" w:sz="4" w:space="0" w:color="000000"/>
              <w:right w:val="single" w:sz="4" w:space="0" w:color="000000"/>
            </w:tcBorders>
            <w:shd w:val="clear" w:color="FFFFFF" w:fill="FFFFFF"/>
            <w:noWrap/>
            <w:vAlign w:val="center"/>
            <w:hideMark/>
          </w:tcPr>
          <w:p w14:paraId="6AD24E6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6</w:t>
            </w:r>
          </w:p>
        </w:tc>
        <w:tc>
          <w:tcPr>
            <w:tcW w:w="733" w:type="dxa"/>
            <w:tcBorders>
              <w:top w:val="nil"/>
              <w:left w:val="nil"/>
              <w:bottom w:val="single" w:sz="4" w:space="0" w:color="000000"/>
              <w:right w:val="single" w:sz="4" w:space="0" w:color="000000"/>
            </w:tcBorders>
            <w:shd w:val="clear" w:color="FFFFFF" w:fill="FFFFFF"/>
            <w:noWrap/>
            <w:vAlign w:val="center"/>
            <w:hideMark/>
          </w:tcPr>
          <w:p w14:paraId="211610D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0</w:t>
            </w:r>
          </w:p>
        </w:tc>
        <w:tc>
          <w:tcPr>
            <w:tcW w:w="701" w:type="dxa"/>
            <w:tcBorders>
              <w:top w:val="nil"/>
              <w:left w:val="nil"/>
              <w:bottom w:val="single" w:sz="4" w:space="0" w:color="000000"/>
              <w:right w:val="single" w:sz="4" w:space="0" w:color="auto"/>
            </w:tcBorders>
            <w:shd w:val="clear" w:color="FFFFFF" w:fill="FFFFFF"/>
            <w:noWrap/>
            <w:vAlign w:val="center"/>
            <w:hideMark/>
          </w:tcPr>
          <w:p w14:paraId="66900EA5"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98%</w:t>
            </w:r>
          </w:p>
        </w:tc>
      </w:tr>
      <w:tr w:rsidR="003B18DC" w:rsidRPr="003B18DC" w14:paraId="586E9CF5"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624D2A36"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45593987"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REGIONAL ALLOCATIONS</w:t>
            </w:r>
          </w:p>
        </w:tc>
        <w:tc>
          <w:tcPr>
            <w:tcW w:w="753" w:type="dxa"/>
            <w:tcBorders>
              <w:top w:val="nil"/>
              <w:left w:val="nil"/>
              <w:bottom w:val="single" w:sz="4" w:space="0" w:color="000000"/>
              <w:right w:val="single" w:sz="4" w:space="0" w:color="000000"/>
            </w:tcBorders>
            <w:shd w:val="clear" w:color="FFFFFF" w:fill="FFFFFF"/>
            <w:noWrap/>
            <w:vAlign w:val="center"/>
            <w:hideMark/>
          </w:tcPr>
          <w:p w14:paraId="0B00B6B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102</w:t>
            </w:r>
          </w:p>
        </w:tc>
        <w:tc>
          <w:tcPr>
            <w:tcW w:w="795" w:type="dxa"/>
            <w:tcBorders>
              <w:top w:val="nil"/>
              <w:left w:val="nil"/>
              <w:bottom w:val="single" w:sz="4" w:space="0" w:color="000000"/>
              <w:right w:val="single" w:sz="4" w:space="0" w:color="000000"/>
            </w:tcBorders>
            <w:shd w:val="clear" w:color="FFFFFF" w:fill="FFFFFF"/>
            <w:noWrap/>
            <w:vAlign w:val="center"/>
            <w:hideMark/>
          </w:tcPr>
          <w:p w14:paraId="356DD5E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102</w:t>
            </w:r>
          </w:p>
        </w:tc>
        <w:tc>
          <w:tcPr>
            <w:tcW w:w="733" w:type="dxa"/>
            <w:tcBorders>
              <w:top w:val="nil"/>
              <w:left w:val="nil"/>
              <w:bottom w:val="single" w:sz="4" w:space="0" w:color="000000"/>
              <w:right w:val="single" w:sz="4" w:space="0" w:color="000000"/>
            </w:tcBorders>
            <w:shd w:val="clear" w:color="FFFFFF" w:fill="FFFFFF"/>
            <w:noWrap/>
            <w:vAlign w:val="center"/>
            <w:hideMark/>
          </w:tcPr>
          <w:p w14:paraId="51B3054F" w14:textId="77777777" w:rsidR="003B18DC" w:rsidRPr="003B18DC" w:rsidRDefault="003B18DC" w:rsidP="003B18DC">
            <w:pPr>
              <w:spacing w:after="0" w:line="240" w:lineRule="auto"/>
              <w:jc w:val="right"/>
              <w:rPr>
                <w:rFonts w:ascii="Arial" w:eastAsia="Times New Roman" w:hAnsi="Arial" w:cs="Arial"/>
                <w:noProof/>
                <w:color w:val="FFFFFF"/>
                <w:kern w:val="0"/>
                <w:sz w:val="12"/>
                <w:szCs w:val="12"/>
                <w:lang w:eastAsia="en-GB"/>
                <w14:ligatures w14:val="none"/>
              </w:rPr>
            </w:pPr>
            <w:r w:rsidRPr="003B18DC">
              <w:rPr>
                <w:rFonts w:ascii="Arial" w:eastAsia="Times New Roman" w:hAnsi="Arial" w:cs="Arial"/>
                <w:noProof/>
                <w:color w:val="FFFFFF"/>
                <w:kern w:val="0"/>
                <w:sz w:val="12"/>
                <w:szCs w:val="12"/>
                <w:lang w:eastAsia="en-GB"/>
                <w14:ligatures w14:val="none"/>
              </w:rPr>
              <w:t>0</w:t>
            </w:r>
          </w:p>
        </w:tc>
        <w:tc>
          <w:tcPr>
            <w:tcW w:w="786" w:type="dxa"/>
            <w:tcBorders>
              <w:top w:val="nil"/>
              <w:left w:val="nil"/>
              <w:bottom w:val="single" w:sz="4" w:space="0" w:color="000000"/>
              <w:right w:val="single" w:sz="4" w:space="0" w:color="000000"/>
            </w:tcBorders>
            <w:shd w:val="clear" w:color="FFFFFF" w:fill="FFFFFF"/>
            <w:noWrap/>
            <w:vAlign w:val="center"/>
            <w:hideMark/>
          </w:tcPr>
          <w:p w14:paraId="5BDF891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100%</w:t>
            </w:r>
          </w:p>
        </w:tc>
        <w:tc>
          <w:tcPr>
            <w:tcW w:w="795" w:type="dxa"/>
            <w:tcBorders>
              <w:top w:val="nil"/>
              <w:left w:val="nil"/>
              <w:bottom w:val="single" w:sz="4" w:space="0" w:color="000000"/>
              <w:right w:val="single" w:sz="4" w:space="0" w:color="000000"/>
            </w:tcBorders>
            <w:shd w:val="clear" w:color="FFFFFF" w:fill="FFFFFF"/>
            <w:noWrap/>
            <w:vAlign w:val="center"/>
            <w:hideMark/>
          </w:tcPr>
          <w:p w14:paraId="299BAFB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102</w:t>
            </w:r>
          </w:p>
        </w:tc>
        <w:tc>
          <w:tcPr>
            <w:tcW w:w="550" w:type="dxa"/>
            <w:tcBorders>
              <w:top w:val="nil"/>
              <w:left w:val="nil"/>
              <w:bottom w:val="single" w:sz="4" w:space="0" w:color="000000"/>
              <w:right w:val="single" w:sz="4" w:space="0" w:color="000000"/>
            </w:tcBorders>
            <w:shd w:val="clear" w:color="FFFFFF" w:fill="FFFFFF"/>
            <w:noWrap/>
            <w:vAlign w:val="center"/>
            <w:hideMark/>
          </w:tcPr>
          <w:p w14:paraId="54B1EB2E"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0</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489837C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99%</w:t>
            </w:r>
          </w:p>
        </w:tc>
        <w:tc>
          <w:tcPr>
            <w:tcW w:w="795" w:type="dxa"/>
            <w:tcBorders>
              <w:top w:val="nil"/>
              <w:left w:val="nil"/>
              <w:bottom w:val="single" w:sz="4" w:space="0" w:color="000000"/>
              <w:right w:val="single" w:sz="4" w:space="0" w:color="000000"/>
            </w:tcBorders>
            <w:shd w:val="clear" w:color="FFFFFF" w:fill="FFFFFF"/>
            <w:noWrap/>
            <w:vAlign w:val="center"/>
            <w:hideMark/>
          </w:tcPr>
          <w:p w14:paraId="12A08EA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85</w:t>
            </w:r>
          </w:p>
        </w:tc>
        <w:tc>
          <w:tcPr>
            <w:tcW w:w="733" w:type="dxa"/>
            <w:tcBorders>
              <w:top w:val="nil"/>
              <w:left w:val="nil"/>
              <w:bottom w:val="single" w:sz="4" w:space="0" w:color="000000"/>
              <w:right w:val="single" w:sz="4" w:space="0" w:color="000000"/>
            </w:tcBorders>
            <w:shd w:val="clear" w:color="FFFFFF" w:fill="FFFFFF"/>
            <w:noWrap/>
            <w:vAlign w:val="center"/>
            <w:hideMark/>
          </w:tcPr>
          <w:p w14:paraId="348C9F5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w:t>
            </w:r>
          </w:p>
        </w:tc>
        <w:tc>
          <w:tcPr>
            <w:tcW w:w="701" w:type="dxa"/>
            <w:tcBorders>
              <w:top w:val="nil"/>
              <w:left w:val="nil"/>
              <w:bottom w:val="single" w:sz="4" w:space="0" w:color="000000"/>
              <w:right w:val="single" w:sz="4" w:space="0" w:color="auto"/>
            </w:tcBorders>
            <w:shd w:val="clear" w:color="FFFFFF" w:fill="FFFFFF"/>
            <w:noWrap/>
            <w:vAlign w:val="center"/>
            <w:hideMark/>
          </w:tcPr>
          <w:p w14:paraId="11C89E53"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83%</w:t>
            </w:r>
          </w:p>
        </w:tc>
      </w:tr>
      <w:tr w:rsidR="003B18DC" w:rsidRPr="003B18DC" w14:paraId="0768FEA2"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268855CC"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nil"/>
              <w:right w:val="nil"/>
            </w:tcBorders>
            <w:shd w:val="clear" w:color="FFFFFF" w:fill="C0C0C0"/>
            <w:noWrap/>
            <w:vAlign w:val="bottom"/>
            <w:hideMark/>
          </w:tcPr>
          <w:p w14:paraId="57503113" w14:textId="77777777" w:rsidR="003B18DC" w:rsidRPr="003B18DC" w:rsidRDefault="003B18DC" w:rsidP="003B18DC">
            <w:pPr>
              <w:spacing w:after="0" w:line="240" w:lineRule="auto"/>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Non-mobilisable reserve</w:t>
            </w:r>
          </w:p>
        </w:tc>
        <w:tc>
          <w:tcPr>
            <w:tcW w:w="753" w:type="dxa"/>
            <w:tcBorders>
              <w:top w:val="nil"/>
              <w:left w:val="single" w:sz="4" w:space="0" w:color="000000"/>
              <w:bottom w:val="nil"/>
              <w:right w:val="nil"/>
            </w:tcBorders>
            <w:shd w:val="clear" w:color="FFFFFF" w:fill="C0C0C0"/>
            <w:noWrap/>
            <w:vAlign w:val="center"/>
            <w:hideMark/>
          </w:tcPr>
          <w:p w14:paraId="3A77880F"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16AB7F58"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4C4108EB"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86" w:type="dxa"/>
            <w:tcBorders>
              <w:top w:val="nil"/>
              <w:left w:val="single" w:sz="4" w:space="0" w:color="000000"/>
              <w:bottom w:val="nil"/>
              <w:right w:val="nil"/>
            </w:tcBorders>
            <w:shd w:val="clear" w:color="FFFFFF" w:fill="C0C0C0"/>
            <w:noWrap/>
            <w:vAlign w:val="center"/>
            <w:hideMark/>
          </w:tcPr>
          <w:p w14:paraId="75FFF0D1"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76C66CC5"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550" w:type="dxa"/>
            <w:tcBorders>
              <w:top w:val="nil"/>
              <w:left w:val="single" w:sz="4" w:space="0" w:color="000000"/>
              <w:bottom w:val="nil"/>
              <w:right w:val="nil"/>
            </w:tcBorders>
            <w:shd w:val="clear" w:color="FFFFFF" w:fill="C0C0C0"/>
            <w:noWrap/>
            <w:vAlign w:val="center"/>
            <w:hideMark/>
          </w:tcPr>
          <w:p w14:paraId="3547C2AB"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860" w:type="dxa"/>
            <w:gridSpan w:val="2"/>
            <w:tcBorders>
              <w:top w:val="nil"/>
              <w:left w:val="single" w:sz="4" w:space="0" w:color="000000"/>
              <w:bottom w:val="nil"/>
              <w:right w:val="nil"/>
            </w:tcBorders>
            <w:shd w:val="clear" w:color="FFFFFF" w:fill="C0C0C0"/>
            <w:noWrap/>
            <w:vAlign w:val="center"/>
            <w:hideMark/>
          </w:tcPr>
          <w:p w14:paraId="1D03F2C4"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95" w:type="dxa"/>
            <w:tcBorders>
              <w:top w:val="nil"/>
              <w:left w:val="single" w:sz="4" w:space="0" w:color="000000"/>
              <w:bottom w:val="nil"/>
              <w:right w:val="nil"/>
            </w:tcBorders>
            <w:shd w:val="clear" w:color="FFFFFF" w:fill="C0C0C0"/>
            <w:noWrap/>
            <w:vAlign w:val="center"/>
            <w:hideMark/>
          </w:tcPr>
          <w:p w14:paraId="3B84F81C"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33" w:type="dxa"/>
            <w:tcBorders>
              <w:top w:val="nil"/>
              <w:left w:val="single" w:sz="4" w:space="0" w:color="000000"/>
              <w:bottom w:val="nil"/>
              <w:right w:val="nil"/>
            </w:tcBorders>
            <w:shd w:val="clear" w:color="FFFFFF" w:fill="C0C0C0"/>
            <w:noWrap/>
            <w:vAlign w:val="center"/>
            <w:hideMark/>
          </w:tcPr>
          <w:p w14:paraId="772F18C5"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c>
          <w:tcPr>
            <w:tcW w:w="701" w:type="dxa"/>
            <w:tcBorders>
              <w:top w:val="nil"/>
              <w:left w:val="single" w:sz="4" w:space="0" w:color="000000"/>
              <w:bottom w:val="nil"/>
              <w:right w:val="single" w:sz="4" w:space="0" w:color="auto"/>
            </w:tcBorders>
            <w:shd w:val="clear" w:color="FFFFFF" w:fill="C0C0C0"/>
            <w:noWrap/>
            <w:vAlign w:val="center"/>
            <w:hideMark/>
          </w:tcPr>
          <w:p w14:paraId="64D62C29" w14:textId="77777777" w:rsidR="003B18DC" w:rsidRPr="003B18DC" w:rsidRDefault="003B18DC" w:rsidP="003B18DC">
            <w:pPr>
              <w:spacing w:after="0" w:line="240" w:lineRule="auto"/>
              <w:jc w:val="center"/>
              <w:rPr>
                <w:rFonts w:ascii="Arial" w:eastAsia="Times New Roman" w:hAnsi="Arial" w:cs="Arial"/>
                <w:b/>
                <w:bCs/>
                <w:noProof/>
                <w:color w:val="000000"/>
                <w:kern w:val="0"/>
                <w:sz w:val="14"/>
                <w:szCs w:val="14"/>
                <w:lang w:eastAsia="en-GB"/>
                <w14:ligatures w14:val="none"/>
              </w:rPr>
            </w:pPr>
            <w:r w:rsidRPr="003B18DC">
              <w:rPr>
                <w:rFonts w:ascii="Arial" w:eastAsia="Times New Roman" w:hAnsi="Arial" w:cs="Arial"/>
                <w:b/>
                <w:bCs/>
                <w:noProof/>
                <w:color w:val="000000"/>
                <w:kern w:val="0"/>
                <w:sz w:val="14"/>
                <w:szCs w:val="14"/>
                <w:lang w:eastAsia="en-GB"/>
                <w14:ligatures w14:val="none"/>
              </w:rPr>
              <w:t> </w:t>
            </w:r>
          </w:p>
        </w:tc>
      </w:tr>
      <w:tr w:rsidR="003B18DC" w:rsidRPr="003B18DC" w14:paraId="780F5425" w14:textId="77777777" w:rsidTr="00BE7E4A">
        <w:trPr>
          <w:trHeight w:val="222"/>
        </w:trPr>
        <w:tc>
          <w:tcPr>
            <w:tcW w:w="255" w:type="dxa"/>
            <w:vMerge/>
            <w:tcBorders>
              <w:top w:val="nil"/>
              <w:left w:val="single" w:sz="4" w:space="0" w:color="auto"/>
              <w:bottom w:val="single" w:sz="4" w:space="0" w:color="000000"/>
              <w:right w:val="single" w:sz="4" w:space="0" w:color="000000"/>
            </w:tcBorders>
            <w:vAlign w:val="center"/>
            <w:hideMark/>
          </w:tcPr>
          <w:p w14:paraId="61FD493E"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nil"/>
              <w:left w:val="nil"/>
              <w:bottom w:val="nil"/>
              <w:right w:val="nil"/>
            </w:tcBorders>
            <w:shd w:val="clear" w:color="FFFFFF" w:fill="DEDCDC"/>
            <w:noWrap/>
            <w:vAlign w:val="bottom"/>
            <w:hideMark/>
          </w:tcPr>
          <w:p w14:paraId="4CEFB8CC"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Reserves</w:t>
            </w:r>
          </w:p>
        </w:tc>
        <w:tc>
          <w:tcPr>
            <w:tcW w:w="753" w:type="dxa"/>
            <w:tcBorders>
              <w:top w:val="nil"/>
              <w:left w:val="single" w:sz="4" w:space="0" w:color="000000"/>
              <w:bottom w:val="nil"/>
              <w:right w:val="nil"/>
            </w:tcBorders>
            <w:shd w:val="clear" w:color="FFFFFF" w:fill="DEDCDC"/>
            <w:noWrap/>
            <w:vAlign w:val="center"/>
            <w:hideMark/>
          </w:tcPr>
          <w:p w14:paraId="23914BD1"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1816655F"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2E3BBC30"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single" w:sz="4" w:space="0" w:color="000000"/>
              <w:bottom w:val="nil"/>
              <w:right w:val="nil"/>
            </w:tcBorders>
            <w:shd w:val="clear" w:color="FFFFFF" w:fill="DEDCDC"/>
            <w:noWrap/>
            <w:vAlign w:val="center"/>
            <w:hideMark/>
          </w:tcPr>
          <w:p w14:paraId="44AF4CA3"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141BE2D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single" w:sz="4" w:space="0" w:color="000000"/>
              <w:bottom w:val="nil"/>
              <w:right w:val="nil"/>
            </w:tcBorders>
            <w:shd w:val="clear" w:color="FFFFFF" w:fill="DEDCDC"/>
            <w:noWrap/>
            <w:vAlign w:val="center"/>
            <w:hideMark/>
          </w:tcPr>
          <w:p w14:paraId="0CD9C226"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single" w:sz="4" w:space="0" w:color="000000"/>
              <w:bottom w:val="nil"/>
              <w:right w:val="nil"/>
            </w:tcBorders>
            <w:shd w:val="clear" w:color="FFFFFF" w:fill="DEDCDC"/>
            <w:noWrap/>
            <w:vAlign w:val="center"/>
            <w:hideMark/>
          </w:tcPr>
          <w:p w14:paraId="18F9EB32"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single" w:sz="4" w:space="0" w:color="000000"/>
              <w:bottom w:val="nil"/>
              <w:right w:val="nil"/>
            </w:tcBorders>
            <w:shd w:val="clear" w:color="FFFFFF" w:fill="DEDCDC"/>
            <w:noWrap/>
            <w:vAlign w:val="center"/>
            <w:hideMark/>
          </w:tcPr>
          <w:p w14:paraId="46C0AA44"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single" w:sz="4" w:space="0" w:color="000000"/>
              <w:bottom w:val="nil"/>
              <w:right w:val="nil"/>
            </w:tcBorders>
            <w:shd w:val="clear" w:color="FFFFFF" w:fill="DEDCDC"/>
            <w:noWrap/>
            <w:vAlign w:val="center"/>
            <w:hideMark/>
          </w:tcPr>
          <w:p w14:paraId="6850C905"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single" w:sz="4" w:space="0" w:color="000000"/>
              <w:bottom w:val="nil"/>
              <w:right w:val="single" w:sz="4" w:space="0" w:color="auto"/>
            </w:tcBorders>
            <w:shd w:val="clear" w:color="FFFFFF" w:fill="DEDCDC"/>
            <w:noWrap/>
            <w:vAlign w:val="center"/>
            <w:hideMark/>
          </w:tcPr>
          <w:p w14:paraId="7E3CA83E" w14:textId="77777777" w:rsidR="003B18DC" w:rsidRPr="003B18DC" w:rsidRDefault="003B18DC" w:rsidP="003B18DC">
            <w:pPr>
              <w:spacing w:after="0" w:line="240" w:lineRule="auto"/>
              <w:jc w:val="center"/>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5478E389"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7F1C18EE"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73F56EA6"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NON-MOBILISABLE RESERVE 10TH EDF</w:t>
            </w:r>
          </w:p>
        </w:tc>
        <w:tc>
          <w:tcPr>
            <w:tcW w:w="753" w:type="dxa"/>
            <w:tcBorders>
              <w:top w:val="single" w:sz="4" w:space="0" w:color="000000"/>
              <w:left w:val="nil"/>
              <w:bottom w:val="single" w:sz="4" w:space="0" w:color="000000"/>
              <w:right w:val="single" w:sz="4" w:space="0" w:color="000000"/>
            </w:tcBorders>
            <w:shd w:val="clear" w:color="FFFFFF" w:fill="FFFFFF"/>
            <w:noWrap/>
            <w:vAlign w:val="center"/>
            <w:hideMark/>
          </w:tcPr>
          <w:p w14:paraId="29A2D0D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19</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663194C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17266321"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single" w:sz="4" w:space="0" w:color="000000"/>
              <w:left w:val="nil"/>
              <w:bottom w:val="single" w:sz="4" w:space="0" w:color="000000"/>
              <w:right w:val="single" w:sz="4" w:space="0" w:color="000000"/>
            </w:tcBorders>
            <w:shd w:val="clear" w:color="FFFFFF" w:fill="FFFFFF"/>
            <w:noWrap/>
            <w:vAlign w:val="center"/>
            <w:hideMark/>
          </w:tcPr>
          <w:p w14:paraId="36B5969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6F601CFD"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single" w:sz="4" w:space="0" w:color="000000"/>
              <w:left w:val="nil"/>
              <w:bottom w:val="single" w:sz="4" w:space="0" w:color="000000"/>
              <w:right w:val="single" w:sz="4" w:space="0" w:color="000000"/>
            </w:tcBorders>
            <w:shd w:val="clear" w:color="FFFFFF" w:fill="FFFFFF"/>
            <w:noWrap/>
            <w:vAlign w:val="center"/>
            <w:hideMark/>
          </w:tcPr>
          <w:p w14:paraId="5544FDD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52CAD22F"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single" w:sz="4" w:space="0" w:color="000000"/>
              <w:left w:val="nil"/>
              <w:bottom w:val="single" w:sz="4" w:space="0" w:color="000000"/>
              <w:right w:val="single" w:sz="4" w:space="0" w:color="000000"/>
            </w:tcBorders>
            <w:shd w:val="clear" w:color="FFFFFF" w:fill="FFFFFF"/>
            <w:noWrap/>
            <w:vAlign w:val="center"/>
            <w:hideMark/>
          </w:tcPr>
          <w:p w14:paraId="49EE2DF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single" w:sz="4" w:space="0" w:color="000000"/>
              <w:left w:val="nil"/>
              <w:bottom w:val="single" w:sz="4" w:space="0" w:color="000000"/>
              <w:right w:val="single" w:sz="4" w:space="0" w:color="000000"/>
            </w:tcBorders>
            <w:shd w:val="clear" w:color="FFFFFF" w:fill="FFFFFF"/>
            <w:noWrap/>
            <w:vAlign w:val="center"/>
            <w:hideMark/>
          </w:tcPr>
          <w:p w14:paraId="51653A5C"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single" w:sz="4" w:space="0" w:color="000000"/>
              <w:left w:val="nil"/>
              <w:bottom w:val="single" w:sz="4" w:space="0" w:color="000000"/>
              <w:right w:val="single" w:sz="4" w:space="0" w:color="auto"/>
            </w:tcBorders>
            <w:shd w:val="clear" w:color="FFFFFF" w:fill="FFFFFF"/>
            <w:noWrap/>
            <w:vAlign w:val="center"/>
            <w:hideMark/>
          </w:tcPr>
          <w:p w14:paraId="337CC406"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55A432B6" w14:textId="77777777" w:rsidTr="00BE7E4A">
        <w:trPr>
          <w:trHeight w:val="244"/>
        </w:trPr>
        <w:tc>
          <w:tcPr>
            <w:tcW w:w="255" w:type="dxa"/>
            <w:vMerge/>
            <w:tcBorders>
              <w:top w:val="nil"/>
              <w:left w:val="single" w:sz="4" w:space="0" w:color="auto"/>
              <w:bottom w:val="single" w:sz="4" w:space="0" w:color="000000"/>
              <w:right w:val="single" w:sz="4" w:space="0" w:color="000000"/>
            </w:tcBorders>
            <w:vAlign w:val="center"/>
            <w:hideMark/>
          </w:tcPr>
          <w:p w14:paraId="3CBDD1F1"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p>
        </w:tc>
        <w:tc>
          <w:tcPr>
            <w:tcW w:w="1873" w:type="dxa"/>
            <w:gridSpan w:val="2"/>
            <w:tcBorders>
              <w:top w:val="single" w:sz="4" w:space="0" w:color="000000"/>
              <w:left w:val="nil"/>
              <w:bottom w:val="single" w:sz="4" w:space="0" w:color="000000"/>
              <w:right w:val="single" w:sz="4" w:space="0" w:color="000000"/>
            </w:tcBorders>
            <w:shd w:val="clear" w:color="FFFFFF" w:fill="FFFFFF"/>
            <w:noWrap/>
            <w:vAlign w:val="center"/>
            <w:hideMark/>
          </w:tcPr>
          <w:p w14:paraId="592BD5DA" w14:textId="77777777" w:rsidR="003B18DC" w:rsidRPr="003B18DC" w:rsidRDefault="003B18DC" w:rsidP="003B18DC">
            <w:pPr>
              <w:spacing w:after="0" w:line="240" w:lineRule="auto"/>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SUB TOTAL: NON-MOBILISABLE RESERVE 11TH EDF</w:t>
            </w:r>
          </w:p>
        </w:tc>
        <w:tc>
          <w:tcPr>
            <w:tcW w:w="753" w:type="dxa"/>
            <w:tcBorders>
              <w:top w:val="nil"/>
              <w:left w:val="nil"/>
              <w:bottom w:val="single" w:sz="4" w:space="0" w:color="000000"/>
              <w:right w:val="single" w:sz="4" w:space="0" w:color="000000"/>
            </w:tcBorders>
            <w:shd w:val="clear" w:color="FFFFFF" w:fill="FFFFFF"/>
            <w:noWrap/>
            <w:vAlign w:val="center"/>
            <w:hideMark/>
          </w:tcPr>
          <w:p w14:paraId="01B7FB1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3</w:t>
            </w:r>
          </w:p>
        </w:tc>
        <w:tc>
          <w:tcPr>
            <w:tcW w:w="795" w:type="dxa"/>
            <w:tcBorders>
              <w:top w:val="nil"/>
              <w:left w:val="nil"/>
              <w:bottom w:val="single" w:sz="4" w:space="0" w:color="000000"/>
              <w:right w:val="single" w:sz="4" w:space="0" w:color="000000"/>
            </w:tcBorders>
            <w:shd w:val="clear" w:color="FFFFFF" w:fill="FFFFFF"/>
            <w:noWrap/>
            <w:vAlign w:val="center"/>
            <w:hideMark/>
          </w:tcPr>
          <w:p w14:paraId="0A28749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4D0E0A38"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86" w:type="dxa"/>
            <w:tcBorders>
              <w:top w:val="nil"/>
              <w:left w:val="nil"/>
              <w:bottom w:val="single" w:sz="4" w:space="0" w:color="000000"/>
              <w:right w:val="single" w:sz="4" w:space="0" w:color="000000"/>
            </w:tcBorders>
            <w:shd w:val="clear" w:color="FFFFFF" w:fill="FFFFFF"/>
            <w:noWrap/>
            <w:vAlign w:val="center"/>
            <w:hideMark/>
          </w:tcPr>
          <w:p w14:paraId="2EAAE1C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6CA33E0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550" w:type="dxa"/>
            <w:tcBorders>
              <w:top w:val="nil"/>
              <w:left w:val="nil"/>
              <w:bottom w:val="single" w:sz="4" w:space="0" w:color="000000"/>
              <w:right w:val="single" w:sz="4" w:space="0" w:color="000000"/>
            </w:tcBorders>
            <w:shd w:val="clear" w:color="FFFFFF" w:fill="FFFFFF"/>
            <w:noWrap/>
            <w:vAlign w:val="center"/>
            <w:hideMark/>
          </w:tcPr>
          <w:p w14:paraId="4D8F134B"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860" w:type="dxa"/>
            <w:gridSpan w:val="2"/>
            <w:tcBorders>
              <w:top w:val="nil"/>
              <w:left w:val="nil"/>
              <w:bottom w:val="single" w:sz="4" w:space="0" w:color="000000"/>
              <w:right w:val="single" w:sz="4" w:space="0" w:color="000000"/>
            </w:tcBorders>
            <w:shd w:val="clear" w:color="FFFFFF" w:fill="FFFFFF"/>
            <w:noWrap/>
            <w:vAlign w:val="center"/>
            <w:hideMark/>
          </w:tcPr>
          <w:p w14:paraId="04E3F732"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95" w:type="dxa"/>
            <w:tcBorders>
              <w:top w:val="nil"/>
              <w:left w:val="nil"/>
              <w:bottom w:val="single" w:sz="4" w:space="0" w:color="000000"/>
              <w:right w:val="single" w:sz="4" w:space="0" w:color="000000"/>
            </w:tcBorders>
            <w:shd w:val="clear" w:color="FFFFFF" w:fill="FFFFFF"/>
            <w:noWrap/>
            <w:vAlign w:val="center"/>
            <w:hideMark/>
          </w:tcPr>
          <w:p w14:paraId="388EEF9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33" w:type="dxa"/>
            <w:tcBorders>
              <w:top w:val="nil"/>
              <w:left w:val="nil"/>
              <w:bottom w:val="single" w:sz="4" w:space="0" w:color="000000"/>
              <w:right w:val="single" w:sz="4" w:space="0" w:color="000000"/>
            </w:tcBorders>
            <w:shd w:val="clear" w:color="FFFFFF" w:fill="FFFFFF"/>
            <w:noWrap/>
            <w:vAlign w:val="center"/>
            <w:hideMark/>
          </w:tcPr>
          <w:p w14:paraId="5E893C34"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c>
          <w:tcPr>
            <w:tcW w:w="701" w:type="dxa"/>
            <w:tcBorders>
              <w:top w:val="nil"/>
              <w:left w:val="nil"/>
              <w:bottom w:val="single" w:sz="4" w:space="0" w:color="000000"/>
              <w:right w:val="single" w:sz="4" w:space="0" w:color="auto"/>
            </w:tcBorders>
            <w:shd w:val="clear" w:color="FFFFFF" w:fill="FFFFFF"/>
            <w:noWrap/>
            <w:vAlign w:val="center"/>
            <w:hideMark/>
          </w:tcPr>
          <w:p w14:paraId="51D78F60" w14:textId="77777777" w:rsidR="003B18DC" w:rsidRPr="003B18DC" w:rsidRDefault="003B18DC" w:rsidP="003B18DC">
            <w:pPr>
              <w:spacing w:after="0" w:line="240" w:lineRule="auto"/>
              <w:jc w:val="right"/>
              <w:rPr>
                <w:rFonts w:ascii="Arial" w:eastAsia="Times New Roman" w:hAnsi="Arial" w:cs="Arial"/>
                <w:b/>
                <w:bCs/>
                <w:noProof/>
                <w:color w:val="000000"/>
                <w:kern w:val="0"/>
                <w:sz w:val="12"/>
                <w:szCs w:val="12"/>
                <w:lang w:eastAsia="en-GB"/>
                <w14:ligatures w14:val="none"/>
              </w:rPr>
            </w:pPr>
            <w:r w:rsidRPr="003B18DC">
              <w:rPr>
                <w:rFonts w:ascii="Arial" w:eastAsia="Times New Roman" w:hAnsi="Arial" w:cs="Arial"/>
                <w:b/>
                <w:bCs/>
                <w:noProof/>
                <w:color w:val="000000"/>
                <w:kern w:val="0"/>
                <w:sz w:val="12"/>
                <w:szCs w:val="12"/>
                <w:lang w:eastAsia="en-GB"/>
                <w14:ligatures w14:val="none"/>
              </w:rPr>
              <w:t> </w:t>
            </w:r>
          </w:p>
        </w:tc>
      </w:tr>
      <w:tr w:rsidR="003B18DC" w:rsidRPr="003B18DC" w14:paraId="6FDD443E" w14:textId="77777777" w:rsidTr="00BE7E4A">
        <w:trPr>
          <w:trHeight w:val="222"/>
        </w:trPr>
        <w:tc>
          <w:tcPr>
            <w:tcW w:w="255" w:type="dxa"/>
            <w:tcBorders>
              <w:top w:val="nil"/>
              <w:left w:val="single" w:sz="4" w:space="0" w:color="auto"/>
              <w:bottom w:val="nil"/>
              <w:right w:val="nil"/>
            </w:tcBorders>
            <w:shd w:val="clear" w:color="FFFFFF" w:fill="FFFFFF"/>
            <w:noWrap/>
            <w:vAlign w:val="center"/>
            <w:hideMark/>
          </w:tcPr>
          <w:p w14:paraId="173A4BFB"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1873" w:type="dxa"/>
            <w:gridSpan w:val="2"/>
            <w:tcBorders>
              <w:top w:val="nil"/>
              <w:left w:val="nil"/>
              <w:bottom w:val="nil"/>
              <w:right w:val="nil"/>
            </w:tcBorders>
            <w:shd w:val="clear" w:color="FFFFFF" w:fill="FFFFFF"/>
            <w:noWrap/>
            <w:vAlign w:val="center"/>
            <w:hideMark/>
          </w:tcPr>
          <w:p w14:paraId="3281AA2F"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53" w:type="dxa"/>
            <w:tcBorders>
              <w:top w:val="nil"/>
              <w:left w:val="nil"/>
              <w:bottom w:val="nil"/>
              <w:right w:val="nil"/>
            </w:tcBorders>
            <w:shd w:val="clear" w:color="FFFFFF" w:fill="FFFFFF"/>
            <w:noWrap/>
            <w:vAlign w:val="center"/>
            <w:hideMark/>
          </w:tcPr>
          <w:p w14:paraId="336AAA49"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95" w:type="dxa"/>
            <w:tcBorders>
              <w:top w:val="nil"/>
              <w:left w:val="nil"/>
              <w:bottom w:val="nil"/>
              <w:right w:val="nil"/>
            </w:tcBorders>
            <w:shd w:val="clear" w:color="FFFFFF" w:fill="FFFFFF"/>
            <w:noWrap/>
            <w:vAlign w:val="center"/>
            <w:hideMark/>
          </w:tcPr>
          <w:p w14:paraId="1E138ADD"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33" w:type="dxa"/>
            <w:tcBorders>
              <w:top w:val="nil"/>
              <w:left w:val="nil"/>
              <w:bottom w:val="nil"/>
              <w:right w:val="nil"/>
            </w:tcBorders>
            <w:shd w:val="clear" w:color="FFFFFF" w:fill="FFFFFF"/>
            <w:noWrap/>
            <w:vAlign w:val="center"/>
            <w:hideMark/>
          </w:tcPr>
          <w:p w14:paraId="6EC2F9AD"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86" w:type="dxa"/>
            <w:tcBorders>
              <w:top w:val="nil"/>
              <w:left w:val="nil"/>
              <w:bottom w:val="nil"/>
              <w:right w:val="nil"/>
            </w:tcBorders>
            <w:shd w:val="clear" w:color="FFFFFF" w:fill="FFFFFF"/>
            <w:noWrap/>
            <w:vAlign w:val="center"/>
            <w:hideMark/>
          </w:tcPr>
          <w:p w14:paraId="48F1674B"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95" w:type="dxa"/>
            <w:tcBorders>
              <w:top w:val="nil"/>
              <w:left w:val="nil"/>
              <w:bottom w:val="nil"/>
              <w:right w:val="nil"/>
            </w:tcBorders>
            <w:shd w:val="clear" w:color="FFFFFF" w:fill="FFFFFF"/>
            <w:noWrap/>
            <w:vAlign w:val="center"/>
            <w:hideMark/>
          </w:tcPr>
          <w:p w14:paraId="7014956A"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550" w:type="dxa"/>
            <w:tcBorders>
              <w:top w:val="nil"/>
              <w:left w:val="nil"/>
              <w:bottom w:val="nil"/>
              <w:right w:val="nil"/>
            </w:tcBorders>
            <w:shd w:val="clear" w:color="FFFFFF" w:fill="FFFFFF"/>
            <w:noWrap/>
            <w:vAlign w:val="center"/>
            <w:hideMark/>
          </w:tcPr>
          <w:p w14:paraId="60B4F64C"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860" w:type="dxa"/>
            <w:gridSpan w:val="2"/>
            <w:tcBorders>
              <w:top w:val="nil"/>
              <w:left w:val="nil"/>
              <w:bottom w:val="nil"/>
              <w:right w:val="nil"/>
            </w:tcBorders>
            <w:shd w:val="clear" w:color="FFFFFF" w:fill="FFFFFF"/>
            <w:noWrap/>
            <w:vAlign w:val="center"/>
            <w:hideMark/>
          </w:tcPr>
          <w:p w14:paraId="1959A5F1"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95" w:type="dxa"/>
            <w:tcBorders>
              <w:top w:val="nil"/>
              <w:left w:val="nil"/>
              <w:bottom w:val="nil"/>
              <w:right w:val="nil"/>
            </w:tcBorders>
            <w:shd w:val="clear" w:color="FFFFFF" w:fill="FFFFFF"/>
            <w:noWrap/>
            <w:vAlign w:val="center"/>
            <w:hideMark/>
          </w:tcPr>
          <w:p w14:paraId="1F3FCA59"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33" w:type="dxa"/>
            <w:tcBorders>
              <w:top w:val="nil"/>
              <w:left w:val="nil"/>
              <w:bottom w:val="nil"/>
              <w:right w:val="nil"/>
            </w:tcBorders>
            <w:shd w:val="clear" w:color="FFFFFF" w:fill="FFFFFF"/>
            <w:noWrap/>
            <w:vAlign w:val="center"/>
            <w:hideMark/>
          </w:tcPr>
          <w:p w14:paraId="6D4269DB"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701" w:type="dxa"/>
            <w:tcBorders>
              <w:top w:val="nil"/>
              <w:left w:val="nil"/>
              <w:bottom w:val="nil"/>
              <w:right w:val="single" w:sz="4" w:space="0" w:color="auto"/>
            </w:tcBorders>
            <w:shd w:val="clear" w:color="FFFFFF" w:fill="FFFFFF"/>
            <w:noWrap/>
            <w:vAlign w:val="center"/>
            <w:hideMark/>
          </w:tcPr>
          <w:p w14:paraId="27E3F93C"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r>
      <w:tr w:rsidR="003B18DC" w:rsidRPr="003B18DC" w14:paraId="7C379C88" w14:textId="77777777" w:rsidTr="00BE7E4A">
        <w:trPr>
          <w:trHeight w:val="222"/>
        </w:trPr>
        <w:tc>
          <w:tcPr>
            <w:tcW w:w="255" w:type="dxa"/>
            <w:tcBorders>
              <w:top w:val="single" w:sz="4" w:space="0" w:color="000000"/>
              <w:left w:val="single" w:sz="4" w:space="0" w:color="auto"/>
              <w:bottom w:val="single" w:sz="4" w:space="0" w:color="auto"/>
              <w:right w:val="single" w:sz="4" w:space="0" w:color="000000"/>
            </w:tcBorders>
            <w:shd w:val="clear" w:color="FFFFFF" w:fill="808080"/>
            <w:noWrap/>
            <w:vAlign w:val="center"/>
            <w:hideMark/>
          </w:tcPr>
          <w:p w14:paraId="168FE960"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 </w:t>
            </w:r>
          </w:p>
        </w:tc>
        <w:tc>
          <w:tcPr>
            <w:tcW w:w="1873" w:type="dxa"/>
            <w:gridSpan w:val="2"/>
            <w:tcBorders>
              <w:top w:val="single" w:sz="4" w:space="0" w:color="000000"/>
              <w:left w:val="nil"/>
              <w:bottom w:val="single" w:sz="4" w:space="0" w:color="auto"/>
              <w:right w:val="single" w:sz="4" w:space="0" w:color="000000"/>
            </w:tcBorders>
            <w:shd w:val="clear" w:color="FFFFFF" w:fill="808080"/>
            <w:noWrap/>
            <w:vAlign w:val="center"/>
            <w:hideMark/>
          </w:tcPr>
          <w:p w14:paraId="29F8BC40" w14:textId="77777777" w:rsidR="003B18DC" w:rsidRPr="003B18DC" w:rsidRDefault="003B18DC" w:rsidP="003B18DC">
            <w:pPr>
              <w:spacing w:after="0" w:line="240" w:lineRule="auto"/>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TOTAL: ACP+OCT (INCL. RESERVES)    (A+B)</w:t>
            </w:r>
          </w:p>
        </w:tc>
        <w:tc>
          <w:tcPr>
            <w:tcW w:w="753" w:type="dxa"/>
            <w:tcBorders>
              <w:top w:val="single" w:sz="4" w:space="0" w:color="000000"/>
              <w:left w:val="nil"/>
              <w:bottom w:val="single" w:sz="4" w:space="0" w:color="auto"/>
              <w:right w:val="single" w:sz="4" w:space="0" w:color="000000"/>
            </w:tcBorders>
            <w:shd w:val="clear" w:color="FFFFFF" w:fill="808080"/>
            <w:noWrap/>
            <w:vAlign w:val="center"/>
            <w:hideMark/>
          </w:tcPr>
          <w:p w14:paraId="465ABBD1"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29.726</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14:paraId="21E40F3A"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28.525</w:t>
            </w:r>
          </w:p>
        </w:tc>
        <w:tc>
          <w:tcPr>
            <w:tcW w:w="733" w:type="dxa"/>
            <w:tcBorders>
              <w:top w:val="single" w:sz="4" w:space="0" w:color="000000"/>
              <w:left w:val="nil"/>
              <w:bottom w:val="single" w:sz="4" w:space="0" w:color="auto"/>
              <w:right w:val="single" w:sz="4" w:space="0" w:color="000000"/>
            </w:tcBorders>
            <w:shd w:val="clear" w:color="FFFFFF" w:fill="808080"/>
            <w:noWrap/>
            <w:vAlign w:val="center"/>
            <w:hideMark/>
          </w:tcPr>
          <w:p w14:paraId="4528F6CB" w14:textId="77777777" w:rsidR="003B18DC" w:rsidRPr="003B18DC" w:rsidRDefault="003B18DC" w:rsidP="003B18DC">
            <w:pPr>
              <w:spacing w:after="0" w:line="240" w:lineRule="auto"/>
              <w:jc w:val="right"/>
              <w:rPr>
                <w:rFonts w:ascii="Arial" w:eastAsia="Times New Roman" w:hAnsi="Arial" w:cs="Arial"/>
                <w:b/>
                <w:bCs/>
                <w:noProof/>
                <w:color w:val="FF0000"/>
                <w:kern w:val="0"/>
                <w:sz w:val="14"/>
                <w:szCs w:val="14"/>
                <w:lang w:eastAsia="en-GB"/>
                <w14:ligatures w14:val="none"/>
              </w:rPr>
            </w:pPr>
            <w:r w:rsidRPr="003B18DC">
              <w:rPr>
                <w:rFonts w:ascii="Arial" w:eastAsia="Times New Roman" w:hAnsi="Arial" w:cs="Arial"/>
                <w:b/>
                <w:bCs/>
                <w:noProof/>
                <w:color w:val="FF0000"/>
                <w:kern w:val="0"/>
                <w:sz w:val="14"/>
                <w:szCs w:val="14"/>
                <w:lang w:eastAsia="en-GB"/>
                <w14:ligatures w14:val="none"/>
              </w:rPr>
              <w:t>(285)</w:t>
            </w:r>
          </w:p>
        </w:tc>
        <w:tc>
          <w:tcPr>
            <w:tcW w:w="786" w:type="dxa"/>
            <w:tcBorders>
              <w:top w:val="single" w:sz="4" w:space="0" w:color="000000"/>
              <w:left w:val="nil"/>
              <w:bottom w:val="single" w:sz="4" w:space="0" w:color="auto"/>
              <w:right w:val="single" w:sz="4" w:space="0" w:color="000000"/>
            </w:tcBorders>
            <w:shd w:val="clear" w:color="FFFFFF" w:fill="808080"/>
            <w:noWrap/>
            <w:vAlign w:val="center"/>
            <w:hideMark/>
          </w:tcPr>
          <w:p w14:paraId="4F90919A"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96%</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14:paraId="782EA233"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28.284</w:t>
            </w:r>
          </w:p>
        </w:tc>
        <w:tc>
          <w:tcPr>
            <w:tcW w:w="550" w:type="dxa"/>
            <w:tcBorders>
              <w:top w:val="single" w:sz="4" w:space="0" w:color="000000"/>
              <w:left w:val="nil"/>
              <w:bottom w:val="single" w:sz="4" w:space="0" w:color="auto"/>
              <w:right w:val="single" w:sz="4" w:space="0" w:color="000000"/>
            </w:tcBorders>
            <w:shd w:val="clear" w:color="FFFFFF" w:fill="808080"/>
            <w:noWrap/>
            <w:vAlign w:val="center"/>
            <w:hideMark/>
          </w:tcPr>
          <w:p w14:paraId="301175E4"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(160)</w:t>
            </w:r>
          </w:p>
        </w:tc>
        <w:tc>
          <w:tcPr>
            <w:tcW w:w="860" w:type="dxa"/>
            <w:gridSpan w:val="2"/>
            <w:tcBorders>
              <w:top w:val="single" w:sz="4" w:space="0" w:color="000000"/>
              <w:left w:val="nil"/>
              <w:bottom w:val="single" w:sz="4" w:space="0" w:color="auto"/>
              <w:right w:val="single" w:sz="4" w:space="0" w:color="000000"/>
            </w:tcBorders>
            <w:shd w:val="clear" w:color="FFFFFF" w:fill="808080"/>
            <w:noWrap/>
            <w:vAlign w:val="center"/>
            <w:hideMark/>
          </w:tcPr>
          <w:p w14:paraId="28E46CF1"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99%</w:t>
            </w:r>
          </w:p>
        </w:tc>
        <w:tc>
          <w:tcPr>
            <w:tcW w:w="795" w:type="dxa"/>
            <w:tcBorders>
              <w:top w:val="single" w:sz="4" w:space="0" w:color="000000"/>
              <w:left w:val="nil"/>
              <w:bottom w:val="single" w:sz="4" w:space="0" w:color="auto"/>
              <w:right w:val="single" w:sz="4" w:space="0" w:color="000000"/>
            </w:tcBorders>
            <w:shd w:val="clear" w:color="FFFFFF" w:fill="808080"/>
            <w:noWrap/>
            <w:vAlign w:val="center"/>
            <w:hideMark/>
          </w:tcPr>
          <w:p w14:paraId="5E342D78"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25.800</w:t>
            </w:r>
          </w:p>
        </w:tc>
        <w:tc>
          <w:tcPr>
            <w:tcW w:w="733" w:type="dxa"/>
            <w:tcBorders>
              <w:top w:val="single" w:sz="4" w:space="0" w:color="000000"/>
              <w:left w:val="nil"/>
              <w:bottom w:val="single" w:sz="4" w:space="0" w:color="auto"/>
              <w:right w:val="single" w:sz="4" w:space="0" w:color="000000"/>
            </w:tcBorders>
            <w:shd w:val="clear" w:color="FFFFFF" w:fill="808080"/>
            <w:noWrap/>
            <w:vAlign w:val="center"/>
            <w:hideMark/>
          </w:tcPr>
          <w:p w14:paraId="12C13F38"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828</w:t>
            </w:r>
          </w:p>
        </w:tc>
        <w:tc>
          <w:tcPr>
            <w:tcW w:w="701" w:type="dxa"/>
            <w:tcBorders>
              <w:top w:val="single" w:sz="4" w:space="0" w:color="000000"/>
              <w:left w:val="nil"/>
              <w:bottom w:val="single" w:sz="4" w:space="0" w:color="auto"/>
              <w:right w:val="single" w:sz="4" w:space="0" w:color="auto"/>
            </w:tcBorders>
            <w:shd w:val="clear" w:color="FFFFFF" w:fill="808080"/>
            <w:noWrap/>
            <w:vAlign w:val="center"/>
            <w:hideMark/>
          </w:tcPr>
          <w:p w14:paraId="1AA30D08" w14:textId="77777777" w:rsidR="003B18DC" w:rsidRPr="003B18DC" w:rsidRDefault="003B18DC" w:rsidP="003B18DC">
            <w:pPr>
              <w:spacing w:after="0" w:line="240" w:lineRule="auto"/>
              <w:jc w:val="right"/>
              <w:rPr>
                <w:rFonts w:ascii="Arial" w:eastAsia="Times New Roman" w:hAnsi="Arial" w:cs="Arial"/>
                <w:b/>
                <w:bCs/>
                <w:noProof/>
                <w:color w:val="FFFFFF"/>
                <w:kern w:val="0"/>
                <w:sz w:val="14"/>
                <w:szCs w:val="14"/>
                <w:lang w:eastAsia="en-GB"/>
                <w14:ligatures w14:val="none"/>
              </w:rPr>
            </w:pPr>
            <w:r w:rsidRPr="003B18DC">
              <w:rPr>
                <w:rFonts w:ascii="Arial" w:eastAsia="Times New Roman" w:hAnsi="Arial" w:cs="Arial"/>
                <w:b/>
                <w:bCs/>
                <w:noProof/>
                <w:color w:val="FFFFFF"/>
                <w:kern w:val="0"/>
                <w:sz w:val="14"/>
                <w:szCs w:val="14"/>
                <w:lang w:eastAsia="en-GB"/>
                <w14:ligatures w14:val="none"/>
              </w:rPr>
              <w:t>91%</w:t>
            </w:r>
          </w:p>
        </w:tc>
      </w:tr>
    </w:tbl>
    <w:p w14:paraId="734A032E" w14:textId="77777777" w:rsidR="00FD1E19" w:rsidRDefault="00FD1E19" w:rsidP="00FD1E19">
      <w:pPr>
        <w:jc w:val="both"/>
        <w:rPr>
          <w:rFonts w:cstheme="minorHAnsi"/>
          <w:b/>
          <w:noProof/>
          <w:sz w:val="18"/>
          <w:szCs w:val="18"/>
        </w:rPr>
      </w:pPr>
    </w:p>
    <w:p w14:paraId="62D46867" w14:textId="77777777" w:rsidR="0029321B" w:rsidRDefault="0029321B">
      <w:pPr>
        <w:rPr>
          <w:rFonts w:ascii="Verdana" w:eastAsia="Times New Roman" w:hAnsi="Verdana" w:cs="Times New Roman"/>
          <w:b/>
          <w:noProof/>
          <w:color w:val="016794"/>
          <w:kern w:val="0"/>
          <w:sz w:val="28"/>
          <w:szCs w:val="24"/>
          <w:lang w:val="fr-BE" w:eastAsia="en-GB"/>
        </w:rPr>
      </w:pPr>
      <w:bookmarkStart w:id="190" w:name="_Toc223947601"/>
      <w:r>
        <w:rPr>
          <w:noProof/>
        </w:rPr>
        <w:br w:type="page"/>
      </w:r>
    </w:p>
    <w:p w14:paraId="7968ECA0" w14:textId="1EA609D8" w:rsidR="00FD1E19" w:rsidRPr="00067775" w:rsidRDefault="00FD1E19" w:rsidP="00FD1E19">
      <w:pPr>
        <w:pStyle w:val="HEADER2PartBUDG"/>
        <w:keepNext/>
        <w:keepLines/>
        <w:rPr>
          <w:noProof/>
        </w:rPr>
      </w:pPr>
      <w:r w:rsidRPr="00067775">
        <w:rPr>
          <w:noProof/>
        </w:rPr>
        <w:t>RE</w:t>
      </w:r>
      <w:r>
        <w:rPr>
          <w:noProof/>
        </w:rPr>
        <w:t>SOURCES</w:t>
      </w:r>
      <w:bookmarkEnd w:id="190"/>
      <w:r w:rsidRPr="00067775">
        <w:rPr>
          <w:noProof/>
        </w:rPr>
        <w:t xml:space="preserve"> </w:t>
      </w:r>
    </w:p>
    <w:p w14:paraId="494AAC23" w14:textId="77777777" w:rsidR="00FD1E19" w:rsidRPr="004F592F" w:rsidRDefault="00FD1E19" w:rsidP="00FD1E19">
      <w:pPr>
        <w:pStyle w:val="HEADER5"/>
        <w:keepNext/>
        <w:keepLines/>
        <w:rPr>
          <w:noProof/>
        </w:rPr>
      </w:pPr>
      <w:r w:rsidRPr="004F592F">
        <w:rPr>
          <w:noProof/>
        </w:rPr>
        <w:t xml:space="preserve">Nature of Revenue </w:t>
      </w:r>
    </w:p>
    <w:p w14:paraId="50BA97DA" w14:textId="77777777" w:rsidR="00FD1E19" w:rsidRDefault="00FD1E19" w:rsidP="00FD1E19">
      <w:pPr>
        <w:pStyle w:val="Textstand-alone"/>
        <w:keepNext/>
        <w:keepLines/>
      </w:pPr>
      <w:r w:rsidRPr="004F592F">
        <w:t>The main re</w:t>
      </w:r>
      <w:r>
        <w:t>cources</w:t>
      </w:r>
      <w:r w:rsidRPr="004F592F">
        <w:t xml:space="preserve"> of the EDF is the Member States contributions. Three times per year, the European Commission and the European Investment Bank call the Member States to contribute to the EDF. The </w:t>
      </w:r>
      <w:r>
        <w:t xml:space="preserve">amount of the contributions called each year </w:t>
      </w:r>
      <w:r w:rsidRPr="004F592F">
        <w:t>reflects the</w:t>
      </w:r>
      <w:r>
        <w:t xml:space="preserve"> amount of payment to be covered during the year. </w:t>
      </w:r>
    </w:p>
    <w:p w14:paraId="21605792" w14:textId="77777777" w:rsidR="00FD1E19" w:rsidRPr="00425A69" w:rsidRDefault="00FD1E19" w:rsidP="00FD1E19">
      <w:pPr>
        <w:pStyle w:val="HEADER5"/>
        <w:rPr>
          <w:noProof/>
        </w:rPr>
      </w:pPr>
      <w:r w:rsidRPr="00425A69">
        <w:rPr>
          <w:noProof/>
        </w:rPr>
        <w:t xml:space="preserve">Overview of contributions by </w:t>
      </w:r>
      <w:r>
        <w:rPr>
          <w:noProof/>
        </w:rPr>
        <w:t>Member State</w:t>
      </w:r>
    </w:p>
    <w:p w14:paraId="080C398F" w14:textId="77777777" w:rsidR="00FD1E19" w:rsidRDefault="00FD1E19" w:rsidP="00FD1E19">
      <w:pPr>
        <w:jc w:val="both"/>
        <w:rPr>
          <w:rFonts w:cstheme="minorHAnsi"/>
          <w:noProof/>
          <w:sz w:val="20"/>
          <w:szCs w:val="20"/>
          <w:lang w:val="en-IE"/>
        </w:rPr>
      </w:pPr>
    </w:p>
    <w:p w14:paraId="5808DB4B" w14:textId="77777777" w:rsidR="00FD1E19" w:rsidRDefault="00FD1E19" w:rsidP="00FD1E19">
      <w:pPr>
        <w:jc w:val="both"/>
        <w:rPr>
          <w:rFonts w:cstheme="minorHAnsi"/>
          <w:noProof/>
          <w:sz w:val="20"/>
          <w:szCs w:val="20"/>
          <w:lang w:val="en-IE"/>
        </w:rPr>
      </w:pPr>
      <w:r>
        <w:rPr>
          <w:noProof/>
          <w:lang w:eastAsia="en-GB"/>
        </w:rPr>
        <w:drawing>
          <wp:inline distT="0" distB="0" distL="0" distR="0" wp14:anchorId="3E511031" wp14:editId="46E6F5F3">
            <wp:extent cx="6120765" cy="3299460"/>
            <wp:effectExtent l="0" t="0" r="13335" b="15240"/>
            <wp:docPr id="176563269" name="Chart 1">
              <a:extLst xmlns:a="http://schemas.openxmlformats.org/drawingml/2006/main">
                <a:ext uri="{FF2B5EF4-FFF2-40B4-BE49-F238E27FC236}">
                  <a16:creationId xmlns:a16="http://schemas.microsoft.com/office/drawing/2014/main" id="{F7B728EE-B9DA-6E8F-B602-DF7B3EC973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14:paraId="66D1BCDC" w14:textId="77777777" w:rsidR="00FD1E19" w:rsidRDefault="00FD1E19" w:rsidP="00FD1E19">
      <w:pPr>
        <w:jc w:val="both"/>
        <w:rPr>
          <w:rFonts w:cstheme="minorHAnsi"/>
          <w:noProof/>
          <w:sz w:val="20"/>
          <w:szCs w:val="20"/>
          <w:lang w:val="en-IE"/>
        </w:rPr>
      </w:pPr>
    </w:p>
    <w:p w14:paraId="1747445A" w14:textId="77777777" w:rsidR="00FD1E19" w:rsidRPr="004F592F" w:rsidRDefault="00FD1E19" w:rsidP="00FD1E19">
      <w:pPr>
        <w:jc w:val="both"/>
        <w:rPr>
          <w:rFonts w:cstheme="minorHAnsi"/>
          <w:noProof/>
          <w:sz w:val="20"/>
          <w:szCs w:val="20"/>
          <w:lang w:val="en-IE"/>
        </w:rPr>
      </w:pPr>
    </w:p>
    <w:p w14:paraId="2415F0E9" w14:textId="77777777" w:rsidR="00FD1E19" w:rsidRDefault="00FD1E19" w:rsidP="00FD1E19">
      <w:pPr>
        <w:jc w:val="both"/>
        <w:rPr>
          <w:rFonts w:cstheme="minorHAnsi"/>
          <w:noProof/>
          <w:sz w:val="20"/>
          <w:szCs w:val="20"/>
          <w:lang w:val="fr-BE"/>
        </w:rPr>
      </w:pPr>
    </w:p>
    <w:p w14:paraId="78C7E7AB" w14:textId="77777777" w:rsidR="00FD1E19" w:rsidRDefault="00FD1E19" w:rsidP="00FD1E19">
      <w:pPr>
        <w:jc w:val="both"/>
        <w:rPr>
          <w:rFonts w:cstheme="minorHAnsi"/>
          <w:noProof/>
          <w:sz w:val="20"/>
          <w:szCs w:val="20"/>
          <w:lang w:val="fr-BE"/>
        </w:rPr>
      </w:pPr>
    </w:p>
    <w:p w14:paraId="280F80D6" w14:textId="77777777" w:rsidR="00FD1E19" w:rsidRDefault="00FD1E19" w:rsidP="00FD1E19">
      <w:pPr>
        <w:jc w:val="both"/>
        <w:rPr>
          <w:rFonts w:cstheme="minorHAnsi"/>
          <w:noProof/>
          <w:sz w:val="20"/>
          <w:szCs w:val="20"/>
          <w:lang w:val="fr-BE"/>
        </w:rPr>
      </w:pPr>
    </w:p>
    <w:p w14:paraId="75CE5300" w14:textId="77777777" w:rsidR="00FD1E19" w:rsidRDefault="00FD1E19" w:rsidP="00FD1E19">
      <w:pPr>
        <w:jc w:val="both"/>
        <w:rPr>
          <w:rFonts w:cstheme="minorHAnsi"/>
          <w:noProof/>
          <w:sz w:val="20"/>
          <w:szCs w:val="20"/>
          <w:lang w:val="fr-BE"/>
        </w:rPr>
      </w:pPr>
    </w:p>
    <w:p w14:paraId="07532F39" w14:textId="77777777" w:rsidR="00FD1E19" w:rsidRDefault="00FD1E19" w:rsidP="00FD1E19">
      <w:pPr>
        <w:jc w:val="both"/>
        <w:rPr>
          <w:rFonts w:cstheme="minorHAnsi"/>
          <w:noProof/>
          <w:sz w:val="20"/>
          <w:szCs w:val="20"/>
          <w:lang w:val="fr-BE"/>
        </w:rPr>
      </w:pPr>
    </w:p>
    <w:p w14:paraId="1D4759E0" w14:textId="77777777" w:rsidR="00FD1E19" w:rsidRDefault="00FD1E19" w:rsidP="00FD1E19">
      <w:pPr>
        <w:jc w:val="both"/>
        <w:rPr>
          <w:rFonts w:cstheme="minorHAnsi"/>
          <w:noProof/>
          <w:sz w:val="20"/>
          <w:szCs w:val="20"/>
          <w:lang w:val="fr-BE"/>
        </w:rPr>
      </w:pPr>
    </w:p>
    <w:p w14:paraId="554FBABE" w14:textId="77777777" w:rsidR="00FD1E19" w:rsidRDefault="00FD1E19" w:rsidP="00FD1E19">
      <w:pPr>
        <w:jc w:val="both"/>
        <w:rPr>
          <w:rFonts w:cstheme="minorHAnsi"/>
          <w:noProof/>
          <w:sz w:val="20"/>
          <w:szCs w:val="20"/>
          <w:lang w:val="fr-BE"/>
        </w:rPr>
      </w:pPr>
    </w:p>
    <w:p w14:paraId="6EBBF917" w14:textId="77777777" w:rsidR="00FD1E19" w:rsidRDefault="00FD1E19" w:rsidP="00FD1E19">
      <w:pPr>
        <w:jc w:val="both"/>
        <w:rPr>
          <w:rFonts w:cstheme="minorHAnsi"/>
          <w:noProof/>
          <w:sz w:val="20"/>
          <w:szCs w:val="20"/>
          <w:lang w:val="fr-BE"/>
        </w:rPr>
      </w:pPr>
    </w:p>
    <w:p w14:paraId="3C4FE10A" w14:textId="77777777" w:rsidR="00FD1E19" w:rsidRDefault="00FD1E19" w:rsidP="00FD1E19">
      <w:pPr>
        <w:jc w:val="both"/>
        <w:rPr>
          <w:rFonts w:cstheme="minorHAnsi"/>
          <w:noProof/>
          <w:sz w:val="20"/>
          <w:szCs w:val="20"/>
          <w:lang w:val="fr-BE"/>
        </w:rPr>
      </w:pPr>
    </w:p>
    <w:p w14:paraId="5F7915DF" w14:textId="77777777" w:rsidR="00FD1E19" w:rsidRDefault="00FD1E19" w:rsidP="00FD1E19">
      <w:pPr>
        <w:jc w:val="both"/>
        <w:rPr>
          <w:rFonts w:cstheme="minorHAnsi"/>
          <w:noProof/>
          <w:sz w:val="20"/>
          <w:szCs w:val="20"/>
          <w:lang w:val="fr-BE"/>
        </w:rPr>
      </w:pPr>
    </w:p>
    <w:p w14:paraId="4348F2AA" w14:textId="77777777" w:rsidR="00FD1E19" w:rsidRDefault="00FD1E19" w:rsidP="00FD1E19">
      <w:pPr>
        <w:jc w:val="both"/>
        <w:rPr>
          <w:rFonts w:cstheme="minorHAnsi"/>
          <w:noProof/>
          <w:sz w:val="20"/>
          <w:szCs w:val="20"/>
          <w:lang w:val="fr-BE"/>
        </w:rPr>
      </w:pPr>
    </w:p>
    <w:p w14:paraId="609237C0" w14:textId="77777777" w:rsidR="00FD1E19" w:rsidRDefault="00FD1E19" w:rsidP="00FD1E19">
      <w:pPr>
        <w:jc w:val="both"/>
        <w:rPr>
          <w:rFonts w:cstheme="minorHAnsi"/>
          <w:noProof/>
          <w:sz w:val="20"/>
          <w:szCs w:val="20"/>
          <w:lang w:val="fr-BE"/>
        </w:rPr>
      </w:pPr>
    </w:p>
    <w:p w14:paraId="6471B257" w14:textId="77777777" w:rsidR="00FD1E19" w:rsidRDefault="00FD1E19" w:rsidP="00FD1E19">
      <w:pPr>
        <w:jc w:val="both"/>
        <w:rPr>
          <w:rFonts w:cstheme="minorHAnsi"/>
          <w:noProof/>
          <w:sz w:val="20"/>
          <w:szCs w:val="20"/>
          <w:lang w:val="fr-BE"/>
        </w:rPr>
      </w:pPr>
    </w:p>
    <w:p w14:paraId="78D39B87" w14:textId="77777777" w:rsidR="00FD1E19" w:rsidRDefault="00FD1E19" w:rsidP="00FD1E19">
      <w:pPr>
        <w:jc w:val="both"/>
        <w:rPr>
          <w:rFonts w:cstheme="minorHAnsi"/>
          <w:noProof/>
          <w:sz w:val="20"/>
          <w:szCs w:val="20"/>
          <w:lang w:val="fr-BE"/>
        </w:rPr>
      </w:pPr>
    </w:p>
    <w:p w14:paraId="14B405D5" w14:textId="77777777" w:rsidR="00FD1E19" w:rsidRPr="00D27031" w:rsidRDefault="00FD1E19" w:rsidP="00FD1E19">
      <w:pPr>
        <w:pStyle w:val="HEADER2PartBUDG"/>
        <w:rPr>
          <w:noProof/>
          <w:lang w:val="en-GB"/>
        </w:rPr>
      </w:pPr>
      <w:bookmarkStart w:id="191" w:name="_Toc223947602"/>
      <w:r w:rsidRPr="00D27031">
        <w:rPr>
          <w:noProof/>
          <w:lang w:val="en-GB"/>
        </w:rPr>
        <w:t>OPERATIONAL EXPENDITURE AND SPECIFIC PROGRAMMES</w:t>
      </w:r>
      <w:bookmarkEnd w:id="191"/>
      <w:r w:rsidRPr="00D27031">
        <w:rPr>
          <w:noProof/>
          <w:lang w:val="en-GB"/>
        </w:rPr>
        <w:t xml:space="preserve"> </w:t>
      </w:r>
    </w:p>
    <w:p w14:paraId="595068F6" w14:textId="77777777" w:rsidR="00FD1E19" w:rsidRPr="004F592F" w:rsidRDefault="00FD1E19" w:rsidP="00FD1E19">
      <w:pPr>
        <w:pStyle w:val="HEADER5"/>
        <w:rPr>
          <w:noProof/>
        </w:rPr>
      </w:pPr>
      <w:r w:rsidRPr="004F592F">
        <w:rPr>
          <w:noProof/>
        </w:rPr>
        <w:t xml:space="preserve">Nature of </w:t>
      </w:r>
      <w:r>
        <w:rPr>
          <w:noProof/>
        </w:rPr>
        <w:t>Expenditure</w:t>
      </w:r>
      <w:r w:rsidRPr="004F592F">
        <w:rPr>
          <w:noProof/>
        </w:rPr>
        <w:t xml:space="preserve"> </w:t>
      </w:r>
    </w:p>
    <w:p w14:paraId="7CD78220" w14:textId="77777777" w:rsidR="00FD1E19" w:rsidRPr="004F592F" w:rsidRDefault="00FD1E19" w:rsidP="00FD1E19">
      <w:pPr>
        <w:pStyle w:val="Textstand-alone"/>
      </w:pPr>
      <w:r>
        <w:t>The amount available under the multiannual financial framework consists of 3% allocated to Commission for support expenditure and 97% allocated to the implementation of EDF projects. Amounts are set by each Internal Agreement and can be increased by voluntary contributions and income yielded from operations.</w:t>
      </w:r>
    </w:p>
    <w:p w14:paraId="72A800E1" w14:textId="77777777" w:rsidR="00FD1E19" w:rsidRDefault="00FD1E19" w:rsidP="00FD1E19">
      <w:pPr>
        <w:pStyle w:val="HEADER5"/>
        <w:rPr>
          <w:noProof/>
        </w:rPr>
      </w:pPr>
      <w:r w:rsidRPr="003015F5">
        <w:rPr>
          <w:noProof/>
        </w:rPr>
        <w:t xml:space="preserve">Breakdown of </w:t>
      </w:r>
      <w:r>
        <w:rPr>
          <w:noProof/>
        </w:rPr>
        <w:t>C</w:t>
      </w:r>
      <w:r w:rsidRPr="003015F5">
        <w:rPr>
          <w:noProof/>
        </w:rPr>
        <w:t xml:space="preserve">ommitted, </w:t>
      </w:r>
      <w:r>
        <w:rPr>
          <w:noProof/>
        </w:rPr>
        <w:t>Contracted and P</w:t>
      </w:r>
      <w:r w:rsidRPr="003015F5">
        <w:rPr>
          <w:noProof/>
        </w:rPr>
        <w:t>aid amount per nature of expenditure:</w:t>
      </w:r>
    </w:p>
    <w:p w14:paraId="3236B04D" w14:textId="77777777" w:rsidR="00FD1E19" w:rsidRDefault="00FD1E19" w:rsidP="00FD1E19">
      <w:pPr>
        <w:pStyle w:val="HEADER5"/>
        <w:rPr>
          <w:noProof/>
        </w:rPr>
      </w:pPr>
    </w:p>
    <w:p w14:paraId="7716377C" w14:textId="77777777" w:rsidR="00FD1E19" w:rsidRDefault="00FD1E19" w:rsidP="00FD1E19">
      <w:pPr>
        <w:pStyle w:val="HEADER5"/>
        <w:rPr>
          <w:noProof/>
        </w:rPr>
      </w:pPr>
    </w:p>
    <w:tbl>
      <w:tblPr>
        <w:tblW w:w="5000" w:type="pct"/>
        <w:tblLook w:val="04A0" w:firstRow="1" w:lastRow="0" w:firstColumn="1" w:lastColumn="0" w:noHBand="0" w:noVBand="1"/>
      </w:tblPr>
      <w:tblGrid>
        <w:gridCol w:w="2729"/>
        <w:gridCol w:w="260"/>
        <w:gridCol w:w="260"/>
        <w:gridCol w:w="699"/>
        <w:gridCol w:w="739"/>
        <w:gridCol w:w="673"/>
        <w:gridCol w:w="555"/>
        <w:gridCol w:w="739"/>
        <w:gridCol w:w="673"/>
        <w:gridCol w:w="555"/>
        <w:gridCol w:w="739"/>
        <w:gridCol w:w="673"/>
        <w:gridCol w:w="560"/>
      </w:tblGrid>
      <w:tr w:rsidR="00FD1E19" w14:paraId="62F581EE" w14:textId="77777777" w:rsidTr="00BE7E4A">
        <w:trPr>
          <w:trHeight w:val="270"/>
        </w:trPr>
        <w:tc>
          <w:tcPr>
            <w:tcW w:w="2678" w:type="dxa"/>
            <w:tcBorders>
              <w:top w:val="nil"/>
              <w:left w:val="nil"/>
              <w:bottom w:val="nil"/>
              <w:right w:val="nil"/>
            </w:tcBorders>
            <w:shd w:val="clear" w:color="auto" w:fill="auto"/>
            <w:noWrap/>
            <w:vAlign w:val="bottom"/>
            <w:hideMark/>
          </w:tcPr>
          <w:p w14:paraId="2A5B951F" w14:textId="77777777" w:rsidR="00FD1E19" w:rsidRDefault="00FD1E19" w:rsidP="00BE7E4A">
            <w:pPr>
              <w:rPr>
                <w:noProof/>
                <w:sz w:val="20"/>
                <w:szCs w:val="20"/>
              </w:rPr>
            </w:pPr>
          </w:p>
        </w:tc>
        <w:tc>
          <w:tcPr>
            <w:tcW w:w="236" w:type="dxa"/>
            <w:tcBorders>
              <w:top w:val="nil"/>
              <w:left w:val="nil"/>
              <w:bottom w:val="nil"/>
              <w:right w:val="nil"/>
            </w:tcBorders>
            <w:shd w:val="clear" w:color="auto" w:fill="auto"/>
            <w:noWrap/>
            <w:vAlign w:val="bottom"/>
            <w:hideMark/>
          </w:tcPr>
          <w:p w14:paraId="16749085" w14:textId="77777777" w:rsidR="00FD1E19" w:rsidRDefault="00FD1E19" w:rsidP="00BE7E4A">
            <w:pPr>
              <w:rPr>
                <w:noProof/>
                <w:sz w:val="20"/>
                <w:szCs w:val="20"/>
              </w:rPr>
            </w:pPr>
          </w:p>
        </w:tc>
        <w:tc>
          <w:tcPr>
            <w:tcW w:w="237" w:type="dxa"/>
            <w:tcBorders>
              <w:top w:val="nil"/>
              <w:left w:val="nil"/>
              <w:bottom w:val="nil"/>
              <w:right w:val="nil"/>
            </w:tcBorders>
            <w:shd w:val="clear" w:color="auto" w:fill="auto"/>
            <w:noWrap/>
            <w:vAlign w:val="bottom"/>
            <w:hideMark/>
          </w:tcPr>
          <w:p w14:paraId="10D8F205" w14:textId="77777777" w:rsidR="00FD1E19" w:rsidRDefault="00FD1E19" w:rsidP="00BE7E4A">
            <w:pPr>
              <w:rPr>
                <w:noProof/>
                <w:sz w:val="20"/>
                <w:szCs w:val="20"/>
              </w:rPr>
            </w:pPr>
          </w:p>
        </w:tc>
        <w:tc>
          <w:tcPr>
            <w:tcW w:w="6478" w:type="dxa"/>
            <w:gridSpan w:val="10"/>
            <w:tcBorders>
              <w:top w:val="single" w:sz="8" w:space="0" w:color="auto"/>
              <w:left w:val="single" w:sz="8" w:space="0" w:color="auto"/>
              <w:bottom w:val="single" w:sz="8" w:space="0" w:color="auto"/>
              <w:right w:val="single" w:sz="8" w:space="0" w:color="000000"/>
            </w:tcBorders>
            <w:shd w:val="clear" w:color="000000" w:fill="FFFFFF"/>
            <w:vAlign w:val="bottom"/>
            <w:hideMark/>
          </w:tcPr>
          <w:p w14:paraId="6DC96A07" w14:textId="77777777" w:rsidR="00FD1E19" w:rsidRDefault="00FD1E19" w:rsidP="00BE7E4A">
            <w:pPr>
              <w:jc w:val="center"/>
              <w:rPr>
                <w:rFonts w:ascii="Arial" w:hAnsi="Arial" w:cs="Arial"/>
                <w:noProof/>
                <w:color w:val="000000"/>
                <w:sz w:val="18"/>
                <w:szCs w:val="18"/>
              </w:rPr>
            </w:pPr>
            <w:r>
              <w:rPr>
                <w:rFonts w:ascii="Arial" w:hAnsi="Arial" w:cs="Arial"/>
                <w:noProof/>
                <w:color w:val="000000"/>
                <w:sz w:val="18"/>
                <w:szCs w:val="18"/>
              </w:rPr>
              <w:t xml:space="preserve">OPERATIONAL IMPLEMENTATION  IMPLEMENTATION COSTS AND INTERESTS REVENUES </w:t>
            </w:r>
            <w:r>
              <w:rPr>
                <w:rFonts w:ascii="Arial" w:hAnsi="Arial" w:cs="Arial"/>
                <w:noProof/>
                <w:color w:val="000000"/>
                <w:sz w:val="18"/>
                <w:szCs w:val="18"/>
              </w:rPr>
              <w:br/>
              <w:t>(10th and 11th EDF) 2025</w:t>
            </w:r>
          </w:p>
        </w:tc>
      </w:tr>
      <w:tr w:rsidR="00FD1E19" w14:paraId="6710B8ED" w14:textId="77777777" w:rsidTr="00BE7E4A">
        <w:trPr>
          <w:trHeight w:val="255"/>
        </w:trPr>
        <w:tc>
          <w:tcPr>
            <w:tcW w:w="2678" w:type="dxa"/>
            <w:tcBorders>
              <w:top w:val="nil"/>
              <w:left w:val="nil"/>
              <w:bottom w:val="nil"/>
              <w:right w:val="nil"/>
            </w:tcBorders>
            <w:shd w:val="clear" w:color="FFFFFF" w:fill="FFFFFF"/>
            <w:noWrap/>
            <w:vAlign w:val="center"/>
            <w:hideMark/>
          </w:tcPr>
          <w:p w14:paraId="7F867D2B"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236" w:type="dxa"/>
            <w:tcBorders>
              <w:top w:val="nil"/>
              <w:left w:val="nil"/>
              <w:bottom w:val="nil"/>
              <w:right w:val="nil"/>
            </w:tcBorders>
            <w:shd w:val="clear" w:color="FFFFFF" w:fill="FFFFFF"/>
            <w:noWrap/>
            <w:vAlign w:val="center"/>
            <w:hideMark/>
          </w:tcPr>
          <w:p w14:paraId="657CE889"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237" w:type="dxa"/>
            <w:tcBorders>
              <w:top w:val="nil"/>
              <w:left w:val="nil"/>
              <w:bottom w:val="nil"/>
              <w:right w:val="nil"/>
            </w:tcBorders>
            <w:shd w:val="clear" w:color="FFFFFF" w:fill="FFFFFF"/>
            <w:noWrap/>
            <w:vAlign w:val="center"/>
            <w:hideMark/>
          </w:tcPr>
          <w:p w14:paraId="03F1AAD0"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686" w:type="dxa"/>
            <w:vMerge w:val="restart"/>
            <w:tcBorders>
              <w:top w:val="nil"/>
              <w:left w:val="single" w:sz="8" w:space="0" w:color="auto"/>
              <w:bottom w:val="single" w:sz="4" w:space="0" w:color="000000"/>
              <w:right w:val="single" w:sz="4" w:space="0" w:color="000000"/>
            </w:tcBorders>
            <w:shd w:val="clear" w:color="FFFFFF" w:fill="FFFFFF"/>
            <w:noWrap/>
            <w:vAlign w:val="center"/>
            <w:hideMark/>
          </w:tcPr>
          <w:p w14:paraId="69329546"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CREDITS</w:t>
            </w:r>
          </w:p>
        </w:tc>
        <w:tc>
          <w:tcPr>
            <w:tcW w:w="1929" w:type="dxa"/>
            <w:gridSpan w:val="3"/>
            <w:tcBorders>
              <w:top w:val="single" w:sz="8" w:space="0" w:color="auto"/>
              <w:left w:val="nil"/>
              <w:bottom w:val="single" w:sz="4" w:space="0" w:color="000000"/>
              <w:right w:val="single" w:sz="4" w:space="0" w:color="000000"/>
            </w:tcBorders>
            <w:shd w:val="clear" w:color="FFFFFF" w:fill="FFFFFF"/>
            <w:noWrap/>
            <w:vAlign w:val="center"/>
            <w:hideMark/>
          </w:tcPr>
          <w:p w14:paraId="5495829C"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DECISIONS</w:t>
            </w:r>
          </w:p>
        </w:tc>
        <w:tc>
          <w:tcPr>
            <w:tcW w:w="1929" w:type="dxa"/>
            <w:gridSpan w:val="3"/>
            <w:tcBorders>
              <w:top w:val="single" w:sz="8" w:space="0" w:color="auto"/>
              <w:left w:val="nil"/>
              <w:bottom w:val="single" w:sz="4" w:space="0" w:color="000000"/>
              <w:right w:val="single" w:sz="4" w:space="0" w:color="000000"/>
            </w:tcBorders>
            <w:shd w:val="clear" w:color="FFFFFF" w:fill="FFFFFF"/>
            <w:noWrap/>
            <w:vAlign w:val="center"/>
            <w:hideMark/>
          </w:tcPr>
          <w:p w14:paraId="06C06EE5"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ASSIGNED FUNDS</w:t>
            </w:r>
          </w:p>
        </w:tc>
        <w:tc>
          <w:tcPr>
            <w:tcW w:w="1934" w:type="dxa"/>
            <w:gridSpan w:val="3"/>
            <w:tcBorders>
              <w:top w:val="single" w:sz="8" w:space="0" w:color="auto"/>
              <w:left w:val="nil"/>
              <w:bottom w:val="single" w:sz="4" w:space="0" w:color="000000"/>
              <w:right w:val="single" w:sz="8" w:space="0" w:color="000000"/>
            </w:tcBorders>
            <w:shd w:val="clear" w:color="FFFFFF" w:fill="FFFFFF"/>
            <w:noWrap/>
            <w:vAlign w:val="center"/>
            <w:hideMark/>
          </w:tcPr>
          <w:p w14:paraId="1F6B00F7" w14:textId="77777777" w:rsidR="00FD1E19" w:rsidRDefault="00FD1E19" w:rsidP="00BE7E4A">
            <w:pPr>
              <w:jc w:val="center"/>
              <w:rPr>
                <w:rFonts w:ascii="Arial" w:hAnsi="Arial" w:cs="Arial"/>
                <w:b/>
                <w:bCs/>
                <w:noProof/>
                <w:color w:val="000000"/>
                <w:sz w:val="14"/>
                <w:szCs w:val="14"/>
              </w:rPr>
            </w:pPr>
            <w:r>
              <w:rPr>
                <w:rFonts w:ascii="Arial" w:hAnsi="Arial" w:cs="Arial"/>
                <w:b/>
                <w:bCs/>
                <w:noProof/>
                <w:color w:val="000000"/>
                <w:sz w:val="14"/>
                <w:szCs w:val="14"/>
              </w:rPr>
              <w:t>PAYMENTS</w:t>
            </w:r>
          </w:p>
        </w:tc>
      </w:tr>
      <w:tr w:rsidR="00FD1E19" w14:paraId="4873D863" w14:textId="77777777" w:rsidTr="00BE7E4A">
        <w:trPr>
          <w:trHeight w:val="255"/>
        </w:trPr>
        <w:tc>
          <w:tcPr>
            <w:tcW w:w="2678" w:type="dxa"/>
            <w:tcBorders>
              <w:top w:val="nil"/>
              <w:left w:val="nil"/>
              <w:bottom w:val="nil"/>
              <w:right w:val="nil"/>
            </w:tcBorders>
            <w:shd w:val="clear" w:color="FFFFFF" w:fill="FFFFFF"/>
            <w:noWrap/>
            <w:vAlign w:val="center"/>
            <w:hideMark/>
          </w:tcPr>
          <w:p w14:paraId="07935AF4"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236" w:type="dxa"/>
            <w:tcBorders>
              <w:top w:val="nil"/>
              <w:left w:val="nil"/>
              <w:bottom w:val="nil"/>
              <w:right w:val="nil"/>
            </w:tcBorders>
            <w:shd w:val="clear" w:color="FFFFFF" w:fill="FFFFFF"/>
            <w:noWrap/>
            <w:vAlign w:val="center"/>
            <w:hideMark/>
          </w:tcPr>
          <w:p w14:paraId="3B1509F9"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237" w:type="dxa"/>
            <w:tcBorders>
              <w:top w:val="nil"/>
              <w:left w:val="nil"/>
              <w:bottom w:val="nil"/>
              <w:right w:val="nil"/>
            </w:tcBorders>
            <w:shd w:val="clear" w:color="FFFFFF" w:fill="FFFFFF"/>
            <w:noWrap/>
            <w:vAlign w:val="center"/>
            <w:hideMark/>
          </w:tcPr>
          <w:p w14:paraId="312C6C4D"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686" w:type="dxa"/>
            <w:vMerge/>
            <w:tcBorders>
              <w:top w:val="nil"/>
              <w:left w:val="single" w:sz="8" w:space="0" w:color="auto"/>
              <w:bottom w:val="single" w:sz="4" w:space="0" w:color="000000"/>
              <w:right w:val="single" w:sz="4" w:space="0" w:color="000000"/>
            </w:tcBorders>
            <w:vAlign w:val="center"/>
            <w:hideMark/>
          </w:tcPr>
          <w:p w14:paraId="10438D75" w14:textId="77777777" w:rsidR="00FD1E19" w:rsidRDefault="00FD1E19" w:rsidP="00BE7E4A">
            <w:pPr>
              <w:rPr>
                <w:rFonts w:ascii="Arial" w:hAnsi="Arial" w:cs="Arial"/>
                <w:b/>
                <w:bCs/>
                <w:noProof/>
                <w:color w:val="000000"/>
                <w:sz w:val="14"/>
                <w:szCs w:val="14"/>
              </w:rPr>
            </w:pPr>
          </w:p>
        </w:tc>
        <w:tc>
          <w:tcPr>
            <w:tcW w:w="725" w:type="dxa"/>
            <w:tcBorders>
              <w:top w:val="nil"/>
              <w:left w:val="nil"/>
              <w:bottom w:val="single" w:sz="4" w:space="0" w:color="000000"/>
              <w:right w:val="single" w:sz="4" w:space="0" w:color="000000"/>
            </w:tcBorders>
            <w:shd w:val="clear" w:color="FFFFFF" w:fill="FFFFFF"/>
            <w:noWrap/>
            <w:vAlign w:val="center"/>
            <w:hideMark/>
          </w:tcPr>
          <w:p w14:paraId="0A967FEC"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AGGREG.</w:t>
            </w:r>
          </w:p>
        </w:tc>
        <w:tc>
          <w:tcPr>
            <w:tcW w:w="660" w:type="dxa"/>
            <w:tcBorders>
              <w:top w:val="nil"/>
              <w:left w:val="nil"/>
              <w:bottom w:val="single" w:sz="4" w:space="0" w:color="000000"/>
              <w:right w:val="single" w:sz="4" w:space="0" w:color="000000"/>
            </w:tcBorders>
            <w:shd w:val="clear" w:color="FFFFFF" w:fill="FFFFFF"/>
            <w:noWrap/>
            <w:vAlign w:val="center"/>
            <w:hideMark/>
          </w:tcPr>
          <w:p w14:paraId="4AB63FF9"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ANNUAL</w:t>
            </w:r>
          </w:p>
        </w:tc>
        <w:tc>
          <w:tcPr>
            <w:tcW w:w="544" w:type="dxa"/>
            <w:tcBorders>
              <w:top w:val="nil"/>
              <w:left w:val="nil"/>
              <w:bottom w:val="single" w:sz="4" w:space="0" w:color="000000"/>
              <w:right w:val="single" w:sz="4" w:space="0" w:color="000000"/>
            </w:tcBorders>
            <w:shd w:val="clear" w:color="FFFFFF" w:fill="FFFFFF"/>
            <w:noWrap/>
            <w:vAlign w:val="center"/>
            <w:hideMark/>
          </w:tcPr>
          <w:p w14:paraId="4CC118FC"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w:t>
            </w:r>
          </w:p>
        </w:tc>
        <w:tc>
          <w:tcPr>
            <w:tcW w:w="725" w:type="dxa"/>
            <w:tcBorders>
              <w:top w:val="nil"/>
              <w:left w:val="nil"/>
              <w:bottom w:val="single" w:sz="4" w:space="0" w:color="000000"/>
              <w:right w:val="single" w:sz="4" w:space="0" w:color="000000"/>
            </w:tcBorders>
            <w:shd w:val="clear" w:color="FFFFFF" w:fill="FFFFFF"/>
            <w:noWrap/>
            <w:vAlign w:val="center"/>
            <w:hideMark/>
          </w:tcPr>
          <w:p w14:paraId="26E85A1C"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AGGREG.</w:t>
            </w:r>
          </w:p>
        </w:tc>
        <w:tc>
          <w:tcPr>
            <w:tcW w:w="660" w:type="dxa"/>
            <w:tcBorders>
              <w:top w:val="nil"/>
              <w:left w:val="nil"/>
              <w:bottom w:val="single" w:sz="4" w:space="0" w:color="000000"/>
              <w:right w:val="single" w:sz="4" w:space="0" w:color="000000"/>
            </w:tcBorders>
            <w:shd w:val="clear" w:color="FFFFFF" w:fill="FFFFFF"/>
            <w:noWrap/>
            <w:vAlign w:val="center"/>
            <w:hideMark/>
          </w:tcPr>
          <w:p w14:paraId="3AD5A07D"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ANNUAL</w:t>
            </w:r>
          </w:p>
        </w:tc>
        <w:tc>
          <w:tcPr>
            <w:tcW w:w="544" w:type="dxa"/>
            <w:tcBorders>
              <w:top w:val="nil"/>
              <w:left w:val="nil"/>
              <w:bottom w:val="single" w:sz="4" w:space="0" w:color="000000"/>
              <w:right w:val="single" w:sz="4" w:space="0" w:color="000000"/>
            </w:tcBorders>
            <w:shd w:val="clear" w:color="FFFFFF" w:fill="FFFFFF"/>
            <w:noWrap/>
            <w:vAlign w:val="center"/>
            <w:hideMark/>
          </w:tcPr>
          <w:p w14:paraId="307ABDB8"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w:t>
            </w:r>
          </w:p>
        </w:tc>
        <w:tc>
          <w:tcPr>
            <w:tcW w:w="725" w:type="dxa"/>
            <w:tcBorders>
              <w:top w:val="nil"/>
              <w:left w:val="nil"/>
              <w:bottom w:val="single" w:sz="4" w:space="0" w:color="000000"/>
              <w:right w:val="single" w:sz="4" w:space="0" w:color="000000"/>
            </w:tcBorders>
            <w:shd w:val="clear" w:color="FFFFFF" w:fill="FFFFFF"/>
            <w:noWrap/>
            <w:vAlign w:val="center"/>
            <w:hideMark/>
          </w:tcPr>
          <w:p w14:paraId="6FCCFB4E"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AGGREG.</w:t>
            </w:r>
          </w:p>
        </w:tc>
        <w:tc>
          <w:tcPr>
            <w:tcW w:w="660" w:type="dxa"/>
            <w:tcBorders>
              <w:top w:val="nil"/>
              <w:left w:val="nil"/>
              <w:bottom w:val="single" w:sz="4" w:space="0" w:color="000000"/>
              <w:right w:val="single" w:sz="4" w:space="0" w:color="000000"/>
            </w:tcBorders>
            <w:shd w:val="clear" w:color="FFFFFF" w:fill="FFFFFF"/>
            <w:noWrap/>
            <w:vAlign w:val="center"/>
            <w:hideMark/>
          </w:tcPr>
          <w:p w14:paraId="25D1D9C5"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ANNUAL</w:t>
            </w:r>
          </w:p>
        </w:tc>
        <w:tc>
          <w:tcPr>
            <w:tcW w:w="549" w:type="dxa"/>
            <w:tcBorders>
              <w:top w:val="nil"/>
              <w:left w:val="nil"/>
              <w:bottom w:val="single" w:sz="4" w:space="0" w:color="000000"/>
              <w:right w:val="single" w:sz="8" w:space="0" w:color="auto"/>
            </w:tcBorders>
            <w:shd w:val="clear" w:color="FFFFFF" w:fill="FFFFFF"/>
            <w:noWrap/>
            <w:vAlign w:val="center"/>
            <w:hideMark/>
          </w:tcPr>
          <w:p w14:paraId="7E9C2CE9" w14:textId="77777777" w:rsidR="00FD1E19" w:rsidRPr="00E579C2" w:rsidRDefault="00FD1E19" w:rsidP="00BE7E4A">
            <w:pPr>
              <w:jc w:val="center"/>
              <w:rPr>
                <w:rFonts w:ascii="Arial" w:hAnsi="Arial" w:cs="Arial"/>
                <w:b/>
                <w:bCs/>
                <w:noProof/>
                <w:color w:val="000000"/>
                <w:sz w:val="8"/>
                <w:szCs w:val="8"/>
              </w:rPr>
            </w:pPr>
            <w:r w:rsidRPr="00E579C2">
              <w:rPr>
                <w:rFonts w:ascii="Arial" w:hAnsi="Arial" w:cs="Arial"/>
                <w:b/>
                <w:bCs/>
                <w:noProof/>
                <w:color w:val="000000"/>
                <w:sz w:val="8"/>
                <w:szCs w:val="8"/>
              </w:rPr>
              <w:t>%</w:t>
            </w:r>
          </w:p>
        </w:tc>
      </w:tr>
      <w:tr w:rsidR="00FD1E19" w14:paraId="4D56D766" w14:textId="77777777" w:rsidTr="00BE7E4A">
        <w:trPr>
          <w:trHeight w:val="270"/>
        </w:trPr>
        <w:tc>
          <w:tcPr>
            <w:tcW w:w="2678" w:type="dxa"/>
            <w:tcBorders>
              <w:top w:val="nil"/>
              <w:left w:val="nil"/>
              <w:bottom w:val="nil"/>
              <w:right w:val="nil"/>
            </w:tcBorders>
            <w:shd w:val="clear" w:color="FFFFFF" w:fill="FFFFFF"/>
            <w:noWrap/>
            <w:vAlign w:val="center"/>
            <w:hideMark/>
          </w:tcPr>
          <w:p w14:paraId="1F411D9E"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236" w:type="dxa"/>
            <w:tcBorders>
              <w:top w:val="nil"/>
              <w:left w:val="nil"/>
              <w:bottom w:val="nil"/>
              <w:right w:val="nil"/>
            </w:tcBorders>
            <w:shd w:val="clear" w:color="FFFFFF" w:fill="FFFFFF"/>
            <w:noWrap/>
            <w:vAlign w:val="center"/>
            <w:hideMark/>
          </w:tcPr>
          <w:p w14:paraId="2019ED19"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237" w:type="dxa"/>
            <w:tcBorders>
              <w:top w:val="nil"/>
              <w:left w:val="nil"/>
              <w:bottom w:val="nil"/>
              <w:right w:val="nil"/>
            </w:tcBorders>
            <w:shd w:val="clear" w:color="FFFFFF" w:fill="FFFFFF"/>
            <w:noWrap/>
            <w:vAlign w:val="center"/>
            <w:hideMark/>
          </w:tcPr>
          <w:p w14:paraId="1DA9A27D" w14:textId="77777777" w:rsidR="00FD1E19" w:rsidRDefault="00FD1E19" w:rsidP="00BE7E4A">
            <w:pPr>
              <w:rPr>
                <w:rFonts w:ascii="Arial" w:hAnsi="Arial" w:cs="Arial"/>
                <w:noProof/>
                <w:color w:val="000000"/>
                <w:sz w:val="14"/>
                <w:szCs w:val="14"/>
              </w:rPr>
            </w:pPr>
            <w:r>
              <w:rPr>
                <w:rFonts w:ascii="Arial" w:hAnsi="Arial" w:cs="Arial"/>
                <w:noProof/>
                <w:color w:val="000000"/>
                <w:sz w:val="14"/>
                <w:szCs w:val="14"/>
              </w:rPr>
              <w:t> </w:t>
            </w:r>
          </w:p>
        </w:tc>
        <w:tc>
          <w:tcPr>
            <w:tcW w:w="686" w:type="dxa"/>
            <w:tcBorders>
              <w:top w:val="nil"/>
              <w:left w:val="single" w:sz="8" w:space="0" w:color="auto"/>
              <w:bottom w:val="single" w:sz="4" w:space="0" w:color="000000"/>
              <w:right w:val="single" w:sz="4" w:space="0" w:color="000000"/>
            </w:tcBorders>
            <w:shd w:val="clear" w:color="FFFFFF" w:fill="FFFFFF"/>
            <w:noWrap/>
            <w:vAlign w:val="center"/>
            <w:hideMark/>
          </w:tcPr>
          <w:p w14:paraId="0FCB570D"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(1)</w:t>
            </w:r>
          </w:p>
        </w:tc>
        <w:tc>
          <w:tcPr>
            <w:tcW w:w="725" w:type="dxa"/>
            <w:tcBorders>
              <w:top w:val="nil"/>
              <w:left w:val="nil"/>
              <w:bottom w:val="single" w:sz="4" w:space="0" w:color="000000"/>
              <w:right w:val="single" w:sz="4" w:space="0" w:color="000000"/>
            </w:tcBorders>
            <w:shd w:val="clear" w:color="FFFFFF" w:fill="FFFFFF"/>
            <w:noWrap/>
            <w:vAlign w:val="center"/>
            <w:hideMark/>
          </w:tcPr>
          <w:p w14:paraId="06D745B3"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(2)</w:t>
            </w:r>
          </w:p>
        </w:tc>
        <w:tc>
          <w:tcPr>
            <w:tcW w:w="660" w:type="dxa"/>
            <w:tcBorders>
              <w:top w:val="nil"/>
              <w:left w:val="nil"/>
              <w:bottom w:val="single" w:sz="4" w:space="0" w:color="000000"/>
              <w:right w:val="single" w:sz="4" w:space="0" w:color="000000"/>
            </w:tcBorders>
            <w:shd w:val="clear" w:color="FFFFFF" w:fill="FFFFFF"/>
            <w:noWrap/>
            <w:vAlign w:val="center"/>
            <w:hideMark/>
          </w:tcPr>
          <w:p w14:paraId="0B998B71"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 </w:t>
            </w:r>
          </w:p>
        </w:tc>
        <w:tc>
          <w:tcPr>
            <w:tcW w:w="544" w:type="dxa"/>
            <w:tcBorders>
              <w:top w:val="nil"/>
              <w:left w:val="nil"/>
              <w:bottom w:val="single" w:sz="4" w:space="0" w:color="000000"/>
              <w:right w:val="single" w:sz="4" w:space="0" w:color="000000"/>
            </w:tcBorders>
            <w:shd w:val="clear" w:color="FFFFFF" w:fill="FFFFFF"/>
            <w:noWrap/>
            <w:vAlign w:val="center"/>
            <w:hideMark/>
          </w:tcPr>
          <w:p w14:paraId="1C87365C"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(2) : (1)</w:t>
            </w:r>
          </w:p>
        </w:tc>
        <w:tc>
          <w:tcPr>
            <w:tcW w:w="725" w:type="dxa"/>
            <w:tcBorders>
              <w:top w:val="nil"/>
              <w:left w:val="nil"/>
              <w:bottom w:val="single" w:sz="4" w:space="0" w:color="000000"/>
              <w:right w:val="single" w:sz="4" w:space="0" w:color="000000"/>
            </w:tcBorders>
            <w:shd w:val="clear" w:color="FFFFFF" w:fill="FFFFFF"/>
            <w:noWrap/>
            <w:vAlign w:val="center"/>
            <w:hideMark/>
          </w:tcPr>
          <w:p w14:paraId="0A3D25C4"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(3)</w:t>
            </w:r>
          </w:p>
        </w:tc>
        <w:tc>
          <w:tcPr>
            <w:tcW w:w="660" w:type="dxa"/>
            <w:tcBorders>
              <w:top w:val="nil"/>
              <w:left w:val="nil"/>
              <w:bottom w:val="single" w:sz="4" w:space="0" w:color="000000"/>
              <w:right w:val="single" w:sz="4" w:space="0" w:color="000000"/>
            </w:tcBorders>
            <w:shd w:val="clear" w:color="FFFFFF" w:fill="FFFFFF"/>
            <w:noWrap/>
            <w:vAlign w:val="center"/>
            <w:hideMark/>
          </w:tcPr>
          <w:p w14:paraId="66DE8879"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 </w:t>
            </w:r>
          </w:p>
        </w:tc>
        <w:tc>
          <w:tcPr>
            <w:tcW w:w="544" w:type="dxa"/>
            <w:tcBorders>
              <w:top w:val="nil"/>
              <w:left w:val="nil"/>
              <w:bottom w:val="single" w:sz="4" w:space="0" w:color="000000"/>
              <w:right w:val="single" w:sz="4" w:space="0" w:color="000000"/>
            </w:tcBorders>
            <w:shd w:val="clear" w:color="FFFFFF" w:fill="FFFFFF"/>
            <w:noWrap/>
            <w:vAlign w:val="center"/>
            <w:hideMark/>
          </w:tcPr>
          <w:p w14:paraId="0226739C"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(3) : (2)</w:t>
            </w:r>
          </w:p>
        </w:tc>
        <w:tc>
          <w:tcPr>
            <w:tcW w:w="725" w:type="dxa"/>
            <w:tcBorders>
              <w:top w:val="nil"/>
              <w:left w:val="nil"/>
              <w:bottom w:val="single" w:sz="4" w:space="0" w:color="000000"/>
              <w:right w:val="single" w:sz="4" w:space="0" w:color="000000"/>
            </w:tcBorders>
            <w:shd w:val="clear" w:color="FFFFFF" w:fill="FFFFFF"/>
            <w:noWrap/>
            <w:vAlign w:val="center"/>
            <w:hideMark/>
          </w:tcPr>
          <w:p w14:paraId="182DDF7F"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(4)</w:t>
            </w:r>
          </w:p>
        </w:tc>
        <w:tc>
          <w:tcPr>
            <w:tcW w:w="660" w:type="dxa"/>
            <w:tcBorders>
              <w:top w:val="nil"/>
              <w:left w:val="nil"/>
              <w:bottom w:val="single" w:sz="4" w:space="0" w:color="000000"/>
              <w:right w:val="single" w:sz="4" w:space="0" w:color="000000"/>
            </w:tcBorders>
            <w:shd w:val="clear" w:color="FFFFFF" w:fill="FFFFFF"/>
            <w:noWrap/>
            <w:vAlign w:val="center"/>
            <w:hideMark/>
          </w:tcPr>
          <w:p w14:paraId="32E3CAFB"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 </w:t>
            </w:r>
          </w:p>
        </w:tc>
        <w:tc>
          <w:tcPr>
            <w:tcW w:w="549" w:type="dxa"/>
            <w:tcBorders>
              <w:top w:val="nil"/>
              <w:left w:val="nil"/>
              <w:bottom w:val="single" w:sz="4" w:space="0" w:color="000000"/>
              <w:right w:val="single" w:sz="8" w:space="0" w:color="auto"/>
            </w:tcBorders>
            <w:shd w:val="clear" w:color="FFFFFF" w:fill="FFFFFF"/>
            <w:noWrap/>
            <w:vAlign w:val="center"/>
            <w:hideMark/>
          </w:tcPr>
          <w:p w14:paraId="67EEC05E" w14:textId="77777777" w:rsidR="00FD1E19" w:rsidRPr="00E579C2" w:rsidRDefault="00FD1E19" w:rsidP="00BE7E4A">
            <w:pPr>
              <w:jc w:val="center"/>
              <w:rPr>
                <w:rFonts w:ascii="Arial" w:hAnsi="Arial" w:cs="Arial"/>
                <w:b/>
                <w:bCs/>
                <w:noProof/>
                <w:color w:val="000000"/>
                <w:sz w:val="10"/>
                <w:szCs w:val="10"/>
              </w:rPr>
            </w:pPr>
            <w:r w:rsidRPr="00E579C2">
              <w:rPr>
                <w:rFonts w:ascii="Arial" w:hAnsi="Arial" w:cs="Arial"/>
                <w:b/>
                <w:bCs/>
                <w:noProof/>
                <w:color w:val="000000"/>
                <w:sz w:val="10"/>
                <w:szCs w:val="10"/>
              </w:rPr>
              <w:t>(4) : (3)</w:t>
            </w:r>
          </w:p>
        </w:tc>
      </w:tr>
      <w:tr w:rsidR="00FD1E19" w14:paraId="33D942F0" w14:textId="77777777" w:rsidTr="00BE7E4A">
        <w:trPr>
          <w:trHeight w:val="270"/>
        </w:trPr>
        <w:tc>
          <w:tcPr>
            <w:tcW w:w="3151" w:type="dxa"/>
            <w:gridSpan w:val="3"/>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17924A8F"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IMPLEMENTATION COSTS AND INTERESTS REVENUES 10th  + 11th EDF</w:t>
            </w:r>
          </w:p>
        </w:tc>
        <w:tc>
          <w:tcPr>
            <w:tcW w:w="686" w:type="dxa"/>
            <w:tcBorders>
              <w:top w:val="single" w:sz="8" w:space="0" w:color="auto"/>
              <w:left w:val="nil"/>
              <w:bottom w:val="single" w:sz="8" w:space="0" w:color="auto"/>
              <w:right w:val="single" w:sz="4" w:space="0" w:color="000000"/>
            </w:tcBorders>
            <w:shd w:val="clear" w:color="FFFFFF" w:fill="FFFFFF"/>
            <w:noWrap/>
            <w:vAlign w:val="center"/>
            <w:hideMark/>
          </w:tcPr>
          <w:p w14:paraId="62431601"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1.622</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14:paraId="42B01E32"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1.608</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14:paraId="79834B56"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(2)</w:t>
            </w:r>
          </w:p>
        </w:tc>
        <w:tc>
          <w:tcPr>
            <w:tcW w:w="544" w:type="dxa"/>
            <w:tcBorders>
              <w:top w:val="single" w:sz="8" w:space="0" w:color="auto"/>
              <w:left w:val="nil"/>
              <w:bottom w:val="single" w:sz="8" w:space="0" w:color="auto"/>
              <w:right w:val="single" w:sz="4" w:space="0" w:color="000000"/>
            </w:tcBorders>
            <w:shd w:val="clear" w:color="FFFFFF" w:fill="FFFFFF"/>
            <w:noWrap/>
            <w:vAlign w:val="center"/>
            <w:hideMark/>
          </w:tcPr>
          <w:p w14:paraId="3CEE2704"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99,1%</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14:paraId="175B9933"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1.605</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14:paraId="3010FDB7" w14:textId="77777777" w:rsidR="00FD1E19" w:rsidRPr="00E579C2" w:rsidRDefault="00FD1E19" w:rsidP="00BE7E4A">
            <w:pPr>
              <w:jc w:val="right"/>
              <w:rPr>
                <w:rFonts w:ascii="Arial" w:hAnsi="Arial" w:cs="Arial"/>
                <w:noProof/>
                <w:color w:val="000000"/>
                <w:sz w:val="10"/>
                <w:szCs w:val="10"/>
              </w:rPr>
            </w:pPr>
            <w:r w:rsidRPr="00E579C2">
              <w:rPr>
                <w:rFonts w:ascii="Arial" w:hAnsi="Arial" w:cs="Arial"/>
                <w:noProof/>
                <w:color w:val="000000"/>
                <w:sz w:val="10"/>
                <w:szCs w:val="10"/>
              </w:rPr>
              <w:t>(1)</w:t>
            </w:r>
          </w:p>
        </w:tc>
        <w:tc>
          <w:tcPr>
            <w:tcW w:w="544" w:type="dxa"/>
            <w:tcBorders>
              <w:top w:val="single" w:sz="8" w:space="0" w:color="auto"/>
              <w:left w:val="nil"/>
              <w:bottom w:val="single" w:sz="8" w:space="0" w:color="auto"/>
              <w:right w:val="single" w:sz="4" w:space="0" w:color="000000"/>
            </w:tcBorders>
            <w:shd w:val="clear" w:color="FFFFFF" w:fill="FFFFFF"/>
            <w:noWrap/>
            <w:vAlign w:val="center"/>
            <w:hideMark/>
          </w:tcPr>
          <w:p w14:paraId="16E21433"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99,8%</w:t>
            </w:r>
          </w:p>
        </w:tc>
        <w:tc>
          <w:tcPr>
            <w:tcW w:w="725" w:type="dxa"/>
            <w:tcBorders>
              <w:top w:val="single" w:sz="8" w:space="0" w:color="auto"/>
              <w:left w:val="nil"/>
              <w:bottom w:val="single" w:sz="8" w:space="0" w:color="auto"/>
              <w:right w:val="single" w:sz="4" w:space="0" w:color="000000"/>
            </w:tcBorders>
            <w:shd w:val="clear" w:color="FFFFFF" w:fill="FFFFFF"/>
            <w:noWrap/>
            <w:vAlign w:val="center"/>
            <w:hideMark/>
          </w:tcPr>
          <w:p w14:paraId="7A2D9D46"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1.550</w:t>
            </w:r>
          </w:p>
        </w:tc>
        <w:tc>
          <w:tcPr>
            <w:tcW w:w="660" w:type="dxa"/>
            <w:tcBorders>
              <w:top w:val="single" w:sz="8" w:space="0" w:color="auto"/>
              <w:left w:val="nil"/>
              <w:bottom w:val="single" w:sz="8" w:space="0" w:color="auto"/>
              <w:right w:val="single" w:sz="4" w:space="0" w:color="000000"/>
            </w:tcBorders>
            <w:shd w:val="clear" w:color="FFFFFF" w:fill="FFFFFF"/>
            <w:noWrap/>
            <w:vAlign w:val="center"/>
            <w:hideMark/>
          </w:tcPr>
          <w:p w14:paraId="42F781D6"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41</w:t>
            </w:r>
          </w:p>
        </w:tc>
        <w:tc>
          <w:tcPr>
            <w:tcW w:w="549" w:type="dxa"/>
            <w:tcBorders>
              <w:top w:val="single" w:sz="8" w:space="0" w:color="auto"/>
              <w:left w:val="nil"/>
              <w:bottom w:val="single" w:sz="8" w:space="0" w:color="auto"/>
              <w:right w:val="single" w:sz="8" w:space="0" w:color="auto"/>
            </w:tcBorders>
            <w:shd w:val="clear" w:color="FFFFFF" w:fill="FFFFFF"/>
            <w:noWrap/>
            <w:vAlign w:val="center"/>
            <w:hideMark/>
          </w:tcPr>
          <w:p w14:paraId="2C3CCEE0"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96,6%</w:t>
            </w:r>
          </w:p>
        </w:tc>
      </w:tr>
      <w:tr w:rsidR="00FD1E19" w14:paraId="3BF008A7" w14:textId="77777777" w:rsidTr="00BE7E4A">
        <w:trPr>
          <w:trHeight w:val="270"/>
        </w:trPr>
        <w:tc>
          <w:tcPr>
            <w:tcW w:w="3151" w:type="dxa"/>
            <w:gridSpan w:val="3"/>
            <w:tcBorders>
              <w:top w:val="single" w:sz="4" w:space="0" w:color="auto"/>
              <w:left w:val="single" w:sz="8" w:space="0" w:color="auto"/>
              <w:bottom w:val="single" w:sz="4" w:space="0" w:color="auto"/>
              <w:right w:val="single" w:sz="8" w:space="0" w:color="000000"/>
            </w:tcBorders>
            <w:shd w:val="clear" w:color="000000" w:fill="FFFFFF"/>
            <w:noWrap/>
            <w:vAlign w:val="center"/>
            <w:hideMark/>
          </w:tcPr>
          <w:p w14:paraId="30E9C9AE" w14:textId="77777777" w:rsidR="00FD1E19" w:rsidRDefault="00FD1E19" w:rsidP="00BE7E4A">
            <w:pPr>
              <w:rPr>
                <w:rFonts w:ascii="Arial" w:hAnsi="Arial" w:cs="Arial"/>
                <w:b/>
                <w:bCs/>
                <w:noProof/>
                <w:color w:val="000000"/>
                <w:sz w:val="12"/>
                <w:szCs w:val="12"/>
              </w:rPr>
            </w:pPr>
            <w:r>
              <w:rPr>
                <w:rFonts w:ascii="Arial" w:hAnsi="Arial" w:cs="Arial"/>
                <w:b/>
                <w:bCs/>
                <w:noProof/>
                <w:color w:val="000000"/>
                <w:sz w:val="12"/>
                <w:szCs w:val="12"/>
              </w:rPr>
              <w:t>OPERATIONAL IMPLEMENTATION   (A+B)  10th + 11th EDF</w:t>
            </w:r>
          </w:p>
        </w:tc>
        <w:tc>
          <w:tcPr>
            <w:tcW w:w="686" w:type="dxa"/>
            <w:tcBorders>
              <w:top w:val="nil"/>
              <w:left w:val="nil"/>
              <w:bottom w:val="single" w:sz="8" w:space="0" w:color="auto"/>
              <w:right w:val="single" w:sz="4" w:space="0" w:color="000000"/>
            </w:tcBorders>
            <w:shd w:val="clear" w:color="FFFFFF" w:fill="FFFFFF"/>
            <w:noWrap/>
            <w:vAlign w:val="center"/>
            <w:hideMark/>
          </w:tcPr>
          <w:p w14:paraId="13EADF8C"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50.685</w:t>
            </w:r>
          </w:p>
        </w:tc>
        <w:tc>
          <w:tcPr>
            <w:tcW w:w="725" w:type="dxa"/>
            <w:tcBorders>
              <w:top w:val="nil"/>
              <w:left w:val="nil"/>
              <w:bottom w:val="single" w:sz="8" w:space="0" w:color="auto"/>
              <w:right w:val="single" w:sz="4" w:space="0" w:color="000000"/>
            </w:tcBorders>
            <w:shd w:val="clear" w:color="FFFFFF" w:fill="FFFFFF"/>
            <w:noWrap/>
            <w:vAlign w:val="center"/>
            <w:hideMark/>
          </w:tcPr>
          <w:p w14:paraId="348EAE57"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49.461</w:t>
            </w:r>
          </w:p>
        </w:tc>
        <w:tc>
          <w:tcPr>
            <w:tcW w:w="660" w:type="dxa"/>
            <w:tcBorders>
              <w:top w:val="nil"/>
              <w:left w:val="nil"/>
              <w:bottom w:val="single" w:sz="8" w:space="0" w:color="auto"/>
              <w:right w:val="single" w:sz="4" w:space="0" w:color="000000"/>
            </w:tcBorders>
            <w:shd w:val="clear" w:color="FFFFFF" w:fill="FFFFFF"/>
            <w:noWrap/>
            <w:vAlign w:val="center"/>
            <w:hideMark/>
          </w:tcPr>
          <w:p w14:paraId="60C30716"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(353)</w:t>
            </w:r>
          </w:p>
        </w:tc>
        <w:tc>
          <w:tcPr>
            <w:tcW w:w="544" w:type="dxa"/>
            <w:tcBorders>
              <w:top w:val="nil"/>
              <w:left w:val="nil"/>
              <w:bottom w:val="single" w:sz="8" w:space="0" w:color="auto"/>
              <w:right w:val="single" w:sz="4" w:space="0" w:color="000000"/>
            </w:tcBorders>
            <w:shd w:val="clear" w:color="FFFFFF" w:fill="FFFFFF"/>
            <w:noWrap/>
            <w:vAlign w:val="center"/>
            <w:hideMark/>
          </w:tcPr>
          <w:p w14:paraId="34F3BBC6"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97,6%</w:t>
            </w:r>
          </w:p>
        </w:tc>
        <w:tc>
          <w:tcPr>
            <w:tcW w:w="725" w:type="dxa"/>
            <w:tcBorders>
              <w:top w:val="nil"/>
              <w:left w:val="nil"/>
              <w:bottom w:val="single" w:sz="8" w:space="0" w:color="auto"/>
              <w:right w:val="single" w:sz="4" w:space="0" w:color="000000"/>
            </w:tcBorders>
            <w:shd w:val="clear" w:color="FFFFFF" w:fill="FFFFFF"/>
            <w:noWrap/>
            <w:vAlign w:val="center"/>
            <w:hideMark/>
          </w:tcPr>
          <w:p w14:paraId="05775A2C"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49.186</w:t>
            </w:r>
          </w:p>
        </w:tc>
        <w:tc>
          <w:tcPr>
            <w:tcW w:w="660" w:type="dxa"/>
            <w:tcBorders>
              <w:top w:val="nil"/>
              <w:left w:val="nil"/>
              <w:bottom w:val="single" w:sz="8" w:space="0" w:color="auto"/>
              <w:right w:val="single" w:sz="4" w:space="0" w:color="000000"/>
            </w:tcBorders>
            <w:shd w:val="clear" w:color="FFFFFF" w:fill="FFFFFF"/>
            <w:noWrap/>
            <w:vAlign w:val="center"/>
            <w:hideMark/>
          </w:tcPr>
          <w:p w14:paraId="4ECB0926" w14:textId="77777777" w:rsidR="00FD1E19" w:rsidRPr="00E579C2" w:rsidRDefault="00FD1E19" w:rsidP="00BE7E4A">
            <w:pPr>
              <w:jc w:val="right"/>
              <w:rPr>
                <w:rFonts w:ascii="Arial" w:hAnsi="Arial" w:cs="Arial"/>
                <w:noProof/>
                <w:color w:val="000000"/>
                <w:sz w:val="10"/>
                <w:szCs w:val="10"/>
              </w:rPr>
            </w:pPr>
            <w:r w:rsidRPr="00E579C2">
              <w:rPr>
                <w:rFonts w:ascii="Arial" w:hAnsi="Arial" w:cs="Arial"/>
                <w:noProof/>
                <w:color w:val="000000"/>
                <w:sz w:val="10"/>
                <w:szCs w:val="10"/>
              </w:rPr>
              <w:t>(222)</w:t>
            </w:r>
          </w:p>
        </w:tc>
        <w:tc>
          <w:tcPr>
            <w:tcW w:w="544" w:type="dxa"/>
            <w:tcBorders>
              <w:top w:val="nil"/>
              <w:left w:val="nil"/>
              <w:bottom w:val="single" w:sz="8" w:space="0" w:color="auto"/>
              <w:right w:val="single" w:sz="4" w:space="0" w:color="000000"/>
            </w:tcBorders>
            <w:shd w:val="clear" w:color="FFFFFF" w:fill="FFFFFF"/>
            <w:noWrap/>
            <w:vAlign w:val="center"/>
            <w:hideMark/>
          </w:tcPr>
          <w:p w14:paraId="5E2AD55D"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99,4%</w:t>
            </w:r>
          </w:p>
        </w:tc>
        <w:tc>
          <w:tcPr>
            <w:tcW w:w="725" w:type="dxa"/>
            <w:tcBorders>
              <w:top w:val="nil"/>
              <w:left w:val="nil"/>
              <w:bottom w:val="single" w:sz="8" w:space="0" w:color="auto"/>
              <w:right w:val="single" w:sz="4" w:space="0" w:color="000000"/>
            </w:tcBorders>
            <w:shd w:val="clear" w:color="FFFFFF" w:fill="FFFFFF"/>
            <w:noWrap/>
            <w:vAlign w:val="center"/>
            <w:hideMark/>
          </w:tcPr>
          <w:p w14:paraId="2C483378"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46.506</w:t>
            </w:r>
          </w:p>
        </w:tc>
        <w:tc>
          <w:tcPr>
            <w:tcW w:w="660" w:type="dxa"/>
            <w:tcBorders>
              <w:top w:val="nil"/>
              <w:left w:val="nil"/>
              <w:bottom w:val="single" w:sz="8" w:space="0" w:color="auto"/>
              <w:right w:val="single" w:sz="4" w:space="0" w:color="000000"/>
            </w:tcBorders>
            <w:shd w:val="clear" w:color="FFFFFF" w:fill="FFFFFF"/>
            <w:noWrap/>
            <w:vAlign w:val="center"/>
            <w:hideMark/>
          </w:tcPr>
          <w:p w14:paraId="68EB3E89"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893</w:t>
            </w:r>
          </w:p>
        </w:tc>
        <w:tc>
          <w:tcPr>
            <w:tcW w:w="549" w:type="dxa"/>
            <w:tcBorders>
              <w:top w:val="nil"/>
              <w:left w:val="nil"/>
              <w:bottom w:val="single" w:sz="8" w:space="0" w:color="auto"/>
              <w:right w:val="single" w:sz="8" w:space="0" w:color="auto"/>
            </w:tcBorders>
            <w:shd w:val="clear" w:color="FFFFFF" w:fill="FFFFFF"/>
            <w:noWrap/>
            <w:vAlign w:val="center"/>
            <w:hideMark/>
          </w:tcPr>
          <w:p w14:paraId="23CAF399" w14:textId="77777777" w:rsidR="00FD1E19" w:rsidRPr="00E579C2" w:rsidRDefault="00FD1E19" w:rsidP="00BE7E4A">
            <w:pPr>
              <w:jc w:val="right"/>
              <w:rPr>
                <w:rFonts w:ascii="Arial" w:hAnsi="Arial" w:cs="Arial"/>
                <w:b/>
                <w:bCs/>
                <w:noProof/>
                <w:color w:val="000000"/>
                <w:sz w:val="10"/>
                <w:szCs w:val="10"/>
              </w:rPr>
            </w:pPr>
            <w:r w:rsidRPr="00E579C2">
              <w:rPr>
                <w:rFonts w:ascii="Arial" w:hAnsi="Arial" w:cs="Arial"/>
                <w:b/>
                <w:bCs/>
                <w:noProof/>
                <w:color w:val="000000"/>
                <w:sz w:val="10"/>
                <w:szCs w:val="10"/>
              </w:rPr>
              <w:t>94,5%</w:t>
            </w:r>
          </w:p>
        </w:tc>
      </w:tr>
    </w:tbl>
    <w:p w14:paraId="0288C0DE" w14:textId="77777777" w:rsidR="00FD1E19" w:rsidRDefault="00FD1E19" w:rsidP="00FD1E19">
      <w:pPr>
        <w:pStyle w:val="HEADER5"/>
        <w:rPr>
          <w:noProof/>
        </w:rPr>
      </w:pPr>
    </w:p>
    <w:p w14:paraId="535BC217" w14:textId="77777777" w:rsidR="00FD1E19" w:rsidRDefault="00FD1E19" w:rsidP="00FD1E19">
      <w:pPr>
        <w:pStyle w:val="HEADER5"/>
        <w:rPr>
          <w:noProof/>
        </w:rPr>
      </w:pPr>
    </w:p>
    <w:p w14:paraId="0231C41A" w14:textId="77777777" w:rsidR="00FD1E19" w:rsidRPr="004F592F" w:rsidRDefault="00FD1E19" w:rsidP="00FD1E19">
      <w:pPr>
        <w:jc w:val="center"/>
        <w:rPr>
          <w:rFonts w:cstheme="minorHAnsi"/>
          <w:noProof/>
          <w:sz w:val="20"/>
          <w:szCs w:val="20"/>
        </w:rPr>
      </w:pPr>
      <w:r>
        <w:rPr>
          <w:noProof/>
          <w:lang w:eastAsia="en-GB"/>
        </w:rPr>
        <w:drawing>
          <wp:inline distT="0" distB="0" distL="0" distR="0" wp14:anchorId="2576566D" wp14:editId="47DE63B2">
            <wp:extent cx="5307965" cy="3028950"/>
            <wp:effectExtent l="0" t="0" r="6985" b="0"/>
            <wp:docPr id="1168670214" name="Chart 1">
              <a:extLst xmlns:a="http://schemas.openxmlformats.org/drawingml/2006/main">
                <a:ext uri="{FF2B5EF4-FFF2-40B4-BE49-F238E27FC236}">
                  <a16:creationId xmlns:a16="http://schemas.microsoft.com/office/drawing/2014/main" id="{3CAFA37C-F6DC-4292-897E-83B717D702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r w:rsidRPr="00640607">
        <w:rPr>
          <w:noProof/>
          <w:lang w:eastAsia="fr-BE"/>
        </w:rPr>
        <w:t xml:space="preserve"> </w:t>
      </w:r>
    </w:p>
    <w:p w14:paraId="4A3CD876" w14:textId="77777777" w:rsidR="00FD1E19" w:rsidRPr="004F592F" w:rsidRDefault="00FD1E19" w:rsidP="00FD1E19">
      <w:pPr>
        <w:jc w:val="both"/>
        <w:rPr>
          <w:rFonts w:cstheme="minorHAnsi"/>
          <w:noProof/>
          <w:sz w:val="20"/>
          <w:szCs w:val="20"/>
        </w:rPr>
      </w:pPr>
    </w:p>
    <w:p w14:paraId="1B48F77F" w14:textId="77777777" w:rsidR="00FD1E19" w:rsidRDefault="00FD1E19" w:rsidP="00FD1E19">
      <w:pPr>
        <w:rPr>
          <w:rFonts w:cstheme="minorHAnsi"/>
          <w:noProof/>
        </w:rPr>
      </w:pPr>
    </w:p>
    <w:p w14:paraId="594B7856" w14:textId="77777777" w:rsidR="00FD1E19" w:rsidRDefault="00FD1E19" w:rsidP="00FD1E19">
      <w:pPr>
        <w:rPr>
          <w:rFonts w:cstheme="minorHAnsi"/>
          <w:noProof/>
        </w:rPr>
      </w:pPr>
    </w:p>
    <w:p w14:paraId="3F5453BC" w14:textId="77777777" w:rsidR="00FD1E19" w:rsidRDefault="00FD1E19" w:rsidP="00FD1E19">
      <w:pPr>
        <w:rPr>
          <w:rFonts w:cstheme="minorHAnsi"/>
          <w:noProof/>
        </w:rPr>
      </w:pPr>
    </w:p>
    <w:p w14:paraId="211D1AA1" w14:textId="77777777" w:rsidR="00FD1E19" w:rsidRDefault="00FD1E19" w:rsidP="00FD1E19">
      <w:pPr>
        <w:rPr>
          <w:rFonts w:cstheme="minorHAnsi"/>
          <w:noProof/>
        </w:rPr>
      </w:pPr>
      <w:r>
        <w:rPr>
          <w:rFonts w:cstheme="minorHAnsi"/>
          <w:noProof/>
        </w:rPr>
        <w:br w:type="page"/>
      </w:r>
    </w:p>
    <w:p w14:paraId="74936954" w14:textId="77777777" w:rsidR="00FD1E19" w:rsidRDefault="00FD1E19" w:rsidP="00FD1E19">
      <w:pPr>
        <w:pStyle w:val="HEADER5"/>
        <w:rPr>
          <w:noProof/>
        </w:rPr>
      </w:pPr>
      <w:r w:rsidRPr="00FC3DF2">
        <w:rPr>
          <w:noProof/>
        </w:rPr>
        <w:t>Breakdown of committed, contracted and paid amount per region and country</w:t>
      </w:r>
    </w:p>
    <w:p w14:paraId="7EA67A58" w14:textId="77777777" w:rsidR="00747276" w:rsidRPr="00747276" w:rsidRDefault="00747276" w:rsidP="00747276">
      <w:pPr>
        <w:spacing w:after="0" w:line="240" w:lineRule="auto"/>
        <w:rPr>
          <w:rFonts w:ascii="Verdana" w:eastAsia="Times New Roman" w:hAnsi="Verdana" w:cs="Times New Roman"/>
          <w:b/>
          <w:noProof/>
          <w:color w:val="016794"/>
          <w:kern w:val="0"/>
          <w:sz w:val="18"/>
          <w:szCs w:val="18"/>
          <w:lang w:eastAsia="en-GB"/>
          <w14:ligatures w14:val="none"/>
        </w:rPr>
      </w:pPr>
    </w:p>
    <w:tbl>
      <w:tblPr>
        <w:tblW w:w="9900" w:type="dxa"/>
        <w:tblInd w:w="108" w:type="dxa"/>
        <w:tblLook w:val="04A0" w:firstRow="1" w:lastRow="0" w:firstColumn="1" w:lastColumn="0" w:noHBand="0" w:noVBand="1"/>
      </w:tblPr>
      <w:tblGrid>
        <w:gridCol w:w="1431"/>
        <w:gridCol w:w="2638"/>
        <w:gridCol w:w="1220"/>
        <w:gridCol w:w="1025"/>
        <w:gridCol w:w="645"/>
        <w:gridCol w:w="895"/>
        <w:gridCol w:w="645"/>
        <w:gridCol w:w="879"/>
        <w:gridCol w:w="645"/>
      </w:tblGrid>
      <w:tr w:rsidR="00747276" w:rsidRPr="00747276" w14:paraId="1F4B56C6" w14:textId="77777777" w:rsidTr="00BE7E4A">
        <w:trPr>
          <w:trHeight w:val="255"/>
        </w:trPr>
        <w:tc>
          <w:tcPr>
            <w:tcW w:w="9255" w:type="dxa"/>
            <w:gridSpan w:val="8"/>
            <w:shd w:val="clear" w:color="auto" w:fill="595959"/>
            <w:vAlign w:val="center"/>
            <w:hideMark/>
          </w:tcPr>
          <w:p w14:paraId="53B07FB3" w14:textId="77777777" w:rsidR="00747276" w:rsidRPr="00747276" w:rsidRDefault="00747276" w:rsidP="00747276">
            <w:pPr>
              <w:spacing w:after="0" w:line="240" w:lineRule="auto"/>
              <w:jc w:val="center"/>
              <w:rPr>
                <w:rFonts w:ascii="Arial" w:eastAsia="Times New Roman" w:hAnsi="Arial" w:cs="Arial"/>
                <w:noProof/>
                <w:color w:val="FFFFFF"/>
                <w:kern w:val="0"/>
                <w:sz w:val="18"/>
                <w:szCs w:val="18"/>
                <w:lang w:val="en-IE" w:eastAsia="en-IE"/>
                <w14:ligatures w14:val="none"/>
              </w:rPr>
            </w:pPr>
            <w:r w:rsidRPr="00747276">
              <w:rPr>
                <w:rFonts w:ascii="Arial" w:eastAsia="Times New Roman" w:hAnsi="Arial" w:cs="Arial"/>
                <w:noProof/>
                <w:color w:val="FFFFFF"/>
                <w:kern w:val="0"/>
                <w:sz w:val="18"/>
                <w:szCs w:val="18"/>
                <w:lang w:val="en-IE" w:eastAsia="en-IE"/>
                <w14:ligatures w14:val="none"/>
              </w:rPr>
              <w:t>EDF CUMULATIVE ACCOUNTS AT 31 DECEMBER 2025 BY COUNTRY % APPR</w:t>
            </w:r>
          </w:p>
        </w:tc>
        <w:tc>
          <w:tcPr>
            <w:tcW w:w="645" w:type="dxa"/>
            <w:shd w:val="clear" w:color="auto" w:fill="595959"/>
            <w:vAlign w:val="center"/>
            <w:hideMark/>
          </w:tcPr>
          <w:p w14:paraId="351FC813" w14:textId="77777777" w:rsidR="00747276" w:rsidRPr="00747276" w:rsidRDefault="00747276" w:rsidP="00747276">
            <w:pPr>
              <w:spacing w:after="0" w:line="240" w:lineRule="auto"/>
              <w:jc w:val="center"/>
              <w:rPr>
                <w:rFonts w:ascii="Arial" w:eastAsia="Times New Roman" w:hAnsi="Arial" w:cs="Arial"/>
                <w:noProof/>
                <w:color w:val="FFFFFF"/>
                <w:kern w:val="0"/>
                <w:sz w:val="18"/>
                <w:szCs w:val="18"/>
                <w:lang w:val="en-IE" w:eastAsia="en-IE"/>
                <w14:ligatures w14:val="none"/>
              </w:rPr>
            </w:pPr>
            <w:r w:rsidRPr="00747276">
              <w:rPr>
                <w:rFonts w:ascii="Arial" w:eastAsia="Times New Roman" w:hAnsi="Arial" w:cs="Arial"/>
                <w:noProof/>
                <w:color w:val="FFFFFF"/>
                <w:kern w:val="0"/>
                <w:sz w:val="18"/>
                <w:szCs w:val="18"/>
                <w:lang w:val="en-IE" w:eastAsia="en-IE"/>
                <w14:ligatures w14:val="none"/>
              </w:rPr>
              <w:t> </w:t>
            </w:r>
          </w:p>
        </w:tc>
      </w:tr>
      <w:tr w:rsidR="00747276" w:rsidRPr="00747276" w14:paraId="5557D690" w14:textId="77777777" w:rsidTr="00BE7E4A">
        <w:trPr>
          <w:trHeight w:val="540"/>
        </w:trPr>
        <w:tc>
          <w:tcPr>
            <w:tcW w:w="4069" w:type="dxa"/>
            <w:gridSpan w:val="2"/>
            <w:tcBorders>
              <w:top w:val="single" w:sz="4" w:space="0" w:color="auto"/>
              <w:left w:val="single" w:sz="4" w:space="0" w:color="auto"/>
              <w:bottom w:val="single" w:sz="4" w:space="0" w:color="auto"/>
              <w:right w:val="single" w:sz="4" w:space="0" w:color="auto"/>
            </w:tcBorders>
            <w:shd w:val="clear" w:color="auto" w:fill="FFFFFF"/>
            <w:vAlign w:val="center"/>
            <w:hideMark/>
          </w:tcPr>
          <w:p w14:paraId="284CA38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10th + 11 th EDF</w:t>
            </w:r>
          </w:p>
        </w:tc>
        <w:tc>
          <w:tcPr>
            <w:tcW w:w="5831" w:type="dxa"/>
            <w:gridSpan w:val="7"/>
            <w:tcBorders>
              <w:top w:val="single" w:sz="4" w:space="0" w:color="auto"/>
              <w:left w:val="nil"/>
              <w:bottom w:val="single" w:sz="4" w:space="0" w:color="auto"/>
              <w:right w:val="single" w:sz="4" w:space="0" w:color="000000"/>
            </w:tcBorders>
            <w:shd w:val="clear" w:color="auto" w:fill="FFFFFF"/>
            <w:noWrap/>
            <w:vAlign w:val="center"/>
            <w:hideMark/>
          </w:tcPr>
          <w:p w14:paraId="1F2B25D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TOTAL 10th and 11th EDF (EUR in million)</w:t>
            </w:r>
          </w:p>
        </w:tc>
      </w:tr>
      <w:tr w:rsidR="00747276" w:rsidRPr="00747276" w14:paraId="6046F7CD" w14:textId="77777777" w:rsidTr="00BE7E4A">
        <w:trPr>
          <w:trHeight w:val="360"/>
        </w:trPr>
        <w:tc>
          <w:tcPr>
            <w:tcW w:w="4069" w:type="dxa"/>
            <w:gridSpan w:val="2"/>
            <w:tcBorders>
              <w:top w:val="nil"/>
              <w:left w:val="single" w:sz="4" w:space="0" w:color="000000"/>
              <w:bottom w:val="single" w:sz="4" w:space="0" w:color="000000"/>
              <w:right w:val="single" w:sz="4" w:space="0" w:color="000000"/>
            </w:tcBorders>
            <w:shd w:val="clear" w:color="auto" w:fill="FFFFFF"/>
            <w:vAlign w:val="center"/>
            <w:hideMark/>
          </w:tcPr>
          <w:p w14:paraId="25CF3F4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Cumulative 2025</w:t>
            </w:r>
          </w:p>
        </w:tc>
        <w:tc>
          <w:tcPr>
            <w:tcW w:w="1097" w:type="dxa"/>
            <w:tcBorders>
              <w:top w:val="nil"/>
              <w:left w:val="nil"/>
              <w:bottom w:val="nil"/>
              <w:right w:val="single" w:sz="4" w:space="0" w:color="000000"/>
            </w:tcBorders>
            <w:shd w:val="clear" w:color="auto" w:fill="FFFFFF"/>
            <w:vAlign w:val="center"/>
            <w:hideMark/>
          </w:tcPr>
          <w:p w14:paraId="1ABAA4D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Appropriations</w:t>
            </w:r>
          </w:p>
        </w:tc>
        <w:tc>
          <w:tcPr>
            <w:tcW w:w="1025" w:type="dxa"/>
            <w:tcBorders>
              <w:top w:val="nil"/>
              <w:left w:val="nil"/>
              <w:bottom w:val="single" w:sz="4" w:space="0" w:color="000000"/>
              <w:right w:val="single" w:sz="4" w:space="0" w:color="000000"/>
            </w:tcBorders>
            <w:shd w:val="clear" w:color="auto" w:fill="FFFFFF"/>
            <w:vAlign w:val="center"/>
            <w:hideMark/>
          </w:tcPr>
          <w:p w14:paraId="05537C9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Decisions</w:t>
            </w:r>
          </w:p>
        </w:tc>
        <w:tc>
          <w:tcPr>
            <w:tcW w:w="645" w:type="dxa"/>
            <w:tcBorders>
              <w:top w:val="nil"/>
              <w:left w:val="nil"/>
              <w:bottom w:val="single" w:sz="4" w:space="0" w:color="000000"/>
              <w:right w:val="single" w:sz="4" w:space="0" w:color="000000"/>
            </w:tcBorders>
            <w:shd w:val="clear" w:color="auto" w:fill="FFFFFF"/>
            <w:vAlign w:val="center"/>
            <w:hideMark/>
          </w:tcPr>
          <w:p w14:paraId="6EE07411"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of Appr</w:t>
            </w:r>
          </w:p>
        </w:tc>
        <w:tc>
          <w:tcPr>
            <w:tcW w:w="895" w:type="dxa"/>
            <w:tcBorders>
              <w:top w:val="nil"/>
              <w:left w:val="nil"/>
              <w:bottom w:val="single" w:sz="4" w:space="0" w:color="000000"/>
              <w:right w:val="single" w:sz="4" w:space="0" w:color="000000"/>
            </w:tcBorders>
            <w:shd w:val="clear" w:color="auto" w:fill="FFFFFF"/>
            <w:vAlign w:val="center"/>
            <w:hideMark/>
          </w:tcPr>
          <w:p w14:paraId="33D192A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Assigned funds</w:t>
            </w:r>
          </w:p>
        </w:tc>
        <w:tc>
          <w:tcPr>
            <w:tcW w:w="645" w:type="dxa"/>
            <w:tcBorders>
              <w:top w:val="nil"/>
              <w:left w:val="nil"/>
              <w:bottom w:val="single" w:sz="4" w:space="0" w:color="000000"/>
              <w:right w:val="single" w:sz="4" w:space="0" w:color="000000"/>
            </w:tcBorders>
            <w:shd w:val="clear" w:color="auto" w:fill="FFFFFF"/>
            <w:vAlign w:val="center"/>
            <w:hideMark/>
          </w:tcPr>
          <w:p w14:paraId="09F31E68"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of Appr</w:t>
            </w:r>
          </w:p>
        </w:tc>
        <w:tc>
          <w:tcPr>
            <w:tcW w:w="879" w:type="dxa"/>
            <w:tcBorders>
              <w:top w:val="nil"/>
              <w:left w:val="nil"/>
              <w:bottom w:val="single" w:sz="4" w:space="0" w:color="000000"/>
              <w:right w:val="single" w:sz="4" w:space="0" w:color="000000"/>
            </w:tcBorders>
            <w:shd w:val="clear" w:color="auto" w:fill="FFFFFF"/>
            <w:vAlign w:val="center"/>
            <w:hideMark/>
          </w:tcPr>
          <w:p w14:paraId="4EE22F2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Payments</w:t>
            </w:r>
          </w:p>
        </w:tc>
        <w:tc>
          <w:tcPr>
            <w:tcW w:w="645" w:type="dxa"/>
            <w:tcBorders>
              <w:top w:val="nil"/>
              <w:left w:val="nil"/>
              <w:bottom w:val="single" w:sz="4" w:space="0" w:color="000000"/>
              <w:right w:val="single" w:sz="4" w:space="0" w:color="000000"/>
            </w:tcBorders>
            <w:shd w:val="clear" w:color="auto" w:fill="FFFFFF"/>
            <w:vAlign w:val="center"/>
            <w:hideMark/>
          </w:tcPr>
          <w:p w14:paraId="5638E8C7"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of Appr</w:t>
            </w:r>
          </w:p>
        </w:tc>
      </w:tr>
      <w:tr w:rsidR="00747276" w:rsidRPr="00747276" w14:paraId="767DBC15" w14:textId="77777777" w:rsidTr="00BE7E4A">
        <w:trPr>
          <w:trHeight w:val="540"/>
        </w:trPr>
        <w:tc>
          <w:tcPr>
            <w:tcW w:w="1431" w:type="dxa"/>
            <w:vMerge w:val="restart"/>
            <w:tcBorders>
              <w:top w:val="nil"/>
              <w:left w:val="nil"/>
              <w:bottom w:val="single" w:sz="4" w:space="0" w:color="000000"/>
              <w:right w:val="single" w:sz="4" w:space="0" w:color="000000"/>
            </w:tcBorders>
            <w:shd w:val="clear" w:color="auto" w:fill="808080"/>
            <w:noWrap/>
            <w:textDirection w:val="btLr"/>
            <w:vAlign w:val="center"/>
            <w:hideMark/>
          </w:tcPr>
          <w:p w14:paraId="1D9D67B0" w14:textId="77777777" w:rsidR="00747276" w:rsidRPr="00747276" w:rsidRDefault="00747276" w:rsidP="00747276">
            <w:pPr>
              <w:spacing w:after="0" w:line="240" w:lineRule="auto"/>
              <w:jc w:val="center"/>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ACP</w:t>
            </w:r>
          </w:p>
        </w:tc>
        <w:tc>
          <w:tcPr>
            <w:tcW w:w="2638" w:type="dxa"/>
            <w:tcBorders>
              <w:top w:val="nil"/>
              <w:left w:val="nil"/>
              <w:bottom w:val="single" w:sz="4" w:space="0" w:color="000000"/>
              <w:right w:val="single" w:sz="4" w:space="0" w:color="000000"/>
            </w:tcBorders>
            <w:vAlign w:val="center"/>
            <w:hideMark/>
          </w:tcPr>
          <w:p w14:paraId="3A9F9A3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General/administrative envelope/interests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7EBEA34"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1.629</w:t>
            </w:r>
          </w:p>
        </w:tc>
        <w:tc>
          <w:tcPr>
            <w:tcW w:w="1025" w:type="dxa"/>
            <w:tcBorders>
              <w:top w:val="nil"/>
              <w:left w:val="single" w:sz="4" w:space="0" w:color="000000"/>
              <w:bottom w:val="single" w:sz="4" w:space="0" w:color="C0C0C0"/>
              <w:right w:val="single" w:sz="4" w:space="0" w:color="000000"/>
            </w:tcBorders>
            <w:shd w:val="clear" w:color="auto" w:fill="FFFFFF"/>
            <w:noWrap/>
            <w:vAlign w:val="center"/>
            <w:hideMark/>
          </w:tcPr>
          <w:p w14:paraId="5084858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1.610</w:t>
            </w:r>
          </w:p>
        </w:tc>
        <w:tc>
          <w:tcPr>
            <w:tcW w:w="645" w:type="dxa"/>
            <w:tcBorders>
              <w:top w:val="nil"/>
              <w:left w:val="nil"/>
              <w:bottom w:val="single" w:sz="4" w:space="0" w:color="C0C0C0"/>
              <w:right w:val="single" w:sz="4" w:space="0" w:color="000000"/>
            </w:tcBorders>
            <w:shd w:val="clear" w:color="auto" w:fill="FFFFFF"/>
            <w:noWrap/>
            <w:vAlign w:val="center"/>
            <w:hideMark/>
          </w:tcPr>
          <w:p w14:paraId="0703BEE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nil"/>
              <w:left w:val="nil"/>
              <w:bottom w:val="single" w:sz="4" w:space="0" w:color="C0C0C0"/>
              <w:right w:val="single" w:sz="4" w:space="0" w:color="000000"/>
            </w:tcBorders>
            <w:shd w:val="clear" w:color="auto" w:fill="FFFFFF"/>
            <w:noWrap/>
            <w:vAlign w:val="center"/>
            <w:hideMark/>
          </w:tcPr>
          <w:p w14:paraId="35BF472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1.612</w:t>
            </w:r>
          </w:p>
        </w:tc>
        <w:tc>
          <w:tcPr>
            <w:tcW w:w="645" w:type="dxa"/>
            <w:tcBorders>
              <w:top w:val="nil"/>
              <w:left w:val="nil"/>
              <w:bottom w:val="single" w:sz="4" w:space="0" w:color="C0C0C0"/>
              <w:right w:val="single" w:sz="4" w:space="0" w:color="000000"/>
            </w:tcBorders>
            <w:shd w:val="clear" w:color="auto" w:fill="FFFFFF"/>
            <w:noWrap/>
            <w:vAlign w:val="center"/>
            <w:hideMark/>
          </w:tcPr>
          <w:p w14:paraId="0618CB6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nil"/>
              <w:left w:val="nil"/>
              <w:bottom w:val="single" w:sz="4" w:space="0" w:color="C0C0C0"/>
              <w:right w:val="single" w:sz="4" w:space="0" w:color="000000"/>
            </w:tcBorders>
            <w:shd w:val="clear" w:color="auto" w:fill="FFFFFF"/>
            <w:noWrap/>
            <w:vAlign w:val="center"/>
            <w:hideMark/>
          </w:tcPr>
          <w:p w14:paraId="0040F9E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1.547</w:t>
            </w:r>
          </w:p>
        </w:tc>
        <w:tc>
          <w:tcPr>
            <w:tcW w:w="645" w:type="dxa"/>
            <w:tcBorders>
              <w:top w:val="nil"/>
              <w:left w:val="nil"/>
              <w:bottom w:val="single" w:sz="4" w:space="0" w:color="C0C0C0"/>
              <w:right w:val="single" w:sz="4" w:space="0" w:color="000000"/>
            </w:tcBorders>
            <w:shd w:val="clear" w:color="auto" w:fill="FFFFFF"/>
            <w:noWrap/>
            <w:vAlign w:val="center"/>
            <w:hideMark/>
          </w:tcPr>
          <w:p w14:paraId="57BFDC9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r>
      <w:tr w:rsidR="00747276" w:rsidRPr="00747276" w14:paraId="7B25F615"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50A56132"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noWrap/>
            <w:vAlign w:val="center"/>
            <w:hideMark/>
          </w:tcPr>
          <w:p w14:paraId="738EA6D5" w14:textId="77777777" w:rsidR="00747276" w:rsidRPr="00747276" w:rsidRDefault="00747276" w:rsidP="00747276">
            <w:pPr>
              <w:spacing w:after="0" w:line="240" w:lineRule="auto"/>
              <w:rPr>
                <w:rFonts w:ascii="Arial" w:eastAsia="Times New Roman" w:hAnsi="Arial" w:cs="Arial"/>
                <w:b/>
                <w:bCs/>
                <w:noProof/>
                <w:color w:val="000000"/>
                <w:kern w:val="0"/>
                <w:sz w:val="12"/>
                <w:szCs w:val="12"/>
                <w:lang w:val="en-IE" w:eastAsia="en-IE"/>
                <w14:ligatures w14:val="none"/>
              </w:rPr>
            </w:pPr>
            <w:r w:rsidRPr="00747276">
              <w:rPr>
                <w:rFonts w:ascii="Arial" w:eastAsia="Times New Roman" w:hAnsi="Arial" w:cs="Arial"/>
                <w:b/>
                <w:bCs/>
                <w:noProof/>
                <w:color w:val="000000"/>
                <w:kern w:val="0"/>
                <w:sz w:val="12"/>
                <w:szCs w:val="12"/>
                <w:lang w:val="en-IE" w:eastAsia="en-IE"/>
                <w14:ligatures w14:val="none"/>
              </w:rPr>
              <w:t>Reserve/Not distributed by country</w:t>
            </w:r>
          </w:p>
        </w:tc>
        <w:tc>
          <w:tcPr>
            <w:tcW w:w="1097" w:type="dxa"/>
            <w:tcBorders>
              <w:top w:val="single" w:sz="4" w:space="0" w:color="000000"/>
              <w:left w:val="single" w:sz="4" w:space="0" w:color="000000"/>
              <w:bottom w:val="single" w:sz="4" w:space="0" w:color="CACAD9"/>
              <w:right w:val="single" w:sz="4" w:space="0" w:color="CACAD9"/>
            </w:tcBorders>
            <w:shd w:val="clear" w:color="auto" w:fill="FFFFFF"/>
            <w:noWrap/>
            <w:vAlign w:val="center"/>
            <w:hideMark/>
          </w:tcPr>
          <w:p w14:paraId="42A33A41"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3.540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AFEB9A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9247CE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72%</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7D7955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488D6A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72%</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0A00A1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2.553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6B0793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72%</w:t>
            </w:r>
          </w:p>
        </w:tc>
      </w:tr>
      <w:tr w:rsidR="00747276" w:rsidRPr="00747276" w14:paraId="736D66AE"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A5E870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single" w:sz="4" w:space="0" w:color="000000"/>
              <w:left w:val="nil"/>
              <w:bottom w:val="single" w:sz="4" w:space="0" w:color="000000"/>
              <w:right w:val="single" w:sz="4" w:space="0" w:color="000000"/>
            </w:tcBorders>
            <w:shd w:val="clear" w:color="auto" w:fill="C0C0C0"/>
            <w:noWrap/>
            <w:vAlign w:val="center"/>
            <w:hideMark/>
          </w:tcPr>
          <w:p w14:paraId="176FEEA4"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All ACP countries</w:t>
            </w:r>
          </w:p>
        </w:tc>
        <w:tc>
          <w:tcPr>
            <w:tcW w:w="1097" w:type="dxa"/>
            <w:tcBorders>
              <w:top w:val="single" w:sz="4" w:space="0" w:color="000000"/>
              <w:left w:val="nil"/>
              <w:bottom w:val="single" w:sz="4" w:space="0" w:color="000000"/>
              <w:right w:val="single" w:sz="4" w:space="0" w:color="000000"/>
            </w:tcBorders>
            <w:shd w:val="clear" w:color="auto" w:fill="C0C0C0"/>
            <w:noWrap/>
            <w:vAlign w:val="center"/>
            <w:hideMark/>
          </w:tcPr>
          <w:p w14:paraId="3C22D93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5.169</w:t>
            </w:r>
          </w:p>
        </w:tc>
        <w:tc>
          <w:tcPr>
            <w:tcW w:w="1025" w:type="dxa"/>
            <w:tcBorders>
              <w:top w:val="single" w:sz="4" w:space="0" w:color="000000"/>
              <w:left w:val="nil"/>
              <w:bottom w:val="single" w:sz="4" w:space="0" w:color="000000"/>
              <w:right w:val="single" w:sz="4" w:space="0" w:color="000000"/>
            </w:tcBorders>
            <w:shd w:val="clear" w:color="auto" w:fill="C0C0C0"/>
            <w:noWrap/>
            <w:vAlign w:val="center"/>
            <w:hideMark/>
          </w:tcPr>
          <w:p w14:paraId="1FF4632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4.163</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14:paraId="7D8BD9C0"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81%</w:t>
            </w:r>
          </w:p>
        </w:tc>
        <w:tc>
          <w:tcPr>
            <w:tcW w:w="895" w:type="dxa"/>
            <w:tcBorders>
              <w:top w:val="single" w:sz="4" w:space="0" w:color="000000"/>
              <w:left w:val="nil"/>
              <w:bottom w:val="single" w:sz="4" w:space="0" w:color="000000"/>
              <w:right w:val="single" w:sz="4" w:space="0" w:color="000000"/>
            </w:tcBorders>
            <w:shd w:val="clear" w:color="auto" w:fill="C0C0C0"/>
            <w:noWrap/>
            <w:vAlign w:val="center"/>
            <w:hideMark/>
          </w:tcPr>
          <w:p w14:paraId="792DA91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4.165</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14:paraId="67BD9BD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81%</w:t>
            </w:r>
          </w:p>
        </w:tc>
        <w:tc>
          <w:tcPr>
            <w:tcW w:w="879" w:type="dxa"/>
            <w:tcBorders>
              <w:top w:val="single" w:sz="4" w:space="0" w:color="000000"/>
              <w:left w:val="nil"/>
              <w:bottom w:val="single" w:sz="4" w:space="0" w:color="000000"/>
              <w:right w:val="single" w:sz="4" w:space="0" w:color="000000"/>
            </w:tcBorders>
            <w:shd w:val="clear" w:color="auto" w:fill="C0C0C0"/>
            <w:noWrap/>
            <w:vAlign w:val="center"/>
            <w:hideMark/>
          </w:tcPr>
          <w:p w14:paraId="701187D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4.100</w:t>
            </w:r>
          </w:p>
        </w:tc>
        <w:tc>
          <w:tcPr>
            <w:tcW w:w="645" w:type="dxa"/>
            <w:tcBorders>
              <w:top w:val="single" w:sz="4" w:space="0" w:color="000000"/>
              <w:left w:val="nil"/>
              <w:bottom w:val="single" w:sz="4" w:space="0" w:color="000000"/>
              <w:right w:val="single" w:sz="4" w:space="0" w:color="000000"/>
            </w:tcBorders>
            <w:shd w:val="clear" w:color="auto" w:fill="C0C0C0"/>
            <w:noWrap/>
            <w:vAlign w:val="center"/>
            <w:hideMark/>
          </w:tcPr>
          <w:p w14:paraId="6B95F88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79%</w:t>
            </w:r>
          </w:p>
        </w:tc>
      </w:tr>
      <w:tr w:rsidR="00747276" w:rsidRPr="00747276" w14:paraId="225551B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47090E3B"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173D25D"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Angola</w:t>
            </w:r>
          </w:p>
        </w:tc>
        <w:tc>
          <w:tcPr>
            <w:tcW w:w="1097" w:type="dxa"/>
            <w:tcBorders>
              <w:top w:val="nil"/>
              <w:left w:val="nil"/>
              <w:bottom w:val="single" w:sz="4" w:space="0" w:color="CACAD9"/>
              <w:right w:val="single" w:sz="4" w:space="0" w:color="CACAD9"/>
            </w:tcBorders>
            <w:shd w:val="clear" w:color="auto" w:fill="FFFFFF"/>
            <w:noWrap/>
            <w:vAlign w:val="center"/>
            <w:hideMark/>
          </w:tcPr>
          <w:p w14:paraId="135A06F7"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346</w:t>
            </w:r>
          </w:p>
        </w:tc>
        <w:tc>
          <w:tcPr>
            <w:tcW w:w="1025" w:type="dxa"/>
            <w:tcBorders>
              <w:top w:val="nil"/>
              <w:left w:val="single" w:sz="4" w:space="0" w:color="000000"/>
              <w:bottom w:val="single" w:sz="4" w:space="0" w:color="C0C0C0"/>
              <w:right w:val="single" w:sz="4" w:space="0" w:color="000000"/>
            </w:tcBorders>
            <w:shd w:val="clear" w:color="auto" w:fill="FFFFFF"/>
            <w:noWrap/>
            <w:vAlign w:val="center"/>
            <w:hideMark/>
          </w:tcPr>
          <w:p w14:paraId="7FC9E8A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345</w:t>
            </w:r>
          </w:p>
        </w:tc>
        <w:tc>
          <w:tcPr>
            <w:tcW w:w="645" w:type="dxa"/>
            <w:tcBorders>
              <w:top w:val="nil"/>
              <w:left w:val="nil"/>
              <w:bottom w:val="single" w:sz="4" w:space="0" w:color="C0C0C0"/>
              <w:right w:val="single" w:sz="4" w:space="0" w:color="000000"/>
            </w:tcBorders>
            <w:shd w:val="clear" w:color="auto" w:fill="FFFFFF"/>
            <w:noWrap/>
            <w:vAlign w:val="center"/>
            <w:hideMark/>
          </w:tcPr>
          <w:p w14:paraId="7FEF2DF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nil"/>
              <w:left w:val="nil"/>
              <w:bottom w:val="single" w:sz="4" w:space="0" w:color="C0C0C0"/>
              <w:right w:val="single" w:sz="4" w:space="0" w:color="000000"/>
            </w:tcBorders>
            <w:shd w:val="clear" w:color="auto" w:fill="FFFFFF"/>
            <w:noWrap/>
            <w:vAlign w:val="center"/>
            <w:hideMark/>
          </w:tcPr>
          <w:p w14:paraId="15C3AB7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344</w:t>
            </w:r>
          </w:p>
        </w:tc>
        <w:tc>
          <w:tcPr>
            <w:tcW w:w="645" w:type="dxa"/>
            <w:tcBorders>
              <w:top w:val="nil"/>
              <w:left w:val="nil"/>
              <w:bottom w:val="single" w:sz="4" w:space="0" w:color="C0C0C0"/>
              <w:right w:val="single" w:sz="4" w:space="0" w:color="000000"/>
            </w:tcBorders>
            <w:shd w:val="clear" w:color="auto" w:fill="FFFFFF"/>
            <w:noWrap/>
            <w:vAlign w:val="center"/>
            <w:hideMark/>
          </w:tcPr>
          <w:p w14:paraId="0E95870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nil"/>
              <w:left w:val="nil"/>
              <w:bottom w:val="single" w:sz="4" w:space="0" w:color="C0C0C0"/>
              <w:right w:val="single" w:sz="4" w:space="0" w:color="000000"/>
            </w:tcBorders>
            <w:shd w:val="clear" w:color="auto" w:fill="FFFFFF"/>
            <w:noWrap/>
            <w:vAlign w:val="center"/>
            <w:hideMark/>
          </w:tcPr>
          <w:p w14:paraId="196A54D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330</w:t>
            </w:r>
          </w:p>
        </w:tc>
        <w:tc>
          <w:tcPr>
            <w:tcW w:w="645" w:type="dxa"/>
            <w:tcBorders>
              <w:top w:val="nil"/>
              <w:left w:val="nil"/>
              <w:bottom w:val="single" w:sz="4" w:space="0" w:color="C0C0C0"/>
              <w:right w:val="single" w:sz="4" w:space="0" w:color="000000"/>
            </w:tcBorders>
            <w:shd w:val="clear" w:color="auto" w:fill="FFFFFF"/>
            <w:noWrap/>
            <w:vAlign w:val="center"/>
            <w:hideMark/>
          </w:tcPr>
          <w:p w14:paraId="1F4482A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r>
      <w:tr w:rsidR="00747276" w:rsidRPr="00747276" w14:paraId="3FB7CDC2"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E2D3F9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8ED305C"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Benin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E65359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BC547C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A5F956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FF370C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730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93A4C6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C91B12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C47208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r>
      <w:tr w:rsidR="00747276" w:rsidRPr="00747276" w14:paraId="2DC2BFC6"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95D68D7"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F8BC00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Botswana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F525756"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126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4ED37B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B7F272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80E859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028047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A411B4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EC16EC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1B66868"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2343EAB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F905BD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Burkina Faso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02181B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1.277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079D4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CE559F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5BA54D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1.274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855B32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AC7442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1.264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98E433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1B7B919D"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DD0312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6FB6B8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Burundi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65A091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564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71C984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564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F0A56E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AB57D1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F8BCD2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149C15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58BB3B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4DA2E761"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E8DE4B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48D030C"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Cameroon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0BABBD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520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56C5618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D3B4EE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74E21F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519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B7925D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1AD9CA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C5F433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r>
      <w:tr w:rsidR="00747276" w:rsidRPr="00747276" w14:paraId="4C9EB111"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7D934FDF"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76C23D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Cape Verde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AA78C1B"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144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8B6A69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2221DA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1D8D3C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6407A8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2A8E6E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4AF1AA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0744FAD6"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EFBB3B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92950F7"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Comoros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113C81B"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EF08C6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D460D2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3744A1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F4A5C6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2C76FF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81E8E4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6A535603"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C57A154"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8D51F8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Congo (Brazzaville)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3287728"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163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2701AF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1C6482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EC9AC6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9E878F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674509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744ED6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r>
      <w:tr w:rsidR="00747276" w:rsidRPr="00747276" w14:paraId="65A38C11"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1A179EA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72D9C1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Congo (Democratic Republic of)</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BCB20F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1.401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ABD479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1.399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A6FBF0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C0117B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0F8621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3D8ABB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A4008E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723E17E4"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4E4160CF"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D2BCFF9"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Ivory Coast</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4D6571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702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DD7690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BE494A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B266D4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C3A3A1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0D4732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690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15197E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379D075D"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532779E4"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C7C079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Djibouti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D3C8EB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175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73CC2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109F9A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6BB6AF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F0248E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5B3F6A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40B112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2E4C5943"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E30559A"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F50AE1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Eritrea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5347F1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9FBF55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200B51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03132E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A7B0DF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DD3266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875125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85%</w:t>
            </w:r>
          </w:p>
        </w:tc>
      </w:tr>
      <w:tr w:rsidR="00747276" w:rsidRPr="00747276" w14:paraId="4D61125C"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42091CC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2A1FC6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Ethiopia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B5CA36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1.596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BF68C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1.596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C84662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E4F72D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1.592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8F523A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F669D0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1.425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EA2248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w:t>
            </w:r>
          </w:p>
        </w:tc>
      </w:tr>
      <w:tr w:rsidR="00747276" w:rsidRPr="00747276" w14:paraId="5911F4A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200A24C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03263A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Gabon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824CFD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7460EF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5BA26B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16B879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53E125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9523C9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2EB546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5CECD2B9"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20E42AA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C44022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Gambia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814988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302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92CF3D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C92ABA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1CF58B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A8B4FD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D83433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FB5CFA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r>
      <w:tr w:rsidR="00747276" w:rsidRPr="00747276" w14:paraId="684CA791"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45CE9D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B8470EA"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Ghana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2ECB29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784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D8C7F8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204759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0201A4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A9C789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FCA590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0C608C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5127B3BA"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5FC5529F"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FFF7BA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Guinea Bissau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73759A1"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184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1767CE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9A1CCA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F34373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1374D6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1A1AED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180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2BCD44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4E48F5BA"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B26D8F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C5F236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Guinea (Conakry)</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8DDD09B"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500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09887E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500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6A2683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F858BE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15603E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BE0719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444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C734C7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w:t>
            </w:r>
          </w:p>
        </w:tc>
      </w:tr>
      <w:tr w:rsidR="00747276" w:rsidRPr="00747276" w14:paraId="1230293A"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007B68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2F1A68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Mauritius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B8EEC01"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5009D1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397FE3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9010D1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85F847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369BF0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AD1EAF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4AE51D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5CAA56BB"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DCE3AC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Kenya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BB1748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853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1D12F0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105BEE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47ADB2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836124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D670C1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784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547F5D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92%</w:t>
            </w:r>
          </w:p>
        </w:tc>
      </w:tr>
      <w:tr w:rsidR="00747276" w:rsidRPr="00747276" w14:paraId="493ACD58"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E870CD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E0526A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Lesotho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6A84FC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247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20A265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246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A6EB52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42833D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246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559B26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D1EA19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B2AEFB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87%</w:t>
            </w:r>
          </w:p>
        </w:tc>
      </w:tr>
      <w:tr w:rsidR="00747276" w:rsidRPr="00747276" w14:paraId="31E77B89"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FE4739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A338B2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Liberia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66D1CA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485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2F1C85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0A004A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5E054E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483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A26565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BCB56C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2CD880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0C6827B2"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187B033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236797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Madagascar</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EDFB8E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774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7C65A5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774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F850B0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E041D2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EE00BE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435A4D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90192C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w:t>
            </w:r>
          </w:p>
        </w:tc>
      </w:tr>
      <w:tr w:rsidR="00747276" w:rsidRPr="00747276" w14:paraId="325C541C"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2C79DE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F00556C"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Malawi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AD9C8C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1.018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FF965F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DCAB55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49B8BF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E54856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B8D922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12C0F8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92%</w:t>
            </w:r>
          </w:p>
        </w:tc>
      </w:tr>
      <w:tr w:rsidR="00747276" w:rsidRPr="00747276" w14:paraId="46294D4A"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B137424"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45B44D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Mali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C6DF6E7"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1.295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1A5D83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26520E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CAB429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1264F1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5B4A34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1.257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DE7F18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3AD447A0"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986DEEF"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6234281"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Mauritania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1BB13E0"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343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50F6370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0A9689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E1E8EB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557151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8D02BA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52796E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30029F4C"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CCC91B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EFE724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Mozambique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273813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1.431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431BA6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1.424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2C8F8E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302918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4951A4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71D8E1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3E053F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87%</w:t>
            </w:r>
          </w:p>
        </w:tc>
      </w:tr>
      <w:tr w:rsidR="00747276" w:rsidRPr="00747276" w14:paraId="57CE103F"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FA5FBA7"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DB415BA"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Namibia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0B25551"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187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47FC89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186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53FEDC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090B9D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B37285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E12FE9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9BD220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r>
      <w:tr w:rsidR="00747276" w:rsidRPr="00747276" w14:paraId="57CD7D2D"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7522E3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6C3819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Niger</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550667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1.261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87885F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1.256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2B7B27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C473EE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443EC9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CD764A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E3DE6D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2AADEC5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14814A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54DBE7C"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Nigeria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291772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1.085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19441B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FAA1F0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C758B6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1.085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4713D1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7426DC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A7B63B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43788CA1"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D51165A"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AD37CD8"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Uganda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E6957E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928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A5F7A7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912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BEAE14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CD05E4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905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0BD46E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854AFB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3E56C4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92%</w:t>
            </w:r>
          </w:p>
        </w:tc>
      </w:tr>
      <w:tr w:rsidR="00747276" w:rsidRPr="00747276" w14:paraId="5531ACB8"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2B7E16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34F930C"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Central African Republic</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EC910A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609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290804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609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C95104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D9D9B3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608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258FC8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ADC95A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B65A32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3B284B14"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DBBF19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E3063D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Rwanda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173AA58"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831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D5AA70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9C6355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3FA588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831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623E74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A6D32C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A42439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CA380C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3D519D5"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14CB281"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Sao Tome and Principe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668EC8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24800C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F53333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5E11CD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81C966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BC405D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A215AC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93%</w:t>
            </w:r>
          </w:p>
        </w:tc>
      </w:tr>
      <w:tr w:rsidR="00747276" w:rsidRPr="00747276" w14:paraId="1D1A0096"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790CE0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93DAE8D"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Senegal</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E5E2B4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662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DAFAE7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7C408D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694914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C97055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8B5010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2F506F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r>
      <w:tr w:rsidR="00747276" w:rsidRPr="00747276" w14:paraId="50DDCCB5"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9954AD2"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F6402FA"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Seychelles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AD2FC7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B2D7F8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B81834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297227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B116AD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63BDA5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1345CE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EBE0271"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803291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C4BA3BA"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Sierra Leone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CD51100"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652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4FA258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652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B7FC2C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F5F3DD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3D4C8E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52D528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634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6C355C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253C93D6"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A70726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6E1D2F3"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Somalia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066A5F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896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CF8FD7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71FD1A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ABB212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7F2B5A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52F5FC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57ADB5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7DD81CC0"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20003151"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270A939"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Sudan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718BD68"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298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B27267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7FC258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F37CA7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A5FE45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BC8C48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027B1A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5156591"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6D3E8F5"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A9CFEE7"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South Sudan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3EBE67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91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BF466E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A1D5ED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3CB9E7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58C197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AB903C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6D3C40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609A6ECE"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0E637BB"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AF4C26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Eswatini (Swaziland)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AD379A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121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DEE11F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1333F7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615935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4C145E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5A42AC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608F48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r>
      <w:tr w:rsidR="00747276" w:rsidRPr="00747276" w14:paraId="6F2D531C"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F99CDC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A77DED9"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Tanzania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3AD1456"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1.171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1F1D12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1.171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4F0A71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F462D7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1.160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24BE6F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4E90B9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1.102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B6F7D7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2402B84F"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8DA564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B2DAF0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Chad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29F637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930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7B7F5F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763085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D442A7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B1D821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614F0E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C6A45C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90%</w:t>
            </w:r>
          </w:p>
        </w:tc>
      </w:tr>
      <w:tr w:rsidR="00747276" w:rsidRPr="00747276" w14:paraId="2DF4474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765753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A4E492C"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Togo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859EB70"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373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CA9E1F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C4F402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75D46E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075D5D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39AB0A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370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0775B3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5710AB3E"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F5FE622"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D0C70A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Zambia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14BA43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825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DE8C10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5430A7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7F4F23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814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AFCD4F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081D46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734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FBF404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w:t>
            </w:r>
          </w:p>
        </w:tc>
      </w:tr>
      <w:tr w:rsidR="00747276" w:rsidRPr="00747276" w14:paraId="05C1241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5865B1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E624F7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Zimbabwe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C8F393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461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D9384D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F5C285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D844B3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746BDB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FE8366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457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A7BADA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35F854D8"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5D92C3C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626D63F6"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Africa</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19A0B6D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27.809</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45928A0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27.748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21C706E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6B6111F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27.598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05FA9A6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7A02367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26.268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41F02CE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15941510"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2DBA6A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F9539C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Antigua and Barbuda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AD52F7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F8C168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C49B2A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256A60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12D193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A2D1A5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F575CE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0DB74E60"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CF8C60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ED2C641"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Barbados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70C63E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5160BEC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782A9F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ABE1C0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A46091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BD79B4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96E0B6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3440BB93"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4C466CF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4CE895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Belize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27760A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8C42AF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8B1B52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47E73A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2279E2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4EAA83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944175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87%</w:t>
            </w:r>
          </w:p>
        </w:tc>
      </w:tr>
      <w:tr w:rsidR="00747276" w:rsidRPr="00747276" w14:paraId="07133E50"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268D51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AC483C9"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Dominica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000B67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6641A2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94BB20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7FA171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05528B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E08FB3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99AEA1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F3E6E3F"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84A4142"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3B62B5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Grenada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EA86798"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D9AE94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AF4A92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7092A6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5ABD1E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B9FB49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8E0483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6C2DC81C"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291836D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0FC8251"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Guyana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2201759"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42C747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87CEFD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C09F9A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5BA45E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61822B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6F83C4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6D060129"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362C33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EE82EA8"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Haïti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C52D1C6"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995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04684C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C5FA23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BDE607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923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D2751D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93%</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87C00D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83A3B6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83%</w:t>
            </w:r>
          </w:p>
        </w:tc>
      </w:tr>
      <w:tr w:rsidR="00747276" w:rsidRPr="00747276" w14:paraId="75FEF7A9"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A676FD1"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D396A63"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Jamaica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EB31A0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235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7FB468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235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DCC9E5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DE3B43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38593C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683CF9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9BF2BC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r>
      <w:tr w:rsidR="00747276" w:rsidRPr="00747276" w14:paraId="6B6910F0"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516FF917"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FB3DA5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Dominican Republic</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1CD416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281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A52226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BFE55B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72AD28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0DA58D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38FBA0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279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BE06AA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224F30B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8BBB9E7"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4D7B05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Saint Lucia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19559F1"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9A845F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790351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252C8C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CEDE81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DEE8E9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3E1A3A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47828FB"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530D363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CE5FCB4"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Saint Kitts and Nevis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E1C509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F4DA55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0CC388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5A1185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0307DA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F514FA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D69874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07C8246E"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50C8EBC4"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7099C17"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Saint Vincent and the Grenadines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6B5E8A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BAC629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F4FB6C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0234A9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4F1E82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F6359A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173852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92%</w:t>
            </w:r>
          </w:p>
        </w:tc>
      </w:tr>
      <w:tr w:rsidR="00747276" w:rsidRPr="00747276" w14:paraId="3DCEB9AC"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242A3BB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341DEA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Suriname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1089514"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14BC7E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340DD2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A7030A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D064AB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56CE0C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CF77EF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r>
      <w:tr w:rsidR="00747276" w:rsidRPr="00747276" w14:paraId="4C3B217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3EB5E3B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2ED89F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Trinidad and Tobago</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DD3BD0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F08652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01D634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27794E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0976B0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BF0FB7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6EB4EC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7561D974"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380541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3D259E43"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Caribbean</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67354FD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1.850</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03460E8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1.845</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31A930A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42BD6DE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1.769</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782E674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273DBEC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1.653</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06CCAEF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w:t>
            </w:r>
          </w:p>
        </w:tc>
      </w:tr>
      <w:tr w:rsidR="00747276" w:rsidRPr="00747276" w14:paraId="6D3449B7"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45E0242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2D81DD3"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Fiji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7FCF4D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E49464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C1AD75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CC4A0A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E54751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91D03A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9228AD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072022B2"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9FCF0D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7B0F9A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Cook Islands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B66F57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7E439C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989C69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59437E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231FA8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264E3E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38742F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9EBE818"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6DFC5E7"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1B81473"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Solomon Islands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DF5380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66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3740E0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64A57E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D1B892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46921D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0430C7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74129C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7B76B09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A33BAC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D91713C"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Kiribati</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FB1D7E6"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4B468E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828167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4F1C84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A9E880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ED5E5E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EE111D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7F362635"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13623767"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9F41F18"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Marshall Island</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559A9CB"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BD3B4E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3D0BC5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9D54F8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759FC8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239061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0AB1AF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5E2643CB"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5B64AD1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0517D03"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Micronesia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135A94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52AB72F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667333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024C6F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DF26AA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7F1FF2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9D6527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78%</w:t>
            </w:r>
          </w:p>
        </w:tc>
      </w:tr>
      <w:tr w:rsidR="00747276" w:rsidRPr="00747276" w14:paraId="00775746"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D03B52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249CDC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Nauru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466E8F0"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B02FCC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CA843F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E446DA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22FF43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4B9AE1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25776D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21FA2DFF"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7D5BD63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737031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Niue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47F0E7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95B5F3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15FEB3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7CE6B1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4EF960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65C01E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2C1056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D8EBCEF"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15C34BBB"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03D1257"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Palau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1F5391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79B3A7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91F923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B38586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BA4A29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5FE4AC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788937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773CB6E5"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27F30234"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0A85584"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Papua New Guinea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4E56D8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239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0A71C2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5EFA45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57F67F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3C4D6A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16AE58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CF3923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r>
      <w:tr w:rsidR="00747276" w:rsidRPr="00747276" w14:paraId="5EB9AEAA"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6F415F82"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9F9E2D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Western Samoa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280C34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67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0D12F5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412430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BA200E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109F2A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5AE4B0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A822B0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r>
      <w:tr w:rsidR="00747276" w:rsidRPr="00747276" w14:paraId="7862074E"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146EAB05"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4A38A92"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Timor Leste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108063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166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BE42E1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BC94A0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42AADF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4609D0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9749CD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161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9B0A2C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6FAAC6F7"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3BF391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9FD1339"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Tonga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CD7479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9E1B26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2854D9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EFE7A9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3B1B97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423DB9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EAB60B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FEF9DFA"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059FD431"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F9C02FD"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Tuvalu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F2B7DA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281208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ECA9EC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E3B400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213CAF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C5E6D1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D8D472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95DB444"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68C4E7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FAC2D5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Vanuatu</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B5415D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3D755B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6FF26C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57F014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460ACA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BCB59E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345D73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7AE295C3"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5AD96E64"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626CDC6D"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Pacific</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0551233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779</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14C15BE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777</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58EFCC7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0282D9E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770</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70ED438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5943C9F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752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18A7DD5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97%</w:t>
            </w:r>
          </w:p>
        </w:tc>
      </w:tr>
      <w:tr w:rsidR="00747276" w:rsidRPr="00747276" w14:paraId="70B1720A"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198472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9EECA5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Intra ACP Allocations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8D501E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7.967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EB80C9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7.862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5C88DE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9F8602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7.908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88CDF4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F5F7CD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7.473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D45253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94%</w:t>
            </w:r>
          </w:p>
        </w:tc>
      </w:tr>
      <w:tr w:rsidR="00747276" w:rsidRPr="00747276" w14:paraId="612A1B9A"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270D94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E4C452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PALOP</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F0579C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01E93C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017045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E0E646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92ECBB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349EE7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64E33E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7FB06A2C"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2771D85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5860D19"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Southern Africa Region FED 10</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2B1637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129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A413E2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3F9E59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4E984A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D9300D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B95045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ED4403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3D147D7D"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2DE62547"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130E20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Central Africa region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B5CA43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546</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C16069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543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407928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118CAC9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CC6FAF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897DB0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451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4BBA0C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83%</w:t>
            </w:r>
          </w:p>
        </w:tc>
      </w:tr>
      <w:tr w:rsidR="00747276" w:rsidRPr="00747276" w14:paraId="1A132ECD" w14:textId="77777777" w:rsidTr="00BE7E4A">
        <w:trPr>
          <w:trHeight w:val="375"/>
        </w:trPr>
        <w:tc>
          <w:tcPr>
            <w:tcW w:w="0" w:type="auto"/>
            <w:vMerge/>
            <w:tcBorders>
              <w:top w:val="nil"/>
              <w:left w:val="nil"/>
              <w:bottom w:val="single" w:sz="4" w:space="0" w:color="000000"/>
              <w:right w:val="single" w:sz="4" w:space="0" w:color="000000"/>
            </w:tcBorders>
            <w:vAlign w:val="center"/>
            <w:hideMark/>
          </w:tcPr>
          <w:p w14:paraId="561EF3E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noWrap/>
            <w:vAlign w:val="bottom"/>
            <w:hideMark/>
          </w:tcPr>
          <w:p w14:paraId="7C8000C4"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Eastern Africa region and Australia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5AA5836"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2.989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306F6F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2.981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D3C67E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16AAF0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2.960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4CAAE6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E90E0E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2.650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71209E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89%</w:t>
            </w:r>
          </w:p>
        </w:tc>
      </w:tr>
      <w:tr w:rsidR="00747276" w:rsidRPr="00747276" w14:paraId="7305CBAE"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CF72B5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14588C8"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Western Africa Region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39D501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1.919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515C69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1.918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F6F5E1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E79D27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1.901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28C73A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13DA5A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1.737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5081B2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91%</w:t>
            </w:r>
          </w:p>
        </w:tc>
      </w:tr>
      <w:tr w:rsidR="00747276" w:rsidRPr="00747276" w14:paraId="6093D398"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4063B45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C0B523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Caribbean Region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95CE5A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BE45A2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26302A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B6A7A6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522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EE63C8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1ADA81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439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E1757E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w:t>
            </w:r>
          </w:p>
        </w:tc>
      </w:tr>
      <w:tr w:rsidR="00747276" w:rsidRPr="00747276" w14:paraId="66B90CA7"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2229524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6452789"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Pacific Region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60A74C8"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322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A2EF77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318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6D8962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E043A2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33856B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93%</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363952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259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E5ED25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81%</w:t>
            </w:r>
          </w:p>
        </w:tc>
      </w:tr>
      <w:tr w:rsidR="00747276" w:rsidRPr="00747276" w14:paraId="7585E1E3"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64275ED2"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556D9DAB"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regional cooperation ACP</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69467AD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14.464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4FE4770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14.338</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0AB651D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0F6E248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14.316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0F7B57A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09DFA0D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13.195</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632AA19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91%</w:t>
            </w:r>
          </w:p>
        </w:tc>
      </w:tr>
      <w:tr w:rsidR="00747276" w:rsidRPr="00747276" w14:paraId="0B454E47" w14:textId="77777777" w:rsidTr="00BE7E4A">
        <w:trPr>
          <w:trHeight w:val="255"/>
        </w:trPr>
        <w:tc>
          <w:tcPr>
            <w:tcW w:w="0" w:type="auto"/>
            <w:vMerge/>
            <w:tcBorders>
              <w:top w:val="nil"/>
              <w:left w:val="nil"/>
              <w:bottom w:val="single" w:sz="4" w:space="0" w:color="000000"/>
              <w:right w:val="single" w:sz="4" w:space="0" w:color="000000"/>
            </w:tcBorders>
            <w:vAlign w:val="center"/>
            <w:hideMark/>
          </w:tcPr>
          <w:p w14:paraId="2C37BEF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808080"/>
            <w:noWrap/>
            <w:vAlign w:val="center"/>
            <w:hideMark/>
          </w:tcPr>
          <w:p w14:paraId="71A61385"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ACP</w:t>
            </w:r>
          </w:p>
        </w:tc>
        <w:tc>
          <w:tcPr>
            <w:tcW w:w="1097" w:type="dxa"/>
            <w:tcBorders>
              <w:top w:val="single" w:sz="4" w:space="0" w:color="000000"/>
              <w:left w:val="nil"/>
              <w:bottom w:val="single" w:sz="4" w:space="0" w:color="000000"/>
              <w:right w:val="single" w:sz="4" w:space="0" w:color="000000"/>
            </w:tcBorders>
            <w:shd w:val="clear" w:color="auto" w:fill="808080"/>
            <w:noWrap/>
            <w:vAlign w:val="center"/>
            <w:hideMark/>
          </w:tcPr>
          <w:p w14:paraId="0B47D6F2"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50.070,99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14:paraId="5E0DBEAE"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48.871,60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5058FEF6"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98%</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14:paraId="013A16D6"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48.617,47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2C8ABFB3"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97%</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14:paraId="61E8F318"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45.968,94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40C2C67C"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92%</w:t>
            </w:r>
          </w:p>
        </w:tc>
      </w:tr>
      <w:tr w:rsidR="00747276" w:rsidRPr="00747276" w14:paraId="09D8F068" w14:textId="77777777" w:rsidTr="00BE7E4A">
        <w:trPr>
          <w:trHeight w:val="300"/>
        </w:trPr>
        <w:tc>
          <w:tcPr>
            <w:tcW w:w="1431" w:type="dxa"/>
            <w:tcBorders>
              <w:top w:val="nil"/>
              <w:left w:val="nil"/>
              <w:bottom w:val="single" w:sz="4" w:space="0" w:color="CACAD9"/>
              <w:right w:val="single" w:sz="4" w:space="0" w:color="CACAD9"/>
            </w:tcBorders>
            <w:vAlign w:val="center"/>
            <w:hideMark/>
          </w:tcPr>
          <w:p w14:paraId="7CD8BB5A"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w:t>
            </w:r>
          </w:p>
        </w:tc>
        <w:tc>
          <w:tcPr>
            <w:tcW w:w="2638" w:type="dxa"/>
            <w:shd w:val="clear" w:color="auto" w:fill="FFFFFF"/>
            <w:noWrap/>
            <w:vAlign w:val="bottom"/>
            <w:hideMark/>
          </w:tcPr>
          <w:p w14:paraId="2198696D" w14:textId="77777777" w:rsidR="00747276" w:rsidRPr="00747276" w:rsidRDefault="00747276" w:rsidP="00747276">
            <w:pPr>
              <w:spacing w:after="0" w:line="240" w:lineRule="auto"/>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1097" w:type="dxa"/>
            <w:shd w:val="clear" w:color="auto" w:fill="FFFFFF"/>
            <w:noWrap/>
            <w:vAlign w:val="center"/>
            <w:hideMark/>
          </w:tcPr>
          <w:p w14:paraId="6F114CA4"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1025" w:type="dxa"/>
            <w:shd w:val="clear" w:color="auto" w:fill="FFFFFF"/>
            <w:noWrap/>
            <w:vAlign w:val="center"/>
            <w:hideMark/>
          </w:tcPr>
          <w:p w14:paraId="05B62BD0"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645" w:type="dxa"/>
            <w:shd w:val="clear" w:color="auto" w:fill="FFFFFF"/>
            <w:noWrap/>
            <w:vAlign w:val="center"/>
            <w:hideMark/>
          </w:tcPr>
          <w:p w14:paraId="38BB8455"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895" w:type="dxa"/>
            <w:shd w:val="clear" w:color="auto" w:fill="FFFFFF"/>
            <w:noWrap/>
            <w:vAlign w:val="center"/>
            <w:hideMark/>
          </w:tcPr>
          <w:p w14:paraId="0CD08C72"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645" w:type="dxa"/>
            <w:shd w:val="clear" w:color="auto" w:fill="FFFFFF"/>
            <w:noWrap/>
            <w:vAlign w:val="center"/>
            <w:hideMark/>
          </w:tcPr>
          <w:p w14:paraId="37A8A38B"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879" w:type="dxa"/>
            <w:shd w:val="clear" w:color="auto" w:fill="FFFFFF"/>
            <w:noWrap/>
            <w:vAlign w:val="center"/>
            <w:hideMark/>
          </w:tcPr>
          <w:p w14:paraId="5B96D2D4"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645" w:type="dxa"/>
            <w:shd w:val="clear" w:color="auto" w:fill="FFFFFF"/>
            <w:noWrap/>
            <w:vAlign w:val="center"/>
            <w:hideMark/>
          </w:tcPr>
          <w:p w14:paraId="4422E5DC"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r>
      <w:tr w:rsidR="00747276" w:rsidRPr="00747276" w14:paraId="572EC15A" w14:textId="77777777" w:rsidTr="00BE7E4A">
        <w:trPr>
          <w:trHeight w:val="390"/>
        </w:trPr>
        <w:tc>
          <w:tcPr>
            <w:tcW w:w="1431" w:type="dxa"/>
            <w:vMerge w:val="restart"/>
            <w:tcBorders>
              <w:top w:val="single" w:sz="4" w:space="0" w:color="000000"/>
              <w:left w:val="nil"/>
              <w:bottom w:val="nil"/>
              <w:right w:val="single" w:sz="4" w:space="0" w:color="000000"/>
            </w:tcBorders>
            <w:shd w:val="clear" w:color="auto" w:fill="808080"/>
            <w:textDirection w:val="btLr"/>
            <w:vAlign w:val="center"/>
            <w:hideMark/>
          </w:tcPr>
          <w:p w14:paraId="628B8432" w14:textId="77777777" w:rsidR="00747276" w:rsidRPr="00747276" w:rsidRDefault="00747276" w:rsidP="00747276">
            <w:pPr>
              <w:spacing w:after="0" w:line="240" w:lineRule="auto"/>
              <w:jc w:val="center"/>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OCT</w:t>
            </w:r>
          </w:p>
        </w:tc>
        <w:tc>
          <w:tcPr>
            <w:tcW w:w="2638" w:type="dxa"/>
            <w:tcBorders>
              <w:top w:val="single" w:sz="4" w:space="0" w:color="000000"/>
              <w:left w:val="nil"/>
              <w:bottom w:val="single" w:sz="4" w:space="0" w:color="000000"/>
              <w:right w:val="single" w:sz="4" w:space="0" w:color="000000"/>
            </w:tcBorders>
            <w:vAlign w:val="bottom"/>
            <w:hideMark/>
          </w:tcPr>
          <w:p w14:paraId="1D5B57C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Reserve/Not distributed by country/territory</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442DFBB"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248DE77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2F6AF7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34%</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CB5D77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717163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7BBD1CA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101A54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w:t>
            </w:r>
          </w:p>
        </w:tc>
      </w:tr>
      <w:tr w:rsidR="00747276" w:rsidRPr="00747276" w14:paraId="3D524810"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37BC7FC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557DAB5C"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All OCT countries</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5123D49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66A0965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39B3E1B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34%</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44E6209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4B7CF9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1488091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41D256A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w:t>
            </w:r>
          </w:p>
        </w:tc>
      </w:tr>
      <w:tr w:rsidR="00747276" w:rsidRPr="00747276" w14:paraId="34D60473"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18A3650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F67A7D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Anguilla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69FBFD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98EC2C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4D2AD2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14868E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1EC922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BAF92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99F719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7CABCC12"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1175920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66F359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Falklands Islands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536793A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799726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4C6740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C5DA9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047E9F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1E7E0C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7A62A2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632FF1E"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65C0BE55"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E529D05"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Pitcairn Islands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25E9000"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0C718E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1134C0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C57A66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99736F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4924D6F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55843E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16EE3227"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2D71ECD4"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06974D12"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Turks and Caicos Islands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5746D06"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E8775F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DC474A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4BBAC7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ED438D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E960B7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D43A3C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5D31550E"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4B06D27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FC5FAD2"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British Virgin Islands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9343C54"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3FB4DE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AE7E27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CE7E9B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7FED0D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59E0E7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B9E911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A427AC8"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4898E64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CC73D16"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Montserrat</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27F422A"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71A48E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66BCBA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0711B5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E339A2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CAC813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0E5C85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256A5CE8"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736D1CB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3BF2FB42"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Saint Helena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39DF31B"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D8454B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8B388F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A99347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27E3B1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FAE430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B4EB45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150F4457"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7C7AF33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13D08083"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British OCT</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40DECFAC"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146</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3ED1C82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10F89C1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2C891E5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235D860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55EAE07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2EB29BC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3E8E130"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05BD7AA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117F3B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Netherlands Antilles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EEEC95F"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38</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49AFF2F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E08C31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130857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D7D373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54%</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7BC250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7E5548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54%</w:t>
            </w:r>
          </w:p>
        </w:tc>
      </w:tr>
      <w:tr w:rsidR="00747276" w:rsidRPr="00747276" w14:paraId="18E70876" w14:textId="77777777" w:rsidTr="00BE7E4A">
        <w:trPr>
          <w:trHeight w:val="375"/>
        </w:trPr>
        <w:tc>
          <w:tcPr>
            <w:tcW w:w="0" w:type="auto"/>
            <w:vMerge/>
            <w:tcBorders>
              <w:top w:val="single" w:sz="4" w:space="0" w:color="000000"/>
              <w:left w:val="nil"/>
              <w:bottom w:val="nil"/>
              <w:right w:val="single" w:sz="4" w:space="0" w:color="000000"/>
            </w:tcBorders>
            <w:vAlign w:val="center"/>
            <w:hideMark/>
          </w:tcPr>
          <w:p w14:paraId="5813CAF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14:paraId="0A5E98D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Netherlands Antilles - Bonaire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A191BAE"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047E44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10DAAF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463EB5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8494CB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F11D57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A36F1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097B07C8" w14:textId="77777777" w:rsidTr="00BE7E4A">
        <w:trPr>
          <w:trHeight w:val="375"/>
        </w:trPr>
        <w:tc>
          <w:tcPr>
            <w:tcW w:w="0" w:type="auto"/>
            <w:vMerge/>
            <w:tcBorders>
              <w:top w:val="single" w:sz="4" w:space="0" w:color="000000"/>
              <w:left w:val="nil"/>
              <w:bottom w:val="nil"/>
              <w:right w:val="single" w:sz="4" w:space="0" w:color="000000"/>
            </w:tcBorders>
            <w:vAlign w:val="center"/>
            <w:hideMark/>
          </w:tcPr>
          <w:p w14:paraId="723C592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14:paraId="10360A0A"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Netherlands Antilles - Saba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042BCA5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1EFD777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CDCFB9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44AD27F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1E2696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25F32D6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D2181B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1D60BB7E" w14:textId="77777777" w:rsidTr="00BE7E4A">
        <w:trPr>
          <w:trHeight w:val="375"/>
        </w:trPr>
        <w:tc>
          <w:tcPr>
            <w:tcW w:w="0" w:type="auto"/>
            <w:vMerge/>
            <w:tcBorders>
              <w:top w:val="single" w:sz="4" w:space="0" w:color="000000"/>
              <w:left w:val="nil"/>
              <w:bottom w:val="nil"/>
              <w:right w:val="single" w:sz="4" w:space="0" w:color="000000"/>
            </w:tcBorders>
            <w:vAlign w:val="center"/>
            <w:hideMark/>
          </w:tcPr>
          <w:p w14:paraId="4FE62825"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14:paraId="4B9EFEE3"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Netherlands Antilles - Sint-Eustatius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2DA53670"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62636B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30DBDA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131B23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1A8DEBD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19CD86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9264CE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5E843D14"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2305A37F"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vAlign w:val="bottom"/>
            <w:hideMark/>
          </w:tcPr>
          <w:p w14:paraId="2A5E06FF"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Aruba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43F1F87"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21</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4A9756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409D7E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8AC401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3245CC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508C3C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21</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C4C19B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98%</w:t>
            </w:r>
          </w:p>
        </w:tc>
      </w:tr>
      <w:tr w:rsidR="00747276" w:rsidRPr="00747276" w14:paraId="063924FA"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122804CE"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244D12D4"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Sint Maarten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BD80723"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14</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996A56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14</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3552D0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05AD24A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5E63327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E92FFD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86E302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39%</w:t>
            </w:r>
          </w:p>
        </w:tc>
      </w:tr>
      <w:tr w:rsidR="00747276" w:rsidRPr="00747276" w14:paraId="2C668BBB"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594C4D21"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5F37E1AC"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Dutch OCT</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7DD978E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83</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1AFFDB3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648A51F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2976F09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64</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52F8500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77%</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1B231CD3"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2D157CE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68%</w:t>
            </w:r>
          </w:p>
        </w:tc>
      </w:tr>
      <w:tr w:rsidR="00747276" w:rsidRPr="00747276" w14:paraId="55CA336A"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750B5388"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4E907700"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Wallis and Futuna Islands</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73218BD"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39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7EBC70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38</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B40270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724E66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DA8724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95%</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0235251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BDC197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76%</w:t>
            </w:r>
          </w:p>
        </w:tc>
      </w:tr>
      <w:tr w:rsidR="00747276" w:rsidRPr="00747276" w14:paraId="5105526A"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49234F09"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A9BEAD4"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Mayotte</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7A8CA9B1"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0156F3F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FDA56E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76456F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0DF0F9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86536D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DF6D2E5"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3235C297"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5437815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70693EAB"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New Caledonia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1096071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50</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69A65E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4C442E6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6EB4027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ACECCF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3A9B169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50</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ABEBBC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2AD245E8"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5376EEC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14B30C8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French Polynesia</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33F56945"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49</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68D4530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4833BD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299C903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654416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195ED116"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6587EE6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0D0EA933"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5FD0904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5F3ABF37"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Saint Pierre and Miquelon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6BC6844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47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39CCCBA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0AE23FC"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33A72B4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F3312A4"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555EDB2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47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3309765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r>
      <w:tr w:rsidR="00747276" w:rsidRPr="00747276" w14:paraId="459A0FF6"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067DD416"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243DF934"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French OCT</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788E15FB"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214</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7DEE331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213</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362A212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09472A3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212</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0A2A5CCA"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163673B2"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204</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420143F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96%</w:t>
            </w:r>
          </w:p>
        </w:tc>
      </w:tr>
      <w:tr w:rsidR="00747276" w:rsidRPr="00747276" w14:paraId="529C2170" w14:textId="77777777" w:rsidTr="00BE7E4A">
        <w:trPr>
          <w:trHeight w:val="375"/>
        </w:trPr>
        <w:tc>
          <w:tcPr>
            <w:tcW w:w="0" w:type="auto"/>
            <w:vMerge/>
            <w:tcBorders>
              <w:top w:val="single" w:sz="4" w:space="0" w:color="000000"/>
              <w:left w:val="nil"/>
              <w:bottom w:val="nil"/>
              <w:right w:val="single" w:sz="4" w:space="0" w:color="000000"/>
            </w:tcBorders>
            <w:vAlign w:val="center"/>
            <w:hideMark/>
          </w:tcPr>
          <w:p w14:paraId="42631C0C"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FFFFFF"/>
            <w:vAlign w:val="bottom"/>
            <w:hideMark/>
          </w:tcPr>
          <w:p w14:paraId="6F37BD5E" w14:textId="77777777" w:rsidR="00747276" w:rsidRPr="00747276" w:rsidRDefault="00747276" w:rsidP="00747276">
            <w:pPr>
              <w:spacing w:after="0" w:line="240" w:lineRule="auto"/>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region</w:t>
            </w:r>
          </w:p>
        </w:tc>
        <w:tc>
          <w:tcPr>
            <w:tcW w:w="1097" w:type="dxa"/>
            <w:tcBorders>
              <w:top w:val="single" w:sz="4" w:space="0" w:color="000000"/>
              <w:left w:val="nil"/>
              <w:bottom w:val="single" w:sz="4" w:space="0" w:color="CACAD9"/>
              <w:right w:val="single" w:sz="4" w:space="0" w:color="CACAD9"/>
            </w:tcBorders>
            <w:shd w:val="clear" w:color="auto" w:fill="FFFFFF"/>
            <w:noWrap/>
            <w:vAlign w:val="center"/>
            <w:hideMark/>
          </w:tcPr>
          <w:p w14:paraId="4868A427"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137</w:t>
            </w:r>
          </w:p>
        </w:tc>
        <w:tc>
          <w:tcPr>
            <w:tcW w:w="1025" w:type="dxa"/>
            <w:tcBorders>
              <w:top w:val="single" w:sz="4" w:space="0" w:color="000000"/>
              <w:left w:val="single" w:sz="4" w:space="0" w:color="000000"/>
              <w:bottom w:val="single" w:sz="4" w:space="0" w:color="C0C0C0"/>
              <w:right w:val="single" w:sz="4" w:space="0" w:color="000000"/>
            </w:tcBorders>
            <w:shd w:val="clear" w:color="auto" w:fill="FFFFFF"/>
            <w:noWrap/>
            <w:vAlign w:val="center"/>
            <w:hideMark/>
          </w:tcPr>
          <w:p w14:paraId="716E404F"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137</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2DA6163B"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FFFFFF"/>
            <w:noWrap/>
            <w:vAlign w:val="center"/>
            <w:hideMark/>
          </w:tcPr>
          <w:p w14:paraId="57AF8EE7"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136</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050A19F9"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FFFFFF"/>
            <w:noWrap/>
            <w:vAlign w:val="center"/>
            <w:hideMark/>
          </w:tcPr>
          <w:p w14:paraId="6F932811"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119</w:t>
            </w:r>
          </w:p>
        </w:tc>
        <w:tc>
          <w:tcPr>
            <w:tcW w:w="645" w:type="dxa"/>
            <w:tcBorders>
              <w:top w:val="single" w:sz="4" w:space="0" w:color="000000"/>
              <w:left w:val="nil"/>
              <w:bottom w:val="single" w:sz="4" w:space="0" w:color="C0C0C0"/>
              <w:right w:val="single" w:sz="4" w:space="0" w:color="000000"/>
            </w:tcBorders>
            <w:shd w:val="clear" w:color="auto" w:fill="FFFFFF"/>
            <w:noWrap/>
            <w:vAlign w:val="center"/>
            <w:hideMark/>
          </w:tcPr>
          <w:p w14:paraId="7B75005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87%</w:t>
            </w:r>
          </w:p>
        </w:tc>
      </w:tr>
      <w:tr w:rsidR="00747276" w:rsidRPr="00747276" w14:paraId="50DB2522"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4ABBB94D"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C0C0C0"/>
            <w:noWrap/>
            <w:vAlign w:val="center"/>
            <w:hideMark/>
          </w:tcPr>
          <w:p w14:paraId="1EC0A33B" w14:textId="77777777" w:rsidR="00747276" w:rsidRPr="00747276" w:rsidRDefault="00747276" w:rsidP="00747276">
            <w:pPr>
              <w:spacing w:after="0" w:line="240" w:lineRule="auto"/>
              <w:jc w:val="right"/>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 Total regional cooperation OCT</w:t>
            </w:r>
          </w:p>
        </w:tc>
        <w:tc>
          <w:tcPr>
            <w:tcW w:w="1097" w:type="dxa"/>
            <w:tcBorders>
              <w:top w:val="single" w:sz="4" w:space="0" w:color="000000"/>
              <w:left w:val="nil"/>
              <w:bottom w:val="single" w:sz="4" w:space="0" w:color="CACAD9"/>
              <w:right w:val="single" w:sz="4" w:space="0" w:color="CACAD9"/>
            </w:tcBorders>
            <w:shd w:val="clear" w:color="auto" w:fill="BFBFBF"/>
            <w:noWrap/>
            <w:vAlign w:val="center"/>
            <w:hideMark/>
          </w:tcPr>
          <w:p w14:paraId="5F42C342" w14:textId="77777777" w:rsidR="00747276" w:rsidRPr="00747276" w:rsidRDefault="00747276" w:rsidP="00747276">
            <w:pPr>
              <w:spacing w:after="0" w:line="240" w:lineRule="auto"/>
              <w:jc w:val="center"/>
              <w:rPr>
                <w:rFonts w:ascii="Arial" w:eastAsia="Times New Roman" w:hAnsi="Arial" w:cs="Arial"/>
                <w:b/>
                <w:bCs/>
                <w:noProof/>
                <w:color w:val="000000"/>
                <w:kern w:val="0"/>
                <w:sz w:val="14"/>
                <w:szCs w:val="14"/>
                <w:lang w:val="en-IE" w:eastAsia="en-IE"/>
                <w14:ligatures w14:val="none"/>
              </w:rPr>
            </w:pPr>
            <w:r w:rsidRPr="00747276">
              <w:rPr>
                <w:rFonts w:ascii="Arial" w:eastAsia="Times New Roman" w:hAnsi="Arial" w:cs="Arial"/>
                <w:b/>
                <w:bCs/>
                <w:noProof/>
                <w:color w:val="000000"/>
                <w:kern w:val="0"/>
                <w:sz w:val="14"/>
                <w:szCs w:val="14"/>
                <w:lang w:val="en-IE" w:eastAsia="en-IE"/>
                <w14:ligatures w14:val="none"/>
              </w:rPr>
              <w:t>137</w:t>
            </w:r>
          </w:p>
        </w:tc>
        <w:tc>
          <w:tcPr>
            <w:tcW w:w="1025" w:type="dxa"/>
            <w:tcBorders>
              <w:top w:val="single" w:sz="4" w:space="0" w:color="000000"/>
              <w:left w:val="single" w:sz="4" w:space="0" w:color="000000"/>
              <w:bottom w:val="single" w:sz="4" w:space="0" w:color="C0C0C0"/>
              <w:right w:val="single" w:sz="4" w:space="0" w:color="000000"/>
            </w:tcBorders>
            <w:shd w:val="clear" w:color="auto" w:fill="BFBFBF"/>
            <w:noWrap/>
            <w:vAlign w:val="center"/>
            <w:hideMark/>
          </w:tcPr>
          <w:p w14:paraId="1F4996FE"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137</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653243D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100%</w:t>
            </w:r>
          </w:p>
        </w:tc>
        <w:tc>
          <w:tcPr>
            <w:tcW w:w="895" w:type="dxa"/>
            <w:tcBorders>
              <w:top w:val="single" w:sz="4" w:space="0" w:color="000000"/>
              <w:left w:val="nil"/>
              <w:bottom w:val="single" w:sz="4" w:space="0" w:color="C0C0C0"/>
              <w:right w:val="single" w:sz="4" w:space="0" w:color="000000"/>
            </w:tcBorders>
            <w:shd w:val="clear" w:color="auto" w:fill="BFBFBF"/>
            <w:noWrap/>
            <w:vAlign w:val="center"/>
            <w:hideMark/>
          </w:tcPr>
          <w:p w14:paraId="5461B0CD"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136</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42C88190"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99%</w:t>
            </w:r>
          </w:p>
        </w:tc>
        <w:tc>
          <w:tcPr>
            <w:tcW w:w="879" w:type="dxa"/>
            <w:tcBorders>
              <w:top w:val="single" w:sz="4" w:space="0" w:color="000000"/>
              <w:left w:val="nil"/>
              <w:bottom w:val="single" w:sz="4" w:space="0" w:color="C0C0C0"/>
              <w:right w:val="single" w:sz="4" w:space="0" w:color="000000"/>
            </w:tcBorders>
            <w:shd w:val="clear" w:color="auto" w:fill="BFBFBF"/>
            <w:noWrap/>
            <w:vAlign w:val="center"/>
            <w:hideMark/>
          </w:tcPr>
          <w:p w14:paraId="211F4A0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119</w:t>
            </w:r>
          </w:p>
        </w:tc>
        <w:tc>
          <w:tcPr>
            <w:tcW w:w="645" w:type="dxa"/>
            <w:tcBorders>
              <w:top w:val="single" w:sz="4" w:space="0" w:color="000000"/>
              <w:left w:val="nil"/>
              <w:bottom w:val="single" w:sz="4" w:space="0" w:color="C0C0C0"/>
              <w:right w:val="single" w:sz="4" w:space="0" w:color="000000"/>
            </w:tcBorders>
            <w:shd w:val="clear" w:color="auto" w:fill="BFBFBF"/>
            <w:noWrap/>
            <w:vAlign w:val="center"/>
            <w:hideMark/>
          </w:tcPr>
          <w:p w14:paraId="4867CAC8" w14:textId="77777777" w:rsidR="00747276" w:rsidRPr="00747276" w:rsidRDefault="00747276" w:rsidP="00747276">
            <w:pPr>
              <w:spacing w:after="0" w:line="240" w:lineRule="auto"/>
              <w:jc w:val="center"/>
              <w:rPr>
                <w:rFonts w:ascii="Arial" w:eastAsia="Times New Roman" w:hAnsi="Arial" w:cs="Arial"/>
                <w:noProof/>
                <w:color w:val="000000"/>
                <w:kern w:val="0"/>
                <w:sz w:val="14"/>
                <w:szCs w:val="14"/>
                <w:lang w:val="en-IE" w:eastAsia="en-IE"/>
                <w14:ligatures w14:val="none"/>
              </w:rPr>
            </w:pPr>
            <w:r w:rsidRPr="00747276">
              <w:rPr>
                <w:rFonts w:ascii="Arial" w:eastAsia="Times New Roman" w:hAnsi="Arial" w:cs="Arial"/>
                <w:noProof/>
                <w:color w:val="000000"/>
                <w:kern w:val="0"/>
                <w:sz w:val="14"/>
                <w:szCs w:val="14"/>
                <w:lang w:val="en-IE" w:eastAsia="en-IE"/>
                <w14:ligatures w14:val="none"/>
              </w:rPr>
              <w:t>87%</w:t>
            </w:r>
          </w:p>
        </w:tc>
      </w:tr>
      <w:tr w:rsidR="00747276" w:rsidRPr="00747276" w14:paraId="438C8916" w14:textId="77777777" w:rsidTr="00BE7E4A">
        <w:trPr>
          <w:trHeight w:val="255"/>
        </w:trPr>
        <w:tc>
          <w:tcPr>
            <w:tcW w:w="0" w:type="auto"/>
            <w:vMerge/>
            <w:tcBorders>
              <w:top w:val="single" w:sz="4" w:space="0" w:color="000000"/>
              <w:left w:val="nil"/>
              <w:bottom w:val="nil"/>
              <w:right w:val="single" w:sz="4" w:space="0" w:color="000000"/>
            </w:tcBorders>
            <w:vAlign w:val="center"/>
            <w:hideMark/>
          </w:tcPr>
          <w:p w14:paraId="022C7853"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tcBorders>
              <w:top w:val="nil"/>
              <w:left w:val="nil"/>
              <w:bottom w:val="single" w:sz="4" w:space="0" w:color="000000"/>
              <w:right w:val="single" w:sz="4" w:space="0" w:color="000000"/>
            </w:tcBorders>
            <w:shd w:val="clear" w:color="auto" w:fill="808080"/>
            <w:noWrap/>
            <w:vAlign w:val="center"/>
            <w:hideMark/>
          </w:tcPr>
          <w:p w14:paraId="7F10BC00"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OCT</w:t>
            </w:r>
          </w:p>
        </w:tc>
        <w:tc>
          <w:tcPr>
            <w:tcW w:w="1097" w:type="dxa"/>
            <w:tcBorders>
              <w:top w:val="single" w:sz="4" w:space="0" w:color="000000"/>
              <w:left w:val="nil"/>
              <w:bottom w:val="single" w:sz="4" w:space="0" w:color="000000"/>
              <w:right w:val="single" w:sz="4" w:space="0" w:color="000000"/>
            </w:tcBorders>
            <w:shd w:val="clear" w:color="auto" w:fill="808080"/>
            <w:noWrap/>
            <w:vAlign w:val="center"/>
            <w:hideMark/>
          </w:tcPr>
          <w:p w14:paraId="40094084"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613,69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14:paraId="3DFCE3BE"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589,78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29B9B70F"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96%</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14:paraId="54B0756B"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569,00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109561D7"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93%</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14:paraId="4DD73206"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536,59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53A6DD81"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87%</w:t>
            </w:r>
          </w:p>
        </w:tc>
      </w:tr>
      <w:tr w:rsidR="00747276" w:rsidRPr="00747276" w14:paraId="1EDD6BE0" w14:textId="77777777" w:rsidTr="00BE7E4A">
        <w:trPr>
          <w:trHeight w:val="315"/>
        </w:trPr>
        <w:tc>
          <w:tcPr>
            <w:tcW w:w="1431" w:type="dxa"/>
            <w:noWrap/>
            <w:vAlign w:val="bottom"/>
            <w:hideMark/>
          </w:tcPr>
          <w:p w14:paraId="0173E810" w14:textId="77777777" w:rsidR="00747276" w:rsidRPr="00747276" w:rsidRDefault="00747276" w:rsidP="00747276">
            <w:pPr>
              <w:spacing w:after="0" w:line="240" w:lineRule="auto"/>
              <w:rPr>
                <w:rFonts w:ascii="Arial" w:eastAsia="Times New Roman" w:hAnsi="Arial" w:cs="Arial"/>
                <w:b/>
                <w:bCs/>
                <w:noProof/>
                <w:color w:val="FFFFFF"/>
                <w:kern w:val="0"/>
                <w:sz w:val="14"/>
                <w:szCs w:val="14"/>
                <w:lang w:val="en-IE" w:eastAsia="en-IE"/>
                <w14:ligatures w14:val="none"/>
              </w:rPr>
            </w:pPr>
          </w:p>
        </w:tc>
        <w:tc>
          <w:tcPr>
            <w:tcW w:w="2638" w:type="dxa"/>
            <w:shd w:val="clear" w:color="auto" w:fill="FFFFFF"/>
            <w:noWrap/>
            <w:vAlign w:val="bottom"/>
            <w:hideMark/>
          </w:tcPr>
          <w:p w14:paraId="569A63D6" w14:textId="77777777" w:rsidR="00747276" w:rsidRPr="00747276" w:rsidRDefault="00747276" w:rsidP="00747276">
            <w:pPr>
              <w:spacing w:after="0" w:line="240" w:lineRule="auto"/>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1097" w:type="dxa"/>
            <w:shd w:val="clear" w:color="auto" w:fill="FFFFFF"/>
            <w:noWrap/>
            <w:vAlign w:val="center"/>
            <w:hideMark/>
          </w:tcPr>
          <w:p w14:paraId="7BF4E128"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1025" w:type="dxa"/>
            <w:shd w:val="clear" w:color="auto" w:fill="FFFFFF"/>
            <w:noWrap/>
            <w:vAlign w:val="center"/>
            <w:hideMark/>
          </w:tcPr>
          <w:p w14:paraId="7C6EADB8"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645" w:type="dxa"/>
            <w:shd w:val="clear" w:color="auto" w:fill="FFFFFF"/>
            <w:noWrap/>
            <w:vAlign w:val="center"/>
            <w:hideMark/>
          </w:tcPr>
          <w:p w14:paraId="3D0B6527"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895" w:type="dxa"/>
            <w:shd w:val="clear" w:color="auto" w:fill="FFFFFF"/>
            <w:noWrap/>
            <w:vAlign w:val="center"/>
            <w:hideMark/>
          </w:tcPr>
          <w:p w14:paraId="79346600"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645" w:type="dxa"/>
            <w:shd w:val="clear" w:color="auto" w:fill="FFFFFF"/>
            <w:noWrap/>
            <w:vAlign w:val="center"/>
            <w:hideMark/>
          </w:tcPr>
          <w:p w14:paraId="6A3A1039"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879" w:type="dxa"/>
            <w:shd w:val="clear" w:color="auto" w:fill="FFFFFF"/>
            <w:noWrap/>
            <w:vAlign w:val="center"/>
            <w:hideMark/>
          </w:tcPr>
          <w:p w14:paraId="508D4F38"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c>
          <w:tcPr>
            <w:tcW w:w="645" w:type="dxa"/>
            <w:shd w:val="clear" w:color="auto" w:fill="FFFFFF"/>
            <w:noWrap/>
            <w:vAlign w:val="center"/>
            <w:hideMark/>
          </w:tcPr>
          <w:p w14:paraId="5825027D" w14:textId="77777777" w:rsidR="00747276" w:rsidRPr="00747276" w:rsidRDefault="00747276" w:rsidP="00747276">
            <w:pPr>
              <w:spacing w:after="0" w:line="240" w:lineRule="auto"/>
              <w:jc w:val="center"/>
              <w:rPr>
                <w:rFonts w:ascii="Arial" w:eastAsia="Times New Roman" w:hAnsi="Arial" w:cs="Arial"/>
                <w:noProof/>
                <w:color w:val="000000"/>
                <w:kern w:val="0"/>
                <w:sz w:val="24"/>
                <w:szCs w:val="24"/>
                <w:lang w:val="en-IE" w:eastAsia="en-IE"/>
                <w14:ligatures w14:val="none"/>
              </w:rPr>
            </w:pPr>
            <w:r w:rsidRPr="00747276">
              <w:rPr>
                <w:rFonts w:ascii="Arial" w:eastAsia="Times New Roman" w:hAnsi="Arial" w:cs="Arial"/>
                <w:noProof/>
                <w:color w:val="000000"/>
                <w:kern w:val="0"/>
                <w:sz w:val="24"/>
                <w:szCs w:val="24"/>
                <w:lang w:val="en-IE" w:eastAsia="en-IE"/>
                <w14:ligatures w14:val="none"/>
              </w:rPr>
              <w:t> </w:t>
            </w:r>
          </w:p>
        </w:tc>
      </w:tr>
      <w:tr w:rsidR="00747276" w:rsidRPr="00747276" w14:paraId="64415C6E" w14:textId="77777777" w:rsidTr="00BE7E4A">
        <w:trPr>
          <w:trHeight w:val="270"/>
        </w:trPr>
        <w:tc>
          <w:tcPr>
            <w:tcW w:w="1431" w:type="dxa"/>
            <w:tcBorders>
              <w:top w:val="single" w:sz="8" w:space="0" w:color="000000"/>
              <w:left w:val="nil"/>
              <w:bottom w:val="single" w:sz="8" w:space="0" w:color="000000"/>
              <w:right w:val="single" w:sz="4" w:space="0" w:color="CAC9D9"/>
            </w:tcBorders>
            <w:shd w:val="clear" w:color="auto" w:fill="808080"/>
            <w:noWrap/>
            <w:vAlign w:val="center"/>
            <w:hideMark/>
          </w:tcPr>
          <w:p w14:paraId="2F802A85" w14:textId="77777777" w:rsidR="00747276" w:rsidRPr="00747276" w:rsidRDefault="00747276" w:rsidP="00747276">
            <w:pPr>
              <w:spacing w:after="0" w:line="240" w:lineRule="auto"/>
              <w:rPr>
                <w:rFonts w:ascii="Arial" w:eastAsia="Times New Roman" w:hAnsi="Arial" w:cs="Arial"/>
                <w:b/>
                <w:bCs/>
                <w:noProof/>
                <w:color w:val="FFFFFF"/>
                <w:kern w:val="0"/>
                <w:sz w:val="16"/>
                <w:szCs w:val="16"/>
                <w:lang w:val="en-IE" w:eastAsia="en-IE"/>
                <w14:ligatures w14:val="none"/>
              </w:rPr>
            </w:pPr>
            <w:r w:rsidRPr="00747276">
              <w:rPr>
                <w:rFonts w:ascii="Arial" w:eastAsia="Times New Roman" w:hAnsi="Arial" w:cs="Arial"/>
                <w:b/>
                <w:bCs/>
                <w:noProof/>
                <w:color w:val="FFFFFF"/>
                <w:kern w:val="0"/>
                <w:sz w:val="16"/>
                <w:szCs w:val="16"/>
                <w:lang w:val="en-IE" w:eastAsia="en-IE"/>
                <w14:ligatures w14:val="none"/>
              </w:rPr>
              <w:t>TOTAL: ACP+OCT</w:t>
            </w:r>
          </w:p>
        </w:tc>
        <w:tc>
          <w:tcPr>
            <w:tcW w:w="2638" w:type="dxa"/>
            <w:tcBorders>
              <w:top w:val="single" w:sz="8" w:space="0" w:color="000000"/>
              <w:left w:val="single" w:sz="8" w:space="0" w:color="000000"/>
              <w:bottom w:val="single" w:sz="8" w:space="0" w:color="000000"/>
              <w:right w:val="single" w:sz="4" w:space="0" w:color="CAC9D9"/>
            </w:tcBorders>
            <w:shd w:val="clear" w:color="auto" w:fill="808080"/>
            <w:noWrap/>
            <w:vAlign w:val="center"/>
            <w:hideMark/>
          </w:tcPr>
          <w:p w14:paraId="62EC085B" w14:textId="77777777" w:rsidR="00747276" w:rsidRPr="00747276" w:rsidRDefault="00747276" w:rsidP="00747276">
            <w:pPr>
              <w:spacing w:after="0" w:line="240" w:lineRule="auto"/>
              <w:rPr>
                <w:rFonts w:ascii="Arial" w:eastAsia="Times New Roman" w:hAnsi="Arial" w:cs="Arial"/>
                <w:b/>
                <w:bCs/>
                <w:noProof/>
                <w:color w:val="FFFFFF"/>
                <w:kern w:val="0"/>
                <w:sz w:val="16"/>
                <w:szCs w:val="16"/>
                <w:lang w:val="en-IE" w:eastAsia="en-IE"/>
                <w14:ligatures w14:val="none"/>
              </w:rPr>
            </w:pPr>
            <w:r w:rsidRPr="00747276">
              <w:rPr>
                <w:rFonts w:ascii="Arial" w:eastAsia="Times New Roman" w:hAnsi="Arial" w:cs="Arial"/>
                <w:b/>
                <w:bCs/>
                <w:noProof/>
                <w:color w:val="FFFFFF"/>
                <w:kern w:val="0"/>
                <w:sz w:val="16"/>
                <w:szCs w:val="16"/>
                <w:lang w:val="en-IE" w:eastAsia="en-IE"/>
                <w14:ligatures w14:val="none"/>
              </w:rPr>
              <w:t> </w:t>
            </w:r>
          </w:p>
        </w:tc>
        <w:tc>
          <w:tcPr>
            <w:tcW w:w="1097" w:type="dxa"/>
            <w:tcBorders>
              <w:top w:val="single" w:sz="4" w:space="0" w:color="000000"/>
              <w:left w:val="single" w:sz="4" w:space="0" w:color="000000"/>
              <w:bottom w:val="single" w:sz="4" w:space="0" w:color="000000"/>
              <w:right w:val="single" w:sz="4" w:space="0" w:color="000000"/>
            </w:tcBorders>
            <w:shd w:val="clear" w:color="auto" w:fill="808080"/>
            <w:noWrap/>
            <w:vAlign w:val="center"/>
            <w:hideMark/>
          </w:tcPr>
          <w:p w14:paraId="1409754F"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50.684,68 </w:t>
            </w:r>
          </w:p>
        </w:tc>
        <w:tc>
          <w:tcPr>
            <w:tcW w:w="1025" w:type="dxa"/>
            <w:tcBorders>
              <w:top w:val="single" w:sz="4" w:space="0" w:color="000000"/>
              <w:left w:val="nil"/>
              <w:bottom w:val="single" w:sz="4" w:space="0" w:color="000000"/>
              <w:right w:val="single" w:sz="4" w:space="0" w:color="000000"/>
            </w:tcBorders>
            <w:shd w:val="clear" w:color="auto" w:fill="808080"/>
            <w:noWrap/>
            <w:vAlign w:val="center"/>
            <w:hideMark/>
          </w:tcPr>
          <w:p w14:paraId="49E620E7"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49.461,38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1C892984"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98%</w:t>
            </w:r>
          </w:p>
        </w:tc>
        <w:tc>
          <w:tcPr>
            <w:tcW w:w="895" w:type="dxa"/>
            <w:tcBorders>
              <w:top w:val="single" w:sz="4" w:space="0" w:color="000000"/>
              <w:left w:val="nil"/>
              <w:bottom w:val="single" w:sz="4" w:space="0" w:color="000000"/>
              <w:right w:val="single" w:sz="4" w:space="0" w:color="000000"/>
            </w:tcBorders>
            <w:shd w:val="clear" w:color="auto" w:fill="808080"/>
            <w:noWrap/>
            <w:vAlign w:val="center"/>
            <w:hideMark/>
          </w:tcPr>
          <w:p w14:paraId="550A807F"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49.186,47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0EF07649"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97%</w:t>
            </w:r>
          </w:p>
        </w:tc>
        <w:tc>
          <w:tcPr>
            <w:tcW w:w="879" w:type="dxa"/>
            <w:tcBorders>
              <w:top w:val="single" w:sz="4" w:space="0" w:color="000000"/>
              <w:left w:val="nil"/>
              <w:bottom w:val="single" w:sz="4" w:space="0" w:color="000000"/>
              <w:right w:val="single" w:sz="4" w:space="0" w:color="000000"/>
            </w:tcBorders>
            <w:shd w:val="clear" w:color="auto" w:fill="808080"/>
            <w:noWrap/>
            <w:vAlign w:val="center"/>
            <w:hideMark/>
          </w:tcPr>
          <w:p w14:paraId="39F68272"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 xml:space="preserve">  46.505,53 </w:t>
            </w:r>
          </w:p>
        </w:tc>
        <w:tc>
          <w:tcPr>
            <w:tcW w:w="645" w:type="dxa"/>
            <w:tcBorders>
              <w:top w:val="single" w:sz="4" w:space="0" w:color="000000"/>
              <w:left w:val="nil"/>
              <w:bottom w:val="single" w:sz="4" w:space="0" w:color="000000"/>
              <w:right w:val="single" w:sz="4" w:space="0" w:color="000000"/>
            </w:tcBorders>
            <w:shd w:val="clear" w:color="auto" w:fill="808080"/>
            <w:noWrap/>
            <w:vAlign w:val="center"/>
            <w:hideMark/>
          </w:tcPr>
          <w:p w14:paraId="40F72488" w14:textId="77777777" w:rsidR="00747276" w:rsidRPr="00747276" w:rsidRDefault="00747276" w:rsidP="00747276">
            <w:pPr>
              <w:spacing w:after="0" w:line="240" w:lineRule="auto"/>
              <w:jc w:val="right"/>
              <w:rPr>
                <w:rFonts w:ascii="Arial" w:eastAsia="Times New Roman" w:hAnsi="Arial" w:cs="Arial"/>
                <w:b/>
                <w:bCs/>
                <w:noProof/>
                <w:color w:val="FFFFFF"/>
                <w:kern w:val="0"/>
                <w:sz w:val="14"/>
                <w:szCs w:val="14"/>
                <w:lang w:val="en-IE" w:eastAsia="en-IE"/>
                <w14:ligatures w14:val="none"/>
              </w:rPr>
            </w:pPr>
            <w:r w:rsidRPr="00747276">
              <w:rPr>
                <w:rFonts w:ascii="Arial" w:eastAsia="Times New Roman" w:hAnsi="Arial" w:cs="Arial"/>
                <w:b/>
                <w:bCs/>
                <w:noProof/>
                <w:color w:val="FFFFFF"/>
                <w:kern w:val="0"/>
                <w:sz w:val="14"/>
                <w:szCs w:val="14"/>
                <w:lang w:val="en-IE" w:eastAsia="en-IE"/>
                <w14:ligatures w14:val="none"/>
              </w:rPr>
              <w:t>92%</w:t>
            </w:r>
          </w:p>
        </w:tc>
      </w:tr>
    </w:tbl>
    <w:p w14:paraId="32ED325E" w14:textId="77777777" w:rsidR="00FD1E19" w:rsidRDefault="00FD1E19" w:rsidP="00FD1E19">
      <w:pPr>
        <w:pStyle w:val="HEADER5"/>
        <w:rPr>
          <w:noProof/>
        </w:rPr>
      </w:pPr>
    </w:p>
    <w:p w14:paraId="50B207C7" w14:textId="77777777" w:rsidR="00FD1E19" w:rsidRDefault="00FD1E19" w:rsidP="00FD1E19">
      <w:pPr>
        <w:pStyle w:val="HEADER5"/>
        <w:rPr>
          <w:noProof/>
        </w:rPr>
      </w:pPr>
    </w:p>
    <w:p w14:paraId="58E15002" w14:textId="77777777" w:rsidR="00FD1E19" w:rsidRDefault="00FD1E19" w:rsidP="00FD1E19">
      <w:pPr>
        <w:pStyle w:val="HEADER5"/>
        <w:rPr>
          <w:noProof/>
        </w:rPr>
      </w:pPr>
    </w:p>
    <w:p w14:paraId="56C73A16" w14:textId="77777777" w:rsidR="00FD1E19" w:rsidRDefault="00FD1E19" w:rsidP="00FD1E19">
      <w:pPr>
        <w:pStyle w:val="HEADER5"/>
        <w:rPr>
          <w:noProof/>
        </w:rPr>
      </w:pPr>
    </w:p>
    <w:p w14:paraId="340C4445" w14:textId="77777777" w:rsidR="00FD1E19" w:rsidRDefault="00FD1E19" w:rsidP="00FD1E19">
      <w:pPr>
        <w:pStyle w:val="HEADER5"/>
        <w:rPr>
          <w:noProof/>
        </w:rPr>
      </w:pPr>
    </w:p>
    <w:p w14:paraId="55A3E295" w14:textId="77777777" w:rsidR="00FD1E19" w:rsidRDefault="00FD1E19" w:rsidP="00FD1E19">
      <w:pPr>
        <w:pStyle w:val="HEADER5"/>
        <w:rPr>
          <w:noProof/>
        </w:rPr>
      </w:pPr>
    </w:p>
    <w:p w14:paraId="0B384DF7" w14:textId="77777777" w:rsidR="00FD1E19" w:rsidRDefault="00FD1E19" w:rsidP="00FD1E19">
      <w:pPr>
        <w:pStyle w:val="HEADER5"/>
        <w:rPr>
          <w:noProof/>
        </w:rPr>
      </w:pPr>
    </w:p>
    <w:p w14:paraId="0A13BC6C" w14:textId="77777777" w:rsidR="00FD1E19" w:rsidRDefault="00FD1E19" w:rsidP="00FD1E19">
      <w:pPr>
        <w:pStyle w:val="HEADER5"/>
        <w:rPr>
          <w:noProof/>
        </w:rPr>
      </w:pPr>
    </w:p>
    <w:p w14:paraId="32303DD9" w14:textId="77777777" w:rsidR="00FD1E19" w:rsidRDefault="00FD1E19" w:rsidP="00FD1E19">
      <w:pPr>
        <w:pStyle w:val="HEADER5"/>
        <w:rPr>
          <w:noProof/>
        </w:rPr>
      </w:pPr>
    </w:p>
    <w:p w14:paraId="7FC173A9" w14:textId="77777777" w:rsidR="00FD1E19" w:rsidRDefault="00FD1E19" w:rsidP="00FD1E19">
      <w:pPr>
        <w:pStyle w:val="HEADER5"/>
        <w:rPr>
          <w:noProof/>
        </w:rPr>
      </w:pPr>
    </w:p>
    <w:p w14:paraId="3B7F25B0" w14:textId="77777777" w:rsidR="00FD1E19" w:rsidRDefault="00FD1E19" w:rsidP="00FD1E19">
      <w:pPr>
        <w:pStyle w:val="HEADER5"/>
        <w:rPr>
          <w:noProof/>
        </w:rPr>
      </w:pPr>
    </w:p>
    <w:p w14:paraId="17D59E31" w14:textId="77777777" w:rsidR="00FD1E19" w:rsidRDefault="00FD1E19" w:rsidP="00FD1E19">
      <w:pPr>
        <w:pStyle w:val="HEADER5"/>
        <w:rPr>
          <w:noProof/>
        </w:rPr>
      </w:pPr>
    </w:p>
    <w:p w14:paraId="79227BB0" w14:textId="77777777" w:rsidR="00FD1E19" w:rsidRDefault="00FD1E19" w:rsidP="00FD1E19">
      <w:pPr>
        <w:pStyle w:val="HEADER5"/>
        <w:rPr>
          <w:noProof/>
        </w:rPr>
      </w:pPr>
    </w:p>
    <w:p w14:paraId="3AF0107D" w14:textId="77777777" w:rsidR="00FD1E19" w:rsidRDefault="00FD1E19" w:rsidP="00FD1E19">
      <w:pPr>
        <w:pStyle w:val="HEADER5"/>
        <w:rPr>
          <w:noProof/>
        </w:rPr>
      </w:pPr>
    </w:p>
    <w:p w14:paraId="26B56780" w14:textId="77777777" w:rsidR="00FD1E19" w:rsidRDefault="00FD1E19" w:rsidP="00FD1E19">
      <w:pPr>
        <w:pStyle w:val="HEADER5"/>
        <w:rPr>
          <w:noProof/>
        </w:rPr>
      </w:pPr>
    </w:p>
    <w:p w14:paraId="1850560B" w14:textId="77777777" w:rsidR="00FD1E19" w:rsidRDefault="00FD1E19" w:rsidP="00FD1E19">
      <w:pPr>
        <w:pStyle w:val="HEADER5"/>
        <w:rPr>
          <w:noProof/>
        </w:rPr>
      </w:pPr>
    </w:p>
    <w:p w14:paraId="5D01B4D8" w14:textId="77777777" w:rsidR="00FD1E19" w:rsidRDefault="00FD1E19" w:rsidP="00FD1E19">
      <w:pPr>
        <w:pStyle w:val="HEADER5"/>
        <w:rPr>
          <w:noProof/>
        </w:rPr>
      </w:pPr>
    </w:p>
    <w:p w14:paraId="25839BEF" w14:textId="77777777" w:rsidR="00FD1E19" w:rsidRDefault="00FD1E19" w:rsidP="00FD1E19">
      <w:pPr>
        <w:pStyle w:val="HEADER5"/>
        <w:rPr>
          <w:noProof/>
        </w:rPr>
      </w:pPr>
    </w:p>
    <w:p w14:paraId="4501F505" w14:textId="77777777" w:rsidR="00FD1E19" w:rsidRDefault="00FD1E19" w:rsidP="00FD1E19">
      <w:pPr>
        <w:pStyle w:val="HEADER5"/>
        <w:rPr>
          <w:noProof/>
        </w:rPr>
      </w:pPr>
    </w:p>
    <w:p w14:paraId="77218872" w14:textId="77777777" w:rsidR="00FD1E19" w:rsidRDefault="00FD1E19" w:rsidP="00FD1E19">
      <w:pPr>
        <w:pStyle w:val="HEADER5"/>
        <w:rPr>
          <w:noProof/>
        </w:rPr>
      </w:pPr>
    </w:p>
    <w:p w14:paraId="5C7C7021" w14:textId="77777777" w:rsidR="00FD1E19" w:rsidRDefault="00FD1E19" w:rsidP="00FD1E19">
      <w:pPr>
        <w:pStyle w:val="HEADER5"/>
        <w:rPr>
          <w:noProof/>
        </w:rPr>
      </w:pPr>
    </w:p>
    <w:p w14:paraId="2CE67F6D" w14:textId="77777777" w:rsidR="00FD1E19" w:rsidRDefault="00FD1E19" w:rsidP="00FD1E19">
      <w:pPr>
        <w:pStyle w:val="HEADER5"/>
        <w:rPr>
          <w:noProof/>
        </w:rPr>
      </w:pPr>
    </w:p>
    <w:p w14:paraId="21B33F7B" w14:textId="77777777" w:rsidR="00FD1E19" w:rsidRDefault="00FD1E19" w:rsidP="00FD1E19">
      <w:pPr>
        <w:pStyle w:val="HEADER5"/>
        <w:rPr>
          <w:noProof/>
        </w:rPr>
      </w:pPr>
    </w:p>
    <w:p w14:paraId="74972513" w14:textId="2FEA4D4B" w:rsidR="0029321B" w:rsidRDefault="0029321B">
      <w:pPr>
        <w:rPr>
          <w:rFonts w:ascii="Verdana" w:eastAsia="Times New Roman" w:hAnsi="Verdana" w:cs="Times New Roman"/>
          <w:b/>
          <w:noProof/>
          <w:color w:val="016794"/>
          <w:kern w:val="0"/>
          <w:sz w:val="18"/>
          <w:szCs w:val="18"/>
          <w:lang w:eastAsia="en-GB"/>
        </w:rPr>
      </w:pPr>
      <w:r>
        <w:rPr>
          <w:noProof/>
        </w:rPr>
        <w:br w:type="page"/>
      </w:r>
    </w:p>
    <w:p w14:paraId="12810204" w14:textId="77777777" w:rsidR="00FD1E19" w:rsidRDefault="00FD1E19" w:rsidP="00FD1E19">
      <w:pPr>
        <w:pStyle w:val="HEADER5"/>
        <w:rPr>
          <w:noProof/>
        </w:rPr>
      </w:pPr>
      <w:r>
        <w:rPr>
          <w:noProof/>
        </w:rPr>
        <w:t>Breakdown of C</w:t>
      </w:r>
      <w:r w:rsidRPr="004F711F">
        <w:rPr>
          <w:noProof/>
        </w:rPr>
        <w:t xml:space="preserve">ommitted, </w:t>
      </w:r>
      <w:r>
        <w:rPr>
          <w:noProof/>
        </w:rPr>
        <w:t>Contracted and P</w:t>
      </w:r>
      <w:r w:rsidRPr="004F711F">
        <w:rPr>
          <w:noProof/>
        </w:rPr>
        <w:t xml:space="preserve">aid amount by spending area </w:t>
      </w:r>
      <w:r>
        <w:rPr>
          <w:noProof/>
        </w:rPr>
        <w:t>for the 11</w:t>
      </w:r>
      <w:r w:rsidRPr="00FC3DF2">
        <w:rPr>
          <w:noProof/>
          <w:vertAlign w:val="superscript"/>
        </w:rPr>
        <w:t>th</w:t>
      </w:r>
      <w:r>
        <w:rPr>
          <w:noProof/>
        </w:rPr>
        <w:t xml:space="preserve"> EDF</w:t>
      </w:r>
    </w:p>
    <w:p w14:paraId="7A37013B" w14:textId="77777777" w:rsidR="00FD1E19" w:rsidRDefault="00FD1E19" w:rsidP="00FD1E19">
      <w:pPr>
        <w:pStyle w:val="HEADER5"/>
        <w:rPr>
          <w:noProof/>
        </w:rPr>
      </w:pPr>
    </w:p>
    <w:p w14:paraId="2B3733F7" w14:textId="77777777" w:rsidR="00FD1E19" w:rsidRPr="00810E53" w:rsidRDefault="00FD1E19" w:rsidP="00FD1E19">
      <w:pPr>
        <w:pStyle w:val="HEADER5"/>
        <w:rPr>
          <w:noProof/>
        </w:rPr>
      </w:pPr>
    </w:p>
    <w:tbl>
      <w:tblPr>
        <w:tblW w:w="9940" w:type="dxa"/>
        <w:tblInd w:w="113" w:type="dxa"/>
        <w:tblLook w:val="04A0" w:firstRow="1" w:lastRow="0" w:firstColumn="1" w:lastColumn="0" w:noHBand="0" w:noVBand="1"/>
      </w:tblPr>
      <w:tblGrid>
        <w:gridCol w:w="5061"/>
        <w:gridCol w:w="1175"/>
        <w:gridCol w:w="1852"/>
        <w:gridCol w:w="1852"/>
      </w:tblGrid>
      <w:tr w:rsidR="00FD1E19" w14:paraId="1A323E95" w14:textId="77777777" w:rsidTr="00BE7E4A">
        <w:trPr>
          <w:trHeight w:val="255"/>
        </w:trPr>
        <w:tc>
          <w:tcPr>
            <w:tcW w:w="9940" w:type="dxa"/>
            <w:gridSpan w:val="4"/>
            <w:tcBorders>
              <w:top w:val="single" w:sz="4" w:space="0" w:color="auto"/>
              <w:left w:val="single" w:sz="4" w:space="0" w:color="auto"/>
              <w:bottom w:val="nil"/>
              <w:right w:val="single" w:sz="4" w:space="0" w:color="000000"/>
            </w:tcBorders>
            <w:vAlign w:val="center"/>
            <w:hideMark/>
          </w:tcPr>
          <w:p w14:paraId="7FD14432" w14:textId="77777777" w:rsidR="00FD1E19" w:rsidRDefault="00FD1E19" w:rsidP="00BE7E4A">
            <w:pPr>
              <w:jc w:val="center"/>
              <w:rPr>
                <w:rFonts w:ascii="Calibri" w:hAnsi="Calibri" w:cs="Calibri"/>
                <w:b/>
                <w:bCs/>
                <w:noProof/>
                <w:color w:val="000000"/>
                <w:sz w:val="20"/>
                <w:szCs w:val="20"/>
              </w:rPr>
            </w:pPr>
            <w:r>
              <w:rPr>
                <w:rFonts w:ascii="Calibri" w:hAnsi="Calibri" w:cs="Calibri"/>
                <w:b/>
                <w:bCs/>
                <w:noProof/>
                <w:color w:val="000000"/>
                <w:sz w:val="20"/>
                <w:szCs w:val="20"/>
              </w:rPr>
              <w:t>11</w:t>
            </w:r>
            <w:r>
              <w:rPr>
                <w:rFonts w:ascii="Calibri" w:hAnsi="Calibri" w:cs="Calibri"/>
                <w:b/>
                <w:bCs/>
                <w:noProof/>
                <w:color w:val="000000"/>
                <w:sz w:val="20"/>
                <w:szCs w:val="20"/>
                <w:vertAlign w:val="superscript"/>
              </w:rPr>
              <w:t>TH</w:t>
            </w:r>
            <w:r>
              <w:rPr>
                <w:rFonts w:ascii="Calibri" w:hAnsi="Calibri" w:cs="Calibri"/>
                <w:b/>
                <w:bCs/>
                <w:noProof/>
                <w:color w:val="000000"/>
                <w:sz w:val="20"/>
                <w:szCs w:val="20"/>
              </w:rPr>
              <w:t xml:space="preserve"> EDF Breakdown of committed, contracted and paid amount by spending area (DAC sector codes)</w:t>
            </w:r>
          </w:p>
        </w:tc>
      </w:tr>
      <w:tr w:rsidR="00FD1E19" w14:paraId="176AAA9A" w14:textId="77777777" w:rsidTr="00BE7E4A">
        <w:trPr>
          <w:trHeight w:val="255"/>
        </w:trPr>
        <w:tc>
          <w:tcPr>
            <w:tcW w:w="9940" w:type="dxa"/>
            <w:gridSpan w:val="4"/>
            <w:tcBorders>
              <w:top w:val="nil"/>
              <w:left w:val="single" w:sz="4" w:space="0" w:color="auto"/>
              <w:bottom w:val="single" w:sz="8" w:space="0" w:color="auto"/>
              <w:right w:val="single" w:sz="4" w:space="0" w:color="000000"/>
            </w:tcBorders>
            <w:vAlign w:val="center"/>
            <w:hideMark/>
          </w:tcPr>
          <w:p w14:paraId="14979CE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(EUR million)</w:t>
            </w:r>
          </w:p>
        </w:tc>
      </w:tr>
      <w:tr w:rsidR="00FD1E19" w14:paraId="7BBDEBE3" w14:textId="77777777" w:rsidTr="00BE7E4A">
        <w:trPr>
          <w:trHeight w:hRule="exact" w:val="255"/>
        </w:trPr>
        <w:tc>
          <w:tcPr>
            <w:tcW w:w="5061" w:type="dxa"/>
            <w:tcBorders>
              <w:top w:val="nil"/>
              <w:left w:val="single" w:sz="4" w:space="0" w:color="auto"/>
              <w:bottom w:val="nil"/>
              <w:right w:val="nil"/>
            </w:tcBorders>
            <w:shd w:val="clear" w:color="auto" w:fill="A6A6A6"/>
            <w:noWrap/>
            <w:vAlign w:val="bottom"/>
            <w:hideMark/>
          </w:tcPr>
          <w:p w14:paraId="721F8C44" w14:textId="77777777" w:rsidR="00FD1E19" w:rsidRDefault="00FD1E19" w:rsidP="00BE7E4A">
            <w:pPr>
              <w:rPr>
                <w:rFonts w:ascii="Calibri" w:hAnsi="Calibri" w:cs="Calibri"/>
                <w:noProof/>
                <w:color w:val="000000"/>
                <w:sz w:val="20"/>
                <w:szCs w:val="20"/>
              </w:rPr>
            </w:pPr>
            <w:r>
              <w:rPr>
                <w:rFonts w:ascii="Calibri" w:hAnsi="Calibri" w:cs="Calibri"/>
                <w:noProof/>
                <w:color w:val="000000"/>
                <w:sz w:val="20"/>
                <w:szCs w:val="20"/>
              </w:rPr>
              <w:t xml:space="preserve">Sector </w:t>
            </w:r>
          </w:p>
        </w:tc>
        <w:tc>
          <w:tcPr>
            <w:tcW w:w="1175" w:type="dxa"/>
            <w:tcBorders>
              <w:top w:val="nil"/>
              <w:left w:val="single" w:sz="8" w:space="0" w:color="auto"/>
              <w:bottom w:val="nil"/>
              <w:right w:val="single" w:sz="8" w:space="0" w:color="auto"/>
            </w:tcBorders>
            <w:shd w:val="clear" w:color="auto" w:fill="A6A6A6"/>
            <w:noWrap/>
            <w:vAlign w:val="bottom"/>
            <w:hideMark/>
          </w:tcPr>
          <w:p w14:paraId="3F5500FE" w14:textId="77777777" w:rsidR="00FD1E19" w:rsidRDefault="00FD1E19" w:rsidP="00BE7E4A">
            <w:pPr>
              <w:rPr>
                <w:rFonts w:ascii="Calibri" w:hAnsi="Calibri" w:cs="Calibri"/>
                <w:noProof/>
                <w:color w:val="000000"/>
                <w:sz w:val="20"/>
                <w:szCs w:val="20"/>
              </w:rPr>
            </w:pPr>
            <w:r>
              <w:rPr>
                <w:rFonts w:ascii="Calibri" w:hAnsi="Calibri" w:cs="Calibri"/>
                <w:noProof/>
                <w:color w:val="000000"/>
                <w:sz w:val="20"/>
                <w:szCs w:val="20"/>
              </w:rPr>
              <w:t>Committed</w:t>
            </w:r>
          </w:p>
        </w:tc>
        <w:tc>
          <w:tcPr>
            <w:tcW w:w="1852" w:type="dxa"/>
            <w:tcBorders>
              <w:top w:val="nil"/>
              <w:left w:val="nil"/>
              <w:bottom w:val="nil"/>
              <w:right w:val="single" w:sz="8" w:space="0" w:color="auto"/>
            </w:tcBorders>
            <w:shd w:val="clear" w:color="auto" w:fill="A6A6A6"/>
            <w:noWrap/>
            <w:vAlign w:val="bottom"/>
            <w:hideMark/>
          </w:tcPr>
          <w:p w14:paraId="3B13E684" w14:textId="77777777" w:rsidR="00FD1E19" w:rsidRDefault="00FD1E19" w:rsidP="00BE7E4A">
            <w:pPr>
              <w:rPr>
                <w:rFonts w:ascii="Calibri" w:hAnsi="Calibri" w:cs="Calibri"/>
                <w:noProof/>
                <w:color w:val="000000"/>
                <w:sz w:val="20"/>
                <w:szCs w:val="20"/>
              </w:rPr>
            </w:pPr>
            <w:r>
              <w:rPr>
                <w:rFonts w:ascii="Calibri" w:hAnsi="Calibri" w:cs="Calibri"/>
                <w:noProof/>
                <w:color w:val="000000"/>
                <w:sz w:val="20"/>
                <w:szCs w:val="20"/>
              </w:rPr>
              <w:t>Contracted</w:t>
            </w:r>
          </w:p>
        </w:tc>
        <w:tc>
          <w:tcPr>
            <w:tcW w:w="1852" w:type="dxa"/>
            <w:tcBorders>
              <w:top w:val="nil"/>
              <w:left w:val="nil"/>
              <w:bottom w:val="nil"/>
              <w:right w:val="single" w:sz="4" w:space="0" w:color="auto"/>
            </w:tcBorders>
            <w:shd w:val="clear" w:color="auto" w:fill="A6A6A6"/>
            <w:noWrap/>
            <w:vAlign w:val="bottom"/>
            <w:hideMark/>
          </w:tcPr>
          <w:p w14:paraId="057F326B" w14:textId="77777777" w:rsidR="00FD1E19" w:rsidRDefault="00FD1E19" w:rsidP="00BE7E4A">
            <w:pPr>
              <w:rPr>
                <w:rFonts w:ascii="Calibri" w:hAnsi="Calibri" w:cs="Calibri"/>
                <w:noProof/>
                <w:color w:val="000000"/>
                <w:sz w:val="20"/>
                <w:szCs w:val="20"/>
              </w:rPr>
            </w:pPr>
            <w:r>
              <w:rPr>
                <w:rFonts w:ascii="Calibri" w:hAnsi="Calibri" w:cs="Calibri"/>
                <w:noProof/>
                <w:color w:val="000000"/>
                <w:sz w:val="20"/>
                <w:szCs w:val="20"/>
              </w:rPr>
              <w:t>Paid</w:t>
            </w:r>
          </w:p>
        </w:tc>
      </w:tr>
      <w:tr w:rsidR="00FD1E19" w14:paraId="7860E879" w14:textId="77777777" w:rsidTr="00BE7E4A">
        <w:trPr>
          <w:trHeight w:hRule="exact" w:val="255"/>
        </w:trPr>
        <w:tc>
          <w:tcPr>
            <w:tcW w:w="5061" w:type="dxa"/>
            <w:tcBorders>
              <w:top w:val="single" w:sz="8" w:space="0" w:color="auto"/>
              <w:left w:val="single" w:sz="4" w:space="0" w:color="auto"/>
              <w:bottom w:val="single" w:sz="4" w:space="0" w:color="auto"/>
              <w:right w:val="single" w:sz="4" w:space="0" w:color="auto"/>
            </w:tcBorders>
            <w:shd w:val="clear" w:color="auto" w:fill="D9D9D9"/>
            <w:noWrap/>
            <w:vAlign w:val="bottom"/>
            <w:hideMark/>
          </w:tcPr>
          <w:p w14:paraId="400F6C6F"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Social infrastructure and services</w:t>
            </w:r>
          </w:p>
        </w:tc>
        <w:tc>
          <w:tcPr>
            <w:tcW w:w="1175" w:type="dxa"/>
            <w:tcBorders>
              <w:top w:val="single" w:sz="8" w:space="0" w:color="auto"/>
              <w:left w:val="nil"/>
              <w:bottom w:val="single" w:sz="4" w:space="0" w:color="auto"/>
              <w:right w:val="single" w:sz="4" w:space="0" w:color="auto"/>
            </w:tcBorders>
            <w:shd w:val="clear" w:color="auto" w:fill="D9D9D9"/>
            <w:noWrap/>
            <w:vAlign w:val="bottom"/>
            <w:hideMark/>
          </w:tcPr>
          <w:p w14:paraId="2ABFB9AA"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 </w:t>
            </w:r>
          </w:p>
        </w:tc>
        <w:tc>
          <w:tcPr>
            <w:tcW w:w="1852" w:type="dxa"/>
            <w:tcBorders>
              <w:top w:val="single" w:sz="8" w:space="0" w:color="auto"/>
              <w:left w:val="nil"/>
              <w:bottom w:val="single" w:sz="4" w:space="0" w:color="auto"/>
              <w:right w:val="single" w:sz="4" w:space="0" w:color="auto"/>
            </w:tcBorders>
            <w:shd w:val="clear" w:color="auto" w:fill="D9D9D9"/>
            <w:noWrap/>
            <w:vAlign w:val="bottom"/>
            <w:hideMark/>
          </w:tcPr>
          <w:p w14:paraId="18427259"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 </w:t>
            </w:r>
          </w:p>
        </w:tc>
        <w:tc>
          <w:tcPr>
            <w:tcW w:w="1852" w:type="dxa"/>
            <w:tcBorders>
              <w:top w:val="single" w:sz="8" w:space="0" w:color="auto"/>
              <w:left w:val="nil"/>
              <w:bottom w:val="single" w:sz="4" w:space="0" w:color="auto"/>
              <w:right w:val="single" w:sz="4" w:space="0" w:color="auto"/>
            </w:tcBorders>
            <w:shd w:val="clear" w:color="auto" w:fill="D9D9D9"/>
            <w:noWrap/>
            <w:vAlign w:val="bottom"/>
            <w:hideMark/>
          </w:tcPr>
          <w:p w14:paraId="48296DAA"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 </w:t>
            </w:r>
          </w:p>
        </w:tc>
      </w:tr>
      <w:tr w:rsidR="00FD1E19" w14:paraId="1B294B00" w14:textId="77777777" w:rsidTr="00BE7E4A">
        <w:trPr>
          <w:trHeight w:hRule="exact" w:val="255"/>
        </w:trPr>
        <w:tc>
          <w:tcPr>
            <w:tcW w:w="5061" w:type="dxa"/>
            <w:tcBorders>
              <w:top w:val="nil"/>
              <w:left w:val="single" w:sz="4" w:space="0" w:color="auto"/>
              <w:bottom w:val="nil"/>
              <w:right w:val="nil"/>
            </w:tcBorders>
            <w:noWrap/>
            <w:vAlign w:val="bottom"/>
            <w:hideMark/>
          </w:tcPr>
          <w:p w14:paraId="38C3625E"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110-Education</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14:paraId="3AA18618"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1.177,56 </w:t>
            </w:r>
          </w:p>
        </w:tc>
        <w:tc>
          <w:tcPr>
            <w:tcW w:w="1852" w:type="dxa"/>
            <w:tcBorders>
              <w:top w:val="nil"/>
              <w:left w:val="nil"/>
              <w:bottom w:val="single" w:sz="4" w:space="0" w:color="auto"/>
              <w:right w:val="single" w:sz="4" w:space="0" w:color="auto"/>
            </w:tcBorders>
            <w:shd w:val="clear" w:color="auto" w:fill="00EE6C"/>
            <w:noWrap/>
            <w:vAlign w:val="bottom"/>
            <w:hideMark/>
          </w:tcPr>
          <w:p w14:paraId="61A2074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1.162,86 </w:t>
            </w:r>
          </w:p>
        </w:tc>
        <w:tc>
          <w:tcPr>
            <w:tcW w:w="1852" w:type="dxa"/>
            <w:tcBorders>
              <w:top w:val="nil"/>
              <w:left w:val="nil"/>
              <w:bottom w:val="single" w:sz="4" w:space="0" w:color="auto"/>
              <w:right w:val="single" w:sz="4" w:space="0" w:color="auto"/>
            </w:tcBorders>
            <w:shd w:val="clear" w:color="auto" w:fill="00FA71"/>
            <w:noWrap/>
            <w:vAlign w:val="bottom"/>
            <w:hideMark/>
          </w:tcPr>
          <w:p w14:paraId="1FFF2B3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1.067,50 </w:t>
            </w:r>
          </w:p>
        </w:tc>
      </w:tr>
      <w:tr w:rsidR="00FD1E19" w14:paraId="4326570D" w14:textId="77777777" w:rsidTr="00BE7E4A">
        <w:trPr>
          <w:trHeight w:hRule="exact" w:val="255"/>
        </w:trPr>
        <w:tc>
          <w:tcPr>
            <w:tcW w:w="5061" w:type="dxa"/>
            <w:tcBorders>
              <w:top w:val="nil"/>
              <w:left w:val="single" w:sz="4" w:space="0" w:color="auto"/>
              <w:bottom w:val="nil"/>
              <w:right w:val="nil"/>
            </w:tcBorders>
            <w:noWrap/>
            <w:vAlign w:val="bottom"/>
            <w:hideMark/>
          </w:tcPr>
          <w:p w14:paraId="1A2F0210"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120-Health</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14:paraId="186EE918"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2.125,44 </w:t>
            </w:r>
          </w:p>
        </w:tc>
        <w:tc>
          <w:tcPr>
            <w:tcW w:w="1852" w:type="dxa"/>
            <w:tcBorders>
              <w:top w:val="nil"/>
              <w:left w:val="nil"/>
              <w:bottom w:val="single" w:sz="4" w:space="0" w:color="auto"/>
              <w:right w:val="single" w:sz="4" w:space="0" w:color="auto"/>
            </w:tcBorders>
            <w:shd w:val="clear" w:color="auto" w:fill="00C85A"/>
            <w:noWrap/>
            <w:vAlign w:val="bottom"/>
            <w:hideMark/>
          </w:tcPr>
          <w:p w14:paraId="71F109E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2.519,13 </w:t>
            </w:r>
          </w:p>
        </w:tc>
        <w:tc>
          <w:tcPr>
            <w:tcW w:w="1852" w:type="dxa"/>
            <w:tcBorders>
              <w:top w:val="nil"/>
              <w:left w:val="nil"/>
              <w:bottom w:val="single" w:sz="4" w:space="0" w:color="auto"/>
              <w:right w:val="single" w:sz="4" w:space="0" w:color="auto"/>
            </w:tcBorders>
            <w:shd w:val="clear" w:color="auto" w:fill="00D05E"/>
            <w:noWrap/>
            <w:vAlign w:val="bottom"/>
            <w:hideMark/>
          </w:tcPr>
          <w:p w14:paraId="47167229"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2.370,49 </w:t>
            </w:r>
          </w:p>
        </w:tc>
      </w:tr>
      <w:tr w:rsidR="00FD1E19" w14:paraId="6A574D21" w14:textId="77777777" w:rsidTr="00BE7E4A">
        <w:trPr>
          <w:trHeight w:hRule="exact" w:val="255"/>
        </w:trPr>
        <w:tc>
          <w:tcPr>
            <w:tcW w:w="5061" w:type="dxa"/>
            <w:tcBorders>
              <w:top w:val="nil"/>
              <w:left w:val="single" w:sz="4" w:space="0" w:color="auto"/>
              <w:bottom w:val="nil"/>
              <w:right w:val="nil"/>
            </w:tcBorders>
            <w:noWrap/>
            <w:vAlign w:val="bottom"/>
            <w:hideMark/>
          </w:tcPr>
          <w:p w14:paraId="30E6647E"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130-Population policies/programmes and reproductive health</w:t>
            </w:r>
          </w:p>
        </w:tc>
        <w:tc>
          <w:tcPr>
            <w:tcW w:w="1175" w:type="dxa"/>
            <w:tcBorders>
              <w:top w:val="nil"/>
              <w:left w:val="single" w:sz="4" w:space="0" w:color="auto"/>
              <w:bottom w:val="single" w:sz="4" w:space="0" w:color="auto"/>
              <w:right w:val="single" w:sz="4" w:space="0" w:color="auto"/>
            </w:tcBorders>
            <w:shd w:val="clear" w:color="auto" w:fill="C7F9DB"/>
            <w:noWrap/>
            <w:vAlign w:val="bottom"/>
            <w:hideMark/>
          </w:tcPr>
          <w:p w14:paraId="11A9F64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352,44 </w:t>
            </w:r>
          </w:p>
        </w:tc>
        <w:tc>
          <w:tcPr>
            <w:tcW w:w="1852" w:type="dxa"/>
            <w:tcBorders>
              <w:top w:val="nil"/>
              <w:left w:val="nil"/>
              <w:bottom w:val="single" w:sz="4" w:space="0" w:color="auto"/>
              <w:right w:val="single" w:sz="4" w:space="0" w:color="auto"/>
            </w:tcBorders>
            <w:shd w:val="clear" w:color="auto" w:fill="EFFFF6"/>
            <w:noWrap/>
            <w:vAlign w:val="bottom"/>
            <w:hideMark/>
          </w:tcPr>
          <w:p w14:paraId="405A376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49,94 </w:t>
            </w:r>
          </w:p>
        </w:tc>
        <w:tc>
          <w:tcPr>
            <w:tcW w:w="1852" w:type="dxa"/>
            <w:tcBorders>
              <w:top w:val="nil"/>
              <w:left w:val="nil"/>
              <w:bottom w:val="single" w:sz="4" w:space="0" w:color="auto"/>
              <w:right w:val="single" w:sz="4" w:space="0" w:color="auto"/>
            </w:tcBorders>
            <w:shd w:val="clear" w:color="auto" w:fill="E7FFF2"/>
            <w:noWrap/>
            <w:vAlign w:val="bottom"/>
            <w:hideMark/>
          </w:tcPr>
          <w:p w14:paraId="600CE919"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43,95 </w:t>
            </w:r>
          </w:p>
        </w:tc>
      </w:tr>
      <w:tr w:rsidR="00FD1E19" w14:paraId="4D1B865E" w14:textId="77777777" w:rsidTr="00BE7E4A">
        <w:trPr>
          <w:trHeight w:hRule="exact" w:val="255"/>
        </w:trPr>
        <w:tc>
          <w:tcPr>
            <w:tcW w:w="5061" w:type="dxa"/>
            <w:tcBorders>
              <w:top w:val="nil"/>
              <w:left w:val="single" w:sz="4" w:space="0" w:color="auto"/>
              <w:bottom w:val="nil"/>
              <w:right w:val="nil"/>
            </w:tcBorders>
            <w:noWrap/>
            <w:vAlign w:val="bottom"/>
            <w:hideMark/>
          </w:tcPr>
          <w:p w14:paraId="3236DE27"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140-Water and sanitation</w:t>
            </w:r>
          </w:p>
        </w:tc>
        <w:tc>
          <w:tcPr>
            <w:tcW w:w="1175" w:type="dxa"/>
            <w:tcBorders>
              <w:top w:val="nil"/>
              <w:left w:val="single" w:sz="4" w:space="0" w:color="auto"/>
              <w:bottom w:val="single" w:sz="4" w:space="0" w:color="auto"/>
              <w:right w:val="single" w:sz="4" w:space="0" w:color="auto"/>
            </w:tcBorders>
            <w:shd w:val="clear" w:color="auto" w:fill="76F2A8"/>
            <w:noWrap/>
            <w:vAlign w:val="bottom"/>
            <w:hideMark/>
          </w:tcPr>
          <w:p w14:paraId="7DF55EF9"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785,55 </w:t>
            </w:r>
          </w:p>
        </w:tc>
        <w:tc>
          <w:tcPr>
            <w:tcW w:w="1852" w:type="dxa"/>
            <w:tcBorders>
              <w:top w:val="nil"/>
              <w:left w:val="nil"/>
              <w:bottom w:val="single" w:sz="4" w:space="0" w:color="auto"/>
              <w:right w:val="single" w:sz="4" w:space="0" w:color="auto"/>
            </w:tcBorders>
            <w:shd w:val="clear" w:color="auto" w:fill="15FF7F"/>
            <w:noWrap/>
            <w:vAlign w:val="bottom"/>
            <w:hideMark/>
          </w:tcPr>
          <w:p w14:paraId="49496A5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861,63 </w:t>
            </w:r>
          </w:p>
        </w:tc>
        <w:tc>
          <w:tcPr>
            <w:tcW w:w="1852" w:type="dxa"/>
            <w:tcBorders>
              <w:top w:val="nil"/>
              <w:left w:val="nil"/>
              <w:bottom w:val="single" w:sz="4" w:space="0" w:color="auto"/>
              <w:right w:val="single" w:sz="4" w:space="0" w:color="auto"/>
            </w:tcBorders>
            <w:shd w:val="clear" w:color="auto" w:fill="4FFF9F"/>
            <w:noWrap/>
            <w:vAlign w:val="bottom"/>
            <w:hideMark/>
          </w:tcPr>
          <w:p w14:paraId="2082985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632,91 </w:t>
            </w:r>
          </w:p>
        </w:tc>
      </w:tr>
      <w:tr w:rsidR="00FD1E19" w14:paraId="531F0909" w14:textId="77777777" w:rsidTr="00BE7E4A">
        <w:trPr>
          <w:trHeight w:hRule="exact" w:val="255"/>
        </w:trPr>
        <w:tc>
          <w:tcPr>
            <w:tcW w:w="5061" w:type="dxa"/>
            <w:tcBorders>
              <w:top w:val="nil"/>
              <w:left w:val="single" w:sz="4" w:space="0" w:color="auto"/>
              <w:bottom w:val="nil"/>
              <w:right w:val="nil"/>
            </w:tcBorders>
            <w:noWrap/>
            <w:vAlign w:val="bottom"/>
            <w:hideMark/>
          </w:tcPr>
          <w:p w14:paraId="33FE9D8A"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150-Government and civil society</w:t>
            </w:r>
          </w:p>
        </w:tc>
        <w:tc>
          <w:tcPr>
            <w:tcW w:w="1175" w:type="dxa"/>
            <w:tcBorders>
              <w:top w:val="nil"/>
              <w:left w:val="single" w:sz="4" w:space="0" w:color="auto"/>
              <w:bottom w:val="single" w:sz="4" w:space="0" w:color="auto"/>
              <w:right w:val="single" w:sz="4" w:space="0" w:color="auto"/>
            </w:tcBorders>
            <w:shd w:val="clear" w:color="auto" w:fill="0FA54C"/>
            <w:noWrap/>
            <w:vAlign w:val="bottom"/>
            <w:hideMark/>
          </w:tcPr>
          <w:p w14:paraId="49EE855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5.700,30 </w:t>
            </w:r>
          </w:p>
        </w:tc>
        <w:tc>
          <w:tcPr>
            <w:tcW w:w="1852" w:type="dxa"/>
            <w:tcBorders>
              <w:top w:val="nil"/>
              <w:left w:val="nil"/>
              <w:bottom w:val="single" w:sz="4" w:space="0" w:color="auto"/>
              <w:right w:val="single" w:sz="4" w:space="0" w:color="auto"/>
            </w:tcBorders>
            <w:shd w:val="clear" w:color="auto" w:fill="00B050"/>
            <w:noWrap/>
            <w:vAlign w:val="bottom"/>
            <w:hideMark/>
          </w:tcPr>
          <w:p w14:paraId="5E7EE62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5.940,90 </w:t>
            </w:r>
          </w:p>
        </w:tc>
        <w:tc>
          <w:tcPr>
            <w:tcW w:w="1852" w:type="dxa"/>
            <w:tcBorders>
              <w:top w:val="nil"/>
              <w:left w:val="nil"/>
              <w:bottom w:val="single" w:sz="4" w:space="0" w:color="auto"/>
              <w:right w:val="single" w:sz="4" w:space="0" w:color="auto"/>
            </w:tcBorders>
            <w:shd w:val="clear" w:color="auto" w:fill="00B050"/>
            <w:noWrap/>
            <w:vAlign w:val="bottom"/>
            <w:hideMark/>
          </w:tcPr>
          <w:p w14:paraId="4551185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5.772,26 </w:t>
            </w:r>
          </w:p>
        </w:tc>
      </w:tr>
      <w:tr w:rsidR="00FD1E19" w14:paraId="04BDA62E" w14:textId="77777777" w:rsidTr="00BE7E4A">
        <w:trPr>
          <w:trHeight w:hRule="exact" w:val="255"/>
        </w:trPr>
        <w:tc>
          <w:tcPr>
            <w:tcW w:w="5061" w:type="dxa"/>
            <w:tcBorders>
              <w:top w:val="nil"/>
              <w:left w:val="single" w:sz="4" w:space="0" w:color="auto"/>
              <w:bottom w:val="nil"/>
              <w:right w:val="nil"/>
            </w:tcBorders>
            <w:noWrap/>
            <w:vAlign w:val="bottom"/>
            <w:hideMark/>
          </w:tcPr>
          <w:p w14:paraId="68AA72C9"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160-Other social infrastructure and services</w:t>
            </w:r>
          </w:p>
        </w:tc>
        <w:tc>
          <w:tcPr>
            <w:tcW w:w="1175" w:type="dxa"/>
            <w:tcBorders>
              <w:top w:val="nil"/>
              <w:left w:val="single" w:sz="4" w:space="0" w:color="auto"/>
              <w:bottom w:val="nil"/>
              <w:right w:val="single" w:sz="4" w:space="0" w:color="auto"/>
            </w:tcBorders>
            <w:shd w:val="clear" w:color="auto" w:fill="76F2A8"/>
            <w:noWrap/>
            <w:vAlign w:val="bottom"/>
            <w:hideMark/>
          </w:tcPr>
          <w:p w14:paraId="6E02850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964,74 </w:t>
            </w:r>
          </w:p>
        </w:tc>
        <w:tc>
          <w:tcPr>
            <w:tcW w:w="1852" w:type="dxa"/>
            <w:tcBorders>
              <w:top w:val="nil"/>
              <w:left w:val="nil"/>
              <w:bottom w:val="nil"/>
              <w:right w:val="single" w:sz="4" w:space="0" w:color="auto"/>
            </w:tcBorders>
            <w:shd w:val="clear" w:color="auto" w:fill="00EE6C"/>
            <w:noWrap/>
            <w:vAlign w:val="bottom"/>
            <w:hideMark/>
          </w:tcPr>
          <w:p w14:paraId="71B6289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1.403,10 </w:t>
            </w:r>
          </w:p>
        </w:tc>
        <w:tc>
          <w:tcPr>
            <w:tcW w:w="1852" w:type="dxa"/>
            <w:tcBorders>
              <w:top w:val="nil"/>
              <w:left w:val="nil"/>
              <w:bottom w:val="nil"/>
              <w:right w:val="single" w:sz="4" w:space="0" w:color="auto"/>
            </w:tcBorders>
            <w:shd w:val="clear" w:color="auto" w:fill="00D05E"/>
            <w:noWrap/>
            <w:vAlign w:val="bottom"/>
            <w:hideMark/>
          </w:tcPr>
          <w:p w14:paraId="744135E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1.643,11 </w:t>
            </w:r>
          </w:p>
        </w:tc>
      </w:tr>
      <w:tr w:rsidR="00FD1E19" w14:paraId="2AAA32D5"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7A9CDC4B"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Social infrastructure and services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6EBC222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11.106,04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42781F2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11.937,55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154F9F97"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11.530,22 </w:t>
            </w:r>
          </w:p>
        </w:tc>
      </w:tr>
      <w:tr w:rsidR="00FD1E19" w14:paraId="0155E584" w14:textId="77777777" w:rsidTr="00BE7E4A">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14:paraId="5E6CDA16"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Economic infrastructure and services</w:t>
            </w:r>
          </w:p>
        </w:tc>
        <w:tc>
          <w:tcPr>
            <w:tcW w:w="1175" w:type="dxa"/>
            <w:tcBorders>
              <w:top w:val="nil"/>
              <w:left w:val="nil"/>
              <w:bottom w:val="single" w:sz="4" w:space="0" w:color="auto"/>
              <w:right w:val="single" w:sz="4" w:space="0" w:color="auto"/>
            </w:tcBorders>
            <w:shd w:val="clear" w:color="auto" w:fill="D9D9D9"/>
            <w:noWrap/>
            <w:vAlign w:val="bottom"/>
            <w:hideMark/>
          </w:tcPr>
          <w:p w14:paraId="10F76D7D"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7F3012A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72494E8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r>
      <w:tr w:rsidR="00FD1E19" w14:paraId="2023CB69" w14:textId="77777777" w:rsidTr="00BE7E4A">
        <w:trPr>
          <w:trHeight w:hRule="exact" w:val="255"/>
        </w:trPr>
        <w:tc>
          <w:tcPr>
            <w:tcW w:w="5061" w:type="dxa"/>
            <w:tcBorders>
              <w:top w:val="nil"/>
              <w:left w:val="single" w:sz="4" w:space="0" w:color="auto"/>
              <w:bottom w:val="nil"/>
              <w:right w:val="nil"/>
            </w:tcBorders>
            <w:noWrap/>
            <w:vAlign w:val="bottom"/>
            <w:hideMark/>
          </w:tcPr>
          <w:p w14:paraId="5752980C"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210-Transport and storage</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14:paraId="169FECD0"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1.401,54 </w:t>
            </w:r>
          </w:p>
        </w:tc>
        <w:tc>
          <w:tcPr>
            <w:tcW w:w="1852" w:type="dxa"/>
            <w:tcBorders>
              <w:top w:val="nil"/>
              <w:left w:val="nil"/>
              <w:bottom w:val="single" w:sz="4" w:space="0" w:color="auto"/>
              <w:right w:val="single" w:sz="4" w:space="0" w:color="auto"/>
            </w:tcBorders>
            <w:shd w:val="clear" w:color="auto" w:fill="00C85A"/>
            <w:noWrap/>
            <w:vAlign w:val="bottom"/>
            <w:hideMark/>
          </w:tcPr>
          <w:p w14:paraId="104CAE7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2.091,05 </w:t>
            </w:r>
          </w:p>
        </w:tc>
        <w:tc>
          <w:tcPr>
            <w:tcW w:w="1852" w:type="dxa"/>
            <w:tcBorders>
              <w:top w:val="nil"/>
              <w:left w:val="nil"/>
              <w:bottom w:val="single" w:sz="4" w:space="0" w:color="auto"/>
              <w:right w:val="single" w:sz="4" w:space="0" w:color="auto"/>
            </w:tcBorders>
            <w:shd w:val="clear" w:color="auto" w:fill="00FA71"/>
            <w:noWrap/>
            <w:vAlign w:val="bottom"/>
            <w:hideMark/>
          </w:tcPr>
          <w:p w14:paraId="68CD1EC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1.378,12 </w:t>
            </w:r>
          </w:p>
        </w:tc>
      </w:tr>
      <w:tr w:rsidR="00FD1E19" w14:paraId="63ECEE4F" w14:textId="77777777" w:rsidTr="00BE7E4A">
        <w:trPr>
          <w:trHeight w:hRule="exact" w:val="255"/>
        </w:trPr>
        <w:tc>
          <w:tcPr>
            <w:tcW w:w="5061" w:type="dxa"/>
            <w:tcBorders>
              <w:top w:val="nil"/>
              <w:left w:val="single" w:sz="4" w:space="0" w:color="auto"/>
              <w:bottom w:val="nil"/>
              <w:right w:val="nil"/>
            </w:tcBorders>
            <w:noWrap/>
            <w:vAlign w:val="bottom"/>
            <w:hideMark/>
          </w:tcPr>
          <w:p w14:paraId="183F3751"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220-Communications</w:t>
            </w:r>
          </w:p>
        </w:tc>
        <w:tc>
          <w:tcPr>
            <w:tcW w:w="1175" w:type="dxa"/>
            <w:tcBorders>
              <w:top w:val="nil"/>
              <w:left w:val="single" w:sz="4" w:space="0" w:color="auto"/>
              <w:bottom w:val="single" w:sz="4" w:space="0" w:color="auto"/>
              <w:right w:val="single" w:sz="4" w:space="0" w:color="auto"/>
            </w:tcBorders>
            <w:shd w:val="clear" w:color="auto" w:fill="F8FEFA"/>
            <w:noWrap/>
            <w:vAlign w:val="bottom"/>
            <w:hideMark/>
          </w:tcPr>
          <w:p w14:paraId="4C39CC6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140,58 </w:t>
            </w:r>
          </w:p>
        </w:tc>
        <w:tc>
          <w:tcPr>
            <w:tcW w:w="1852" w:type="dxa"/>
            <w:tcBorders>
              <w:top w:val="nil"/>
              <w:left w:val="nil"/>
              <w:bottom w:val="single" w:sz="4" w:space="0" w:color="auto"/>
              <w:right w:val="single" w:sz="4" w:space="0" w:color="auto"/>
            </w:tcBorders>
            <w:shd w:val="clear" w:color="auto" w:fill="C5FFDF"/>
            <w:noWrap/>
            <w:vAlign w:val="bottom"/>
            <w:hideMark/>
          </w:tcPr>
          <w:p w14:paraId="60648607"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147,05 </w:t>
            </w:r>
          </w:p>
        </w:tc>
        <w:tc>
          <w:tcPr>
            <w:tcW w:w="1852" w:type="dxa"/>
            <w:tcBorders>
              <w:top w:val="nil"/>
              <w:left w:val="nil"/>
              <w:bottom w:val="single" w:sz="4" w:space="0" w:color="auto"/>
              <w:right w:val="single" w:sz="4" w:space="0" w:color="auto"/>
            </w:tcBorders>
            <w:shd w:val="clear" w:color="auto" w:fill="CDFFE4"/>
            <w:noWrap/>
            <w:vAlign w:val="bottom"/>
            <w:hideMark/>
          </w:tcPr>
          <w:p w14:paraId="0B76B43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137,97 </w:t>
            </w:r>
          </w:p>
        </w:tc>
      </w:tr>
      <w:tr w:rsidR="00FD1E19" w14:paraId="27542776" w14:textId="77777777" w:rsidTr="00BE7E4A">
        <w:trPr>
          <w:trHeight w:hRule="exact" w:val="255"/>
        </w:trPr>
        <w:tc>
          <w:tcPr>
            <w:tcW w:w="5061" w:type="dxa"/>
            <w:tcBorders>
              <w:top w:val="nil"/>
              <w:left w:val="single" w:sz="4" w:space="0" w:color="auto"/>
              <w:bottom w:val="nil"/>
              <w:right w:val="nil"/>
            </w:tcBorders>
            <w:noWrap/>
            <w:vAlign w:val="bottom"/>
            <w:hideMark/>
          </w:tcPr>
          <w:p w14:paraId="137F335B"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230-Energy</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14:paraId="11E1D7B1"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2.011,97 </w:t>
            </w:r>
          </w:p>
        </w:tc>
        <w:tc>
          <w:tcPr>
            <w:tcW w:w="1852" w:type="dxa"/>
            <w:tcBorders>
              <w:top w:val="nil"/>
              <w:left w:val="nil"/>
              <w:bottom w:val="single" w:sz="4" w:space="0" w:color="auto"/>
              <w:right w:val="single" w:sz="4" w:space="0" w:color="auto"/>
            </w:tcBorders>
            <w:shd w:val="clear" w:color="auto" w:fill="00EE6C"/>
            <w:noWrap/>
            <w:vAlign w:val="bottom"/>
            <w:hideMark/>
          </w:tcPr>
          <w:p w14:paraId="201C6C88"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2.049,24 </w:t>
            </w:r>
          </w:p>
        </w:tc>
        <w:tc>
          <w:tcPr>
            <w:tcW w:w="1852" w:type="dxa"/>
            <w:tcBorders>
              <w:top w:val="nil"/>
              <w:left w:val="nil"/>
              <w:bottom w:val="single" w:sz="4" w:space="0" w:color="auto"/>
              <w:right w:val="single" w:sz="4" w:space="0" w:color="auto"/>
            </w:tcBorders>
            <w:shd w:val="clear" w:color="auto" w:fill="00FA71"/>
            <w:noWrap/>
            <w:vAlign w:val="bottom"/>
            <w:hideMark/>
          </w:tcPr>
          <w:p w14:paraId="7D7C5EF7"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1.474,99 </w:t>
            </w:r>
          </w:p>
        </w:tc>
      </w:tr>
      <w:tr w:rsidR="00FD1E19" w14:paraId="7C975A17" w14:textId="77777777" w:rsidTr="00BE7E4A">
        <w:trPr>
          <w:trHeight w:hRule="exact" w:val="255"/>
        </w:trPr>
        <w:tc>
          <w:tcPr>
            <w:tcW w:w="5061" w:type="dxa"/>
            <w:tcBorders>
              <w:top w:val="nil"/>
              <w:left w:val="single" w:sz="4" w:space="0" w:color="auto"/>
              <w:bottom w:val="nil"/>
              <w:right w:val="nil"/>
            </w:tcBorders>
            <w:noWrap/>
            <w:vAlign w:val="bottom"/>
            <w:hideMark/>
          </w:tcPr>
          <w:p w14:paraId="627AABE9"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240-Banking and financial services</w:t>
            </w:r>
          </w:p>
        </w:tc>
        <w:tc>
          <w:tcPr>
            <w:tcW w:w="1175" w:type="dxa"/>
            <w:tcBorders>
              <w:top w:val="nil"/>
              <w:left w:val="single" w:sz="4" w:space="0" w:color="auto"/>
              <w:bottom w:val="single" w:sz="4" w:space="0" w:color="auto"/>
              <w:right w:val="single" w:sz="4" w:space="0" w:color="auto"/>
            </w:tcBorders>
            <w:shd w:val="clear" w:color="auto" w:fill="C7F9DB"/>
            <w:noWrap/>
            <w:vAlign w:val="bottom"/>
            <w:hideMark/>
          </w:tcPr>
          <w:p w14:paraId="172205E1"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484,68 </w:t>
            </w:r>
          </w:p>
        </w:tc>
        <w:tc>
          <w:tcPr>
            <w:tcW w:w="1852" w:type="dxa"/>
            <w:tcBorders>
              <w:top w:val="nil"/>
              <w:left w:val="nil"/>
              <w:bottom w:val="single" w:sz="4" w:space="0" w:color="auto"/>
              <w:right w:val="single" w:sz="4" w:space="0" w:color="auto"/>
            </w:tcBorders>
            <w:shd w:val="clear" w:color="auto" w:fill="61FFA8"/>
            <w:noWrap/>
            <w:vAlign w:val="bottom"/>
            <w:hideMark/>
          </w:tcPr>
          <w:p w14:paraId="0F48425D"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533,73 </w:t>
            </w:r>
          </w:p>
        </w:tc>
        <w:tc>
          <w:tcPr>
            <w:tcW w:w="1852" w:type="dxa"/>
            <w:tcBorders>
              <w:top w:val="nil"/>
              <w:left w:val="nil"/>
              <w:bottom w:val="single" w:sz="4" w:space="0" w:color="auto"/>
              <w:right w:val="single" w:sz="4" w:space="0" w:color="auto"/>
            </w:tcBorders>
            <w:shd w:val="clear" w:color="auto" w:fill="85FFBC"/>
            <w:noWrap/>
            <w:vAlign w:val="bottom"/>
            <w:hideMark/>
          </w:tcPr>
          <w:p w14:paraId="6226910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503,53 </w:t>
            </w:r>
          </w:p>
        </w:tc>
      </w:tr>
      <w:tr w:rsidR="00FD1E19" w14:paraId="61901B04" w14:textId="77777777" w:rsidTr="00BE7E4A">
        <w:trPr>
          <w:trHeight w:hRule="exact" w:val="255"/>
        </w:trPr>
        <w:tc>
          <w:tcPr>
            <w:tcW w:w="5061" w:type="dxa"/>
            <w:tcBorders>
              <w:top w:val="nil"/>
              <w:left w:val="single" w:sz="4" w:space="0" w:color="auto"/>
              <w:bottom w:val="nil"/>
              <w:right w:val="nil"/>
            </w:tcBorders>
            <w:noWrap/>
            <w:vAlign w:val="bottom"/>
            <w:hideMark/>
          </w:tcPr>
          <w:p w14:paraId="5568114D"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250-Business and other services</w:t>
            </w:r>
          </w:p>
        </w:tc>
        <w:tc>
          <w:tcPr>
            <w:tcW w:w="1175" w:type="dxa"/>
            <w:tcBorders>
              <w:top w:val="nil"/>
              <w:left w:val="single" w:sz="4" w:space="0" w:color="auto"/>
              <w:bottom w:val="nil"/>
              <w:right w:val="single" w:sz="4" w:space="0" w:color="auto"/>
            </w:tcBorders>
            <w:shd w:val="clear" w:color="auto" w:fill="C7F9DB"/>
            <w:noWrap/>
            <w:vAlign w:val="bottom"/>
            <w:hideMark/>
          </w:tcPr>
          <w:p w14:paraId="146C950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339,92 </w:t>
            </w:r>
          </w:p>
        </w:tc>
        <w:tc>
          <w:tcPr>
            <w:tcW w:w="1852" w:type="dxa"/>
            <w:tcBorders>
              <w:top w:val="nil"/>
              <w:left w:val="nil"/>
              <w:bottom w:val="nil"/>
              <w:right w:val="single" w:sz="4" w:space="0" w:color="auto"/>
            </w:tcBorders>
            <w:shd w:val="clear" w:color="auto" w:fill="A3FFCD"/>
            <w:noWrap/>
            <w:vAlign w:val="bottom"/>
            <w:hideMark/>
          </w:tcPr>
          <w:p w14:paraId="249D45F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329,60 </w:t>
            </w:r>
          </w:p>
        </w:tc>
        <w:tc>
          <w:tcPr>
            <w:tcW w:w="1852" w:type="dxa"/>
            <w:tcBorders>
              <w:top w:val="nil"/>
              <w:left w:val="nil"/>
              <w:bottom w:val="nil"/>
              <w:right w:val="single" w:sz="4" w:space="0" w:color="auto"/>
            </w:tcBorders>
            <w:shd w:val="clear" w:color="auto" w:fill="AFFFD3"/>
            <w:noWrap/>
            <w:vAlign w:val="bottom"/>
            <w:hideMark/>
          </w:tcPr>
          <w:p w14:paraId="4092FA10"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288,28 </w:t>
            </w:r>
          </w:p>
        </w:tc>
      </w:tr>
      <w:tr w:rsidR="00FD1E19" w14:paraId="19B06FB3"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7069552C"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 xml:space="preserve"> Economic infrastructure and services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13F5685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4.378,70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48B0355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5.150,66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2AFBD1E8"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3.782,88 </w:t>
            </w:r>
          </w:p>
        </w:tc>
      </w:tr>
      <w:tr w:rsidR="00FD1E19" w14:paraId="37D5DCF3" w14:textId="77777777" w:rsidTr="00BE7E4A">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14:paraId="20B9E545"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Production sectors</w:t>
            </w:r>
          </w:p>
        </w:tc>
        <w:tc>
          <w:tcPr>
            <w:tcW w:w="1175" w:type="dxa"/>
            <w:tcBorders>
              <w:top w:val="nil"/>
              <w:left w:val="nil"/>
              <w:bottom w:val="single" w:sz="4" w:space="0" w:color="auto"/>
              <w:right w:val="single" w:sz="4" w:space="0" w:color="auto"/>
            </w:tcBorders>
            <w:shd w:val="clear" w:color="auto" w:fill="D9D9D9"/>
            <w:noWrap/>
            <w:vAlign w:val="bottom"/>
            <w:hideMark/>
          </w:tcPr>
          <w:p w14:paraId="169D473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2AC280F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02DB72F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r>
      <w:tr w:rsidR="00FD1E19" w14:paraId="269DB58E" w14:textId="77777777" w:rsidTr="00BE7E4A">
        <w:trPr>
          <w:trHeight w:hRule="exact" w:val="255"/>
        </w:trPr>
        <w:tc>
          <w:tcPr>
            <w:tcW w:w="5061" w:type="dxa"/>
            <w:tcBorders>
              <w:top w:val="nil"/>
              <w:left w:val="single" w:sz="4" w:space="0" w:color="auto"/>
              <w:bottom w:val="nil"/>
              <w:right w:val="nil"/>
            </w:tcBorders>
            <w:noWrap/>
            <w:vAlign w:val="bottom"/>
            <w:hideMark/>
          </w:tcPr>
          <w:p w14:paraId="228A15BF"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310-Agriculture, forestry and fishing</w:t>
            </w:r>
          </w:p>
        </w:tc>
        <w:tc>
          <w:tcPr>
            <w:tcW w:w="1175" w:type="dxa"/>
            <w:tcBorders>
              <w:top w:val="nil"/>
              <w:left w:val="single" w:sz="4" w:space="0" w:color="auto"/>
              <w:bottom w:val="single" w:sz="4" w:space="0" w:color="auto"/>
              <w:right w:val="single" w:sz="4" w:space="0" w:color="auto"/>
            </w:tcBorders>
            <w:shd w:val="clear" w:color="auto" w:fill="0FA54C"/>
            <w:noWrap/>
            <w:vAlign w:val="bottom"/>
            <w:hideMark/>
          </w:tcPr>
          <w:p w14:paraId="26710519"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3.317,10 </w:t>
            </w:r>
          </w:p>
        </w:tc>
        <w:tc>
          <w:tcPr>
            <w:tcW w:w="1852" w:type="dxa"/>
            <w:tcBorders>
              <w:top w:val="nil"/>
              <w:left w:val="nil"/>
              <w:bottom w:val="single" w:sz="4" w:space="0" w:color="auto"/>
              <w:right w:val="single" w:sz="4" w:space="0" w:color="auto"/>
            </w:tcBorders>
            <w:shd w:val="clear" w:color="auto" w:fill="00B050"/>
            <w:noWrap/>
            <w:vAlign w:val="bottom"/>
            <w:hideMark/>
          </w:tcPr>
          <w:p w14:paraId="58DD593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3.144,49 </w:t>
            </w:r>
          </w:p>
        </w:tc>
        <w:tc>
          <w:tcPr>
            <w:tcW w:w="1852" w:type="dxa"/>
            <w:tcBorders>
              <w:top w:val="nil"/>
              <w:left w:val="nil"/>
              <w:bottom w:val="single" w:sz="4" w:space="0" w:color="auto"/>
              <w:right w:val="single" w:sz="4" w:space="0" w:color="auto"/>
            </w:tcBorders>
            <w:shd w:val="clear" w:color="auto" w:fill="00B050"/>
            <w:noWrap/>
            <w:vAlign w:val="bottom"/>
            <w:hideMark/>
          </w:tcPr>
          <w:p w14:paraId="3EB4513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2.649,43 </w:t>
            </w:r>
          </w:p>
        </w:tc>
      </w:tr>
      <w:tr w:rsidR="00FD1E19" w14:paraId="57220FE9" w14:textId="77777777" w:rsidTr="00BE7E4A">
        <w:trPr>
          <w:trHeight w:hRule="exact" w:val="255"/>
        </w:trPr>
        <w:tc>
          <w:tcPr>
            <w:tcW w:w="5061" w:type="dxa"/>
            <w:tcBorders>
              <w:top w:val="nil"/>
              <w:left w:val="single" w:sz="4" w:space="0" w:color="auto"/>
              <w:bottom w:val="nil"/>
              <w:right w:val="nil"/>
            </w:tcBorders>
            <w:noWrap/>
            <w:vAlign w:val="bottom"/>
            <w:hideMark/>
          </w:tcPr>
          <w:p w14:paraId="0B4ACFFF"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320-Industry, mineral resources and mining, construction</w:t>
            </w:r>
          </w:p>
        </w:tc>
        <w:tc>
          <w:tcPr>
            <w:tcW w:w="1175" w:type="dxa"/>
            <w:tcBorders>
              <w:top w:val="nil"/>
              <w:left w:val="single" w:sz="4" w:space="0" w:color="auto"/>
              <w:bottom w:val="single" w:sz="4" w:space="0" w:color="auto"/>
              <w:right w:val="single" w:sz="4" w:space="0" w:color="auto"/>
            </w:tcBorders>
            <w:shd w:val="clear" w:color="auto" w:fill="A4F6C5"/>
            <w:noWrap/>
            <w:vAlign w:val="bottom"/>
            <w:hideMark/>
          </w:tcPr>
          <w:p w14:paraId="501A211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632,36 </w:t>
            </w:r>
          </w:p>
        </w:tc>
        <w:tc>
          <w:tcPr>
            <w:tcW w:w="1852" w:type="dxa"/>
            <w:tcBorders>
              <w:top w:val="nil"/>
              <w:left w:val="nil"/>
              <w:bottom w:val="single" w:sz="4" w:space="0" w:color="auto"/>
              <w:right w:val="single" w:sz="4" w:space="0" w:color="auto"/>
            </w:tcBorders>
            <w:shd w:val="clear" w:color="auto" w:fill="61FFA8"/>
            <w:noWrap/>
            <w:vAlign w:val="bottom"/>
            <w:hideMark/>
          </w:tcPr>
          <w:p w14:paraId="15740C5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525,39 </w:t>
            </w:r>
          </w:p>
        </w:tc>
        <w:tc>
          <w:tcPr>
            <w:tcW w:w="1852" w:type="dxa"/>
            <w:tcBorders>
              <w:top w:val="nil"/>
              <w:left w:val="nil"/>
              <w:bottom w:val="single" w:sz="4" w:space="0" w:color="auto"/>
              <w:right w:val="single" w:sz="4" w:space="0" w:color="auto"/>
            </w:tcBorders>
            <w:shd w:val="clear" w:color="auto" w:fill="85FFBC"/>
            <w:noWrap/>
            <w:vAlign w:val="bottom"/>
            <w:hideMark/>
          </w:tcPr>
          <w:p w14:paraId="200ABDD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384,77 </w:t>
            </w:r>
          </w:p>
        </w:tc>
      </w:tr>
      <w:tr w:rsidR="00FD1E19" w14:paraId="04581F07" w14:textId="77777777" w:rsidTr="00BE7E4A">
        <w:trPr>
          <w:trHeight w:hRule="exact" w:val="255"/>
        </w:trPr>
        <w:tc>
          <w:tcPr>
            <w:tcW w:w="5061" w:type="dxa"/>
            <w:tcBorders>
              <w:top w:val="nil"/>
              <w:left w:val="single" w:sz="4" w:space="0" w:color="auto"/>
              <w:bottom w:val="nil"/>
              <w:right w:val="nil"/>
            </w:tcBorders>
            <w:noWrap/>
            <w:vAlign w:val="bottom"/>
            <w:hideMark/>
          </w:tcPr>
          <w:p w14:paraId="50C954EE"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330-Trade and tourism</w:t>
            </w:r>
          </w:p>
        </w:tc>
        <w:tc>
          <w:tcPr>
            <w:tcW w:w="1175" w:type="dxa"/>
            <w:tcBorders>
              <w:top w:val="nil"/>
              <w:left w:val="single" w:sz="4" w:space="0" w:color="auto"/>
              <w:bottom w:val="nil"/>
              <w:right w:val="single" w:sz="4" w:space="0" w:color="auto"/>
            </w:tcBorders>
            <w:shd w:val="clear" w:color="auto" w:fill="A4F6C5"/>
            <w:noWrap/>
            <w:vAlign w:val="bottom"/>
            <w:hideMark/>
          </w:tcPr>
          <w:p w14:paraId="56CC0EE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502,26 </w:t>
            </w:r>
          </w:p>
        </w:tc>
        <w:tc>
          <w:tcPr>
            <w:tcW w:w="1852" w:type="dxa"/>
            <w:tcBorders>
              <w:top w:val="nil"/>
              <w:left w:val="nil"/>
              <w:bottom w:val="nil"/>
              <w:right w:val="single" w:sz="4" w:space="0" w:color="auto"/>
            </w:tcBorders>
            <w:shd w:val="clear" w:color="auto" w:fill="A3FFCD"/>
            <w:noWrap/>
            <w:vAlign w:val="bottom"/>
            <w:hideMark/>
          </w:tcPr>
          <w:p w14:paraId="6D64384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434,74 </w:t>
            </w:r>
          </w:p>
        </w:tc>
        <w:tc>
          <w:tcPr>
            <w:tcW w:w="1852" w:type="dxa"/>
            <w:tcBorders>
              <w:top w:val="nil"/>
              <w:left w:val="nil"/>
              <w:bottom w:val="nil"/>
              <w:right w:val="single" w:sz="4" w:space="0" w:color="auto"/>
            </w:tcBorders>
            <w:shd w:val="clear" w:color="auto" w:fill="AFFFD3"/>
            <w:noWrap/>
            <w:vAlign w:val="bottom"/>
            <w:hideMark/>
          </w:tcPr>
          <w:p w14:paraId="38CF50B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338,86 </w:t>
            </w:r>
          </w:p>
        </w:tc>
      </w:tr>
      <w:tr w:rsidR="00FD1E19" w14:paraId="0977360B"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43AAF8E7"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Production sectors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111B99F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4.451,72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6AEDC58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4.104,61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3EC0E75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3.373,06 </w:t>
            </w:r>
          </w:p>
        </w:tc>
      </w:tr>
      <w:tr w:rsidR="00FD1E19" w14:paraId="23DE34D8" w14:textId="77777777" w:rsidTr="00BE7E4A">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14:paraId="3D610423"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Multisector/Cross-cutting</w:t>
            </w:r>
          </w:p>
        </w:tc>
        <w:tc>
          <w:tcPr>
            <w:tcW w:w="1175" w:type="dxa"/>
            <w:tcBorders>
              <w:top w:val="nil"/>
              <w:left w:val="nil"/>
              <w:bottom w:val="single" w:sz="4" w:space="0" w:color="auto"/>
              <w:right w:val="single" w:sz="4" w:space="0" w:color="auto"/>
            </w:tcBorders>
            <w:shd w:val="clear" w:color="auto" w:fill="D9D9D9"/>
            <w:noWrap/>
            <w:vAlign w:val="bottom"/>
            <w:hideMark/>
          </w:tcPr>
          <w:p w14:paraId="4DE878C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6A6E176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1C848B3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r>
      <w:tr w:rsidR="00FD1E19" w14:paraId="1373FF1B" w14:textId="77777777" w:rsidTr="00BE7E4A">
        <w:trPr>
          <w:trHeight w:hRule="exact" w:val="255"/>
        </w:trPr>
        <w:tc>
          <w:tcPr>
            <w:tcW w:w="5061" w:type="dxa"/>
            <w:tcBorders>
              <w:top w:val="nil"/>
              <w:left w:val="single" w:sz="4" w:space="0" w:color="auto"/>
              <w:bottom w:val="nil"/>
              <w:right w:val="nil"/>
            </w:tcBorders>
            <w:noWrap/>
            <w:vAlign w:val="bottom"/>
            <w:hideMark/>
          </w:tcPr>
          <w:p w14:paraId="1E9E1737"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410-General environmental protection</w:t>
            </w:r>
          </w:p>
        </w:tc>
        <w:tc>
          <w:tcPr>
            <w:tcW w:w="1175" w:type="dxa"/>
            <w:tcBorders>
              <w:top w:val="nil"/>
              <w:left w:val="single" w:sz="4" w:space="0" w:color="auto"/>
              <w:bottom w:val="single" w:sz="4" w:space="0" w:color="auto"/>
              <w:right w:val="single" w:sz="4" w:space="0" w:color="auto"/>
            </w:tcBorders>
            <w:shd w:val="clear" w:color="auto" w:fill="76F2A8"/>
            <w:noWrap/>
            <w:vAlign w:val="bottom"/>
            <w:hideMark/>
          </w:tcPr>
          <w:p w14:paraId="31ED5D2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984,89 </w:t>
            </w:r>
          </w:p>
        </w:tc>
        <w:tc>
          <w:tcPr>
            <w:tcW w:w="1852" w:type="dxa"/>
            <w:tcBorders>
              <w:top w:val="nil"/>
              <w:left w:val="nil"/>
              <w:bottom w:val="single" w:sz="4" w:space="0" w:color="auto"/>
              <w:right w:val="single" w:sz="4" w:space="0" w:color="auto"/>
            </w:tcBorders>
            <w:shd w:val="clear" w:color="auto" w:fill="15FF7F"/>
            <w:noWrap/>
            <w:vAlign w:val="bottom"/>
            <w:hideMark/>
          </w:tcPr>
          <w:p w14:paraId="7A1BF95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843,66 </w:t>
            </w:r>
          </w:p>
        </w:tc>
        <w:tc>
          <w:tcPr>
            <w:tcW w:w="1852" w:type="dxa"/>
            <w:tcBorders>
              <w:top w:val="nil"/>
              <w:left w:val="nil"/>
              <w:bottom w:val="single" w:sz="4" w:space="0" w:color="auto"/>
              <w:right w:val="single" w:sz="4" w:space="0" w:color="auto"/>
            </w:tcBorders>
            <w:shd w:val="clear" w:color="auto" w:fill="4FFF9F"/>
            <w:noWrap/>
            <w:vAlign w:val="bottom"/>
            <w:hideMark/>
          </w:tcPr>
          <w:p w14:paraId="1E39335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756,56 </w:t>
            </w:r>
          </w:p>
        </w:tc>
      </w:tr>
      <w:tr w:rsidR="00FD1E19" w14:paraId="0563BEED" w14:textId="77777777" w:rsidTr="00BE7E4A">
        <w:trPr>
          <w:trHeight w:hRule="exact" w:val="255"/>
        </w:trPr>
        <w:tc>
          <w:tcPr>
            <w:tcW w:w="5061" w:type="dxa"/>
            <w:tcBorders>
              <w:top w:val="nil"/>
              <w:left w:val="single" w:sz="4" w:space="0" w:color="auto"/>
              <w:bottom w:val="nil"/>
              <w:right w:val="nil"/>
            </w:tcBorders>
            <w:noWrap/>
            <w:vAlign w:val="bottom"/>
            <w:hideMark/>
          </w:tcPr>
          <w:p w14:paraId="640E6880"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430-Other multisector</w:t>
            </w:r>
          </w:p>
        </w:tc>
        <w:tc>
          <w:tcPr>
            <w:tcW w:w="1175" w:type="dxa"/>
            <w:tcBorders>
              <w:top w:val="nil"/>
              <w:left w:val="single" w:sz="4" w:space="0" w:color="auto"/>
              <w:bottom w:val="nil"/>
              <w:right w:val="single" w:sz="4" w:space="0" w:color="auto"/>
            </w:tcBorders>
            <w:shd w:val="clear" w:color="auto" w:fill="0FA54C"/>
            <w:noWrap/>
            <w:vAlign w:val="bottom"/>
            <w:hideMark/>
          </w:tcPr>
          <w:p w14:paraId="17CBF17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3.881,80 </w:t>
            </w:r>
          </w:p>
        </w:tc>
        <w:tc>
          <w:tcPr>
            <w:tcW w:w="1852" w:type="dxa"/>
            <w:tcBorders>
              <w:top w:val="nil"/>
              <w:left w:val="nil"/>
              <w:bottom w:val="nil"/>
              <w:right w:val="single" w:sz="4" w:space="0" w:color="auto"/>
            </w:tcBorders>
            <w:shd w:val="clear" w:color="auto" w:fill="00C85A"/>
            <w:noWrap/>
            <w:vAlign w:val="bottom"/>
            <w:hideMark/>
          </w:tcPr>
          <w:p w14:paraId="05FAF21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2.617,61 </w:t>
            </w:r>
          </w:p>
        </w:tc>
        <w:tc>
          <w:tcPr>
            <w:tcW w:w="1852" w:type="dxa"/>
            <w:tcBorders>
              <w:top w:val="nil"/>
              <w:left w:val="nil"/>
              <w:bottom w:val="nil"/>
              <w:right w:val="single" w:sz="4" w:space="0" w:color="auto"/>
            </w:tcBorders>
            <w:shd w:val="clear" w:color="auto" w:fill="00D05E"/>
            <w:noWrap/>
            <w:vAlign w:val="bottom"/>
            <w:hideMark/>
          </w:tcPr>
          <w:p w14:paraId="07272FD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1.947,95 </w:t>
            </w:r>
          </w:p>
        </w:tc>
      </w:tr>
      <w:tr w:rsidR="00FD1E19" w14:paraId="64A5F5C7"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5EA03FD2"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Multisector/Cross-cutting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44BD3E32"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4.866,68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2B07D50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3.461,26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6683AD8D"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2.704,51 </w:t>
            </w:r>
          </w:p>
        </w:tc>
      </w:tr>
      <w:tr w:rsidR="00FD1E19" w14:paraId="493EA3B7" w14:textId="77777777" w:rsidTr="00BE7E4A">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14:paraId="4DD2C14A"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Commodity aid and general programme assistance</w:t>
            </w:r>
          </w:p>
        </w:tc>
        <w:tc>
          <w:tcPr>
            <w:tcW w:w="1175" w:type="dxa"/>
            <w:tcBorders>
              <w:top w:val="nil"/>
              <w:left w:val="nil"/>
              <w:bottom w:val="single" w:sz="4" w:space="0" w:color="auto"/>
              <w:right w:val="single" w:sz="4" w:space="0" w:color="auto"/>
            </w:tcBorders>
            <w:shd w:val="clear" w:color="auto" w:fill="D9D9D9"/>
            <w:noWrap/>
            <w:vAlign w:val="bottom"/>
            <w:hideMark/>
          </w:tcPr>
          <w:p w14:paraId="294E003D"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306BDB29"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34C373C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r>
      <w:tr w:rsidR="00FD1E19" w14:paraId="52276275" w14:textId="77777777" w:rsidTr="00BE7E4A">
        <w:trPr>
          <w:trHeight w:hRule="exact" w:val="255"/>
        </w:trPr>
        <w:tc>
          <w:tcPr>
            <w:tcW w:w="5061" w:type="dxa"/>
            <w:tcBorders>
              <w:top w:val="nil"/>
              <w:left w:val="single" w:sz="4" w:space="0" w:color="auto"/>
              <w:bottom w:val="nil"/>
              <w:right w:val="nil"/>
            </w:tcBorders>
            <w:noWrap/>
            <w:vAlign w:val="bottom"/>
            <w:hideMark/>
          </w:tcPr>
          <w:p w14:paraId="031B8351"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510-General budget support</w:t>
            </w:r>
          </w:p>
        </w:tc>
        <w:tc>
          <w:tcPr>
            <w:tcW w:w="1175" w:type="dxa"/>
            <w:tcBorders>
              <w:top w:val="nil"/>
              <w:left w:val="single" w:sz="4" w:space="0" w:color="auto"/>
              <w:bottom w:val="single" w:sz="4" w:space="0" w:color="auto"/>
              <w:right w:val="single" w:sz="4" w:space="0" w:color="auto"/>
            </w:tcBorders>
            <w:shd w:val="clear" w:color="auto" w:fill="11BB56"/>
            <w:noWrap/>
            <w:vAlign w:val="bottom"/>
            <w:hideMark/>
          </w:tcPr>
          <w:p w14:paraId="51897A1D"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3.113,40 </w:t>
            </w:r>
          </w:p>
        </w:tc>
        <w:tc>
          <w:tcPr>
            <w:tcW w:w="1852" w:type="dxa"/>
            <w:shd w:val="clear" w:color="auto" w:fill="00B050"/>
            <w:noWrap/>
            <w:vAlign w:val="bottom"/>
            <w:hideMark/>
          </w:tcPr>
          <w:p w14:paraId="221E9384"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3.176,31 </w:t>
            </w:r>
          </w:p>
        </w:tc>
        <w:tc>
          <w:tcPr>
            <w:tcW w:w="1852" w:type="dxa"/>
            <w:tcBorders>
              <w:top w:val="nil"/>
              <w:left w:val="nil"/>
              <w:bottom w:val="nil"/>
              <w:right w:val="single" w:sz="4" w:space="0" w:color="auto"/>
            </w:tcBorders>
            <w:shd w:val="clear" w:color="auto" w:fill="00B050"/>
            <w:noWrap/>
            <w:vAlign w:val="bottom"/>
            <w:hideMark/>
          </w:tcPr>
          <w:p w14:paraId="0A0DE56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2.531,91 </w:t>
            </w:r>
          </w:p>
        </w:tc>
      </w:tr>
      <w:tr w:rsidR="00FD1E19" w14:paraId="758B8B2A" w14:textId="77777777" w:rsidTr="00BE7E4A">
        <w:trPr>
          <w:trHeight w:hRule="exact" w:val="255"/>
        </w:trPr>
        <w:tc>
          <w:tcPr>
            <w:tcW w:w="5061" w:type="dxa"/>
            <w:tcBorders>
              <w:top w:val="nil"/>
              <w:left w:val="single" w:sz="4" w:space="0" w:color="auto"/>
              <w:bottom w:val="nil"/>
              <w:right w:val="nil"/>
            </w:tcBorders>
            <w:noWrap/>
            <w:vAlign w:val="bottom"/>
            <w:hideMark/>
          </w:tcPr>
          <w:p w14:paraId="4BF916DE"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520-Developmental food assistance</w:t>
            </w:r>
          </w:p>
        </w:tc>
        <w:tc>
          <w:tcPr>
            <w:tcW w:w="1175" w:type="dxa"/>
            <w:tcBorders>
              <w:top w:val="nil"/>
              <w:left w:val="single" w:sz="4" w:space="0" w:color="auto"/>
              <w:bottom w:val="nil"/>
              <w:right w:val="single" w:sz="4" w:space="0" w:color="auto"/>
            </w:tcBorders>
            <w:shd w:val="clear" w:color="auto" w:fill="A4F6C5"/>
            <w:noWrap/>
            <w:vAlign w:val="bottom"/>
            <w:hideMark/>
          </w:tcPr>
          <w:p w14:paraId="2DEF1FD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611,90 </w:t>
            </w:r>
          </w:p>
        </w:tc>
        <w:tc>
          <w:tcPr>
            <w:tcW w:w="1852" w:type="dxa"/>
            <w:shd w:val="clear" w:color="auto" w:fill="A3FFCD"/>
            <w:noWrap/>
            <w:vAlign w:val="bottom"/>
            <w:hideMark/>
          </w:tcPr>
          <w:p w14:paraId="49A6134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390,58 </w:t>
            </w:r>
          </w:p>
        </w:tc>
        <w:tc>
          <w:tcPr>
            <w:tcW w:w="1852" w:type="dxa"/>
            <w:tcBorders>
              <w:top w:val="nil"/>
              <w:left w:val="nil"/>
              <w:bottom w:val="nil"/>
              <w:right w:val="single" w:sz="4" w:space="0" w:color="auto"/>
            </w:tcBorders>
            <w:shd w:val="clear" w:color="auto" w:fill="AFFFD3"/>
            <w:noWrap/>
            <w:vAlign w:val="bottom"/>
            <w:hideMark/>
          </w:tcPr>
          <w:p w14:paraId="033DD11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365,68 </w:t>
            </w:r>
          </w:p>
        </w:tc>
      </w:tr>
      <w:tr w:rsidR="00FD1E19" w14:paraId="5C0F0A77"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0566B75C"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Commodity aid and general programme assistance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5094FA98"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3.725,30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7E5E7F91"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3.566,89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0A50E287"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2.897,59 </w:t>
            </w:r>
          </w:p>
        </w:tc>
      </w:tr>
      <w:tr w:rsidR="00FD1E19" w14:paraId="0B514FC8" w14:textId="77777777" w:rsidTr="00BE7E4A">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14:paraId="481164A0"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Action relating to debt</w:t>
            </w:r>
          </w:p>
        </w:tc>
        <w:tc>
          <w:tcPr>
            <w:tcW w:w="1175" w:type="dxa"/>
            <w:tcBorders>
              <w:top w:val="nil"/>
              <w:left w:val="nil"/>
              <w:bottom w:val="single" w:sz="4" w:space="0" w:color="auto"/>
              <w:right w:val="single" w:sz="4" w:space="0" w:color="auto"/>
            </w:tcBorders>
            <w:shd w:val="clear" w:color="auto" w:fill="D9D9D9"/>
            <w:noWrap/>
            <w:vAlign w:val="bottom"/>
            <w:hideMark/>
          </w:tcPr>
          <w:p w14:paraId="5E4E2F7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787F7377"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4C7DA5E0"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r>
      <w:tr w:rsidR="00FD1E19" w14:paraId="49795574" w14:textId="77777777" w:rsidTr="00BE7E4A">
        <w:trPr>
          <w:trHeight w:hRule="exact" w:val="255"/>
        </w:trPr>
        <w:tc>
          <w:tcPr>
            <w:tcW w:w="5061" w:type="dxa"/>
            <w:tcBorders>
              <w:top w:val="nil"/>
              <w:left w:val="single" w:sz="4" w:space="0" w:color="auto"/>
              <w:bottom w:val="nil"/>
              <w:right w:val="nil"/>
            </w:tcBorders>
            <w:noWrap/>
            <w:vAlign w:val="bottom"/>
            <w:hideMark/>
          </w:tcPr>
          <w:p w14:paraId="496E511F"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600-Action relating to debt</w:t>
            </w:r>
          </w:p>
        </w:tc>
        <w:tc>
          <w:tcPr>
            <w:tcW w:w="1175" w:type="dxa"/>
            <w:tcBorders>
              <w:top w:val="nil"/>
              <w:left w:val="single" w:sz="4" w:space="0" w:color="auto"/>
              <w:bottom w:val="nil"/>
              <w:right w:val="single" w:sz="4" w:space="0" w:color="auto"/>
            </w:tcBorders>
            <w:shd w:val="clear" w:color="auto" w:fill="E4FCEE"/>
            <w:noWrap/>
            <w:vAlign w:val="bottom"/>
            <w:hideMark/>
          </w:tcPr>
          <w:p w14:paraId="282AE53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183,00 </w:t>
            </w:r>
          </w:p>
        </w:tc>
        <w:tc>
          <w:tcPr>
            <w:tcW w:w="1852" w:type="dxa"/>
            <w:shd w:val="clear" w:color="auto" w:fill="C5FFDF"/>
            <w:noWrap/>
            <w:vAlign w:val="bottom"/>
            <w:hideMark/>
          </w:tcPr>
          <w:p w14:paraId="10A7FF0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183,00 </w:t>
            </w:r>
          </w:p>
        </w:tc>
        <w:tc>
          <w:tcPr>
            <w:tcW w:w="1852" w:type="dxa"/>
            <w:tcBorders>
              <w:top w:val="nil"/>
              <w:left w:val="nil"/>
              <w:bottom w:val="nil"/>
              <w:right w:val="single" w:sz="4" w:space="0" w:color="auto"/>
            </w:tcBorders>
            <w:shd w:val="clear" w:color="auto" w:fill="CDFFE4"/>
            <w:noWrap/>
            <w:vAlign w:val="bottom"/>
            <w:hideMark/>
          </w:tcPr>
          <w:p w14:paraId="17EF115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183,00 </w:t>
            </w:r>
          </w:p>
        </w:tc>
      </w:tr>
      <w:tr w:rsidR="00FD1E19" w14:paraId="61E69B60"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4ED01FFA"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Action relating to debt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216795A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183,00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1DE62894"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183,00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21AF6C9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183,00 </w:t>
            </w:r>
          </w:p>
        </w:tc>
      </w:tr>
      <w:tr w:rsidR="00FD1E19" w14:paraId="33527654" w14:textId="77777777" w:rsidTr="00BE7E4A">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14:paraId="66E391A2"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Humanitarian aid</w:t>
            </w:r>
          </w:p>
        </w:tc>
        <w:tc>
          <w:tcPr>
            <w:tcW w:w="1175" w:type="dxa"/>
            <w:tcBorders>
              <w:top w:val="nil"/>
              <w:left w:val="nil"/>
              <w:bottom w:val="single" w:sz="4" w:space="0" w:color="auto"/>
              <w:right w:val="single" w:sz="4" w:space="0" w:color="auto"/>
            </w:tcBorders>
            <w:shd w:val="clear" w:color="auto" w:fill="D9D9D9"/>
            <w:noWrap/>
            <w:vAlign w:val="bottom"/>
            <w:hideMark/>
          </w:tcPr>
          <w:p w14:paraId="4356D2F0"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74E707E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5E27AE31"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r>
      <w:tr w:rsidR="00FD1E19" w14:paraId="56CEDB41" w14:textId="77777777" w:rsidTr="00BE7E4A">
        <w:trPr>
          <w:trHeight w:hRule="exact" w:val="255"/>
        </w:trPr>
        <w:tc>
          <w:tcPr>
            <w:tcW w:w="5061" w:type="dxa"/>
            <w:tcBorders>
              <w:top w:val="nil"/>
              <w:left w:val="single" w:sz="4" w:space="0" w:color="auto"/>
              <w:bottom w:val="nil"/>
              <w:right w:val="nil"/>
            </w:tcBorders>
            <w:noWrap/>
            <w:vAlign w:val="bottom"/>
            <w:hideMark/>
          </w:tcPr>
          <w:p w14:paraId="7D9236E6"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720-Emergency response</w:t>
            </w:r>
          </w:p>
        </w:tc>
        <w:tc>
          <w:tcPr>
            <w:tcW w:w="1175" w:type="dxa"/>
            <w:tcBorders>
              <w:top w:val="nil"/>
              <w:left w:val="single" w:sz="4" w:space="0" w:color="auto"/>
              <w:bottom w:val="single" w:sz="4" w:space="0" w:color="auto"/>
              <w:right w:val="single" w:sz="4" w:space="0" w:color="auto"/>
            </w:tcBorders>
            <w:shd w:val="clear" w:color="auto" w:fill="A4F6C5"/>
            <w:noWrap/>
            <w:vAlign w:val="bottom"/>
            <w:hideMark/>
          </w:tcPr>
          <w:p w14:paraId="6D51133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743,62 </w:t>
            </w:r>
          </w:p>
        </w:tc>
        <w:tc>
          <w:tcPr>
            <w:tcW w:w="1852" w:type="dxa"/>
            <w:tcBorders>
              <w:top w:val="nil"/>
              <w:left w:val="nil"/>
              <w:bottom w:val="single" w:sz="4" w:space="0" w:color="auto"/>
              <w:right w:val="single" w:sz="4" w:space="0" w:color="auto"/>
            </w:tcBorders>
            <w:shd w:val="clear" w:color="auto" w:fill="61FFA8"/>
            <w:noWrap/>
            <w:vAlign w:val="bottom"/>
            <w:hideMark/>
          </w:tcPr>
          <w:p w14:paraId="5A5AC99E"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452,44 </w:t>
            </w:r>
          </w:p>
        </w:tc>
        <w:tc>
          <w:tcPr>
            <w:tcW w:w="1852" w:type="dxa"/>
            <w:tcBorders>
              <w:top w:val="nil"/>
              <w:left w:val="nil"/>
              <w:bottom w:val="single" w:sz="4" w:space="0" w:color="auto"/>
              <w:right w:val="single" w:sz="4" w:space="0" w:color="auto"/>
            </w:tcBorders>
            <w:shd w:val="clear" w:color="auto" w:fill="85FFBC"/>
            <w:noWrap/>
            <w:vAlign w:val="bottom"/>
            <w:hideMark/>
          </w:tcPr>
          <w:p w14:paraId="67F5ABDB"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447,63 </w:t>
            </w:r>
          </w:p>
        </w:tc>
      </w:tr>
      <w:tr w:rsidR="00FD1E19" w14:paraId="30A50B62" w14:textId="77777777" w:rsidTr="00BE7E4A">
        <w:trPr>
          <w:trHeight w:hRule="exact" w:val="255"/>
        </w:trPr>
        <w:tc>
          <w:tcPr>
            <w:tcW w:w="5061" w:type="dxa"/>
            <w:tcBorders>
              <w:top w:val="nil"/>
              <w:left w:val="single" w:sz="4" w:space="0" w:color="auto"/>
              <w:bottom w:val="nil"/>
              <w:right w:val="nil"/>
            </w:tcBorders>
            <w:noWrap/>
            <w:vAlign w:val="bottom"/>
            <w:hideMark/>
          </w:tcPr>
          <w:p w14:paraId="58BE3FA1"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730-Reconstruction relief and rehabilitation</w:t>
            </w:r>
          </w:p>
        </w:tc>
        <w:tc>
          <w:tcPr>
            <w:tcW w:w="1175" w:type="dxa"/>
            <w:tcBorders>
              <w:top w:val="nil"/>
              <w:left w:val="single" w:sz="4" w:space="0" w:color="auto"/>
              <w:bottom w:val="single" w:sz="4" w:space="0" w:color="auto"/>
              <w:right w:val="single" w:sz="4" w:space="0" w:color="auto"/>
            </w:tcBorders>
            <w:shd w:val="clear" w:color="auto" w:fill="F8FEFA"/>
            <w:noWrap/>
            <w:vAlign w:val="bottom"/>
            <w:hideMark/>
          </w:tcPr>
          <w:p w14:paraId="159BD65D"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137,53 </w:t>
            </w:r>
          </w:p>
        </w:tc>
        <w:tc>
          <w:tcPr>
            <w:tcW w:w="1852" w:type="dxa"/>
            <w:tcBorders>
              <w:top w:val="nil"/>
              <w:left w:val="nil"/>
              <w:bottom w:val="single" w:sz="4" w:space="0" w:color="auto"/>
              <w:right w:val="single" w:sz="4" w:space="0" w:color="auto"/>
            </w:tcBorders>
            <w:shd w:val="clear" w:color="auto" w:fill="EFFFF6"/>
            <w:noWrap/>
            <w:vAlign w:val="bottom"/>
            <w:hideMark/>
          </w:tcPr>
          <w:p w14:paraId="167B5D38"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65,06 </w:t>
            </w:r>
          </w:p>
        </w:tc>
        <w:tc>
          <w:tcPr>
            <w:tcW w:w="1852" w:type="dxa"/>
            <w:tcBorders>
              <w:top w:val="nil"/>
              <w:left w:val="nil"/>
              <w:bottom w:val="single" w:sz="4" w:space="0" w:color="auto"/>
              <w:right w:val="single" w:sz="4" w:space="0" w:color="auto"/>
            </w:tcBorders>
            <w:shd w:val="clear" w:color="auto" w:fill="E7FFF2"/>
            <w:noWrap/>
            <w:vAlign w:val="bottom"/>
            <w:hideMark/>
          </w:tcPr>
          <w:p w14:paraId="15B3E000"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42,39 </w:t>
            </w:r>
          </w:p>
        </w:tc>
      </w:tr>
      <w:tr w:rsidR="00FD1E19" w14:paraId="4C445B0E" w14:textId="77777777" w:rsidTr="00BE7E4A">
        <w:trPr>
          <w:trHeight w:hRule="exact" w:val="255"/>
        </w:trPr>
        <w:tc>
          <w:tcPr>
            <w:tcW w:w="5061" w:type="dxa"/>
            <w:tcBorders>
              <w:top w:val="nil"/>
              <w:left w:val="single" w:sz="4" w:space="0" w:color="auto"/>
              <w:bottom w:val="nil"/>
              <w:right w:val="nil"/>
            </w:tcBorders>
            <w:noWrap/>
            <w:vAlign w:val="bottom"/>
            <w:hideMark/>
          </w:tcPr>
          <w:p w14:paraId="46B28EF6"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740-Disaster preparedness</w:t>
            </w:r>
          </w:p>
        </w:tc>
        <w:tc>
          <w:tcPr>
            <w:tcW w:w="1175" w:type="dxa"/>
            <w:tcBorders>
              <w:top w:val="nil"/>
              <w:left w:val="single" w:sz="4" w:space="0" w:color="auto"/>
              <w:bottom w:val="nil"/>
              <w:right w:val="single" w:sz="4" w:space="0" w:color="auto"/>
            </w:tcBorders>
            <w:shd w:val="clear" w:color="auto" w:fill="F8FEFA"/>
            <w:noWrap/>
            <w:vAlign w:val="bottom"/>
            <w:hideMark/>
          </w:tcPr>
          <w:p w14:paraId="4B233D79"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72,49 </w:t>
            </w:r>
          </w:p>
        </w:tc>
        <w:tc>
          <w:tcPr>
            <w:tcW w:w="1852" w:type="dxa"/>
            <w:tcBorders>
              <w:top w:val="nil"/>
              <w:left w:val="nil"/>
              <w:bottom w:val="nil"/>
              <w:right w:val="single" w:sz="4" w:space="0" w:color="auto"/>
            </w:tcBorders>
            <w:shd w:val="clear" w:color="auto" w:fill="C5FFDF"/>
            <w:noWrap/>
            <w:vAlign w:val="bottom"/>
            <w:hideMark/>
          </w:tcPr>
          <w:p w14:paraId="21FA171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110,12 </w:t>
            </w:r>
          </w:p>
        </w:tc>
        <w:tc>
          <w:tcPr>
            <w:tcW w:w="1852" w:type="dxa"/>
            <w:tcBorders>
              <w:top w:val="nil"/>
              <w:left w:val="nil"/>
              <w:bottom w:val="nil"/>
              <w:right w:val="single" w:sz="4" w:space="0" w:color="auto"/>
            </w:tcBorders>
            <w:shd w:val="clear" w:color="auto" w:fill="CDFFE4"/>
            <w:noWrap/>
            <w:vAlign w:val="bottom"/>
            <w:hideMark/>
          </w:tcPr>
          <w:p w14:paraId="12546F73"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101,07 </w:t>
            </w:r>
          </w:p>
        </w:tc>
      </w:tr>
      <w:tr w:rsidR="00FD1E19" w14:paraId="3E9B8936"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7565FE7A"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Humanitarian aid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64E078B7"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953,63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128401FD"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627,61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6D4D03E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591,09 </w:t>
            </w:r>
          </w:p>
        </w:tc>
      </w:tr>
      <w:tr w:rsidR="00FD1E19" w14:paraId="732316E5" w14:textId="77777777" w:rsidTr="00BE7E4A">
        <w:trPr>
          <w:trHeight w:hRule="exact" w:val="255"/>
        </w:trPr>
        <w:tc>
          <w:tcPr>
            <w:tcW w:w="5061" w:type="dxa"/>
            <w:tcBorders>
              <w:top w:val="nil"/>
              <w:left w:val="single" w:sz="4" w:space="0" w:color="auto"/>
              <w:bottom w:val="single" w:sz="4" w:space="0" w:color="auto"/>
              <w:right w:val="single" w:sz="4" w:space="0" w:color="auto"/>
            </w:tcBorders>
            <w:shd w:val="clear" w:color="auto" w:fill="D9D9D9"/>
            <w:noWrap/>
            <w:vAlign w:val="bottom"/>
            <w:hideMark/>
          </w:tcPr>
          <w:p w14:paraId="6FEBC3CA" w14:textId="77777777" w:rsidR="00FD1E19" w:rsidRDefault="00FD1E19" w:rsidP="00BE7E4A">
            <w:pPr>
              <w:rPr>
                <w:rFonts w:ascii="Calibri" w:hAnsi="Calibri" w:cs="Calibri"/>
                <w:noProof/>
                <w:color w:val="000000"/>
                <w:sz w:val="18"/>
                <w:szCs w:val="18"/>
              </w:rPr>
            </w:pPr>
            <w:r>
              <w:rPr>
                <w:rFonts w:ascii="Calibri" w:hAnsi="Calibri" w:cs="Calibri"/>
                <w:noProof/>
                <w:color w:val="000000"/>
                <w:sz w:val="18"/>
                <w:szCs w:val="18"/>
              </w:rPr>
              <w:t>Administrative costs of donors / Unallocated / Unspecified</w:t>
            </w:r>
          </w:p>
        </w:tc>
        <w:tc>
          <w:tcPr>
            <w:tcW w:w="1175" w:type="dxa"/>
            <w:tcBorders>
              <w:top w:val="nil"/>
              <w:left w:val="nil"/>
              <w:bottom w:val="single" w:sz="4" w:space="0" w:color="auto"/>
              <w:right w:val="single" w:sz="4" w:space="0" w:color="auto"/>
            </w:tcBorders>
            <w:shd w:val="clear" w:color="auto" w:fill="D9D9D9"/>
            <w:noWrap/>
            <w:vAlign w:val="bottom"/>
            <w:hideMark/>
          </w:tcPr>
          <w:p w14:paraId="42C32128"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52DBD04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c>
          <w:tcPr>
            <w:tcW w:w="1852" w:type="dxa"/>
            <w:tcBorders>
              <w:top w:val="nil"/>
              <w:left w:val="nil"/>
              <w:bottom w:val="single" w:sz="4" w:space="0" w:color="auto"/>
              <w:right w:val="single" w:sz="4" w:space="0" w:color="auto"/>
            </w:tcBorders>
            <w:shd w:val="clear" w:color="auto" w:fill="D9D9D9"/>
            <w:noWrap/>
            <w:vAlign w:val="bottom"/>
            <w:hideMark/>
          </w:tcPr>
          <w:p w14:paraId="55D1F7F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w:t>
            </w:r>
          </w:p>
        </w:tc>
      </w:tr>
      <w:tr w:rsidR="00FD1E19" w14:paraId="73271080" w14:textId="77777777" w:rsidTr="00BE7E4A">
        <w:trPr>
          <w:trHeight w:hRule="exact" w:val="255"/>
        </w:trPr>
        <w:tc>
          <w:tcPr>
            <w:tcW w:w="5061" w:type="dxa"/>
            <w:tcBorders>
              <w:top w:val="nil"/>
              <w:left w:val="single" w:sz="4" w:space="0" w:color="auto"/>
              <w:bottom w:val="nil"/>
              <w:right w:val="nil"/>
            </w:tcBorders>
            <w:noWrap/>
            <w:vAlign w:val="bottom"/>
            <w:hideMark/>
          </w:tcPr>
          <w:p w14:paraId="243250AB"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910-Administrative costs of donors</w:t>
            </w:r>
          </w:p>
        </w:tc>
        <w:tc>
          <w:tcPr>
            <w:tcW w:w="1175" w:type="dxa"/>
            <w:tcBorders>
              <w:top w:val="nil"/>
              <w:left w:val="single" w:sz="4" w:space="0" w:color="auto"/>
              <w:bottom w:val="single" w:sz="4" w:space="0" w:color="auto"/>
              <w:right w:val="single" w:sz="4" w:space="0" w:color="auto"/>
            </w:tcBorders>
            <w:shd w:val="clear" w:color="auto" w:fill="3BED83"/>
            <w:noWrap/>
            <w:vAlign w:val="bottom"/>
            <w:hideMark/>
          </w:tcPr>
          <w:p w14:paraId="394D852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993,19 </w:t>
            </w:r>
          </w:p>
        </w:tc>
        <w:tc>
          <w:tcPr>
            <w:tcW w:w="1852" w:type="dxa"/>
            <w:tcBorders>
              <w:top w:val="nil"/>
              <w:left w:val="nil"/>
              <w:bottom w:val="single" w:sz="4" w:space="0" w:color="auto"/>
              <w:right w:val="single" w:sz="4" w:space="0" w:color="auto"/>
            </w:tcBorders>
            <w:shd w:val="clear" w:color="auto" w:fill="15FF7F"/>
            <w:noWrap/>
            <w:vAlign w:val="bottom"/>
            <w:hideMark/>
          </w:tcPr>
          <w:p w14:paraId="6DFA7C50"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948,32 </w:t>
            </w:r>
          </w:p>
        </w:tc>
        <w:tc>
          <w:tcPr>
            <w:tcW w:w="1852" w:type="dxa"/>
            <w:tcBorders>
              <w:top w:val="nil"/>
              <w:left w:val="nil"/>
              <w:bottom w:val="single" w:sz="4" w:space="0" w:color="auto"/>
              <w:right w:val="single" w:sz="4" w:space="0" w:color="auto"/>
            </w:tcBorders>
            <w:shd w:val="clear" w:color="auto" w:fill="4FFF9F"/>
            <w:noWrap/>
            <w:vAlign w:val="bottom"/>
            <w:hideMark/>
          </w:tcPr>
          <w:p w14:paraId="3D80040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896,03 </w:t>
            </w:r>
          </w:p>
        </w:tc>
      </w:tr>
      <w:tr w:rsidR="00FD1E19" w14:paraId="55EEA7B9" w14:textId="77777777" w:rsidTr="00BE7E4A">
        <w:trPr>
          <w:trHeight w:hRule="exact" w:val="255"/>
        </w:trPr>
        <w:tc>
          <w:tcPr>
            <w:tcW w:w="5061" w:type="dxa"/>
            <w:tcBorders>
              <w:top w:val="nil"/>
              <w:left w:val="single" w:sz="4" w:space="0" w:color="auto"/>
              <w:bottom w:val="nil"/>
              <w:right w:val="nil"/>
            </w:tcBorders>
            <w:noWrap/>
            <w:vAlign w:val="bottom"/>
            <w:hideMark/>
          </w:tcPr>
          <w:p w14:paraId="3CB0F2CA" w14:textId="071E5C8B"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998-Unallocated / Unspecified</w:t>
            </w:r>
          </w:p>
        </w:tc>
        <w:tc>
          <w:tcPr>
            <w:tcW w:w="1175" w:type="dxa"/>
            <w:tcBorders>
              <w:top w:val="nil"/>
              <w:left w:val="single" w:sz="4" w:space="0" w:color="auto"/>
              <w:bottom w:val="single" w:sz="4" w:space="0" w:color="auto"/>
              <w:right w:val="single" w:sz="4" w:space="0" w:color="auto"/>
            </w:tcBorders>
            <w:shd w:val="clear" w:color="auto" w:fill="E4FCEE"/>
            <w:noWrap/>
            <w:vAlign w:val="bottom"/>
            <w:hideMark/>
          </w:tcPr>
          <w:p w14:paraId="6B5F059F"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183,74 </w:t>
            </w:r>
          </w:p>
        </w:tc>
        <w:tc>
          <w:tcPr>
            <w:tcW w:w="1852" w:type="dxa"/>
            <w:tcBorders>
              <w:top w:val="nil"/>
              <w:left w:val="nil"/>
              <w:bottom w:val="single" w:sz="4" w:space="0" w:color="auto"/>
              <w:right w:val="single" w:sz="4" w:space="0" w:color="auto"/>
            </w:tcBorders>
            <w:noWrap/>
            <w:vAlign w:val="bottom"/>
            <w:hideMark/>
          </w:tcPr>
          <w:p w14:paraId="3767A79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41,61 </w:t>
            </w:r>
          </w:p>
        </w:tc>
        <w:tc>
          <w:tcPr>
            <w:tcW w:w="1852" w:type="dxa"/>
            <w:tcBorders>
              <w:top w:val="nil"/>
              <w:left w:val="nil"/>
              <w:bottom w:val="single" w:sz="4" w:space="0" w:color="auto"/>
              <w:right w:val="single" w:sz="4" w:space="0" w:color="auto"/>
            </w:tcBorders>
            <w:shd w:val="clear" w:color="auto" w:fill="E7FFF2"/>
            <w:noWrap/>
            <w:vAlign w:val="bottom"/>
            <w:hideMark/>
          </w:tcPr>
          <w:p w14:paraId="1E950507"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27,23 </w:t>
            </w:r>
          </w:p>
        </w:tc>
      </w:tr>
      <w:tr w:rsidR="00FD1E19" w14:paraId="25271349" w14:textId="77777777" w:rsidTr="00BE7E4A">
        <w:trPr>
          <w:trHeight w:hRule="exact" w:val="255"/>
        </w:trPr>
        <w:tc>
          <w:tcPr>
            <w:tcW w:w="5061" w:type="dxa"/>
            <w:tcBorders>
              <w:top w:val="nil"/>
              <w:left w:val="single" w:sz="4" w:space="0" w:color="auto"/>
              <w:bottom w:val="nil"/>
              <w:right w:val="nil"/>
            </w:tcBorders>
            <w:noWrap/>
            <w:vAlign w:val="bottom"/>
            <w:hideMark/>
          </w:tcPr>
          <w:p w14:paraId="3FA5374E" w14:textId="77777777" w:rsidR="00FD1E19" w:rsidRDefault="00FD1E19" w:rsidP="00BE7E4A">
            <w:pPr>
              <w:rPr>
                <w:rFonts w:ascii="Calibri" w:hAnsi="Calibri" w:cs="Calibri"/>
                <w:noProof/>
                <w:color w:val="000000"/>
                <w:sz w:val="16"/>
                <w:szCs w:val="16"/>
              </w:rPr>
            </w:pPr>
            <w:r>
              <w:rPr>
                <w:rFonts w:ascii="Calibri" w:hAnsi="Calibri" w:cs="Calibri"/>
                <w:noProof/>
                <w:color w:val="000000"/>
                <w:sz w:val="16"/>
                <w:szCs w:val="16"/>
              </w:rPr>
              <w:t>N/A-Not Available</w:t>
            </w:r>
          </w:p>
        </w:tc>
        <w:tc>
          <w:tcPr>
            <w:tcW w:w="1175" w:type="dxa"/>
            <w:tcBorders>
              <w:top w:val="nil"/>
              <w:left w:val="single" w:sz="4" w:space="0" w:color="auto"/>
              <w:bottom w:val="nil"/>
              <w:right w:val="single" w:sz="4" w:space="0" w:color="auto"/>
            </w:tcBorders>
            <w:shd w:val="clear" w:color="auto" w:fill="E4FCEE"/>
            <w:noWrap/>
            <w:vAlign w:val="bottom"/>
            <w:hideMark/>
          </w:tcPr>
          <w:p w14:paraId="40476FAC"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245,98 </w:t>
            </w:r>
          </w:p>
        </w:tc>
        <w:tc>
          <w:tcPr>
            <w:tcW w:w="1852" w:type="dxa"/>
            <w:tcBorders>
              <w:top w:val="nil"/>
              <w:left w:val="nil"/>
              <w:bottom w:val="nil"/>
              <w:right w:val="single" w:sz="4" w:space="0" w:color="auto"/>
            </w:tcBorders>
            <w:noWrap/>
            <w:vAlign w:val="bottom"/>
            <w:hideMark/>
          </w:tcPr>
          <w:p w14:paraId="0F93E624"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1,57 </w:t>
            </w:r>
          </w:p>
        </w:tc>
        <w:tc>
          <w:tcPr>
            <w:tcW w:w="1852" w:type="dxa"/>
            <w:tcBorders>
              <w:top w:val="nil"/>
              <w:left w:val="nil"/>
              <w:bottom w:val="nil"/>
              <w:right w:val="single" w:sz="4" w:space="0" w:color="auto"/>
            </w:tcBorders>
            <w:noWrap/>
            <w:vAlign w:val="bottom"/>
            <w:hideMark/>
          </w:tcPr>
          <w:p w14:paraId="37F09F96"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1,15 </w:t>
            </w:r>
          </w:p>
        </w:tc>
      </w:tr>
      <w:tr w:rsidR="00FD1E19" w14:paraId="22E2DDC0" w14:textId="77777777" w:rsidTr="00BE7E4A">
        <w:trPr>
          <w:trHeight w:hRule="exact" w:val="255"/>
        </w:trPr>
        <w:tc>
          <w:tcPr>
            <w:tcW w:w="5061" w:type="dxa"/>
            <w:tcBorders>
              <w:top w:val="single" w:sz="8" w:space="0" w:color="auto"/>
              <w:left w:val="single" w:sz="4" w:space="0" w:color="auto"/>
              <w:bottom w:val="single" w:sz="8" w:space="0" w:color="auto"/>
              <w:right w:val="single" w:sz="4" w:space="0" w:color="auto"/>
            </w:tcBorders>
            <w:shd w:val="clear" w:color="auto" w:fill="F2F2F2"/>
            <w:noWrap/>
            <w:vAlign w:val="bottom"/>
            <w:hideMark/>
          </w:tcPr>
          <w:p w14:paraId="671BB088" w14:textId="77777777" w:rsidR="00FD1E19" w:rsidRDefault="00FD1E19" w:rsidP="00BE7E4A">
            <w:pPr>
              <w:jc w:val="right"/>
              <w:rPr>
                <w:rFonts w:ascii="Calibri" w:hAnsi="Calibri" w:cs="Calibri"/>
                <w:noProof/>
                <w:color w:val="000000"/>
                <w:sz w:val="18"/>
                <w:szCs w:val="18"/>
              </w:rPr>
            </w:pPr>
            <w:r>
              <w:rPr>
                <w:rFonts w:ascii="Calibri" w:hAnsi="Calibri" w:cs="Calibri"/>
                <w:noProof/>
                <w:color w:val="000000"/>
                <w:sz w:val="18"/>
                <w:szCs w:val="18"/>
              </w:rPr>
              <w:t>Administrative costs of donors / Unallocated / Unspecified TOTAL</w:t>
            </w:r>
          </w:p>
        </w:tc>
        <w:tc>
          <w:tcPr>
            <w:tcW w:w="1175" w:type="dxa"/>
            <w:tcBorders>
              <w:top w:val="single" w:sz="8" w:space="0" w:color="auto"/>
              <w:left w:val="nil"/>
              <w:bottom w:val="single" w:sz="8" w:space="0" w:color="auto"/>
              <w:right w:val="single" w:sz="4" w:space="0" w:color="auto"/>
            </w:tcBorders>
            <w:shd w:val="clear" w:color="auto" w:fill="F2F2F2"/>
            <w:noWrap/>
            <w:vAlign w:val="bottom"/>
            <w:hideMark/>
          </w:tcPr>
          <w:p w14:paraId="2C504985"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1.422,91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1F212D50"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991,50 </w:t>
            </w:r>
          </w:p>
        </w:tc>
        <w:tc>
          <w:tcPr>
            <w:tcW w:w="1852" w:type="dxa"/>
            <w:tcBorders>
              <w:top w:val="single" w:sz="8" w:space="0" w:color="auto"/>
              <w:left w:val="nil"/>
              <w:bottom w:val="single" w:sz="8" w:space="0" w:color="auto"/>
              <w:right w:val="single" w:sz="4" w:space="0" w:color="auto"/>
            </w:tcBorders>
            <w:shd w:val="clear" w:color="auto" w:fill="F2F2F2"/>
            <w:noWrap/>
            <w:vAlign w:val="bottom"/>
            <w:hideMark/>
          </w:tcPr>
          <w:p w14:paraId="56D4202A" w14:textId="77777777" w:rsidR="00FD1E19" w:rsidRDefault="00FD1E19" w:rsidP="00BE7E4A">
            <w:pPr>
              <w:jc w:val="right"/>
              <w:rPr>
                <w:rFonts w:ascii="Calibri" w:hAnsi="Calibri" w:cs="Calibri"/>
                <w:noProof/>
                <w:color w:val="000000"/>
                <w:sz w:val="16"/>
                <w:szCs w:val="16"/>
              </w:rPr>
            </w:pPr>
            <w:r>
              <w:rPr>
                <w:rFonts w:ascii="Calibri" w:hAnsi="Calibri" w:cs="Calibri"/>
                <w:noProof/>
                <w:color w:val="000000"/>
                <w:sz w:val="16"/>
                <w:szCs w:val="16"/>
              </w:rPr>
              <w:t xml:space="preserve">                        924,42 </w:t>
            </w:r>
          </w:p>
        </w:tc>
      </w:tr>
      <w:tr w:rsidR="00FD1E19" w14:paraId="6A019926" w14:textId="77777777" w:rsidTr="00BE7E4A">
        <w:trPr>
          <w:trHeight w:hRule="exact" w:val="255"/>
        </w:trPr>
        <w:tc>
          <w:tcPr>
            <w:tcW w:w="5061" w:type="dxa"/>
            <w:tcBorders>
              <w:top w:val="nil"/>
              <w:left w:val="single" w:sz="4" w:space="0" w:color="auto"/>
              <w:bottom w:val="single" w:sz="4" w:space="0" w:color="auto"/>
              <w:right w:val="nil"/>
            </w:tcBorders>
            <w:shd w:val="clear" w:color="auto" w:fill="A6A6A6"/>
            <w:noWrap/>
            <w:vAlign w:val="bottom"/>
            <w:hideMark/>
          </w:tcPr>
          <w:p w14:paraId="7461D734" w14:textId="77777777" w:rsidR="00FD1E19" w:rsidRDefault="00FD1E19" w:rsidP="00BE7E4A">
            <w:pPr>
              <w:jc w:val="center"/>
              <w:rPr>
                <w:rFonts w:ascii="Calibri" w:hAnsi="Calibri" w:cs="Calibri"/>
                <w:b/>
                <w:bCs/>
                <w:noProof/>
                <w:color w:val="000000"/>
                <w:sz w:val="18"/>
                <w:szCs w:val="18"/>
              </w:rPr>
            </w:pPr>
            <w:r>
              <w:rPr>
                <w:rFonts w:ascii="Calibri" w:hAnsi="Calibri" w:cs="Calibri"/>
                <w:b/>
                <w:bCs/>
                <w:noProof/>
                <w:color w:val="000000"/>
                <w:sz w:val="18"/>
                <w:szCs w:val="18"/>
              </w:rPr>
              <w:t xml:space="preserve"> GRAND TOTAL OF 11TH EDF  </w:t>
            </w:r>
          </w:p>
        </w:tc>
        <w:tc>
          <w:tcPr>
            <w:tcW w:w="1175" w:type="dxa"/>
            <w:tcBorders>
              <w:top w:val="nil"/>
              <w:left w:val="single" w:sz="8" w:space="0" w:color="auto"/>
              <w:bottom w:val="single" w:sz="4" w:space="0" w:color="auto"/>
              <w:right w:val="single" w:sz="8" w:space="0" w:color="auto"/>
            </w:tcBorders>
            <w:shd w:val="clear" w:color="auto" w:fill="A6A6A6"/>
            <w:noWrap/>
            <w:vAlign w:val="bottom"/>
            <w:hideMark/>
          </w:tcPr>
          <w:p w14:paraId="6889D887" w14:textId="77777777" w:rsidR="00FD1E19" w:rsidRDefault="00FD1E19" w:rsidP="00BE7E4A">
            <w:pPr>
              <w:jc w:val="right"/>
              <w:rPr>
                <w:rFonts w:ascii="Calibri" w:hAnsi="Calibri" w:cs="Calibri"/>
                <w:b/>
                <w:bCs/>
                <w:noProof/>
                <w:color w:val="000000"/>
                <w:sz w:val="16"/>
                <w:szCs w:val="16"/>
              </w:rPr>
            </w:pPr>
            <w:r>
              <w:rPr>
                <w:rFonts w:ascii="Calibri" w:hAnsi="Calibri" w:cs="Calibri"/>
                <w:b/>
                <w:bCs/>
                <w:noProof/>
                <w:color w:val="000000"/>
                <w:sz w:val="16"/>
                <w:szCs w:val="16"/>
              </w:rPr>
              <w:t xml:space="preserve">        31.087,97 </w:t>
            </w:r>
          </w:p>
        </w:tc>
        <w:tc>
          <w:tcPr>
            <w:tcW w:w="1852" w:type="dxa"/>
            <w:tcBorders>
              <w:top w:val="nil"/>
              <w:left w:val="nil"/>
              <w:bottom w:val="single" w:sz="4" w:space="0" w:color="auto"/>
              <w:right w:val="single" w:sz="8" w:space="0" w:color="auto"/>
            </w:tcBorders>
            <w:shd w:val="clear" w:color="auto" w:fill="A6A6A6"/>
            <w:noWrap/>
            <w:vAlign w:val="bottom"/>
            <w:hideMark/>
          </w:tcPr>
          <w:p w14:paraId="0B44AFF4" w14:textId="77777777" w:rsidR="00FD1E19" w:rsidRDefault="00FD1E19" w:rsidP="00BE7E4A">
            <w:pPr>
              <w:jc w:val="right"/>
              <w:rPr>
                <w:rFonts w:ascii="Calibri" w:hAnsi="Calibri" w:cs="Calibri"/>
                <w:b/>
                <w:bCs/>
                <w:noProof/>
                <w:color w:val="000000"/>
                <w:sz w:val="16"/>
                <w:szCs w:val="16"/>
              </w:rPr>
            </w:pPr>
            <w:r>
              <w:rPr>
                <w:rFonts w:ascii="Calibri" w:hAnsi="Calibri" w:cs="Calibri"/>
                <w:b/>
                <w:bCs/>
                <w:noProof/>
                <w:color w:val="000000"/>
                <w:sz w:val="16"/>
                <w:szCs w:val="16"/>
              </w:rPr>
              <w:t xml:space="preserve">                   30.023,09 </w:t>
            </w:r>
          </w:p>
        </w:tc>
        <w:tc>
          <w:tcPr>
            <w:tcW w:w="1852" w:type="dxa"/>
            <w:tcBorders>
              <w:top w:val="nil"/>
              <w:left w:val="nil"/>
              <w:bottom w:val="single" w:sz="4" w:space="0" w:color="auto"/>
              <w:right w:val="single" w:sz="4" w:space="0" w:color="auto"/>
            </w:tcBorders>
            <w:shd w:val="clear" w:color="auto" w:fill="A6A6A6"/>
            <w:noWrap/>
            <w:vAlign w:val="bottom"/>
            <w:hideMark/>
          </w:tcPr>
          <w:p w14:paraId="651ECF3F" w14:textId="77777777" w:rsidR="00FD1E19" w:rsidRDefault="00FD1E19" w:rsidP="00BE7E4A">
            <w:pPr>
              <w:jc w:val="right"/>
              <w:rPr>
                <w:rFonts w:ascii="Calibri" w:hAnsi="Calibri" w:cs="Calibri"/>
                <w:b/>
                <w:bCs/>
                <w:noProof/>
                <w:color w:val="000000"/>
                <w:sz w:val="16"/>
                <w:szCs w:val="16"/>
              </w:rPr>
            </w:pPr>
            <w:r>
              <w:rPr>
                <w:rFonts w:ascii="Calibri" w:hAnsi="Calibri" w:cs="Calibri"/>
                <w:b/>
                <w:bCs/>
                <w:noProof/>
                <w:color w:val="000000"/>
                <w:sz w:val="16"/>
                <w:szCs w:val="16"/>
              </w:rPr>
              <w:t xml:space="preserve">                   25.986,75 </w:t>
            </w:r>
          </w:p>
        </w:tc>
      </w:tr>
    </w:tbl>
    <w:p w14:paraId="5A5D2AE8" w14:textId="77777777" w:rsidR="00FD1E19" w:rsidRPr="00810E53" w:rsidRDefault="00FD1E19" w:rsidP="00FD1E19">
      <w:pPr>
        <w:pStyle w:val="HEADER5"/>
        <w:rPr>
          <w:noProof/>
        </w:rPr>
      </w:pPr>
    </w:p>
    <w:p w14:paraId="4343F9E5" w14:textId="77777777" w:rsidR="00FD1E19" w:rsidRDefault="00FD1E19" w:rsidP="00FD1E19">
      <w:pPr>
        <w:pStyle w:val="HEADER5"/>
        <w:keepNext/>
        <w:keepLines/>
        <w:rPr>
          <w:noProof/>
        </w:rPr>
      </w:pPr>
    </w:p>
    <w:p w14:paraId="21D6AA73" w14:textId="77777777" w:rsidR="00FD1E19" w:rsidRDefault="00FD1E19" w:rsidP="00FD1E19">
      <w:pPr>
        <w:rPr>
          <w:rFonts w:cstheme="minorHAnsi"/>
          <w:noProof/>
          <w:sz w:val="18"/>
          <w:szCs w:val="18"/>
        </w:rPr>
      </w:pPr>
      <w:r>
        <w:rPr>
          <w:rFonts w:cstheme="minorHAnsi"/>
          <w:noProof/>
          <w:sz w:val="18"/>
          <w:szCs w:val="18"/>
        </w:rPr>
        <w:br w:type="page"/>
      </w:r>
    </w:p>
    <w:p w14:paraId="4355B29A" w14:textId="77777777" w:rsidR="00FD1E19" w:rsidRDefault="00FD1E19" w:rsidP="00FD1E19">
      <w:pPr>
        <w:pStyle w:val="HEADER5"/>
        <w:rPr>
          <w:noProof/>
        </w:rPr>
      </w:pPr>
      <w:r w:rsidRPr="00FC3DF2">
        <w:rPr>
          <w:noProof/>
        </w:rPr>
        <w:t xml:space="preserve">Evolution of </w:t>
      </w:r>
      <w:r>
        <w:rPr>
          <w:noProof/>
        </w:rPr>
        <w:t xml:space="preserve">cumulative </w:t>
      </w:r>
      <w:r w:rsidRPr="00FC3DF2">
        <w:rPr>
          <w:noProof/>
        </w:rPr>
        <w:t>Committed, Contracted and Paid a</w:t>
      </w:r>
      <w:r>
        <w:rPr>
          <w:noProof/>
        </w:rPr>
        <w:t>mount by spending area for</w:t>
      </w:r>
      <w:r w:rsidRPr="00FC3DF2">
        <w:rPr>
          <w:noProof/>
        </w:rPr>
        <w:t xml:space="preserve"> the 11</w:t>
      </w:r>
      <w:r w:rsidRPr="005D41C2">
        <w:rPr>
          <w:noProof/>
        </w:rPr>
        <w:t>th</w:t>
      </w:r>
      <w:r w:rsidRPr="00FC3DF2">
        <w:rPr>
          <w:noProof/>
        </w:rPr>
        <w:t xml:space="preserve"> EDF </w:t>
      </w:r>
    </w:p>
    <w:p w14:paraId="49B199F5" w14:textId="46040841" w:rsidR="00FD1E19" w:rsidRDefault="003F3946" w:rsidP="00FD1E19">
      <w:pPr>
        <w:rPr>
          <w:rFonts w:cstheme="minorHAnsi"/>
          <w:noProof/>
          <w:sz w:val="18"/>
          <w:szCs w:val="18"/>
        </w:rPr>
      </w:pPr>
      <w:r>
        <w:rPr>
          <w:noProof/>
          <w:lang w:eastAsia="en-GB"/>
        </w:rPr>
        <w:drawing>
          <wp:inline distT="0" distB="0" distL="0" distR="0" wp14:anchorId="23BD9017" wp14:editId="3211A3FF">
            <wp:extent cx="6120130" cy="2752725"/>
            <wp:effectExtent l="0" t="0" r="0" b="0"/>
            <wp:docPr id="1599539991" name="Chart 1">
              <a:extLst xmlns:a="http://schemas.openxmlformats.org/drawingml/2006/main">
                <a:ext uri="{FF2B5EF4-FFF2-40B4-BE49-F238E27FC236}">
                  <a16:creationId xmlns:a16="http://schemas.microsoft.com/office/drawing/2014/main" id="{30D418E6-EF1B-4AE5-900A-62984A2B9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14:paraId="3D6C27F1" w14:textId="101BD2AC" w:rsidR="00FD1E19" w:rsidRDefault="00B04E0B" w:rsidP="00FD1E19">
      <w:pPr>
        <w:jc w:val="center"/>
        <w:rPr>
          <w:rFonts w:cstheme="minorHAnsi"/>
          <w:noProof/>
          <w:sz w:val="18"/>
          <w:szCs w:val="18"/>
        </w:rPr>
      </w:pPr>
      <w:r>
        <w:rPr>
          <w:noProof/>
          <w:lang w:eastAsia="en-GB"/>
        </w:rPr>
        <w:drawing>
          <wp:inline distT="0" distB="0" distL="0" distR="0" wp14:anchorId="166DBA72" wp14:editId="651568EC">
            <wp:extent cx="6120130" cy="2857500"/>
            <wp:effectExtent l="0" t="0" r="0" b="0"/>
            <wp:docPr id="578594683" name="Chart 1">
              <a:extLst xmlns:a="http://schemas.openxmlformats.org/drawingml/2006/main">
                <a:ext uri="{FF2B5EF4-FFF2-40B4-BE49-F238E27FC236}">
                  <a16:creationId xmlns:a16="http://schemas.microsoft.com/office/drawing/2014/main" id="{EACBA8E8-B81B-4358-BC0A-40B6316658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14:paraId="343B7E93" w14:textId="73367F6D" w:rsidR="00FD1E19" w:rsidRDefault="00C36C90" w:rsidP="00C36C90">
      <w:pPr>
        <w:jc w:val="center"/>
        <w:rPr>
          <w:rFonts w:cstheme="minorHAnsi"/>
          <w:noProof/>
          <w:sz w:val="18"/>
          <w:szCs w:val="18"/>
        </w:rPr>
      </w:pPr>
      <w:r>
        <w:rPr>
          <w:noProof/>
          <w:lang w:eastAsia="en-GB"/>
        </w:rPr>
        <w:drawing>
          <wp:inline distT="0" distB="0" distL="0" distR="0" wp14:anchorId="36FA5E85" wp14:editId="0A22E2E7">
            <wp:extent cx="6120130" cy="3009900"/>
            <wp:effectExtent l="0" t="0" r="0" b="0"/>
            <wp:docPr id="1016999529" name="Chart 1">
              <a:extLst xmlns:a="http://schemas.openxmlformats.org/drawingml/2006/main">
                <a:ext uri="{FF2B5EF4-FFF2-40B4-BE49-F238E27FC236}">
                  <a16:creationId xmlns:a16="http://schemas.microsoft.com/office/drawing/2014/main" id="{14F53DF3-C8BC-4794-AEBE-B46D2D721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bookmarkEnd w:id="180"/>
    <w:p w14:paraId="2C326F85" w14:textId="77777777" w:rsidR="00FD1E19" w:rsidRDefault="00FD1E19" w:rsidP="00FD1E19">
      <w:pPr>
        <w:pStyle w:val="HEADER5"/>
        <w:rPr>
          <w:noProof/>
        </w:rPr>
        <w:sectPr w:rsidR="00FD1E19" w:rsidSect="00B33A24">
          <w:headerReference w:type="default" r:id="rId143"/>
          <w:footerReference w:type="default" r:id="rId144"/>
          <w:pgSz w:w="11906" w:h="16838" w:code="9"/>
          <w:pgMar w:top="1134" w:right="1134" w:bottom="1134" w:left="1134" w:header="709" w:footer="709" w:gutter="0"/>
          <w:pgBorders>
            <w:top w:val="nil"/>
            <w:left w:val="nil"/>
            <w:bottom w:val="nil"/>
            <w:right w:val="nil"/>
          </w:pgBorders>
          <w:cols w:space="720"/>
          <w:docGrid w:linePitch="360"/>
        </w:sectPr>
      </w:pPr>
    </w:p>
    <w:p w14:paraId="25ED01AF" w14:textId="77777777" w:rsidR="00FD1E19" w:rsidRPr="00583960" w:rsidRDefault="00FD1E19" w:rsidP="00FD1E19">
      <w:pPr>
        <w:pStyle w:val="HEADER1PartBUDG"/>
        <w:numPr>
          <w:ilvl w:val="0"/>
          <w:numId w:val="21"/>
        </w:numPr>
        <w:ind w:left="0" w:firstLine="0"/>
        <w:rPr>
          <w:noProof/>
          <w:lang w:val="en-US"/>
        </w:rPr>
      </w:pPr>
      <w:bookmarkStart w:id="192" w:name="_Toc223947603"/>
      <w:bookmarkStart w:id="193" w:name="_DMBM_37304"/>
      <w:bookmarkEnd w:id="181"/>
      <w:r>
        <w:rPr>
          <w:noProof/>
          <w:lang w:val="en-US"/>
        </w:rPr>
        <w:t xml:space="preserve"> </w:t>
      </w:r>
      <w:r w:rsidRPr="00583960">
        <w:rPr>
          <w:noProof/>
          <w:lang w:val="en-US"/>
        </w:rPr>
        <w:t>GLOSSARY</w:t>
      </w:r>
      <w:bookmarkEnd w:id="192"/>
    </w:p>
    <w:p w14:paraId="10664B2D" w14:textId="77777777" w:rsidR="00FD1E19" w:rsidRDefault="00FD1E19" w:rsidP="00FD1E19">
      <w:pPr>
        <w:pStyle w:val="HEADER5"/>
        <w:rPr>
          <w:noProof/>
        </w:rPr>
      </w:pPr>
      <w:r>
        <w:rPr>
          <w:noProof/>
        </w:rPr>
        <w:t>Administrative appropriations</w:t>
      </w:r>
    </w:p>
    <w:p w14:paraId="3F5EC474" w14:textId="77777777" w:rsidR="00FD1E19" w:rsidRDefault="00FD1E19" w:rsidP="00FD1E19">
      <w:pPr>
        <w:pStyle w:val="Textstand-alone"/>
      </w:pPr>
      <w:r>
        <w:t>Appropriations to cover the running costs of the entities (staff, buildings, office equipment).</w:t>
      </w:r>
    </w:p>
    <w:p w14:paraId="31A37E71" w14:textId="77777777" w:rsidR="00FD1E19" w:rsidRDefault="00FD1E19" w:rsidP="00FD1E19">
      <w:pPr>
        <w:pStyle w:val="HEADER5"/>
        <w:rPr>
          <w:noProof/>
        </w:rPr>
      </w:pPr>
      <w:r>
        <w:rPr>
          <w:noProof/>
        </w:rPr>
        <w:t>Adopted budget</w:t>
      </w:r>
    </w:p>
    <w:p w14:paraId="683688E5" w14:textId="77777777" w:rsidR="00FD1E19" w:rsidRDefault="00FD1E19" w:rsidP="00FD1E19">
      <w:pPr>
        <w:pStyle w:val="Textstand-alone"/>
      </w:pPr>
      <w:r>
        <w:t>Draft budget becomes the adopted budget as soon as approved by the budgetary authority.</w:t>
      </w:r>
    </w:p>
    <w:p w14:paraId="0F2E9CD9" w14:textId="77777777" w:rsidR="00FD1E19" w:rsidRDefault="00FD1E19" w:rsidP="00FD1E19">
      <w:pPr>
        <w:pStyle w:val="HEADER5"/>
        <w:rPr>
          <w:noProof/>
        </w:rPr>
      </w:pPr>
      <w:r>
        <w:rPr>
          <w:noProof/>
        </w:rPr>
        <w:t>Amending budget</w:t>
      </w:r>
    </w:p>
    <w:p w14:paraId="0A43FAA4" w14:textId="77777777" w:rsidR="00FD1E19" w:rsidRDefault="00FD1E19" w:rsidP="00FD1E19">
      <w:pPr>
        <w:pStyle w:val="Textstand-alone"/>
      </w:pPr>
      <w:r>
        <w:t>Decision adopted during the budget year to amend (increase, decrease, transfer) aspects of the adopted budget of that year.</w:t>
      </w:r>
    </w:p>
    <w:p w14:paraId="6CF315D4" w14:textId="77777777" w:rsidR="00FD1E19" w:rsidRDefault="00FD1E19" w:rsidP="00FD1E19">
      <w:pPr>
        <w:pStyle w:val="HEADER5"/>
        <w:rPr>
          <w:noProof/>
        </w:rPr>
      </w:pPr>
      <w:r>
        <w:rPr>
          <w:noProof/>
        </w:rPr>
        <w:t>Appropriations</w:t>
      </w:r>
      <w:r>
        <w:rPr>
          <w:noProof/>
        </w:rPr>
        <w:tab/>
      </w:r>
    </w:p>
    <w:p w14:paraId="44996552" w14:textId="77777777" w:rsidR="00FD1E19" w:rsidRDefault="00FD1E19" w:rsidP="00FD1E19">
      <w:pPr>
        <w:pStyle w:val="Textstand-alone"/>
        <w:spacing w:after="0"/>
      </w:pPr>
      <w:r>
        <w:t>Budget funding.</w:t>
      </w:r>
    </w:p>
    <w:p w14:paraId="4BD0C5A4" w14:textId="77777777" w:rsidR="00FD1E19" w:rsidRDefault="00FD1E19" w:rsidP="00FD1E19">
      <w:pPr>
        <w:pStyle w:val="Textstand-alone"/>
      </w:pPr>
      <w:r>
        <w:t>The budget forecasts both commitments (legal pledges to provide finance) and payments (cash or bank transfers to the beneficiaries). Appropriations for commitments and payments often differ — differentiated appropriations — because multiannual programmes and projects are usually fully committed in the year they are decided and are paid over the years as the implementation of the programme and project progresses.</w:t>
      </w:r>
    </w:p>
    <w:p w14:paraId="233B1007" w14:textId="77777777" w:rsidR="00FD1E19" w:rsidRDefault="00FD1E19" w:rsidP="00FD1E19">
      <w:pPr>
        <w:pStyle w:val="HEADER5"/>
        <w:rPr>
          <w:noProof/>
        </w:rPr>
      </w:pPr>
      <w:r>
        <w:rPr>
          <w:noProof/>
        </w:rPr>
        <w:t>Assigned revenue</w:t>
      </w:r>
    </w:p>
    <w:p w14:paraId="2BE2A227" w14:textId="77777777" w:rsidR="00FD1E19" w:rsidRDefault="00FD1E19" w:rsidP="00FD1E19">
      <w:pPr>
        <w:pStyle w:val="Textstand-alone"/>
      </w:pPr>
      <w:r>
        <w:t>Revenue dedicated to finance specific items of expenditure.</w:t>
      </w:r>
    </w:p>
    <w:p w14:paraId="30738231" w14:textId="77777777" w:rsidR="00FD1E19" w:rsidRDefault="00FD1E19" w:rsidP="00FD1E19">
      <w:pPr>
        <w:pStyle w:val="HEADER5"/>
        <w:rPr>
          <w:noProof/>
        </w:rPr>
      </w:pPr>
      <w:r>
        <w:rPr>
          <w:noProof/>
        </w:rPr>
        <w:t>Budget result</w:t>
      </w:r>
    </w:p>
    <w:p w14:paraId="5A566B57" w14:textId="77777777" w:rsidR="00FD1E19" w:rsidRDefault="00FD1E19" w:rsidP="00FD1E19">
      <w:pPr>
        <w:pStyle w:val="Textstand-alone"/>
        <w:spacing w:after="0"/>
      </w:pPr>
      <w:r>
        <w:t>The difference between income received and amounts paid, including adjustments for carry</w:t>
      </w:r>
      <w:r>
        <w:noBreakHyphen/>
        <w:t>overs, cancellations and exchange rate differences.</w:t>
      </w:r>
    </w:p>
    <w:p w14:paraId="4060C4C4" w14:textId="77777777" w:rsidR="00FD1E19" w:rsidRDefault="00FD1E19" w:rsidP="00FD1E19">
      <w:pPr>
        <w:pStyle w:val="Textstand-alone"/>
      </w:pPr>
      <w:r>
        <w:t>For agencies, the resulting amount will have to be reimbursed to the funding authority.</w:t>
      </w:r>
    </w:p>
    <w:p w14:paraId="5B697D13" w14:textId="77777777" w:rsidR="00FD1E19" w:rsidRDefault="00FD1E19" w:rsidP="00FD1E19">
      <w:pPr>
        <w:pStyle w:val="HEADER5"/>
        <w:rPr>
          <w:noProof/>
        </w:rPr>
      </w:pPr>
      <w:r>
        <w:rPr>
          <w:noProof/>
        </w:rPr>
        <w:t>Budget implementation</w:t>
      </w:r>
    </w:p>
    <w:p w14:paraId="78F034FD" w14:textId="77777777" w:rsidR="00FD1E19" w:rsidRDefault="00FD1E19" w:rsidP="00FD1E19">
      <w:pPr>
        <w:pStyle w:val="Textstand-alone"/>
      </w:pPr>
      <w:r>
        <w:t>Consumption of the budget through expenditure and revenue operations.</w:t>
      </w:r>
    </w:p>
    <w:p w14:paraId="322DCE1D" w14:textId="77777777" w:rsidR="00FD1E19" w:rsidRDefault="00FD1E19" w:rsidP="00FD1E19">
      <w:pPr>
        <w:pStyle w:val="HEADER5"/>
        <w:rPr>
          <w:noProof/>
        </w:rPr>
      </w:pPr>
      <w:r>
        <w:rPr>
          <w:noProof/>
        </w:rPr>
        <w:t>Budget item / Budget line / Budget position</w:t>
      </w:r>
    </w:p>
    <w:p w14:paraId="22490049" w14:textId="77777777" w:rsidR="00FD1E19" w:rsidRDefault="00FD1E19" w:rsidP="00FD1E19">
      <w:pPr>
        <w:pStyle w:val="Textstand-alone"/>
      </w:pPr>
      <w:r>
        <w:t>Revenue and expenditure are shown in the budget structure in accordance with a binding nomenclature, which reflects the nature and purpose of each item, as imposed by the budgetary authority. The individual headings (title, chapter, article or item) provide a formal description of the nomenclature.</w:t>
      </w:r>
    </w:p>
    <w:p w14:paraId="659CAA83" w14:textId="77777777" w:rsidR="00FD1E19" w:rsidRDefault="00FD1E19" w:rsidP="00FD1E19">
      <w:pPr>
        <w:pStyle w:val="HEADER5"/>
        <w:rPr>
          <w:noProof/>
        </w:rPr>
      </w:pPr>
      <w:r>
        <w:rPr>
          <w:noProof/>
        </w:rPr>
        <w:t>Budgetary commitment</w:t>
      </w:r>
    </w:p>
    <w:p w14:paraId="4646540F" w14:textId="77777777" w:rsidR="00FD1E19" w:rsidRDefault="00FD1E19" w:rsidP="00FD1E19">
      <w:pPr>
        <w:pStyle w:val="Textstand-alone"/>
      </w:pPr>
      <w:r>
        <w:t>Operation by which the authorising officer responsible reserves the budget appropriations necessary to cover for subsequent payments to honour legal commitments.</w:t>
      </w:r>
    </w:p>
    <w:p w14:paraId="13138F94" w14:textId="77777777" w:rsidR="00FD1E19" w:rsidRDefault="00FD1E19" w:rsidP="00FD1E19">
      <w:pPr>
        <w:pStyle w:val="HEADER5"/>
        <w:rPr>
          <w:noProof/>
        </w:rPr>
      </w:pPr>
      <w:r>
        <w:rPr>
          <w:noProof/>
        </w:rPr>
        <w:t>Cancellation of appropriations</w:t>
      </w:r>
    </w:p>
    <w:p w14:paraId="7077E938" w14:textId="77777777" w:rsidR="00FD1E19" w:rsidRDefault="00FD1E19" w:rsidP="00FD1E19">
      <w:pPr>
        <w:pStyle w:val="Textstand-alone"/>
      </w:pPr>
      <w:r>
        <w:t xml:space="preserve">Appropriations which have not been used by the end of the financial year and which cannot be carried over, shall be cancelled. </w:t>
      </w:r>
    </w:p>
    <w:p w14:paraId="433AFBFC" w14:textId="77777777" w:rsidR="00FD1E19" w:rsidRDefault="00FD1E19" w:rsidP="00FD1E19">
      <w:pPr>
        <w:pStyle w:val="HEADER5"/>
        <w:rPr>
          <w:noProof/>
        </w:rPr>
      </w:pPr>
      <w:r>
        <w:rPr>
          <w:noProof/>
        </w:rPr>
        <w:t>Carryover of appropriations</w:t>
      </w:r>
    </w:p>
    <w:p w14:paraId="48E1C917" w14:textId="77777777" w:rsidR="00FD1E19" w:rsidRDefault="00FD1E19" w:rsidP="00FD1E19">
      <w:pPr>
        <w:pStyle w:val="Textstand-alone"/>
      </w:pPr>
      <w:r>
        <w:t>Exception to the principle of annuality in so far as appropriations that could not be used in a given budget year may, under strict conditions, be exceptionally carried over for use during the following year.</w:t>
      </w:r>
    </w:p>
    <w:p w14:paraId="18EC4954" w14:textId="77777777" w:rsidR="00FD1E19" w:rsidRDefault="00FD1E19" w:rsidP="00FD1E19">
      <w:pPr>
        <w:pStyle w:val="HEADER5"/>
        <w:keepNext/>
        <w:rPr>
          <w:noProof/>
        </w:rPr>
      </w:pPr>
      <w:r>
        <w:rPr>
          <w:noProof/>
        </w:rPr>
        <w:t>Commitment appropriations</w:t>
      </w:r>
    </w:p>
    <w:p w14:paraId="3BC5EA6A" w14:textId="77777777" w:rsidR="00FD1E19" w:rsidRDefault="00FD1E19" w:rsidP="00FD1E19">
      <w:pPr>
        <w:pStyle w:val="Textstand-alone"/>
      </w:pPr>
      <w:r>
        <w:t>Commitment appropriations cover the total value of legal obligations (contracts, grant agreements or decisions) that could be signed in the current financial year.</w:t>
      </w:r>
    </w:p>
    <w:p w14:paraId="32BEC89D" w14:textId="77777777" w:rsidR="00FD1E19" w:rsidRDefault="00FD1E19" w:rsidP="00FD1E19">
      <w:pPr>
        <w:pStyle w:val="HEADER5"/>
        <w:rPr>
          <w:noProof/>
        </w:rPr>
      </w:pPr>
      <w:r>
        <w:rPr>
          <w:noProof/>
        </w:rPr>
        <w:t>De-commitment</w:t>
      </w:r>
    </w:p>
    <w:p w14:paraId="5C22FC49" w14:textId="77777777" w:rsidR="00FD1E19" w:rsidRDefault="00FD1E19" w:rsidP="00FD1E19">
      <w:pPr>
        <w:pStyle w:val="Textstand-alone"/>
      </w:pPr>
      <w:r>
        <w:t>Operation whereby the authorising officer responsible cancels wholly or partly the reservation of appropriations previously made by means of a budgetary commitment.</w:t>
      </w:r>
    </w:p>
    <w:p w14:paraId="453560C6" w14:textId="77777777" w:rsidR="00FD1E19" w:rsidRDefault="00FD1E19" w:rsidP="00FD1E19">
      <w:pPr>
        <w:pStyle w:val="HEADER5"/>
        <w:rPr>
          <w:noProof/>
        </w:rPr>
      </w:pPr>
      <w:r>
        <w:rPr>
          <w:noProof/>
        </w:rPr>
        <w:t>Differentiated appropriations</w:t>
      </w:r>
    </w:p>
    <w:p w14:paraId="2BCE671E" w14:textId="77777777" w:rsidR="00FD1E19" w:rsidRDefault="00FD1E19" w:rsidP="00FD1E19">
      <w:pPr>
        <w:pStyle w:val="Textstand-alone"/>
      </w:pPr>
      <w:r>
        <w:t>Differentiated appropriations are used to finance multiannual operations; they cover, for the current financial year, the total cost of the legal obligations entered into for operations whose implementation extends over more than one financial year.</w:t>
      </w:r>
    </w:p>
    <w:p w14:paraId="2856C5EA" w14:textId="77777777" w:rsidR="00FD1E19" w:rsidRDefault="00FD1E19" w:rsidP="00FD1E19">
      <w:pPr>
        <w:pStyle w:val="HEADER5"/>
        <w:rPr>
          <w:noProof/>
        </w:rPr>
      </w:pPr>
      <w:r>
        <w:rPr>
          <w:noProof/>
        </w:rPr>
        <w:t>Economic result</w:t>
      </w:r>
    </w:p>
    <w:p w14:paraId="23F35795" w14:textId="77777777" w:rsidR="00FD1E19" w:rsidRDefault="00FD1E19" w:rsidP="00FD1E19">
      <w:pPr>
        <w:pStyle w:val="Textstand-alone"/>
      </w:pPr>
      <w:r>
        <w:t>Impact on the balance sheet of expenditure and revenue based on accrual accounting rules.</w:t>
      </w:r>
    </w:p>
    <w:p w14:paraId="4973C419" w14:textId="77777777" w:rsidR="00FD1E19" w:rsidRDefault="00FD1E19" w:rsidP="00FD1E19">
      <w:pPr>
        <w:pStyle w:val="HEADER5"/>
        <w:rPr>
          <w:noProof/>
        </w:rPr>
      </w:pPr>
      <w:r>
        <w:rPr>
          <w:noProof/>
        </w:rPr>
        <w:t>Entitlements established</w:t>
      </w:r>
    </w:p>
    <w:p w14:paraId="7936CC2B" w14:textId="77777777" w:rsidR="00FD1E19" w:rsidRDefault="00FD1E19" w:rsidP="00FD1E19">
      <w:pPr>
        <w:pStyle w:val="Textstand-alone"/>
      </w:pPr>
      <w:r>
        <w:t xml:space="preserve">Right to collect income from a debtor as recognised through the issuing of a recovery order.  </w:t>
      </w:r>
    </w:p>
    <w:p w14:paraId="46438CB3" w14:textId="77777777" w:rsidR="00FD1E19" w:rsidRDefault="00FD1E19" w:rsidP="00FD1E19">
      <w:pPr>
        <w:pStyle w:val="HEADER5"/>
        <w:rPr>
          <w:noProof/>
        </w:rPr>
      </w:pPr>
      <w:r>
        <w:rPr>
          <w:noProof/>
        </w:rPr>
        <w:t>Exchange rate difference</w:t>
      </w:r>
    </w:p>
    <w:p w14:paraId="28798B44" w14:textId="77777777" w:rsidR="00FD1E19" w:rsidRDefault="00FD1E19" w:rsidP="00FD1E19">
      <w:pPr>
        <w:pStyle w:val="Textstand-alone"/>
      </w:pPr>
      <w:r>
        <w:t>The difference resulting from currency exchange rates applied to the transactions concerning countries outside the euro area, or from the revaluation of assets and liabilities in foreign currencies at the date of the accounts.</w:t>
      </w:r>
    </w:p>
    <w:p w14:paraId="59E07A2E" w14:textId="77777777" w:rsidR="00FD1E19" w:rsidRDefault="00FD1E19" w:rsidP="00FD1E19">
      <w:pPr>
        <w:pStyle w:val="HEADER5"/>
        <w:rPr>
          <w:noProof/>
        </w:rPr>
      </w:pPr>
      <w:r>
        <w:rPr>
          <w:noProof/>
        </w:rPr>
        <w:t>Expenditure</w:t>
      </w:r>
    </w:p>
    <w:p w14:paraId="13BC25AF" w14:textId="77777777" w:rsidR="00FD1E19" w:rsidRDefault="00FD1E19" w:rsidP="00FD1E19">
      <w:pPr>
        <w:pStyle w:val="Textstand-alone"/>
      </w:pPr>
      <w:r>
        <w:t>Term used to describe spending the budget from all types of funds sources.</w:t>
      </w:r>
    </w:p>
    <w:p w14:paraId="33FE5E6D" w14:textId="77777777" w:rsidR="00FD1E19" w:rsidRDefault="00FD1E19" w:rsidP="00FD1E19">
      <w:pPr>
        <w:pStyle w:val="HEADER5"/>
        <w:rPr>
          <w:noProof/>
        </w:rPr>
      </w:pPr>
      <w:r>
        <w:rPr>
          <w:noProof/>
        </w:rPr>
        <w:t>Grants</w:t>
      </w:r>
    </w:p>
    <w:p w14:paraId="407949C0" w14:textId="77777777" w:rsidR="00FD1E19" w:rsidRDefault="00FD1E19" w:rsidP="00FD1E19">
      <w:pPr>
        <w:pStyle w:val="Textstand-alone"/>
      </w:pPr>
      <w:r>
        <w:t xml:space="preserve">Direct financial contributions from the budget to third-party beneficiaries, engaged in activities that serve Union policies.  </w:t>
      </w:r>
    </w:p>
    <w:p w14:paraId="080F0F8A" w14:textId="77777777" w:rsidR="00FD1E19" w:rsidRDefault="00FD1E19" w:rsidP="00FD1E19">
      <w:pPr>
        <w:pStyle w:val="HEADER5"/>
        <w:rPr>
          <w:noProof/>
        </w:rPr>
      </w:pPr>
      <w:r>
        <w:rPr>
          <w:noProof/>
        </w:rPr>
        <w:t>Lapsing appropriations</w:t>
      </w:r>
    </w:p>
    <w:p w14:paraId="44D3CADE" w14:textId="77777777" w:rsidR="00FD1E19" w:rsidRDefault="00FD1E19" w:rsidP="00FD1E19">
      <w:pPr>
        <w:pStyle w:val="Textstand-alone"/>
        <w:spacing w:after="0"/>
      </w:pPr>
      <w:r>
        <w:t>Unused appropriations to be cancelled at the end of the financial year. Lapsing means the cancellation of all or part of the authorisation to make expenditures and/or incur liabilities, as represented by an appropriation.</w:t>
      </w:r>
    </w:p>
    <w:p w14:paraId="0C1A8729" w14:textId="77777777" w:rsidR="00FD1E19" w:rsidRDefault="00FD1E19" w:rsidP="00FD1E19">
      <w:pPr>
        <w:pStyle w:val="Textstand-alone"/>
      </w:pPr>
      <w:r>
        <w:t>For joint undertakings (and EIT), as specified in their Financial Rules, any unused appropriations may be entered in the estimate of revenue and expenditure of up to the following three financial years (the so-called "N+3" rule). Hence, lapsing appropriations for JUs can be re-activated until financial year "N+3".</w:t>
      </w:r>
    </w:p>
    <w:p w14:paraId="70BFE192" w14:textId="77777777" w:rsidR="00FD1E19" w:rsidRDefault="00FD1E19" w:rsidP="00FD1E19">
      <w:pPr>
        <w:pStyle w:val="HEADER5"/>
        <w:rPr>
          <w:noProof/>
        </w:rPr>
      </w:pPr>
      <w:r>
        <w:rPr>
          <w:noProof/>
        </w:rPr>
        <w:t>Legal basis / basic act</w:t>
      </w:r>
    </w:p>
    <w:p w14:paraId="0C3D884A" w14:textId="77777777" w:rsidR="00FD1E19" w:rsidRDefault="00FD1E19" w:rsidP="00FD1E19">
      <w:pPr>
        <w:pStyle w:val="Textstand-alone"/>
      </w:pPr>
      <w:r>
        <w:t xml:space="preserve">The legal act adopted by the legislative authority (usually the Council and European Parliament) specifying the objective of a Union spending programme, the purpose of the appropriations, the rules for intervention, expiry date and the relevant financial rules to serve as a legal basis for the implementation of the spending programme. </w:t>
      </w:r>
    </w:p>
    <w:p w14:paraId="2FA2483D" w14:textId="77777777" w:rsidR="00FD1E19" w:rsidRDefault="00FD1E19" w:rsidP="00FD1E19">
      <w:pPr>
        <w:pStyle w:val="HEADER5"/>
        <w:rPr>
          <w:noProof/>
        </w:rPr>
      </w:pPr>
      <w:r>
        <w:rPr>
          <w:noProof/>
        </w:rPr>
        <w:t>Legal commitment</w:t>
      </w:r>
    </w:p>
    <w:p w14:paraId="7FBA1F54" w14:textId="77777777" w:rsidR="00FD1E19" w:rsidRDefault="00FD1E19" w:rsidP="00FD1E19">
      <w:pPr>
        <w:pStyle w:val="Textstand-alone"/>
      </w:pPr>
      <w:r>
        <w:t xml:space="preserve">The act whereby the Authorising Officer enters into an obligation towards third parties which results in a charge for the Union budget. </w:t>
      </w:r>
    </w:p>
    <w:p w14:paraId="2250CB2F" w14:textId="77777777" w:rsidR="00FD1E19" w:rsidRDefault="00FD1E19" w:rsidP="00FD1E19">
      <w:pPr>
        <w:pStyle w:val="Textstand-alone"/>
      </w:pPr>
      <w:r>
        <w:t xml:space="preserve">Common forms of legal commitments are contracts in the case of procurement, grant agreements and grant decisions. </w:t>
      </w:r>
    </w:p>
    <w:p w14:paraId="108F92AF" w14:textId="77777777" w:rsidR="00FD1E19" w:rsidRDefault="00FD1E19" w:rsidP="00FD1E19">
      <w:pPr>
        <w:pStyle w:val="HEADER5"/>
        <w:rPr>
          <w:noProof/>
        </w:rPr>
      </w:pPr>
      <w:r>
        <w:rPr>
          <w:noProof/>
        </w:rPr>
        <w:t>Non-differentiated appropriations</w:t>
      </w:r>
    </w:p>
    <w:p w14:paraId="6EFAF76C" w14:textId="77777777" w:rsidR="00FD1E19" w:rsidRDefault="00FD1E19" w:rsidP="00FD1E19">
      <w:pPr>
        <w:pStyle w:val="Textstand-alone"/>
      </w:pPr>
      <w:r>
        <w:t>Appropriations which meet annual needs and must therefore be committed during the budget year. Only amounts qualifying for automatic carryover can be disbursed in the following year. Non-differentiated appropriations which have not been used, i.e. committed, by the end of the year, are cancelled (unless, exceptionally, permission is given by a Commission decision for a non-automatic carryover). Non-differentiated appropriations apply to administrative expenditure and commitment appropriations equal payment appropriations.</w:t>
      </w:r>
    </w:p>
    <w:p w14:paraId="2CF2DEC0" w14:textId="77777777" w:rsidR="00FD1E19" w:rsidRDefault="00FD1E19" w:rsidP="00FD1E19">
      <w:pPr>
        <w:pStyle w:val="HEADER5"/>
        <w:rPr>
          <w:noProof/>
        </w:rPr>
      </w:pPr>
      <w:r>
        <w:rPr>
          <w:noProof/>
        </w:rPr>
        <w:t>Operational appropriations</w:t>
      </w:r>
    </w:p>
    <w:p w14:paraId="7C58309B" w14:textId="77777777" w:rsidR="00FD1E19" w:rsidRDefault="00FD1E19" w:rsidP="00FD1E19">
      <w:pPr>
        <w:pStyle w:val="Textstand-alone"/>
      </w:pPr>
      <w:r>
        <w:t xml:space="preserve">Operational appropriations finance the different policies, mainly in the form of grants or procurement. </w:t>
      </w:r>
    </w:p>
    <w:p w14:paraId="5E4DA7BD" w14:textId="77777777" w:rsidR="00FD1E19" w:rsidRDefault="00FD1E19" w:rsidP="00FD1E19">
      <w:pPr>
        <w:pStyle w:val="HEADER5"/>
        <w:rPr>
          <w:noProof/>
        </w:rPr>
      </w:pPr>
      <w:r>
        <w:rPr>
          <w:noProof/>
        </w:rPr>
        <w:t>Outstanding commitments</w:t>
      </w:r>
    </w:p>
    <w:p w14:paraId="6428DA32" w14:textId="77777777" w:rsidR="00FD1E19" w:rsidRDefault="00FD1E19" w:rsidP="00FD1E19">
      <w:pPr>
        <w:pStyle w:val="Textstand-alone"/>
      </w:pPr>
      <w:r>
        <w:t>Outstanding commitments (or RAL, from the French ‘reste à liquider’) are defined as the amount of appropriations committed that have not yet been paid. They stem directly from the existence of multiannual programmes and the dissociation between commitment and payment appropriations.</w:t>
      </w:r>
    </w:p>
    <w:p w14:paraId="0E479685" w14:textId="77777777" w:rsidR="00FD1E19" w:rsidRDefault="00FD1E19" w:rsidP="00FD1E19">
      <w:pPr>
        <w:pStyle w:val="HEADER5"/>
        <w:rPr>
          <w:noProof/>
        </w:rPr>
      </w:pPr>
      <w:r>
        <w:rPr>
          <w:noProof/>
        </w:rPr>
        <w:t>Payment appropriations</w:t>
      </w:r>
    </w:p>
    <w:p w14:paraId="6B66246F" w14:textId="77777777" w:rsidR="00FD1E19" w:rsidRDefault="00FD1E19" w:rsidP="00FD1E19">
      <w:pPr>
        <w:pStyle w:val="Textstand-alone"/>
      </w:pPr>
      <w:r>
        <w:t>Payment appropriations cover expenditure due in the current year, arising from legal commitments entered in the current year and/or earlier years.</w:t>
      </w:r>
    </w:p>
    <w:p w14:paraId="4890B866" w14:textId="77777777" w:rsidR="00FD1E19" w:rsidRDefault="00FD1E19" w:rsidP="00FD1E19">
      <w:pPr>
        <w:pStyle w:val="HEADER5"/>
        <w:rPr>
          <w:noProof/>
        </w:rPr>
      </w:pPr>
      <w:r>
        <w:rPr>
          <w:noProof/>
        </w:rPr>
        <w:t>RAL (Reste à liquider)</w:t>
      </w:r>
      <w:r w:rsidRPr="009757A9">
        <w:rPr>
          <w:noProof/>
        </w:rPr>
        <w:t xml:space="preserve"> </w:t>
      </w:r>
    </w:p>
    <w:p w14:paraId="72FF077B" w14:textId="77777777" w:rsidR="00FD1E19" w:rsidRDefault="00FD1E19" w:rsidP="00FD1E19">
      <w:pPr>
        <w:pStyle w:val="Textstand-alone"/>
      </w:pPr>
      <w:r>
        <w:t>Amount remaining to be paid on a budgetary commitment at a given moment. Cf. Outstanding commitments</w:t>
      </w:r>
    </w:p>
    <w:p w14:paraId="3CCEDF23" w14:textId="77777777" w:rsidR="00FD1E19" w:rsidRDefault="00FD1E19" w:rsidP="00FD1E19">
      <w:pPr>
        <w:pStyle w:val="HEADER5"/>
        <w:rPr>
          <w:noProof/>
        </w:rPr>
      </w:pPr>
      <w:r>
        <w:rPr>
          <w:noProof/>
        </w:rPr>
        <w:t>Surplus</w:t>
      </w:r>
    </w:p>
    <w:p w14:paraId="67531974" w14:textId="77777777" w:rsidR="00FD1E19" w:rsidRDefault="00FD1E19" w:rsidP="00FD1E19">
      <w:pPr>
        <w:pStyle w:val="Textstand-alone"/>
      </w:pPr>
      <w:r>
        <w:t>Positive difference between revenue and expenditure, which has to be returned to the funding authority. Cf. Budget result</w:t>
      </w:r>
    </w:p>
    <w:p w14:paraId="7A046BE0" w14:textId="77777777" w:rsidR="00FD1E19" w:rsidRDefault="00FD1E19" w:rsidP="00FD1E19">
      <w:pPr>
        <w:pStyle w:val="HEADER5"/>
        <w:rPr>
          <w:noProof/>
        </w:rPr>
      </w:pPr>
      <w:r>
        <w:rPr>
          <w:noProof/>
        </w:rPr>
        <w:t>Transfer between budget lines</w:t>
      </w:r>
    </w:p>
    <w:p w14:paraId="16AB706E" w14:textId="77777777" w:rsidR="00FD1E19" w:rsidRDefault="00FD1E19" w:rsidP="00FD1E19">
      <w:pPr>
        <w:pStyle w:val="Textstand-alone"/>
      </w:pPr>
      <w:r>
        <w:t>Transfers between budget lines imply the relocation of appropriations from one budget line to another, in the course of the financial year, and thereby they constitute an exception to the budgetary principle of specification.</w:t>
      </w:r>
      <w:bookmarkEnd w:id="193"/>
    </w:p>
    <w:p w14:paraId="4A04EFC5" w14:textId="77777777" w:rsidR="00FD1E19" w:rsidRDefault="00FD1E19" w:rsidP="00FD1E19">
      <w:pPr>
        <w:pStyle w:val="Textstand-alone"/>
      </w:pPr>
    </w:p>
    <w:p w14:paraId="3A6F412B" w14:textId="77777777" w:rsidR="00FD1E19" w:rsidRDefault="00FD1E19" w:rsidP="00FD1E19">
      <w:pPr>
        <w:pStyle w:val="Textstand-alone"/>
      </w:pPr>
    </w:p>
    <w:p w14:paraId="5923D7FA" w14:textId="77777777" w:rsidR="00FD1E19" w:rsidRDefault="00FD1E19" w:rsidP="00FD1E19">
      <w:pPr>
        <w:pStyle w:val="Textstand-alone"/>
      </w:pPr>
    </w:p>
    <w:p w14:paraId="4F2164FD" w14:textId="77777777" w:rsidR="00FD1E19" w:rsidRDefault="00FD1E19" w:rsidP="00FD1E19">
      <w:pPr>
        <w:pStyle w:val="Textstand-alone"/>
      </w:pPr>
    </w:p>
    <w:p w14:paraId="4F2C2F93" w14:textId="77777777" w:rsidR="00FD1E19" w:rsidRDefault="00FD1E19" w:rsidP="00FD1E19">
      <w:pPr>
        <w:pStyle w:val="Textstand-alone"/>
      </w:pPr>
    </w:p>
    <w:p w14:paraId="6D2A094B" w14:textId="77777777" w:rsidR="00FD1E19" w:rsidRDefault="00FD1E19" w:rsidP="00FD1E19">
      <w:pPr>
        <w:pStyle w:val="Textstand-alone"/>
      </w:pPr>
    </w:p>
    <w:p w14:paraId="00B37BDC" w14:textId="77777777" w:rsidR="00FD1E19" w:rsidRDefault="00FD1E19" w:rsidP="00FD1E19">
      <w:pPr>
        <w:pStyle w:val="Textstand-alone"/>
      </w:pPr>
    </w:p>
    <w:p w14:paraId="00A352E9" w14:textId="77777777" w:rsidR="00FD1E19" w:rsidRDefault="00FD1E19" w:rsidP="00FD1E19">
      <w:pPr>
        <w:pStyle w:val="Textstand-alone"/>
      </w:pPr>
    </w:p>
    <w:p w14:paraId="14B059AA" w14:textId="77777777" w:rsidR="00FD1E19" w:rsidRDefault="00FD1E19" w:rsidP="00FD1E19">
      <w:pPr>
        <w:pStyle w:val="Textstand-alone"/>
      </w:pPr>
    </w:p>
    <w:p w14:paraId="4C6C8364" w14:textId="77777777" w:rsidR="00FD1E19" w:rsidRDefault="00FD1E19" w:rsidP="00FD1E19">
      <w:pPr>
        <w:pStyle w:val="Textstand-alone"/>
      </w:pPr>
    </w:p>
    <w:p w14:paraId="79F98075" w14:textId="77777777" w:rsidR="00FD1E19" w:rsidRDefault="00FD1E19" w:rsidP="00FD1E19">
      <w:pPr>
        <w:pStyle w:val="Textstand-alone"/>
      </w:pPr>
    </w:p>
    <w:p w14:paraId="73C20B07" w14:textId="77777777" w:rsidR="00FD1E19" w:rsidRDefault="00FD1E19" w:rsidP="00FD1E19">
      <w:pPr>
        <w:pStyle w:val="Textstand-alone"/>
        <w:sectPr w:rsidR="00FD1E19" w:rsidSect="00FD1E19">
          <w:headerReference w:type="default" r:id="rId145"/>
          <w:footerReference w:type="default" r:id="rId146"/>
          <w:pgSz w:w="11906" w:h="16838" w:code="9"/>
          <w:pgMar w:top="1134" w:right="1134" w:bottom="1134" w:left="1134" w:header="709" w:footer="709" w:gutter="0"/>
          <w:cols w:space="720"/>
          <w:docGrid w:linePitch="326"/>
        </w:sectPr>
      </w:pPr>
    </w:p>
    <w:p w14:paraId="762DF590" w14:textId="77777777" w:rsidR="00FD1E19" w:rsidRDefault="00FD1E19" w:rsidP="00FD1E19">
      <w:pPr>
        <w:spacing w:before="240" w:after="720"/>
        <w:rPr>
          <w:rFonts w:ascii="Verdana" w:hAnsi="Verdana"/>
          <w:b/>
          <w:noProof/>
          <w:color w:val="016794"/>
          <w:sz w:val="40"/>
          <w:szCs w:val="40"/>
        </w:rPr>
      </w:pPr>
      <w:bookmarkStart w:id="194" w:name="_DMBM_37244"/>
    </w:p>
    <w:p w14:paraId="5C32966A" w14:textId="77777777" w:rsidR="00FD1E19" w:rsidRDefault="00FD1E19" w:rsidP="00FD1E19">
      <w:pPr>
        <w:spacing w:before="240" w:after="720"/>
        <w:rPr>
          <w:rFonts w:ascii="Verdana" w:hAnsi="Verdana"/>
          <w:b/>
          <w:noProof/>
          <w:color w:val="016794"/>
          <w:sz w:val="40"/>
          <w:szCs w:val="40"/>
        </w:rPr>
      </w:pPr>
    </w:p>
    <w:p w14:paraId="1BC13927" w14:textId="77777777" w:rsidR="00FD1E19" w:rsidRDefault="00FD1E19" w:rsidP="00FD1E19">
      <w:pPr>
        <w:spacing w:before="240" w:after="720"/>
        <w:rPr>
          <w:rFonts w:ascii="Verdana" w:hAnsi="Verdana"/>
          <w:b/>
          <w:noProof/>
          <w:color w:val="016794"/>
          <w:sz w:val="40"/>
          <w:szCs w:val="40"/>
        </w:rPr>
      </w:pPr>
    </w:p>
    <w:p w14:paraId="5EBA3C12" w14:textId="77777777" w:rsidR="00FD1E19" w:rsidRDefault="00FD1E19" w:rsidP="00FD1E19">
      <w:pPr>
        <w:spacing w:before="240" w:after="720"/>
        <w:rPr>
          <w:rFonts w:ascii="Verdana" w:hAnsi="Verdana"/>
          <w:b/>
          <w:noProof/>
          <w:color w:val="016794"/>
          <w:sz w:val="40"/>
          <w:szCs w:val="40"/>
        </w:rPr>
      </w:pPr>
    </w:p>
    <w:p w14:paraId="299F7381" w14:textId="77777777" w:rsidR="00FD1E19" w:rsidRDefault="00FD1E19" w:rsidP="00FD1E19">
      <w:pPr>
        <w:spacing w:before="240" w:after="720"/>
        <w:rPr>
          <w:rFonts w:ascii="Verdana" w:hAnsi="Verdana"/>
          <w:b/>
          <w:noProof/>
          <w:color w:val="016794"/>
          <w:sz w:val="40"/>
          <w:szCs w:val="40"/>
        </w:rPr>
      </w:pPr>
      <w:r>
        <w:rPr>
          <w:rFonts w:ascii="Verdana" w:hAnsi="Verdana"/>
          <w:b/>
          <w:noProof/>
          <w:color w:val="016794"/>
          <w:sz w:val="40"/>
          <w:szCs w:val="40"/>
        </w:rPr>
        <w:t>PART II</w:t>
      </w:r>
    </w:p>
    <w:p w14:paraId="651EE418" w14:textId="77777777" w:rsidR="00FD1E19" w:rsidRDefault="00FD1E19" w:rsidP="00FD1E19">
      <w:pPr>
        <w:spacing w:before="240" w:after="720"/>
        <w:rPr>
          <w:rFonts w:ascii="Verdana" w:hAnsi="Verdana"/>
          <w:b/>
          <w:noProof/>
          <w:color w:val="016794"/>
          <w:sz w:val="40"/>
          <w:szCs w:val="40"/>
        </w:rPr>
      </w:pPr>
      <w:r>
        <w:rPr>
          <w:rFonts w:ascii="Verdana" w:hAnsi="Verdana"/>
          <w:b/>
          <w:noProof/>
          <w:color w:val="016794"/>
          <w:sz w:val="40"/>
          <w:szCs w:val="40"/>
        </w:rPr>
        <w:t>ANNUAL REPORT ON IMPLEMENTATION - FUNDS MANAGED BY THE EUROPEAN INVESTMENT BANK</w:t>
      </w:r>
    </w:p>
    <w:p w14:paraId="6D214A74" w14:textId="77777777" w:rsidR="00FD1E19" w:rsidRDefault="00FD1E19" w:rsidP="00FD1E19">
      <w:pPr>
        <w:suppressAutoHyphens/>
        <w:rPr>
          <w:noProof/>
          <w:lang w:eastAsia="ar-SA"/>
        </w:rPr>
      </w:pPr>
      <w:r>
        <w:rPr>
          <w:noProof/>
          <w:lang w:eastAsia="ar-SA"/>
        </w:rPr>
        <w:br w:type="page"/>
      </w:r>
    </w:p>
    <w:tbl>
      <w:tblPr>
        <w:tblW w:w="0" w:type="auto"/>
        <w:tblLayout w:type="fixed"/>
        <w:tblLook w:val="0000" w:firstRow="0" w:lastRow="0" w:firstColumn="0" w:lastColumn="0" w:noHBand="0" w:noVBand="0"/>
      </w:tblPr>
      <w:tblGrid>
        <w:gridCol w:w="2627"/>
        <w:gridCol w:w="2336"/>
        <w:gridCol w:w="1263"/>
        <w:gridCol w:w="1395"/>
        <w:gridCol w:w="2233"/>
      </w:tblGrid>
      <w:tr w:rsidR="00FD1E19" w14:paraId="7E565EAD" w14:textId="77777777" w:rsidTr="00BE7E4A">
        <w:tc>
          <w:tcPr>
            <w:tcW w:w="6226" w:type="dxa"/>
            <w:gridSpan w:val="3"/>
          </w:tcPr>
          <w:p w14:paraId="313226E6" w14:textId="77777777" w:rsidR="00FD1E19" w:rsidRPr="009C3446" w:rsidRDefault="00FD1E19" w:rsidP="00BE7E4A">
            <w:pPr>
              <w:pageBreakBefore/>
              <w:pBdr>
                <w:top w:val="nil"/>
                <w:left w:val="nil"/>
                <w:bottom w:val="nil"/>
                <w:right w:val="nil"/>
                <w:between w:val="nil"/>
                <w:bar w:val="nil"/>
              </w:pBdr>
              <w:suppressAutoHyphens/>
              <w:snapToGrid w:val="0"/>
              <w:spacing w:before="60" w:after="60"/>
              <w:rPr>
                <w:rFonts w:ascii="Arial" w:hAnsi="Arial"/>
                <w:b/>
                <w:noProof/>
                <w:sz w:val="20"/>
                <w:szCs w:val="20"/>
                <w:u w:val="single"/>
                <w:bdr w:val="nil"/>
                <w:lang w:eastAsia="ar-SA"/>
              </w:rPr>
            </w:pPr>
            <w:bookmarkStart w:id="195" w:name="RG_DOC_eECsur0yz15"/>
            <w:bookmarkStart w:id="196" w:name="RG_MARKER_90242"/>
            <w:r w:rsidRPr="009C3446">
              <w:rPr>
                <w:rFonts w:ascii="Arial" w:hAnsi="Arial"/>
                <w:b/>
                <w:noProof/>
                <w:sz w:val="20"/>
                <w:szCs w:val="20"/>
                <w:u w:val="single"/>
                <w:lang w:eastAsia="ar-SA"/>
              </w:rPr>
              <w:t>EUROPEAN INVESTMENT BANK</w:t>
            </w:r>
            <w:bookmarkEnd w:id="195"/>
            <w:bookmarkEnd w:id="196"/>
          </w:p>
        </w:tc>
        <w:tc>
          <w:tcPr>
            <w:tcW w:w="3628" w:type="dxa"/>
            <w:gridSpan w:val="2"/>
          </w:tcPr>
          <w:p w14:paraId="6C0B089D" w14:textId="77777777" w:rsidR="00FD1E19" w:rsidRPr="009E7F28" w:rsidRDefault="00FD1E19" w:rsidP="00BE7E4A">
            <w:pPr>
              <w:pBdr>
                <w:top w:val="nil"/>
                <w:left w:val="nil"/>
                <w:bottom w:val="nil"/>
                <w:right w:val="nil"/>
                <w:between w:val="nil"/>
                <w:bar w:val="nil"/>
              </w:pBdr>
              <w:suppressAutoHyphens/>
              <w:snapToGrid w:val="0"/>
              <w:spacing w:before="60" w:after="60"/>
              <w:rPr>
                <w:rFonts w:ascii="Arial" w:hAnsi="Arial"/>
                <w:b/>
                <w:noProof/>
                <w:sz w:val="20"/>
                <w:szCs w:val="20"/>
                <w:u w:val="single"/>
                <w:bdr w:val="nil"/>
                <w:lang w:eastAsia="ar-SA"/>
              </w:rPr>
            </w:pPr>
          </w:p>
        </w:tc>
      </w:tr>
      <w:tr w:rsidR="00FD1E19" w14:paraId="63BA86A1" w14:textId="77777777" w:rsidTr="00BE7E4A">
        <w:tc>
          <w:tcPr>
            <w:tcW w:w="6226" w:type="dxa"/>
            <w:gridSpan w:val="3"/>
          </w:tcPr>
          <w:p w14:paraId="527B0590" w14:textId="77777777" w:rsidR="00FD1E19" w:rsidRPr="009C3446" w:rsidRDefault="00FD1E19" w:rsidP="00BE7E4A">
            <w:pPr>
              <w:suppressAutoHyphens/>
              <w:snapToGrid w:val="0"/>
              <w:spacing w:before="60" w:after="60"/>
              <w:rPr>
                <w:rFonts w:ascii="Arial" w:hAnsi="Arial"/>
                <w:noProof/>
                <w:sz w:val="20"/>
                <w:szCs w:val="20"/>
                <w:bdr w:val="nil"/>
                <w:lang w:eastAsia="ar-SA"/>
              </w:rPr>
            </w:pPr>
          </w:p>
        </w:tc>
        <w:tc>
          <w:tcPr>
            <w:tcW w:w="3628" w:type="dxa"/>
            <w:gridSpan w:val="2"/>
          </w:tcPr>
          <w:p w14:paraId="549142BF" w14:textId="77777777" w:rsidR="00FD1E19" w:rsidRPr="009E7F28" w:rsidRDefault="00FD1E19" w:rsidP="00BE7E4A">
            <w:pPr>
              <w:pBdr>
                <w:top w:val="nil"/>
                <w:left w:val="nil"/>
                <w:bottom w:val="nil"/>
                <w:right w:val="nil"/>
                <w:between w:val="nil"/>
                <w:bar w:val="nil"/>
              </w:pBdr>
              <w:suppressAutoHyphens/>
              <w:snapToGrid w:val="0"/>
              <w:spacing w:before="60" w:after="60"/>
              <w:rPr>
                <w:rFonts w:ascii="Arial" w:hAnsi="Arial"/>
                <w:b/>
                <w:noProof/>
                <w:sz w:val="20"/>
                <w:szCs w:val="20"/>
                <w:bdr w:val="nil"/>
                <w:lang w:eastAsia="ar-SA"/>
              </w:rPr>
            </w:pPr>
          </w:p>
        </w:tc>
      </w:tr>
      <w:tr w:rsidR="00FD1E19" w14:paraId="79D9F03F" w14:textId="77777777" w:rsidTr="00BE7E4A">
        <w:tc>
          <w:tcPr>
            <w:tcW w:w="6226" w:type="dxa"/>
            <w:gridSpan w:val="3"/>
          </w:tcPr>
          <w:p w14:paraId="05CBC840" w14:textId="77777777" w:rsidR="00FD1E19" w:rsidRPr="009C3446" w:rsidRDefault="00FD1E19" w:rsidP="00BE7E4A">
            <w:pPr>
              <w:suppressAutoHyphens/>
              <w:snapToGrid w:val="0"/>
              <w:spacing w:before="360" w:after="240"/>
              <w:rPr>
                <w:rFonts w:ascii="Arial" w:hAnsi="Arial"/>
                <w:noProof/>
                <w:sz w:val="20"/>
                <w:szCs w:val="20"/>
                <w:bdr w:val="nil"/>
                <w:lang w:eastAsia="ar-SA"/>
              </w:rPr>
            </w:pPr>
          </w:p>
        </w:tc>
        <w:tc>
          <w:tcPr>
            <w:tcW w:w="3628" w:type="dxa"/>
            <w:gridSpan w:val="2"/>
          </w:tcPr>
          <w:p w14:paraId="75CDF917" w14:textId="77777777" w:rsidR="00FD1E19" w:rsidRPr="004A3DD9" w:rsidRDefault="00FD1E19" w:rsidP="00BE7E4A">
            <w:pPr>
              <w:pBdr>
                <w:top w:val="nil"/>
                <w:left w:val="nil"/>
                <w:bottom w:val="nil"/>
                <w:right w:val="nil"/>
                <w:between w:val="nil"/>
                <w:bar w:val="nil"/>
              </w:pBdr>
              <w:suppressAutoHyphens/>
              <w:snapToGrid w:val="0"/>
              <w:spacing w:before="360" w:after="240"/>
              <w:rPr>
                <w:rFonts w:ascii="Arial" w:hAnsi="Arial"/>
                <w:b/>
                <w:noProof/>
                <w:sz w:val="20"/>
                <w:szCs w:val="20"/>
                <w:highlight w:val="yellow"/>
                <w:u w:val="single"/>
                <w:bdr w:val="nil"/>
                <w:lang w:eastAsia="ar-SA"/>
              </w:rPr>
            </w:pPr>
          </w:p>
        </w:tc>
      </w:tr>
      <w:tr w:rsidR="00FD1E19" w14:paraId="70111AAC" w14:textId="77777777" w:rsidTr="00BE7E4A">
        <w:tc>
          <w:tcPr>
            <w:tcW w:w="6226" w:type="dxa"/>
            <w:gridSpan w:val="3"/>
          </w:tcPr>
          <w:p w14:paraId="38E29BB2" w14:textId="77777777" w:rsidR="00FD1E19" w:rsidRDefault="00FD1E19" w:rsidP="00BE7E4A">
            <w:pPr>
              <w:suppressAutoHyphens/>
              <w:snapToGrid w:val="0"/>
              <w:spacing w:before="60" w:after="60"/>
              <w:rPr>
                <w:rFonts w:ascii="Arial" w:hAnsi="Arial"/>
                <w:noProof/>
                <w:sz w:val="20"/>
                <w:szCs w:val="20"/>
                <w:bdr w:val="nil"/>
                <w:lang w:eastAsia="ar-SA"/>
              </w:rPr>
            </w:pPr>
          </w:p>
        </w:tc>
        <w:tc>
          <w:tcPr>
            <w:tcW w:w="3628" w:type="dxa"/>
            <w:gridSpan w:val="2"/>
          </w:tcPr>
          <w:p w14:paraId="687BCA69" w14:textId="77777777" w:rsidR="00FD1E19" w:rsidRDefault="00FD1E19" w:rsidP="00BE7E4A">
            <w:pPr>
              <w:suppressAutoHyphens/>
              <w:snapToGrid w:val="0"/>
              <w:spacing w:before="60" w:after="60"/>
              <w:rPr>
                <w:rFonts w:ascii="Arial" w:hAnsi="Arial"/>
                <w:noProof/>
                <w:sz w:val="20"/>
                <w:szCs w:val="20"/>
                <w:bdr w:val="nil"/>
                <w:lang w:eastAsia="ar-SA"/>
              </w:rPr>
            </w:pPr>
          </w:p>
        </w:tc>
      </w:tr>
      <w:tr w:rsidR="00FD1E19" w14:paraId="73FAE145" w14:textId="77777777" w:rsidTr="00BE7E4A">
        <w:tc>
          <w:tcPr>
            <w:tcW w:w="6226" w:type="dxa"/>
            <w:gridSpan w:val="3"/>
          </w:tcPr>
          <w:p w14:paraId="5B393457" w14:textId="5B9234F3" w:rsidR="00FD1E19" w:rsidRDefault="00B33A24" w:rsidP="00B33A24">
            <w:pPr>
              <w:tabs>
                <w:tab w:val="left" w:pos="4455"/>
              </w:tabs>
              <w:suppressAutoHyphens/>
              <w:snapToGrid w:val="0"/>
              <w:spacing w:before="60" w:after="60"/>
              <w:rPr>
                <w:rFonts w:ascii="Arial" w:hAnsi="Arial"/>
                <w:noProof/>
                <w:sz w:val="20"/>
                <w:szCs w:val="20"/>
                <w:bdr w:val="nil"/>
                <w:lang w:eastAsia="ar-SA"/>
              </w:rPr>
            </w:pPr>
            <w:r>
              <w:rPr>
                <w:rFonts w:ascii="Arial" w:hAnsi="Arial"/>
                <w:noProof/>
                <w:sz w:val="20"/>
                <w:szCs w:val="20"/>
                <w:bdr w:val="nil"/>
                <w:lang w:eastAsia="ar-SA"/>
              </w:rPr>
              <w:tab/>
            </w:r>
          </w:p>
        </w:tc>
        <w:tc>
          <w:tcPr>
            <w:tcW w:w="3628" w:type="dxa"/>
            <w:gridSpan w:val="2"/>
          </w:tcPr>
          <w:p w14:paraId="3C99D130" w14:textId="77777777" w:rsidR="00FD1E19" w:rsidRDefault="00FD1E19" w:rsidP="00BE7E4A">
            <w:pPr>
              <w:suppressAutoHyphens/>
              <w:snapToGrid w:val="0"/>
              <w:spacing w:before="60" w:after="60"/>
              <w:rPr>
                <w:rFonts w:ascii="Arial" w:hAnsi="Arial"/>
                <w:noProof/>
                <w:sz w:val="20"/>
                <w:szCs w:val="20"/>
                <w:bdr w:val="nil"/>
                <w:lang w:eastAsia="ar-SA"/>
              </w:rPr>
            </w:pPr>
          </w:p>
        </w:tc>
      </w:tr>
      <w:tr w:rsidR="00FD1E19" w14:paraId="10B5EB44" w14:textId="77777777" w:rsidTr="00BE7E4A">
        <w:trPr>
          <w:trHeight w:val="3026"/>
        </w:trPr>
        <w:tc>
          <w:tcPr>
            <w:tcW w:w="9854" w:type="dxa"/>
            <w:gridSpan w:val="5"/>
            <w:vAlign w:val="center"/>
          </w:tcPr>
          <w:p w14:paraId="7AA1152A" w14:textId="77777777" w:rsidR="00FD1E19" w:rsidRDefault="00FD1E19" w:rsidP="00BE7E4A">
            <w:pPr>
              <w:pBdr>
                <w:top w:val="nil"/>
                <w:left w:val="nil"/>
                <w:bottom w:val="nil"/>
                <w:right w:val="nil"/>
                <w:between w:val="nil"/>
                <w:bar w:val="nil"/>
              </w:pBdr>
              <w:suppressAutoHyphens/>
              <w:snapToGrid w:val="0"/>
              <w:spacing w:before="2760" w:after="360"/>
              <w:jc w:val="center"/>
              <w:rPr>
                <w:rFonts w:ascii="Arial" w:hAnsi="Arial"/>
                <w:caps/>
                <w:noProof/>
                <w:spacing w:val="80"/>
                <w:sz w:val="20"/>
                <w:szCs w:val="20"/>
                <w:u w:val="single"/>
                <w:bdr w:val="nil"/>
                <w:lang w:eastAsia="ar-SA"/>
              </w:rPr>
            </w:pPr>
            <w:r>
              <w:rPr>
                <w:rFonts w:ascii="Arial" w:hAnsi="Arial"/>
                <w:caps/>
                <w:noProof/>
                <w:spacing w:val="80"/>
                <w:sz w:val="20"/>
                <w:szCs w:val="20"/>
                <w:u w:val="single"/>
                <w:lang w:eastAsia="ar-SA"/>
              </w:rPr>
              <w:t>BOARD OF DIRECTORS</w:t>
            </w:r>
          </w:p>
        </w:tc>
      </w:tr>
      <w:tr w:rsidR="00FD1E19" w14:paraId="19E49525" w14:textId="77777777" w:rsidTr="00BE7E4A">
        <w:tc>
          <w:tcPr>
            <w:tcW w:w="9854" w:type="dxa"/>
            <w:gridSpan w:val="5"/>
            <w:vAlign w:val="center"/>
          </w:tcPr>
          <w:p w14:paraId="2E0F3EAF" w14:textId="77777777" w:rsidR="00FD1E19" w:rsidRDefault="00FD1E19" w:rsidP="00BE7E4A">
            <w:pPr>
              <w:pBdr>
                <w:top w:val="nil"/>
                <w:left w:val="nil"/>
                <w:bottom w:val="nil"/>
                <w:right w:val="nil"/>
                <w:between w:val="nil"/>
                <w:bar w:val="nil"/>
              </w:pBdr>
              <w:suppressAutoHyphens/>
              <w:snapToGrid w:val="0"/>
              <w:spacing w:before="240" w:after="120"/>
              <w:jc w:val="center"/>
              <w:rPr>
                <w:rFonts w:ascii="Arial" w:hAnsi="Arial"/>
                <w:b/>
                <w:caps/>
                <w:noProof/>
                <w:spacing w:val="20"/>
                <w:sz w:val="20"/>
                <w:szCs w:val="20"/>
                <w:bdr w:val="nil"/>
                <w:lang w:eastAsia="ar-SA"/>
              </w:rPr>
            </w:pPr>
            <w:r>
              <w:rPr>
                <w:rFonts w:ascii="Arial" w:hAnsi="Arial"/>
                <w:b/>
                <w:caps/>
                <w:noProof/>
                <w:spacing w:val="20"/>
                <w:sz w:val="20"/>
                <w:szCs w:val="20"/>
                <w:lang w:eastAsia="ar-SA"/>
              </w:rPr>
              <w:t>Investment Facility</w:t>
            </w:r>
          </w:p>
        </w:tc>
      </w:tr>
      <w:tr w:rsidR="00FD1E19" w14:paraId="69FCAF55" w14:textId="77777777" w:rsidTr="00BE7E4A">
        <w:tc>
          <w:tcPr>
            <w:tcW w:w="9854" w:type="dxa"/>
            <w:gridSpan w:val="5"/>
            <w:vAlign w:val="center"/>
          </w:tcPr>
          <w:p w14:paraId="713A708C" w14:textId="77777777" w:rsidR="00FD1E19" w:rsidRDefault="00FD1E19" w:rsidP="00BE7E4A">
            <w:pPr>
              <w:pBdr>
                <w:top w:val="nil"/>
                <w:left w:val="nil"/>
                <w:bottom w:val="nil"/>
                <w:right w:val="nil"/>
                <w:between w:val="nil"/>
                <w:bar w:val="nil"/>
              </w:pBdr>
              <w:suppressAutoHyphens/>
              <w:snapToGrid w:val="0"/>
              <w:spacing w:before="60" w:after="60"/>
              <w:jc w:val="center"/>
              <w:rPr>
                <w:rFonts w:ascii="Arial" w:hAnsi="Arial"/>
                <w:b/>
                <w:caps/>
                <w:noProof/>
                <w:sz w:val="20"/>
                <w:szCs w:val="20"/>
                <w:bdr w:val="nil"/>
                <w:lang w:eastAsia="ar-SA"/>
              </w:rPr>
            </w:pPr>
            <w:r>
              <w:rPr>
                <w:rFonts w:ascii="Arial" w:hAnsi="Arial"/>
                <w:b/>
                <w:caps/>
                <w:noProof/>
                <w:sz w:val="20"/>
                <w:szCs w:val="20"/>
                <w:lang w:eastAsia="ar-SA"/>
              </w:rPr>
              <w:t>financial statements</w:t>
            </w:r>
          </w:p>
        </w:tc>
      </w:tr>
      <w:tr w:rsidR="00FD1E19" w14:paraId="161F4035" w14:textId="77777777" w:rsidTr="00BE7E4A">
        <w:tc>
          <w:tcPr>
            <w:tcW w:w="9854" w:type="dxa"/>
            <w:gridSpan w:val="5"/>
            <w:vAlign w:val="center"/>
          </w:tcPr>
          <w:p w14:paraId="1DDF2F1D" w14:textId="77777777" w:rsidR="00FD1E19" w:rsidRDefault="00FD1E19" w:rsidP="00BE7E4A">
            <w:pPr>
              <w:pBdr>
                <w:top w:val="nil"/>
                <w:left w:val="nil"/>
                <w:bottom w:val="nil"/>
                <w:right w:val="nil"/>
                <w:between w:val="nil"/>
                <w:bar w:val="nil"/>
              </w:pBdr>
              <w:suppressAutoHyphens/>
              <w:snapToGrid w:val="0"/>
              <w:spacing w:before="60" w:after="60"/>
              <w:jc w:val="center"/>
              <w:rPr>
                <w:rFonts w:ascii="Arial" w:hAnsi="Arial"/>
                <w:b/>
                <w:caps/>
                <w:noProof/>
                <w:sz w:val="20"/>
                <w:szCs w:val="20"/>
                <w:bdr w:val="nil"/>
                <w:lang w:eastAsia="ar-SA"/>
              </w:rPr>
            </w:pPr>
            <w:r>
              <w:rPr>
                <w:rFonts w:ascii="Arial" w:hAnsi="Arial"/>
                <w:b/>
                <w:caps/>
                <w:noProof/>
                <w:sz w:val="20"/>
                <w:szCs w:val="20"/>
                <w:lang w:eastAsia="ar-SA"/>
              </w:rPr>
              <w:t xml:space="preserve">as at 31 december </w:t>
            </w:r>
            <w:r w:rsidRPr="00CA50E6">
              <w:rPr>
                <w:rFonts w:ascii="Arial" w:hAnsi="Arial"/>
                <w:b/>
                <w:caps/>
                <w:noProof/>
                <w:sz w:val="20"/>
                <w:szCs w:val="20"/>
                <w:lang w:eastAsia="ar-SA"/>
              </w:rPr>
              <w:t>2025</w:t>
            </w:r>
          </w:p>
        </w:tc>
      </w:tr>
      <w:tr w:rsidR="00FD1E19" w14:paraId="576B859C" w14:textId="77777777" w:rsidTr="00BE7E4A">
        <w:trPr>
          <w:trHeight w:val="786"/>
        </w:trPr>
        <w:tc>
          <w:tcPr>
            <w:tcW w:w="2627" w:type="dxa"/>
            <w:vAlign w:val="center"/>
          </w:tcPr>
          <w:p w14:paraId="47EEEE78" w14:textId="77777777" w:rsidR="00FD1E19" w:rsidRDefault="00FD1E19" w:rsidP="00BE7E4A">
            <w:pPr>
              <w:suppressAutoHyphens/>
              <w:snapToGrid w:val="0"/>
              <w:spacing w:before="360" w:after="480"/>
              <w:jc w:val="center"/>
              <w:rPr>
                <w:rFonts w:ascii="Arial" w:hAnsi="Arial"/>
                <w:noProof/>
                <w:sz w:val="20"/>
                <w:szCs w:val="20"/>
                <w:bdr w:val="nil"/>
                <w:lang w:eastAsia="ar-SA"/>
              </w:rPr>
            </w:pPr>
          </w:p>
        </w:tc>
        <w:tc>
          <w:tcPr>
            <w:tcW w:w="4994" w:type="dxa"/>
            <w:gridSpan w:val="3"/>
            <w:tcBorders>
              <w:top w:val="single" w:sz="4" w:space="0" w:color="000000"/>
            </w:tcBorders>
            <w:vAlign w:val="center"/>
          </w:tcPr>
          <w:p w14:paraId="343F5ACB" w14:textId="77777777" w:rsidR="00FD1E19" w:rsidRDefault="00FD1E19" w:rsidP="00BE7E4A">
            <w:pPr>
              <w:suppressAutoHyphens/>
              <w:snapToGrid w:val="0"/>
              <w:spacing w:before="360" w:after="480"/>
              <w:jc w:val="center"/>
              <w:rPr>
                <w:rFonts w:ascii="Arial" w:hAnsi="Arial"/>
                <w:noProof/>
                <w:sz w:val="20"/>
                <w:szCs w:val="20"/>
                <w:bdr w:val="nil"/>
                <w:lang w:eastAsia="ar-SA"/>
              </w:rPr>
            </w:pPr>
          </w:p>
        </w:tc>
        <w:tc>
          <w:tcPr>
            <w:tcW w:w="2233" w:type="dxa"/>
            <w:vAlign w:val="center"/>
          </w:tcPr>
          <w:p w14:paraId="7D8AF87B" w14:textId="77777777" w:rsidR="00FD1E19" w:rsidRDefault="00FD1E19" w:rsidP="00BE7E4A">
            <w:pPr>
              <w:suppressAutoHyphens/>
              <w:snapToGrid w:val="0"/>
              <w:spacing w:before="360" w:after="480"/>
              <w:jc w:val="center"/>
              <w:rPr>
                <w:rFonts w:ascii="Arial" w:hAnsi="Arial"/>
                <w:noProof/>
                <w:sz w:val="20"/>
                <w:szCs w:val="20"/>
                <w:bdr w:val="nil"/>
                <w:lang w:eastAsia="ar-SA"/>
              </w:rPr>
            </w:pPr>
          </w:p>
        </w:tc>
      </w:tr>
      <w:tr w:rsidR="00FD1E19" w14:paraId="7A5C5F5A" w14:textId="77777777" w:rsidTr="00BE7E4A">
        <w:trPr>
          <w:trHeight w:val="3816"/>
        </w:trPr>
        <w:tc>
          <w:tcPr>
            <w:tcW w:w="2627" w:type="dxa"/>
            <w:vAlign w:val="center"/>
          </w:tcPr>
          <w:p w14:paraId="52F1A67C" w14:textId="77777777" w:rsidR="00FD1E19" w:rsidRDefault="00FD1E19" w:rsidP="00BE7E4A">
            <w:pPr>
              <w:suppressAutoHyphens/>
              <w:snapToGrid w:val="0"/>
              <w:spacing w:before="120" w:after="120"/>
              <w:jc w:val="center"/>
              <w:rPr>
                <w:rFonts w:ascii="Arial" w:hAnsi="Arial"/>
                <w:noProof/>
                <w:sz w:val="20"/>
                <w:szCs w:val="20"/>
                <w:bdr w:val="nil"/>
                <w:lang w:eastAsia="ar-SA"/>
              </w:rPr>
            </w:pPr>
          </w:p>
        </w:tc>
        <w:tc>
          <w:tcPr>
            <w:tcW w:w="4994" w:type="dxa"/>
            <w:gridSpan w:val="3"/>
            <w:vAlign w:val="center"/>
          </w:tcPr>
          <w:p w14:paraId="1B8CC3B5" w14:textId="77777777" w:rsidR="00FD1E19" w:rsidRDefault="00FD1E19" w:rsidP="00FD1E19">
            <w:pPr>
              <w:numPr>
                <w:ilvl w:val="0"/>
                <w:numId w:val="10"/>
              </w:numPr>
              <w:pBdr>
                <w:top w:val="nil"/>
                <w:left w:val="nil"/>
                <w:bottom w:val="nil"/>
                <w:right w:val="nil"/>
                <w:between w:val="nil"/>
                <w:bar w:val="nil"/>
              </w:pBdr>
              <w:tabs>
                <w:tab w:val="left" w:pos="432"/>
                <w:tab w:val="num" w:pos="720"/>
              </w:tabs>
              <w:suppressAutoHyphens/>
              <w:snapToGrid w:val="0"/>
              <w:spacing w:before="120" w:after="120" w:line="240" w:lineRule="auto"/>
              <w:ind w:left="432"/>
              <w:rPr>
                <w:rFonts w:ascii="Arial" w:hAnsi="Arial"/>
                <w:noProof/>
                <w:sz w:val="20"/>
                <w:szCs w:val="20"/>
                <w:bdr w:val="nil"/>
                <w:lang w:eastAsia="ar-SA"/>
              </w:rPr>
            </w:pPr>
            <w:r>
              <w:rPr>
                <w:rFonts w:ascii="Arial" w:hAnsi="Arial"/>
                <w:noProof/>
                <w:sz w:val="20"/>
                <w:szCs w:val="20"/>
                <w:lang w:eastAsia="ar-SA"/>
              </w:rPr>
              <w:t xml:space="preserve">Independent auditor’s report </w:t>
            </w:r>
          </w:p>
          <w:p w14:paraId="023CB65F" w14:textId="77777777" w:rsidR="00FD1E19" w:rsidRDefault="00FD1E19" w:rsidP="00FD1E19">
            <w:pPr>
              <w:numPr>
                <w:ilvl w:val="0"/>
                <w:numId w:val="10"/>
              </w:numPr>
              <w:pBdr>
                <w:top w:val="nil"/>
                <w:left w:val="nil"/>
                <w:bottom w:val="nil"/>
                <w:right w:val="nil"/>
                <w:between w:val="nil"/>
                <w:bar w:val="nil"/>
              </w:pBdr>
              <w:tabs>
                <w:tab w:val="left" w:pos="432"/>
                <w:tab w:val="num" w:pos="720"/>
              </w:tabs>
              <w:suppressAutoHyphens/>
              <w:snapToGrid w:val="0"/>
              <w:spacing w:before="120" w:after="120" w:line="240" w:lineRule="auto"/>
              <w:ind w:left="432"/>
              <w:rPr>
                <w:rFonts w:ascii="Arial" w:hAnsi="Arial"/>
                <w:noProof/>
                <w:sz w:val="20"/>
                <w:szCs w:val="20"/>
                <w:bdr w:val="nil"/>
                <w:lang w:eastAsia="ar-SA"/>
              </w:rPr>
            </w:pPr>
            <w:r>
              <w:rPr>
                <w:rFonts w:ascii="Arial" w:hAnsi="Arial"/>
                <w:noProof/>
                <w:sz w:val="20"/>
                <w:szCs w:val="20"/>
                <w:lang w:eastAsia="ar-SA"/>
              </w:rPr>
              <w:t>Statement of financial position</w:t>
            </w:r>
          </w:p>
          <w:p w14:paraId="6E2D1627" w14:textId="77777777" w:rsidR="00FD1E19" w:rsidRDefault="00FD1E19" w:rsidP="00FD1E19">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lang w:eastAsia="ar-SA"/>
              </w:rPr>
            </w:pPr>
            <w:r>
              <w:rPr>
                <w:rFonts w:ascii="Arial" w:hAnsi="Arial"/>
                <w:noProof/>
                <w:sz w:val="20"/>
                <w:szCs w:val="20"/>
                <w:lang w:eastAsia="ar-SA"/>
              </w:rPr>
              <w:t>Statement of profit or loss and other comprehensive income</w:t>
            </w:r>
          </w:p>
          <w:p w14:paraId="52B7C67D" w14:textId="77777777" w:rsidR="00FD1E19" w:rsidRDefault="00FD1E19" w:rsidP="00FD1E19">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lang w:eastAsia="ar-SA"/>
              </w:rPr>
            </w:pPr>
            <w:r>
              <w:rPr>
                <w:rFonts w:ascii="Arial" w:hAnsi="Arial"/>
                <w:noProof/>
                <w:sz w:val="20"/>
                <w:szCs w:val="20"/>
                <w:lang w:eastAsia="ar-SA"/>
              </w:rPr>
              <w:t>Statement of changes in contributors’ resources</w:t>
            </w:r>
          </w:p>
          <w:p w14:paraId="6F467E9A" w14:textId="77777777" w:rsidR="00FD1E19" w:rsidRDefault="00FD1E19" w:rsidP="00FD1E19">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lang w:eastAsia="ar-SA"/>
              </w:rPr>
            </w:pPr>
            <w:r>
              <w:rPr>
                <w:rFonts w:ascii="Arial" w:hAnsi="Arial"/>
                <w:noProof/>
                <w:sz w:val="20"/>
                <w:szCs w:val="20"/>
                <w:lang w:eastAsia="ar-SA"/>
              </w:rPr>
              <w:t>Statement of cash flows</w:t>
            </w:r>
          </w:p>
          <w:p w14:paraId="7E73C7F0" w14:textId="77777777" w:rsidR="00FD1E19" w:rsidRDefault="00FD1E19" w:rsidP="00FD1E19">
            <w:pPr>
              <w:numPr>
                <w:ilvl w:val="0"/>
                <w:numId w:val="10"/>
              </w:numPr>
              <w:pBdr>
                <w:top w:val="nil"/>
                <w:left w:val="nil"/>
                <w:bottom w:val="nil"/>
                <w:right w:val="nil"/>
                <w:between w:val="nil"/>
                <w:bar w:val="nil"/>
              </w:pBdr>
              <w:tabs>
                <w:tab w:val="left" w:pos="432"/>
                <w:tab w:val="num" w:pos="720"/>
              </w:tabs>
              <w:suppressAutoHyphens/>
              <w:spacing w:before="120" w:after="120" w:line="240" w:lineRule="auto"/>
              <w:ind w:left="432"/>
              <w:rPr>
                <w:rFonts w:ascii="Arial" w:hAnsi="Arial"/>
                <w:noProof/>
                <w:sz w:val="20"/>
                <w:szCs w:val="20"/>
                <w:bdr w:val="nil"/>
                <w:lang w:eastAsia="ar-SA"/>
              </w:rPr>
            </w:pPr>
            <w:r>
              <w:rPr>
                <w:rFonts w:ascii="Arial" w:hAnsi="Arial"/>
                <w:noProof/>
                <w:sz w:val="20"/>
                <w:szCs w:val="20"/>
                <w:lang w:eastAsia="ar-SA"/>
              </w:rPr>
              <w:t>Notes to the financial statements</w:t>
            </w:r>
          </w:p>
        </w:tc>
        <w:tc>
          <w:tcPr>
            <w:tcW w:w="2233" w:type="dxa"/>
            <w:vAlign w:val="center"/>
          </w:tcPr>
          <w:p w14:paraId="3ACA34E7" w14:textId="77777777" w:rsidR="00FD1E19" w:rsidRDefault="00FD1E19" w:rsidP="00BE7E4A">
            <w:pPr>
              <w:suppressAutoHyphens/>
              <w:snapToGrid w:val="0"/>
              <w:spacing w:before="120" w:after="120"/>
              <w:jc w:val="center"/>
              <w:rPr>
                <w:rFonts w:ascii="Arial" w:hAnsi="Arial"/>
                <w:noProof/>
                <w:sz w:val="20"/>
                <w:szCs w:val="20"/>
                <w:bdr w:val="nil"/>
                <w:lang w:eastAsia="ar-SA"/>
              </w:rPr>
            </w:pPr>
          </w:p>
        </w:tc>
      </w:tr>
      <w:tr w:rsidR="00FD1E19" w14:paraId="38E55FDD" w14:textId="77777777" w:rsidTr="00BE7E4A">
        <w:tc>
          <w:tcPr>
            <w:tcW w:w="4963" w:type="dxa"/>
            <w:gridSpan w:val="2"/>
          </w:tcPr>
          <w:p w14:paraId="44C2ECF1" w14:textId="77777777" w:rsidR="00FD1E19" w:rsidRDefault="00FD1E19" w:rsidP="00BE7E4A">
            <w:pPr>
              <w:suppressAutoHyphens/>
              <w:snapToGrid w:val="0"/>
              <w:spacing w:before="60" w:after="60"/>
              <w:rPr>
                <w:rFonts w:ascii="Arial" w:hAnsi="Arial"/>
                <w:noProof/>
                <w:sz w:val="20"/>
                <w:szCs w:val="20"/>
                <w:bdr w:val="nil"/>
                <w:lang w:eastAsia="ar-SA"/>
              </w:rPr>
            </w:pPr>
          </w:p>
        </w:tc>
        <w:tc>
          <w:tcPr>
            <w:tcW w:w="4891" w:type="dxa"/>
            <w:gridSpan w:val="3"/>
            <w:vAlign w:val="center"/>
          </w:tcPr>
          <w:p w14:paraId="0508AD1A" w14:textId="77777777" w:rsidR="00FD1E19" w:rsidRDefault="00FD1E19" w:rsidP="00BE7E4A">
            <w:pPr>
              <w:suppressAutoHyphens/>
              <w:snapToGrid w:val="0"/>
              <w:spacing w:before="60" w:after="60"/>
              <w:jc w:val="right"/>
              <w:rPr>
                <w:rFonts w:ascii="Arial" w:hAnsi="Arial"/>
                <w:noProof/>
                <w:sz w:val="20"/>
                <w:szCs w:val="20"/>
                <w:u w:val="single"/>
                <w:bdr w:val="nil"/>
                <w:lang w:eastAsia="ar-SA"/>
              </w:rPr>
            </w:pPr>
          </w:p>
        </w:tc>
      </w:tr>
      <w:tr w:rsidR="00FD1E19" w14:paraId="0E555459" w14:textId="77777777" w:rsidTr="00BE7E4A">
        <w:tc>
          <w:tcPr>
            <w:tcW w:w="4963" w:type="dxa"/>
            <w:gridSpan w:val="2"/>
          </w:tcPr>
          <w:p w14:paraId="529B7B93" w14:textId="77777777" w:rsidR="00FD1E19" w:rsidRDefault="00FD1E19" w:rsidP="00BE7E4A">
            <w:pPr>
              <w:suppressAutoHyphens/>
              <w:snapToGrid w:val="0"/>
              <w:spacing w:before="60" w:after="60"/>
              <w:rPr>
                <w:rFonts w:ascii="Arial" w:hAnsi="Arial"/>
                <w:noProof/>
                <w:sz w:val="20"/>
                <w:szCs w:val="20"/>
                <w:bdr w:val="nil"/>
                <w:lang w:eastAsia="ar-SA"/>
              </w:rPr>
            </w:pPr>
          </w:p>
        </w:tc>
        <w:tc>
          <w:tcPr>
            <w:tcW w:w="4891" w:type="dxa"/>
            <w:gridSpan w:val="3"/>
            <w:vAlign w:val="center"/>
          </w:tcPr>
          <w:p w14:paraId="31E08B86" w14:textId="77777777" w:rsidR="00FD1E19" w:rsidRDefault="00FD1E19" w:rsidP="00BE7E4A">
            <w:pPr>
              <w:suppressAutoHyphens/>
              <w:snapToGrid w:val="0"/>
              <w:spacing w:before="60" w:after="60"/>
              <w:jc w:val="right"/>
              <w:rPr>
                <w:rFonts w:ascii="Arial" w:hAnsi="Arial"/>
                <w:noProof/>
                <w:sz w:val="20"/>
                <w:szCs w:val="20"/>
                <w:u w:val="single"/>
                <w:bdr w:val="nil"/>
                <w:lang w:eastAsia="ar-SA"/>
              </w:rPr>
            </w:pPr>
          </w:p>
        </w:tc>
      </w:tr>
      <w:tr w:rsidR="00FD1E19" w14:paraId="07DE0326" w14:textId="77777777" w:rsidTr="00BE7E4A">
        <w:tc>
          <w:tcPr>
            <w:tcW w:w="4963" w:type="dxa"/>
            <w:gridSpan w:val="2"/>
          </w:tcPr>
          <w:p w14:paraId="7A918470" w14:textId="77777777" w:rsidR="00FD1E19" w:rsidRDefault="00FD1E19" w:rsidP="00BE7E4A">
            <w:pPr>
              <w:suppressAutoHyphens/>
              <w:snapToGrid w:val="0"/>
              <w:spacing w:before="60" w:after="60"/>
              <w:rPr>
                <w:rFonts w:ascii="Arial" w:hAnsi="Arial"/>
                <w:noProof/>
                <w:sz w:val="20"/>
                <w:szCs w:val="20"/>
                <w:bdr w:val="nil"/>
                <w:lang w:eastAsia="ar-SA"/>
              </w:rPr>
            </w:pPr>
          </w:p>
        </w:tc>
        <w:tc>
          <w:tcPr>
            <w:tcW w:w="4891" w:type="dxa"/>
            <w:gridSpan w:val="3"/>
            <w:vAlign w:val="center"/>
          </w:tcPr>
          <w:p w14:paraId="3B92C00A" w14:textId="77777777" w:rsidR="00FD1E19" w:rsidRDefault="00FD1E19" w:rsidP="00BE7E4A">
            <w:pPr>
              <w:suppressAutoHyphens/>
              <w:snapToGrid w:val="0"/>
              <w:spacing w:before="60" w:after="60"/>
              <w:jc w:val="right"/>
              <w:rPr>
                <w:rFonts w:ascii="Arial" w:hAnsi="Arial"/>
                <w:noProof/>
                <w:sz w:val="20"/>
                <w:szCs w:val="20"/>
                <w:u w:val="single"/>
                <w:bdr w:val="nil"/>
                <w:lang w:eastAsia="ar-SA"/>
              </w:rPr>
            </w:pPr>
          </w:p>
        </w:tc>
      </w:tr>
      <w:tr w:rsidR="00FD1E19" w14:paraId="503837A2" w14:textId="77777777" w:rsidTr="00BE7E4A">
        <w:tc>
          <w:tcPr>
            <w:tcW w:w="4963" w:type="dxa"/>
            <w:gridSpan w:val="2"/>
          </w:tcPr>
          <w:p w14:paraId="6B2B6F2A" w14:textId="77777777" w:rsidR="00FD1E19" w:rsidRDefault="00FD1E19" w:rsidP="00BE7E4A">
            <w:pPr>
              <w:pBdr>
                <w:top w:val="nil"/>
                <w:left w:val="nil"/>
                <w:bottom w:val="nil"/>
                <w:right w:val="nil"/>
                <w:between w:val="nil"/>
                <w:bar w:val="nil"/>
              </w:pBdr>
              <w:suppressAutoHyphens/>
              <w:snapToGrid w:val="0"/>
              <w:spacing w:before="60" w:after="60"/>
              <w:rPr>
                <w:rFonts w:ascii="Arial" w:hAnsi="Arial"/>
                <w:noProof/>
                <w:sz w:val="20"/>
                <w:szCs w:val="20"/>
                <w:bdr w:val="nil"/>
                <w:lang w:eastAsia="ar-SA"/>
              </w:rPr>
            </w:pPr>
            <w:r>
              <w:rPr>
                <w:rFonts w:ascii="Arial" w:hAnsi="Arial"/>
                <w:noProof/>
                <w:sz w:val="20"/>
                <w:szCs w:val="20"/>
                <w:lang w:eastAsia="ar-SA"/>
              </w:rPr>
              <w:t>ORG.: E</w:t>
            </w:r>
          </w:p>
        </w:tc>
        <w:tc>
          <w:tcPr>
            <w:tcW w:w="4891" w:type="dxa"/>
            <w:gridSpan w:val="3"/>
            <w:vAlign w:val="center"/>
          </w:tcPr>
          <w:p w14:paraId="7C549E75" w14:textId="77777777" w:rsidR="00FD1E19" w:rsidRDefault="00FD1E19" w:rsidP="00BE7E4A">
            <w:pPr>
              <w:pBdr>
                <w:top w:val="nil"/>
                <w:left w:val="nil"/>
                <w:bottom w:val="nil"/>
                <w:right w:val="nil"/>
                <w:between w:val="nil"/>
                <w:bar w:val="nil"/>
              </w:pBdr>
              <w:suppressAutoHyphens/>
              <w:snapToGrid w:val="0"/>
              <w:spacing w:before="60" w:after="60"/>
              <w:jc w:val="right"/>
              <w:rPr>
                <w:rFonts w:ascii="Arial" w:hAnsi="Arial"/>
                <w:noProof/>
                <w:sz w:val="20"/>
                <w:szCs w:val="20"/>
                <w:u w:val="single"/>
                <w:lang w:eastAsia="ar-SA"/>
              </w:rPr>
            </w:pPr>
            <w:r>
              <w:rPr>
                <w:rFonts w:ascii="Arial" w:hAnsi="Arial"/>
                <w:noProof/>
                <w:sz w:val="20"/>
                <w:szCs w:val="20"/>
                <w:u w:val="single"/>
                <w:lang w:eastAsia="ar-SA"/>
              </w:rPr>
              <w:t>CONFIDENTIAL</w:t>
            </w:r>
          </w:p>
          <w:p w14:paraId="554FE69D" w14:textId="77777777" w:rsidR="00FD1E19" w:rsidRDefault="00FD1E19" w:rsidP="00BE7E4A">
            <w:pPr>
              <w:pBdr>
                <w:top w:val="nil"/>
                <w:left w:val="nil"/>
                <w:bottom w:val="nil"/>
                <w:right w:val="nil"/>
                <w:between w:val="nil"/>
                <w:bar w:val="nil"/>
              </w:pBdr>
              <w:suppressAutoHyphens/>
              <w:snapToGrid w:val="0"/>
              <w:spacing w:before="60" w:after="60"/>
              <w:jc w:val="right"/>
              <w:rPr>
                <w:rFonts w:ascii="Arial" w:hAnsi="Arial"/>
                <w:noProof/>
                <w:sz w:val="20"/>
                <w:szCs w:val="20"/>
                <w:u w:val="single"/>
                <w:lang w:eastAsia="ar-SA"/>
              </w:rPr>
            </w:pPr>
          </w:p>
          <w:p w14:paraId="387DE147" w14:textId="77777777" w:rsidR="00FD1E19" w:rsidRDefault="00FD1E19" w:rsidP="00BE7E4A">
            <w:pPr>
              <w:pBdr>
                <w:top w:val="nil"/>
                <w:left w:val="nil"/>
                <w:bottom w:val="nil"/>
                <w:right w:val="nil"/>
                <w:between w:val="nil"/>
                <w:bar w:val="nil"/>
              </w:pBdr>
              <w:suppressAutoHyphens/>
              <w:snapToGrid w:val="0"/>
              <w:spacing w:before="60" w:after="60"/>
              <w:jc w:val="right"/>
              <w:rPr>
                <w:rFonts w:ascii="Arial" w:hAnsi="Arial"/>
                <w:noProof/>
                <w:sz w:val="20"/>
                <w:szCs w:val="20"/>
                <w:u w:val="single"/>
                <w:bdr w:val="nil"/>
                <w:lang w:eastAsia="ar-SA"/>
              </w:rPr>
            </w:pPr>
          </w:p>
        </w:tc>
      </w:tr>
    </w:tbl>
    <w:p w14:paraId="17BB2FB3" w14:textId="77777777" w:rsidR="00FD1E19" w:rsidRDefault="00FD1E19" w:rsidP="00FD1E19">
      <w:pPr>
        <w:keepNext/>
        <w:keepLines/>
        <w:pBdr>
          <w:top w:val="nil"/>
          <w:left w:val="nil"/>
          <w:bottom w:val="nil"/>
          <w:right w:val="nil"/>
          <w:between w:val="nil"/>
          <w:bar w:val="nil"/>
        </w:pBdr>
        <w:suppressAutoHyphens/>
        <w:spacing w:before="60" w:after="60"/>
        <w:jc w:val="center"/>
        <w:rPr>
          <w:rFonts w:ascii="Arial" w:hAnsi="Arial"/>
          <w:b/>
          <w:noProof/>
          <w:sz w:val="20"/>
          <w:szCs w:val="16"/>
          <w:bdr w:val="nil"/>
          <w:lang w:eastAsia="ar-SA"/>
        </w:rPr>
      </w:pPr>
      <w:bookmarkStart w:id="197" w:name="RG_MARKER_90069"/>
      <w:bookmarkStart w:id="198" w:name="RG_MARKER_90092"/>
      <w:bookmarkEnd w:id="197"/>
      <w:bookmarkEnd w:id="198"/>
      <w:r w:rsidRPr="00052B6B">
        <w:rPr>
          <w:rFonts w:ascii="Arial" w:hAnsi="Arial"/>
          <w:b/>
          <w:noProof/>
          <w:sz w:val="20"/>
          <w:szCs w:val="16"/>
          <w:lang w:eastAsia="ar-SA"/>
        </w:rPr>
        <w:t>STATEMENT OF FINANCIAL POSITION</w:t>
      </w:r>
    </w:p>
    <w:p w14:paraId="0321A472" w14:textId="77777777" w:rsidR="00FD1E19" w:rsidRPr="00052B6B" w:rsidRDefault="00FD1E19" w:rsidP="00FD1E19">
      <w:pPr>
        <w:keepNext/>
        <w:keepLines/>
        <w:pBdr>
          <w:top w:val="nil"/>
          <w:left w:val="nil"/>
          <w:bottom w:val="nil"/>
          <w:right w:val="nil"/>
          <w:between w:val="nil"/>
          <w:bar w:val="nil"/>
        </w:pBdr>
        <w:suppressAutoHyphens/>
        <w:jc w:val="center"/>
        <w:rPr>
          <w:rFonts w:ascii="Arial" w:hAnsi="Arial"/>
          <w:b/>
          <w:noProof/>
          <w:sz w:val="20"/>
          <w:szCs w:val="16"/>
          <w:bdr w:val="nil"/>
          <w:lang w:eastAsia="ar-SA"/>
        </w:rPr>
      </w:pPr>
      <w:r>
        <w:rPr>
          <w:rFonts w:ascii="Arial" w:hAnsi="Arial"/>
          <w:b/>
          <w:caps/>
          <w:noProof/>
          <w:sz w:val="20"/>
          <w:szCs w:val="20"/>
          <w:lang w:eastAsia="ar-SA"/>
        </w:rPr>
        <w:t xml:space="preserve">as at 31 december </w:t>
      </w:r>
      <w:r w:rsidRPr="00476CEB">
        <w:rPr>
          <w:rFonts w:ascii="Arial" w:hAnsi="Arial"/>
          <w:b/>
          <w:noProof/>
          <w:sz w:val="20"/>
          <w:szCs w:val="16"/>
          <w:lang w:eastAsia="ar-SA"/>
        </w:rPr>
        <w:t>2025</w:t>
      </w:r>
    </w:p>
    <w:p w14:paraId="3CAE68A7" w14:textId="77777777" w:rsidR="00FD1E19" w:rsidRDefault="00FD1E19" w:rsidP="00FD1E19">
      <w:pPr>
        <w:pBdr>
          <w:top w:val="nil"/>
          <w:left w:val="nil"/>
          <w:bottom w:val="nil"/>
          <w:right w:val="nil"/>
          <w:between w:val="nil"/>
          <w:bar w:val="nil"/>
        </w:pBdr>
        <w:suppressAutoHyphens/>
        <w:jc w:val="center"/>
        <w:rPr>
          <w:rFonts w:ascii="Arial" w:hAnsi="Arial"/>
          <w:noProof/>
          <w:sz w:val="16"/>
          <w:szCs w:val="16"/>
          <w:bdr w:val="nil"/>
          <w:lang w:eastAsia="ar-SA"/>
        </w:rPr>
      </w:pPr>
      <w:r>
        <w:rPr>
          <w:rFonts w:ascii="Arial" w:hAnsi="Arial"/>
          <w:noProof/>
          <w:sz w:val="16"/>
          <w:szCs w:val="16"/>
          <w:lang w:eastAsia="ar-SA"/>
        </w:rPr>
        <w:t>(in EUR’000)</w:t>
      </w:r>
    </w:p>
    <w:tbl>
      <w:tblPr>
        <w:tblStyle w:val="CDMRange1"/>
        <w:tblW w:w="5000" w:type="pct"/>
        <w:tblLayout w:type="fixed"/>
        <w:tblLook w:val="0600" w:firstRow="0" w:lastRow="0" w:firstColumn="0" w:lastColumn="0" w:noHBand="1" w:noVBand="1"/>
      </w:tblPr>
      <w:tblGrid>
        <w:gridCol w:w="4865"/>
        <w:gridCol w:w="1109"/>
        <w:gridCol w:w="1852"/>
        <w:gridCol w:w="1852"/>
      </w:tblGrid>
      <w:tr w:rsidR="00FD1E19" w14:paraId="79329AA4" w14:textId="77777777" w:rsidTr="00BE7E4A">
        <w:trPr>
          <w:trHeight w:hRule="exact" w:val="255"/>
        </w:trPr>
        <w:tc>
          <w:tcPr>
            <w:tcW w:w="4865" w:type="dxa"/>
            <w:tcBorders>
              <w:top w:val="single" w:sz="4" w:space="0" w:color="000000"/>
              <w:left w:val="nil"/>
              <w:bottom w:val="single" w:sz="4" w:space="0" w:color="000000"/>
              <w:right w:val="nil"/>
              <w:tl2br w:val="nil"/>
              <w:tr2bl w:val="nil"/>
            </w:tcBorders>
            <w:tcMar>
              <w:left w:w="0" w:type="dxa"/>
              <w:right w:w="0" w:type="dxa"/>
            </w:tcMar>
            <w:vAlign w:val="center"/>
          </w:tcPr>
          <w:p w14:paraId="09F1B434" w14:textId="77777777" w:rsidR="00FD1E19" w:rsidRDefault="00FD1E19" w:rsidP="00BE7E4A">
            <w:pPr>
              <w:suppressAutoHyphens/>
              <w:rPr>
                <w:rFonts w:ascii="Arial" w:eastAsia="Arial" w:hAnsi="Arial" w:cs="Arial"/>
                <w:b/>
                <w:noProof/>
                <w:color w:val="000000"/>
                <w:sz w:val="16"/>
                <w:lang w:eastAsia="ar-SA"/>
              </w:rPr>
            </w:pPr>
            <w:bookmarkStart w:id="199" w:name="RG_MARKER_90093"/>
            <w:bookmarkEnd w:id="199"/>
          </w:p>
        </w:tc>
        <w:tc>
          <w:tcPr>
            <w:tcW w:w="1109" w:type="dxa"/>
            <w:tcBorders>
              <w:top w:val="single" w:sz="4" w:space="0" w:color="000000"/>
              <w:left w:val="nil"/>
              <w:bottom w:val="single" w:sz="4" w:space="0" w:color="000000"/>
              <w:right w:val="nil"/>
              <w:tl2br w:val="nil"/>
              <w:tr2bl w:val="nil"/>
            </w:tcBorders>
            <w:tcMar>
              <w:left w:w="40" w:type="dxa"/>
              <w:right w:w="40" w:type="dxa"/>
            </w:tcMar>
            <w:vAlign w:val="center"/>
          </w:tcPr>
          <w:p w14:paraId="189AD7BB"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Notes</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14:paraId="0752D43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14:paraId="0FA2F23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2AE54A7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single" w:sz="4" w:space="0" w:color="000000"/>
              <w:left w:val="nil"/>
              <w:bottom w:val="nil"/>
              <w:right w:val="nil"/>
              <w:tl2br w:val="nil"/>
              <w:tr2bl w:val="nil"/>
            </w:tcBorders>
            <w:tcMar>
              <w:left w:w="0" w:type="dxa"/>
              <w:right w:w="0" w:type="dxa"/>
            </w:tcMar>
            <w:vAlign w:val="center"/>
          </w:tcPr>
          <w:p w14:paraId="2563790B" w14:textId="77777777" w:rsidR="00FD1E19" w:rsidRDefault="00FD1E19" w:rsidP="00BE7E4A">
            <w:pPr>
              <w:suppressAutoHyphens/>
              <w:rPr>
                <w:rFonts w:ascii="Arial" w:eastAsia="Arial" w:hAnsi="Arial" w:cs="Arial"/>
                <w:noProof/>
                <w:color w:val="000000"/>
                <w:sz w:val="16"/>
                <w:lang w:eastAsia="ar-SA"/>
              </w:rPr>
            </w:pPr>
          </w:p>
        </w:tc>
        <w:tc>
          <w:tcPr>
            <w:tcW w:w="1109" w:type="dxa"/>
            <w:tcBorders>
              <w:top w:val="single" w:sz="4" w:space="0" w:color="000000"/>
              <w:left w:val="nil"/>
              <w:bottom w:val="nil"/>
              <w:right w:val="nil"/>
              <w:tl2br w:val="nil"/>
              <w:tr2bl w:val="nil"/>
            </w:tcBorders>
            <w:tcMar>
              <w:left w:w="0" w:type="dxa"/>
              <w:right w:w="0" w:type="dxa"/>
            </w:tcMar>
            <w:vAlign w:val="center"/>
          </w:tcPr>
          <w:p w14:paraId="74277163" w14:textId="77777777" w:rsidR="00FD1E19" w:rsidRDefault="00FD1E19" w:rsidP="00BE7E4A">
            <w:pPr>
              <w:suppressAutoHyphens/>
              <w:jc w:val="center"/>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14:paraId="2835CD5D" w14:textId="77777777" w:rsidR="00FD1E19" w:rsidRDefault="00FD1E19" w:rsidP="00BE7E4A">
            <w:pPr>
              <w:suppressAutoHyphens/>
              <w:jc w:val="right"/>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14:paraId="33143FEE" w14:textId="77777777" w:rsidR="00FD1E19" w:rsidRDefault="00FD1E19" w:rsidP="00BE7E4A">
            <w:pPr>
              <w:suppressAutoHyphens/>
              <w:jc w:val="right"/>
              <w:rPr>
                <w:rFonts w:ascii="Arial" w:eastAsia="Arial" w:hAnsi="Arial" w:cs="Arial"/>
                <w:noProof/>
                <w:color w:val="000000"/>
                <w:sz w:val="16"/>
                <w:lang w:eastAsia="ar-SA"/>
              </w:rPr>
            </w:pPr>
          </w:p>
        </w:tc>
      </w:tr>
      <w:tr w:rsidR="00FD1E19" w14:paraId="6D24844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3966187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ASSETS</w:t>
            </w:r>
          </w:p>
        </w:tc>
        <w:tc>
          <w:tcPr>
            <w:tcW w:w="1109" w:type="dxa"/>
            <w:tcBorders>
              <w:top w:val="nil"/>
              <w:left w:val="nil"/>
              <w:bottom w:val="nil"/>
              <w:right w:val="nil"/>
              <w:tl2br w:val="nil"/>
              <w:tr2bl w:val="nil"/>
            </w:tcBorders>
            <w:tcMar>
              <w:left w:w="0" w:type="dxa"/>
              <w:right w:w="0" w:type="dxa"/>
            </w:tcMar>
            <w:vAlign w:val="center"/>
          </w:tcPr>
          <w:p w14:paraId="1CC4416E" w14:textId="77777777" w:rsidR="00FD1E19" w:rsidRDefault="00FD1E19" w:rsidP="00BE7E4A">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300ECA0A" w14:textId="77777777" w:rsidR="00FD1E19" w:rsidRDefault="00FD1E19" w:rsidP="00BE7E4A">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4269BA7F"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2247E50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2CF4B34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Cash and cash equivalents</w:t>
            </w:r>
          </w:p>
        </w:tc>
        <w:tc>
          <w:tcPr>
            <w:tcW w:w="1109" w:type="dxa"/>
            <w:tcBorders>
              <w:top w:val="nil"/>
              <w:left w:val="nil"/>
              <w:bottom w:val="nil"/>
              <w:right w:val="nil"/>
              <w:tl2br w:val="nil"/>
              <w:tr2bl w:val="nil"/>
            </w:tcBorders>
            <w:noWrap/>
            <w:tcMar>
              <w:left w:w="40" w:type="dxa"/>
              <w:right w:w="40" w:type="dxa"/>
            </w:tcMar>
            <w:vAlign w:val="center"/>
          </w:tcPr>
          <w:p w14:paraId="428F5A54"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5</w:t>
            </w:r>
          </w:p>
        </w:tc>
        <w:tc>
          <w:tcPr>
            <w:tcW w:w="1852" w:type="dxa"/>
            <w:tcBorders>
              <w:top w:val="nil"/>
              <w:left w:val="nil"/>
              <w:bottom w:val="nil"/>
              <w:right w:val="nil"/>
              <w:tl2br w:val="nil"/>
              <w:tr2bl w:val="nil"/>
            </w:tcBorders>
            <w:tcMar>
              <w:left w:w="40" w:type="dxa"/>
              <w:right w:w="40" w:type="dxa"/>
            </w:tcMar>
            <w:vAlign w:val="center"/>
          </w:tcPr>
          <w:p w14:paraId="10891BB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1,665,129</w:t>
            </w:r>
          </w:p>
        </w:tc>
        <w:tc>
          <w:tcPr>
            <w:tcW w:w="1852" w:type="dxa"/>
            <w:tcBorders>
              <w:top w:val="nil"/>
              <w:left w:val="nil"/>
              <w:bottom w:val="nil"/>
              <w:right w:val="nil"/>
              <w:tl2br w:val="nil"/>
              <w:tr2bl w:val="nil"/>
            </w:tcBorders>
            <w:tcMar>
              <w:left w:w="40" w:type="dxa"/>
              <w:right w:w="40" w:type="dxa"/>
            </w:tcMar>
            <w:vAlign w:val="center"/>
          </w:tcPr>
          <w:p w14:paraId="76F7FA3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1,638,604</w:t>
            </w:r>
          </w:p>
        </w:tc>
      </w:tr>
      <w:tr w:rsidR="00FD1E19" w14:paraId="2ED7035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3B2B1D5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receivable from contributors</w:t>
            </w:r>
          </w:p>
        </w:tc>
        <w:tc>
          <w:tcPr>
            <w:tcW w:w="1109" w:type="dxa"/>
            <w:tcBorders>
              <w:top w:val="nil"/>
              <w:left w:val="nil"/>
              <w:bottom w:val="nil"/>
              <w:right w:val="nil"/>
              <w:tl2br w:val="nil"/>
              <w:tr2bl w:val="nil"/>
            </w:tcBorders>
            <w:noWrap/>
            <w:tcMar>
              <w:left w:w="40" w:type="dxa"/>
              <w:right w:w="40" w:type="dxa"/>
            </w:tcMar>
            <w:vAlign w:val="center"/>
          </w:tcPr>
          <w:p w14:paraId="00111828"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9/16</w:t>
            </w:r>
          </w:p>
        </w:tc>
        <w:tc>
          <w:tcPr>
            <w:tcW w:w="1852" w:type="dxa"/>
            <w:tcBorders>
              <w:top w:val="nil"/>
              <w:left w:val="nil"/>
              <w:bottom w:val="nil"/>
              <w:right w:val="nil"/>
              <w:tl2br w:val="nil"/>
              <w:tr2bl w:val="nil"/>
            </w:tcBorders>
            <w:tcMar>
              <w:left w:w="40" w:type="dxa"/>
              <w:right w:w="40" w:type="dxa"/>
            </w:tcMar>
            <w:vAlign w:val="center"/>
          </w:tcPr>
          <w:p w14:paraId="2AD854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52" w:type="dxa"/>
            <w:tcBorders>
              <w:top w:val="nil"/>
              <w:left w:val="nil"/>
              <w:bottom w:val="nil"/>
              <w:right w:val="nil"/>
              <w:tl2br w:val="nil"/>
              <w:tr2bl w:val="nil"/>
            </w:tcBorders>
            <w:tcMar>
              <w:left w:w="40" w:type="dxa"/>
              <w:right w:w="40" w:type="dxa"/>
            </w:tcMar>
            <w:vAlign w:val="center"/>
          </w:tcPr>
          <w:p w14:paraId="4831856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7,482</w:t>
            </w:r>
          </w:p>
        </w:tc>
      </w:tr>
      <w:tr w:rsidR="00FD1E19" w14:paraId="1697DE9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09A86C1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Treasury financial assets</w:t>
            </w:r>
          </w:p>
        </w:tc>
        <w:tc>
          <w:tcPr>
            <w:tcW w:w="1109" w:type="dxa"/>
            <w:tcBorders>
              <w:top w:val="nil"/>
              <w:left w:val="nil"/>
              <w:bottom w:val="nil"/>
              <w:right w:val="nil"/>
              <w:tl2br w:val="nil"/>
              <w:tr2bl w:val="nil"/>
            </w:tcBorders>
            <w:noWrap/>
            <w:tcMar>
              <w:left w:w="40" w:type="dxa"/>
              <w:right w:w="40" w:type="dxa"/>
            </w:tcMar>
            <w:vAlign w:val="center"/>
          </w:tcPr>
          <w:p w14:paraId="1D4854E7"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10</w:t>
            </w:r>
          </w:p>
        </w:tc>
        <w:tc>
          <w:tcPr>
            <w:tcW w:w="1852" w:type="dxa"/>
            <w:tcBorders>
              <w:top w:val="nil"/>
              <w:left w:val="nil"/>
              <w:bottom w:val="nil"/>
              <w:right w:val="nil"/>
              <w:tl2br w:val="nil"/>
              <w:tr2bl w:val="nil"/>
            </w:tcBorders>
            <w:tcMar>
              <w:left w:w="40" w:type="dxa"/>
              <w:right w:w="40" w:type="dxa"/>
            </w:tcMar>
            <w:vAlign w:val="center"/>
          </w:tcPr>
          <w:p w14:paraId="7AEDD68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52" w:type="dxa"/>
            <w:tcBorders>
              <w:top w:val="nil"/>
              <w:left w:val="nil"/>
              <w:bottom w:val="nil"/>
              <w:right w:val="nil"/>
              <w:tl2br w:val="nil"/>
              <w:tr2bl w:val="nil"/>
            </w:tcBorders>
            <w:tcMar>
              <w:left w:w="40" w:type="dxa"/>
              <w:right w:w="40" w:type="dxa"/>
            </w:tcMar>
            <w:vAlign w:val="center"/>
          </w:tcPr>
          <w:p w14:paraId="114B73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621E3E7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5B43E17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Derivative financial instruments</w:t>
            </w:r>
          </w:p>
        </w:tc>
        <w:tc>
          <w:tcPr>
            <w:tcW w:w="1109" w:type="dxa"/>
            <w:tcBorders>
              <w:top w:val="nil"/>
              <w:left w:val="nil"/>
              <w:bottom w:val="nil"/>
              <w:right w:val="nil"/>
              <w:tl2br w:val="nil"/>
              <w:tr2bl w:val="nil"/>
            </w:tcBorders>
            <w:noWrap/>
            <w:tcMar>
              <w:left w:w="40" w:type="dxa"/>
              <w:right w:w="40" w:type="dxa"/>
            </w:tcMar>
            <w:vAlign w:val="center"/>
          </w:tcPr>
          <w:p w14:paraId="562E3194"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6</w:t>
            </w:r>
          </w:p>
        </w:tc>
        <w:tc>
          <w:tcPr>
            <w:tcW w:w="1852" w:type="dxa"/>
            <w:tcBorders>
              <w:top w:val="nil"/>
              <w:left w:val="nil"/>
              <w:bottom w:val="nil"/>
              <w:right w:val="nil"/>
              <w:tl2br w:val="nil"/>
              <w:tr2bl w:val="nil"/>
            </w:tcBorders>
            <w:tcMar>
              <w:left w:w="40" w:type="dxa"/>
              <w:right w:w="40" w:type="dxa"/>
            </w:tcMar>
            <w:vAlign w:val="center"/>
          </w:tcPr>
          <w:p w14:paraId="4530EB4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7,819</w:t>
            </w:r>
          </w:p>
        </w:tc>
        <w:tc>
          <w:tcPr>
            <w:tcW w:w="1852" w:type="dxa"/>
            <w:tcBorders>
              <w:top w:val="nil"/>
              <w:left w:val="nil"/>
              <w:bottom w:val="nil"/>
              <w:right w:val="nil"/>
              <w:tl2br w:val="nil"/>
              <w:tr2bl w:val="nil"/>
            </w:tcBorders>
            <w:tcMar>
              <w:left w:w="40" w:type="dxa"/>
              <w:right w:w="40" w:type="dxa"/>
            </w:tcMar>
            <w:vAlign w:val="center"/>
          </w:tcPr>
          <w:p w14:paraId="00C008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783</w:t>
            </w:r>
          </w:p>
        </w:tc>
      </w:tr>
      <w:tr w:rsidR="00FD1E19" w14:paraId="09370DD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3D4E681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109" w:type="dxa"/>
            <w:tcBorders>
              <w:top w:val="nil"/>
              <w:left w:val="nil"/>
              <w:bottom w:val="nil"/>
              <w:right w:val="nil"/>
              <w:tl2br w:val="nil"/>
              <w:tr2bl w:val="nil"/>
            </w:tcBorders>
            <w:noWrap/>
            <w:tcMar>
              <w:left w:w="40" w:type="dxa"/>
              <w:right w:w="40" w:type="dxa"/>
            </w:tcMar>
            <w:vAlign w:val="center"/>
          </w:tcPr>
          <w:p w14:paraId="03FB3284"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7.1</w:t>
            </w:r>
          </w:p>
        </w:tc>
        <w:tc>
          <w:tcPr>
            <w:tcW w:w="1852" w:type="dxa"/>
            <w:tcBorders>
              <w:top w:val="nil"/>
              <w:left w:val="nil"/>
              <w:bottom w:val="nil"/>
              <w:right w:val="nil"/>
              <w:tl2br w:val="nil"/>
              <w:tr2bl w:val="nil"/>
            </w:tcBorders>
            <w:tcMar>
              <w:left w:w="40" w:type="dxa"/>
              <w:right w:w="40" w:type="dxa"/>
            </w:tcMar>
            <w:vAlign w:val="center"/>
          </w:tcPr>
          <w:p w14:paraId="56CD995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1,063,511</w:t>
            </w:r>
          </w:p>
        </w:tc>
        <w:tc>
          <w:tcPr>
            <w:tcW w:w="1852" w:type="dxa"/>
            <w:tcBorders>
              <w:top w:val="nil"/>
              <w:left w:val="nil"/>
              <w:bottom w:val="nil"/>
              <w:right w:val="nil"/>
              <w:tl2br w:val="nil"/>
              <w:tr2bl w:val="nil"/>
            </w:tcBorders>
            <w:tcMar>
              <w:left w:w="40" w:type="dxa"/>
              <w:right w:w="40" w:type="dxa"/>
            </w:tcMar>
            <w:vAlign w:val="center"/>
          </w:tcPr>
          <w:p w14:paraId="2881737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1,498,048</w:t>
            </w:r>
          </w:p>
        </w:tc>
      </w:tr>
      <w:tr w:rsidR="00FD1E19" w14:paraId="0EFFF0D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201AF61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109" w:type="dxa"/>
            <w:tcBorders>
              <w:top w:val="nil"/>
              <w:left w:val="nil"/>
              <w:bottom w:val="nil"/>
              <w:right w:val="nil"/>
              <w:tl2br w:val="nil"/>
              <w:tr2bl w:val="nil"/>
            </w:tcBorders>
            <w:noWrap/>
            <w:tcMar>
              <w:left w:w="40" w:type="dxa"/>
              <w:right w:w="40" w:type="dxa"/>
            </w:tcMar>
            <w:vAlign w:val="center"/>
          </w:tcPr>
          <w:p w14:paraId="45602D18"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8</w:t>
            </w:r>
          </w:p>
        </w:tc>
        <w:tc>
          <w:tcPr>
            <w:tcW w:w="1852" w:type="dxa"/>
            <w:tcBorders>
              <w:top w:val="nil"/>
              <w:left w:val="nil"/>
              <w:bottom w:val="nil"/>
              <w:right w:val="nil"/>
              <w:tl2br w:val="nil"/>
              <w:tr2bl w:val="nil"/>
            </w:tcBorders>
            <w:tcMar>
              <w:left w:w="40" w:type="dxa"/>
              <w:right w:w="40" w:type="dxa"/>
            </w:tcMar>
            <w:vAlign w:val="center"/>
          </w:tcPr>
          <w:p w14:paraId="15AECFE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745,934</w:t>
            </w:r>
          </w:p>
        </w:tc>
        <w:tc>
          <w:tcPr>
            <w:tcW w:w="1852" w:type="dxa"/>
            <w:tcBorders>
              <w:top w:val="nil"/>
              <w:left w:val="nil"/>
              <w:bottom w:val="nil"/>
              <w:right w:val="nil"/>
              <w:tl2br w:val="nil"/>
              <w:tr2bl w:val="nil"/>
            </w:tcBorders>
            <w:tcMar>
              <w:left w:w="40" w:type="dxa"/>
              <w:right w:w="40" w:type="dxa"/>
            </w:tcMar>
            <w:vAlign w:val="center"/>
          </w:tcPr>
          <w:p w14:paraId="6E6AB7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834,621</w:t>
            </w:r>
          </w:p>
        </w:tc>
      </w:tr>
      <w:tr w:rsidR="00FD1E19" w14:paraId="48C6060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4865" w:type="dxa"/>
            <w:tcBorders>
              <w:top w:val="nil"/>
              <w:left w:val="nil"/>
              <w:bottom w:val="nil"/>
              <w:right w:val="nil"/>
              <w:tl2br w:val="nil"/>
              <w:tr2bl w:val="nil"/>
            </w:tcBorders>
            <w:tcMar>
              <w:left w:w="40" w:type="dxa"/>
              <w:right w:w="40" w:type="dxa"/>
            </w:tcMar>
            <w:vAlign w:val="center"/>
          </w:tcPr>
          <w:p w14:paraId="0BC6193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assets</w:t>
            </w:r>
          </w:p>
        </w:tc>
        <w:tc>
          <w:tcPr>
            <w:tcW w:w="1109" w:type="dxa"/>
            <w:tcBorders>
              <w:top w:val="nil"/>
              <w:left w:val="nil"/>
              <w:bottom w:val="nil"/>
              <w:right w:val="nil"/>
              <w:tl2br w:val="nil"/>
              <w:tr2bl w:val="nil"/>
            </w:tcBorders>
            <w:noWrap/>
            <w:tcMar>
              <w:left w:w="40" w:type="dxa"/>
              <w:right w:w="40" w:type="dxa"/>
            </w:tcMar>
            <w:vAlign w:val="center"/>
          </w:tcPr>
          <w:p w14:paraId="49C2B2B7"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11</w:t>
            </w:r>
          </w:p>
        </w:tc>
        <w:tc>
          <w:tcPr>
            <w:tcW w:w="1852" w:type="dxa"/>
            <w:tcBorders>
              <w:top w:val="nil"/>
              <w:left w:val="nil"/>
              <w:bottom w:val="nil"/>
              <w:right w:val="nil"/>
              <w:tl2br w:val="nil"/>
              <w:tr2bl w:val="nil"/>
            </w:tcBorders>
            <w:tcMar>
              <w:left w:w="40" w:type="dxa"/>
              <w:right w:w="40" w:type="dxa"/>
            </w:tcMar>
            <w:vAlign w:val="center"/>
          </w:tcPr>
          <w:p w14:paraId="4D4EFED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c>
          <w:tcPr>
            <w:tcW w:w="1852" w:type="dxa"/>
            <w:tcBorders>
              <w:top w:val="nil"/>
              <w:left w:val="nil"/>
              <w:bottom w:val="nil"/>
              <w:right w:val="nil"/>
              <w:tl2br w:val="nil"/>
              <w:tr2bl w:val="nil"/>
            </w:tcBorders>
            <w:tcMar>
              <w:left w:w="40" w:type="dxa"/>
              <w:right w:w="40" w:type="dxa"/>
            </w:tcMar>
            <w:vAlign w:val="center"/>
          </w:tcPr>
          <w:p w14:paraId="6A93F25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28BAA7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14:paraId="6FE2C489" w14:textId="77777777" w:rsidR="00FD1E19" w:rsidRDefault="00FD1E19" w:rsidP="00BE7E4A">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14:paraId="699AB53A" w14:textId="77777777" w:rsidR="00FD1E19" w:rsidRDefault="00FD1E19" w:rsidP="00BE7E4A">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6F275CD7" w14:textId="77777777" w:rsidR="00FD1E19" w:rsidRDefault="00FD1E19" w:rsidP="00BE7E4A">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54219E16" w14:textId="77777777" w:rsidR="00FD1E19" w:rsidRDefault="00FD1E19" w:rsidP="00BE7E4A">
            <w:pPr>
              <w:suppressAutoHyphens/>
              <w:jc w:val="right"/>
              <w:rPr>
                <w:rFonts w:ascii="Arial" w:eastAsia="Arial" w:hAnsi="Arial" w:cs="Arial"/>
                <w:noProof/>
                <w:color w:val="000000"/>
                <w:sz w:val="16"/>
                <w:lang w:eastAsia="ar-SA"/>
              </w:rPr>
            </w:pPr>
          </w:p>
        </w:tc>
      </w:tr>
      <w:tr w:rsidR="00FD1E19" w14:paraId="21ECF72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shd w:val="clear" w:color="FFFFFF" w:fill="C0C0C0"/>
            <w:tcMar>
              <w:left w:w="40" w:type="dxa"/>
              <w:right w:w="40" w:type="dxa"/>
            </w:tcMar>
            <w:vAlign w:val="center"/>
          </w:tcPr>
          <w:p w14:paraId="1BA98CF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assets</w:t>
            </w:r>
          </w:p>
        </w:tc>
        <w:tc>
          <w:tcPr>
            <w:tcW w:w="1109" w:type="dxa"/>
            <w:tcBorders>
              <w:top w:val="nil"/>
              <w:left w:val="nil"/>
              <w:bottom w:val="nil"/>
              <w:right w:val="nil"/>
              <w:tl2br w:val="nil"/>
              <w:tr2bl w:val="nil"/>
            </w:tcBorders>
            <w:shd w:val="clear" w:color="FFFFFF" w:fill="C0C0C0"/>
            <w:noWrap/>
            <w:tcMar>
              <w:left w:w="40" w:type="dxa"/>
              <w:right w:w="40" w:type="dxa"/>
            </w:tcMar>
            <w:vAlign w:val="center"/>
          </w:tcPr>
          <w:p w14:paraId="52922850"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 </w:t>
            </w:r>
          </w:p>
        </w:tc>
        <w:tc>
          <w:tcPr>
            <w:tcW w:w="1852" w:type="dxa"/>
            <w:tcBorders>
              <w:top w:val="nil"/>
              <w:left w:val="nil"/>
              <w:bottom w:val="nil"/>
              <w:right w:val="nil"/>
              <w:tl2br w:val="nil"/>
              <w:tr2bl w:val="nil"/>
            </w:tcBorders>
            <w:shd w:val="clear" w:color="FFFFFF" w:fill="C0C0C0"/>
            <w:tcMar>
              <w:left w:w="40" w:type="dxa"/>
              <w:right w:w="40" w:type="dxa"/>
            </w:tcMar>
            <w:vAlign w:val="center"/>
          </w:tcPr>
          <w:p w14:paraId="4C2168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3,519,226</w:t>
            </w:r>
          </w:p>
        </w:tc>
        <w:tc>
          <w:tcPr>
            <w:tcW w:w="1852" w:type="dxa"/>
            <w:tcBorders>
              <w:top w:val="nil"/>
              <w:left w:val="nil"/>
              <w:bottom w:val="nil"/>
              <w:right w:val="nil"/>
              <w:tl2br w:val="nil"/>
              <w:tr2bl w:val="nil"/>
            </w:tcBorders>
            <w:shd w:val="clear" w:color="FFFFFF" w:fill="C0C0C0"/>
            <w:tcMar>
              <w:left w:w="40" w:type="dxa"/>
              <w:right w:w="40" w:type="dxa"/>
            </w:tcMar>
            <w:vAlign w:val="center"/>
          </w:tcPr>
          <w:p w14:paraId="38B564E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3,979,538</w:t>
            </w:r>
          </w:p>
        </w:tc>
      </w:tr>
      <w:tr w:rsidR="00FD1E19" w14:paraId="2A5C629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14:paraId="1AD1F845" w14:textId="77777777" w:rsidR="00FD1E19" w:rsidRDefault="00FD1E19" w:rsidP="00BE7E4A">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14:paraId="042E40E4" w14:textId="77777777" w:rsidR="00FD1E19" w:rsidRDefault="00FD1E19" w:rsidP="00BE7E4A">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7D7C2BCA" w14:textId="77777777" w:rsidR="00FD1E19" w:rsidRDefault="00FD1E19" w:rsidP="00BE7E4A">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1FA8D0BB" w14:textId="77777777" w:rsidR="00FD1E19" w:rsidRDefault="00FD1E19" w:rsidP="00BE7E4A">
            <w:pPr>
              <w:suppressAutoHyphens/>
              <w:jc w:val="right"/>
              <w:rPr>
                <w:rFonts w:ascii="Arial" w:eastAsia="Arial" w:hAnsi="Arial" w:cs="Arial"/>
                <w:noProof/>
                <w:color w:val="000000"/>
                <w:sz w:val="16"/>
                <w:lang w:eastAsia="ar-SA"/>
              </w:rPr>
            </w:pPr>
          </w:p>
        </w:tc>
      </w:tr>
      <w:tr w:rsidR="00FD1E19" w14:paraId="6F4AD7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14:paraId="353EE75D" w14:textId="77777777" w:rsidR="00FD1E19" w:rsidRDefault="00FD1E19" w:rsidP="00BE7E4A">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14:paraId="493EB094" w14:textId="77777777" w:rsidR="00FD1E19" w:rsidRDefault="00FD1E19" w:rsidP="00BE7E4A">
            <w:pPr>
              <w:suppressAutoHyphens/>
              <w:jc w:val="center"/>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0508F6C9" w14:textId="77777777" w:rsidR="00FD1E19" w:rsidRDefault="00FD1E19" w:rsidP="00BE7E4A">
            <w:pPr>
              <w:suppressAutoHyphens/>
              <w:jc w:val="right"/>
              <w:rPr>
                <w:rFonts w:ascii="Arial" w:eastAsia="Arial" w:hAnsi="Arial" w:cs="Arial"/>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43F02867" w14:textId="77777777" w:rsidR="00FD1E19" w:rsidRDefault="00FD1E19" w:rsidP="00BE7E4A">
            <w:pPr>
              <w:suppressAutoHyphens/>
              <w:jc w:val="right"/>
              <w:rPr>
                <w:rFonts w:ascii="Arial" w:eastAsia="Arial" w:hAnsi="Arial" w:cs="Arial"/>
                <w:noProof/>
                <w:color w:val="000000"/>
                <w:sz w:val="16"/>
                <w:lang w:eastAsia="ar-SA"/>
              </w:rPr>
            </w:pPr>
          </w:p>
        </w:tc>
      </w:tr>
      <w:tr w:rsidR="00FD1E19" w14:paraId="7235342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2544B76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LIABILITIES AND CONTRIBUTORS' RESOURCES</w:t>
            </w:r>
          </w:p>
        </w:tc>
        <w:tc>
          <w:tcPr>
            <w:tcW w:w="1109" w:type="dxa"/>
            <w:tcBorders>
              <w:top w:val="nil"/>
              <w:left w:val="nil"/>
              <w:bottom w:val="nil"/>
              <w:right w:val="nil"/>
              <w:tl2br w:val="nil"/>
              <w:tr2bl w:val="nil"/>
            </w:tcBorders>
            <w:noWrap/>
            <w:tcMar>
              <w:left w:w="0" w:type="dxa"/>
              <w:right w:w="0" w:type="dxa"/>
            </w:tcMar>
            <w:vAlign w:val="center"/>
          </w:tcPr>
          <w:p w14:paraId="583C9041" w14:textId="77777777" w:rsidR="00FD1E19" w:rsidRDefault="00FD1E19" w:rsidP="00BE7E4A">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26770367" w14:textId="77777777" w:rsidR="00FD1E19" w:rsidRDefault="00FD1E19" w:rsidP="00BE7E4A">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3ECA4E93"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087A45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14:paraId="7E1F3C7F" w14:textId="77777777" w:rsidR="00FD1E19" w:rsidRDefault="00FD1E19" w:rsidP="00BE7E4A">
            <w:pPr>
              <w:suppressAutoHyphens/>
              <w:rPr>
                <w:rFonts w:ascii="Arial" w:eastAsia="Arial" w:hAnsi="Arial" w:cs="Arial"/>
                <w:b/>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14:paraId="0F60BD1D" w14:textId="77777777" w:rsidR="00FD1E19" w:rsidRDefault="00FD1E19" w:rsidP="00BE7E4A">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0D43C772" w14:textId="77777777" w:rsidR="00FD1E19" w:rsidRDefault="00FD1E19" w:rsidP="00BE7E4A">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7C4725F2"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61AA9C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7EB82E9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LIABILITIES</w:t>
            </w:r>
          </w:p>
        </w:tc>
        <w:tc>
          <w:tcPr>
            <w:tcW w:w="1109" w:type="dxa"/>
            <w:tcBorders>
              <w:top w:val="nil"/>
              <w:left w:val="nil"/>
              <w:bottom w:val="nil"/>
              <w:right w:val="nil"/>
              <w:tl2br w:val="nil"/>
              <w:tr2bl w:val="nil"/>
            </w:tcBorders>
            <w:noWrap/>
            <w:tcMar>
              <w:left w:w="0" w:type="dxa"/>
              <w:right w:w="0" w:type="dxa"/>
            </w:tcMar>
            <w:vAlign w:val="center"/>
          </w:tcPr>
          <w:p w14:paraId="7AE11FCA" w14:textId="77777777" w:rsidR="00FD1E19" w:rsidRDefault="00FD1E19" w:rsidP="00BE7E4A">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298D71CF" w14:textId="77777777" w:rsidR="00FD1E19" w:rsidRDefault="00FD1E19" w:rsidP="00BE7E4A">
            <w:pPr>
              <w:suppressAutoHyphens/>
              <w:jc w:val="right"/>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tcMar>
              <w:left w:w="0" w:type="dxa"/>
              <w:right w:w="0" w:type="dxa"/>
            </w:tcMar>
            <w:vAlign w:val="center"/>
          </w:tcPr>
          <w:p w14:paraId="3253DB8E"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192A133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57EF42C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Derivative financial instruments</w:t>
            </w:r>
          </w:p>
        </w:tc>
        <w:tc>
          <w:tcPr>
            <w:tcW w:w="1109" w:type="dxa"/>
            <w:tcBorders>
              <w:top w:val="nil"/>
              <w:left w:val="nil"/>
              <w:bottom w:val="nil"/>
              <w:right w:val="nil"/>
              <w:tl2br w:val="nil"/>
              <w:tr2bl w:val="nil"/>
            </w:tcBorders>
            <w:noWrap/>
            <w:tcMar>
              <w:left w:w="40" w:type="dxa"/>
              <w:right w:w="40" w:type="dxa"/>
            </w:tcMar>
            <w:vAlign w:val="center"/>
          </w:tcPr>
          <w:p w14:paraId="10E1BB3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6</w:t>
            </w:r>
          </w:p>
        </w:tc>
        <w:tc>
          <w:tcPr>
            <w:tcW w:w="1852" w:type="dxa"/>
            <w:tcBorders>
              <w:top w:val="nil"/>
              <w:left w:val="nil"/>
              <w:bottom w:val="nil"/>
              <w:right w:val="nil"/>
              <w:tl2br w:val="nil"/>
              <w:tr2bl w:val="nil"/>
            </w:tcBorders>
            <w:tcMar>
              <w:left w:w="40" w:type="dxa"/>
              <w:right w:w="40" w:type="dxa"/>
            </w:tcMar>
            <w:vAlign w:val="center"/>
          </w:tcPr>
          <w:p w14:paraId="3ED6F3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411</w:t>
            </w:r>
          </w:p>
        </w:tc>
        <w:tc>
          <w:tcPr>
            <w:tcW w:w="1852" w:type="dxa"/>
            <w:tcBorders>
              <w:top w:val="nil"/>
              <w:left w:val="nil"/>
              <w:bottom w:val="nil"/>
              <w:right w:val="nil"/>
              <w:tl2br w:val="nil"/>
              <w:tr2bl w:val="nil"/>
            </w:tcBorders>
            <w:tcMar>
              <w:left w:w="40" w:type="dxa"/>
              <w:right w:w="40" w:type="dxa"/>
            </w:tcMar>
            <w:vAlign w:val="center"/>
          </w:tcPr>
          <w:p w14:paraId="574F52D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39,210</w:t>
            </w:r>
          </w:p>
        </w:tc>
      </w:tr>
      <w:tr w:rsidR="00FD1E19" w14:paraId="7C3196E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7E31052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Deferred income</w:t>
            </w:r>
          </w:p>
        </w:tc>
        <w:tc>
          <w:tcPr>
            <w:tcW w:w="1109" w:type="dxa"/>
            <w:tcBorders>
              <w:top w:val="nil"/>
              <w:left w:val="nil"/>
              <w:bottom w:val="nil"/>
              <w:right w:val="nil"/>
              <w:tl2br w:val="nil"/>
              <w:tr2bl w:val="nil"/>
            </w:tcBorders>
            <w:noWrap/>
            <w:tcMar>
              <w:left w:w="40" w:type="dxa"/>
              <w:right w:w="40" w:type="dxa"/>
            </w:tcMar>
            <w:vAlign w:val="center"/>
          </w:tcPr>
          <w:p w14:paraId="399F2B3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12</w:t>
            </w:r>
          </w:p>
        </w:tc>
        <w:tc>
          <w:tcPr>
            <w:tcW w:w="1852" w:type="dxa"/>
            <w:tcBorders>
              <w:top w:val="nil"/>
              <w:left w:val="nil"/>
              <w:bottom w:val="nil"/>
              <w:right w:val="nil"/>
              <w:tl2br w:val="nil"/>
              <w:tr2bl w:val="nil"/>
            </w:tcBorders>
            <w:tcMar>
              <w:left w:w="40" w:type="dxa"/>
              <w:right w:w="40" w:type="dxa"/>
            </w:tcMar>
            <w:vAlign w:val="center"/>
          </w:tcPr>
          <w:p w14:paraId="2A48CD0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44,845</w:t>
            </w:r>
          </w:p>
        </w:tc>
        <w:tc>
          <w:tcPr>
            <w:tcW w:w="1852" w:type="dxa"/>
            <w:tcBorders>
              <w:top w:val="nil"/>
              <w:left w:val="nil"/>
              <w:bottom w:val="nil"/>
              <w:right w:val="nil"/>
              <w:tl2br w:val="nil"/>
              <w:tr2bl w:val="nil"/>
            </w:tcBorders>
            <w:tcMar>
              <w:left w:w="40" w:type="dxa"/>
              <w:right w:w="40" w:type="dxa"/>
            </w:tcMar>
            <w:vAlign w:val="center"/>
          </w:tcPr>
          <w:p w14:paraId="45EEFB7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47,725</w:t>
            </w:r>
          </w:p>
        </w:tc>
      </w:tr>
      <w:tr w:rsidR="00FD1E19" w14:paraId="4D613A4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1576651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Provisions for loan commitments</w:t>
            </w:r>
          </w:p>
        </w:tc>
        <w:tc>
          <w:tcPr>
            <w:tcW w:w="1109" w:type="dxa"/>
            <w:tcBorders>
              <w:top w:val="nil"/>
              <w:left w:val="nil"/>
              <w:bottom w:val="nil"/>
              <w:right w:val="nil"/>
              <w:tl2br w:val="nil"/>
              <w:tr2bl w:val="nil"/>
            </w:tcBorders>
            <w:noWrap/>
            <w:tcMar>
              <w:left w:w="40" w:type="dxa"/>
              <w:right w:w="40" w:type="dxa"/>
            </w:tcMar>
            <w:vAlign w:val="center"/>
          </w:tcPr>
          <w:p w14:paraId="7A103EE0"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13</w:t>
            </w:r>
          </w:p>
        </w:tc>
        <w:tc>
          <w:tcPr>
            <w:tcW w:w="1852" w:type="dxa"/>
            <w:tcBorders>
              <w:top w:val="nil"/>
              <w:left w:val="nil"/>
              <w:bottom w:val="nil"/>
              <w:right w:val="nil"/>
              <w:tl2br w:val="nil"/>
              <w:tr2bl w:val="nil"/>
            </w:tcBorders>
            <w:tcMar>
              <w:left w:w="40" w:type="dxa"/>
              <w:right w:w="40" w:type="dxa"/>
            </w:tcMar>
            <w:vAlign w:val="center"/>
          </w:tcPr>
          <w:p w14:paraId="5C49015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17,585</w:t>
            </w:r>
          </w:p>
        </w:tc>
        <w:tc>
          <w:tcPr>
            <w:tcW w:w="1852" w:type="dxa"/>
            <w:tcBorders>
              <w:top w:val="nil"/>
              <w:left w:val="nil"/>
              <w:bottom w:val="nil"/>
              <w:right w:val="nil"/>
              <w:tl2br w:val="nil"/>
              <w:tr2bl w:val="nil"/>
            </w:tcBorders>
            <w:tcMar>
              <w:left w:w="40" w:type="dxa"/>
              <w:right w:w="40" w:type="dxa"/>
            </w:tcMar>
            <w:vAlign w:val="center"/>
          </w:tcPr>
          <w:p w14:paraId="77C4A0F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18,320</w:t>
            </w:r>
          </w:p>
        </w:tc>
      </w:tr>
      <w:tr w:rsidR="00FD1E19" w14:paraId="6671596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2606193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owed to third parties</w:t>
            </w:r>
          </w:p>
        </w:tc>
        <w:tc>
          <w:tcPr>
            <w:tcW w:w="1109" w:type="dxa"/>
            <w:tcBorders>
              <w:top w:val="nil"/>
              <w:left w:val="nil"/>
              <w:bottom w:val="nil"/>
              <w:right w:val="nil"/>
              <w:tl2br w:val="nil"/>
              <w:tr2bl w:val="nil"/>
            </w:tcBorders>
            <w:noWrap/>
            <w:tcMar>
              <w:left w:w="40" w:type="dxa"/>
              <w:right w:w="40" w:type="dxa"/>
            </w:tcMar>
            <w:vAlign w:val="center"/>
          </w:tcPr>
          <w:p w14:paraId="53019E15"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14</w:t>
            </w:r>
          </w:p>
        </w:tc>
        <w:tc>
          <w:tcPr>
            <w:tcW w:w="1852" w:type="dxa"/>
            <w:tcBorders>
              <w:top w:val="nil"/>
              <w:left w:val="nil"/>
              <w:bottom w:val="nil"/>
              <w:right w:val="nil"/>
              <w:tl2br w:val="nil"/>
              <w:tr2bl w:val="nil"/>
            </w:tcBorders>
            <w:tcMar>
              <w:left w:w="40" w:type="dxa"/>
              <w:right w:w="40" w:type="dxa"/>
            </w:tcMar>
            <w:vAlign w:val="center"/>
          </w:tcPr>
          <w:p w14:paraId="001A5C5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658,146</w:t>
            </w:r>
          </w:p>
        </w:tc>
        <w:tc>
          <w:tcPr>
            <w:tcW w:w="1852" w:type="dxa"/>
            <w:tcBorders>
              <w:top w:val="nil"/>
              <w:left w:val="nil"/>
              <w:bottom w:val="nil"/>
              <w:right w:val="nil"/>
              <w:tl2br w:val="nil"/>
              <w:tr2bl w:val="nil"/>
            </w:tcBorders>
            <w:tcMar>
              <w:left w:w="40" w:type="dxa"/>
              <w:right w:w="40" w:type="dxa"/>
            </w:tcMar>
            <w:vAlign w:val="center"/>
          </w:tcPr>
          <w:p w14:paraId="0E54CE0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566,083</w:t>
            </w:r>
          </w:p>
        </w:tc>
      </w:tr>
      <w:tr w:rsidR="00FD1E19" w14:paraId="07BE84B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2580CC9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liabilities</w:t>
            </w:r>
          </w:p>
        </w:tc>
        <w:tc>
          <w:tcPr>
            <w:tcW w:w="1109" w:type="dxa"/>
            <w:tcBorders>
              <w:top w:val="nil"/>
              <w:left w:val="nil"/>
              <w:bottom w:val="nil"/>
              <w:right w:val="nil"/>
              <w:tl2br w:val="nil"/>
              <w:tr2bl w:val="nil"/>
            </w:tcBorders>
            <w:noWrap/>
            <w:tcMar>
              <w:left w:w="40" w:type="dxa"/>
              <w:right w:w="40" w:type="dxa"/>
            </w:tcMar>
            <w:vAlign w:val="center"/>
          </w:tcPr>
          <w:p w14:paraId="5934F9DE"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15</w:t>
            </w:r>
          </w:p>
        </w:tc>
        <w:tc>
          <w:tcPr>
            <w:tcW w:w="1852" w:type="dxa"/>
            <w:tcBorders>
              <w:top w:val="nil"/>
              <w:left w:val="nil"/>
              <w:bottom w:val="nil"/>
              <w:right w:val="nil"/>
              <w:tl2br w:val="nil"/>
              <w:tr2bl w:val="nil"/>
            </w:tcBorders>
            <w:tcMar>
              <w:left w:w="40" w:type="dxa"/>
              <w:right w:w="40" w:type="dxa"/>
            </w:tcMar>
            <w:vAlign w:val="center"/>
          </w:tcPr>
          <w:p w14:paraId="6062AB0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3,044</w:t>
            </w:r>
          </w:p>
        </w:tc>
        <w:tc>
          <w:tcPr>
            <w:tcW w:w="1852" w:type="dxa"/>
            <w:tcBorders>
              <w:top w:val="nil"/>
              <w:left w:val="nil"/>
              <w:bottom w:val="nil"/>
              <w:right w:val="nil"/>
              <w:tl2br w:val="nil"/>
              <w:tr2bl w:val="nil"/>
            </w:tcBorders>
            <w:tcMar>
              <w:left w:w="40" w:type="dxa"/>
              <w:right w:w="40" w:type="dxa"/>
            </w:tcMar>
            <w:vAlign w:val="center"/>
          </w:tcPr>
          <w:p w14:paraId="44478B7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3,289</w:t>
            </w:r>
          </w:p>
        </w:tc>
      </w:tr>
      <w:tr w:rsidR="00FD1E19" w14:paraId="0243FEF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14:paraId="32F524B6" w14:textId="77777777" w:rsidR="00FD1E19" w:rsidRDefault="00FD1E19" w:rsidP="00BE7E4A">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14:paraId="018E2C9E" w14:textId="77777777" w:rsidR="00FD1E19" w:rsidRDefault="00FD1E19" w:rsidP="00BE7E4A">
            <w:pPr>
              <w:suppressAutoHyphens/>
              <w:jc w:val="center"/>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14:paraId="46525C5A" w14:textId="77777777" w:rsidR="00FD1E19" w:rsidRDefault="00FD1E19" w:rsidP="00BE7E4A">
            <w:pPr>
              <w:suppressAutoHyphens/>
              <w:jc w:val="right"/>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14:paraId="60ADAFF4" w14:textId="77777777" w:rsidR="00FD1E19" w:rsidRDefault="00FD1E19" w:rsidP="00BE7E4A">
            <w:pPr>
              <w:suppressAutoHyphens/>
              <w:jc w:val="right"/>
              <w:rPr>
                <w:rFonts w:ascii="Arial" w:eastAsia="Arial" w:hAnsi="Arial" w:cs="Arial"/>
                <w:noProof/>
                <w:color w:val="000000"/>
                <w:sz w:val="16"/>
                <w:lang w:eastAsia="ar-SA"/>
              </w:rPr>
            </w:pPr>
          </w:p>
        </w:tc>
      </w:tr>
      <w:tr w:rsidR="00FD1E19" w14:paraId="41B5293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0599A6C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liabilities</w:t>
            </w:r>
          </w:p>
        </w:tc>
        <w:tc>
          <w:tcPr>
            <w:tcW w:w="1109" w:type="dxa"/>
            <w:tcBorders>
              <w:top w:val="nil"/>
              <w:left w:val="nil"/>
              <w:bottom w:val="nil"/>
              <w:right w:val="nil"/>
              <w:tl2br w:val="nil"/>
              <w:tr2bl w:val="nil"/>
            </w:tcBorders>
            <w:noWrap/>
            <w:tcMar>
              <w:left w:w="0" w:type="dxa"/>
              <w:right w:w="0" w:type="dxa"/>
            </w:tcMar>
            <w:vAlign w:val="center"/>
          </w:tcPr>
          <w:p w14:paraId="729FA743" w14:textId="77777777" w:rsidR="00FD1E19" w:rsidRDefault="00FD1E19" w:rsidP="00BE7E4A">
            <w:pPr>
              <w:suppressAutoHyphens/>
              <w:jc w:val="center"/>
              <w:rPr>
                <w:rFonts w:ascii="Arial" w:eastAsia="Arial" w:hAnsi="Arial" w:cs="Arial"/>
                <w:b/>
                <w:noProof/>
                <w:color w:val="000000"/>
                <w:sz w:val="16"/>
                <w:lang w:eastAsia="ar-SA"/>
              </w:rPr>
            </w:pP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14:paraId="71E0A20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724,031</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14:paraId="51B5ACD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674,627</w:t>
            </w:r>
          </w:p>
        </w:tc>
      </w:tr>
      <w:tr w:rsidR="00FD1E19" w14:paraId="31EA9C3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14:paraId="5DFA429F" w14:textId="77777777" w:rsidR="00FD1E19" w:rsidRDefault="00FD1E19" w:rsidP="00BE7E4A">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noWrap/>
            <w:tcMar>
              <w:left w:w="0" w:type="dxa"/>
              <w:right w:w="0" w:type="dxa"/>
            </w:tcMar>
            <w:vAlign w:val="center"/>
          </w:tcPr>
          <w:p w14:paraId="64DAB755" w14:textId="77777777" w:rsidR="00FD1E19" w:rsidRDefault="00FD1E19" w:rsidP="00BE7E4A">
            <w:pPr>
              <w:suppressAutoHyphens/>
              <w:jc w:val="center"/>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14:paraId="35B83576" w14:textId="77777777" w:rsidR="00FD1E19" w:rsidRDefault="00FD1E19" w:rsidP="00BE7E4A">
            <w:pPr>
              <w:suppressAutoHyphens/>
              <w:jc w:val="right"/>
              <w:rPr>
                <w:rFonts w:ascii="Arial" w:eastAsia="Arial" w:hAnsi="Arial" w:cs="Arial"/>
                <w:noProof/>
                <w:color w:val="000000"/>
                <w:sz w:val="16"/>
                <w:lang w:eastAsia="ar-SA"/>
              </w:rPr>
            </w:pPr>
          </w:p>
        </w:tc>
        <w:tc>
          <w:tcPr>
            <w:tcW w:w="1852" w:type="dxa"/>
            <w:tcBorders>
              <w:top w:val="nil"/>
              <w:left w:val="nil"/>
              <w:bottom w:val="single" w:sz="4" w:space="0" w:color="000000"/>
              <w:right w:val="nil"/>
              <w:tl2br w:val="nil"/>
              <w:tr2bl w:val="nil"/>
            </w:tcBorders>
            <w:tcMar>
              <w:left w:w="0" w:type="dxa"/>
              <w:right w:w="0" w:type="dxa"/>
            </w:tcMar>
            <w:vAlign w:val="center"/>
          </w:tcPr>
          <w:p w14:paraId="76E7B3D3" w14:textId="77777777" w:rsidR="00FD1E19" w:rsidRDefault="00FD1E19" w:rsidP="00BE7E4A">
            <w:pPr>
              <w:suppressAutoHyphens/>
              <w:jc w:val="right"/>
              <w:rPr>
                <w:rFonts w:ascii="Arial" w:eastAsia="Arial" w:hAnsi="Arial" w:cs="Arial"/>
                <w:noProof/>
                <w:color w:val="000000"/>
                <w:sz w:val="16"/>
                <w:lang w:eastAsia="ar-SA"/>
              </w:rPr>
            </w:pPr>
          </w:p>
        </w:tc>
      </w:tr>
      <w:tr w:rsidR="00FD1E19" w14:paraId="4CF84C8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40" w:type="dxa"/>
              <w:right w:w="40" w:type="dxa"/>
            </w:tcMar>
            <w:vAlign w:val="center"/>
          </w:tcPr>
          <w:p w14:paraId="1076C51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Contributors' resources</w:t>
            </w:r>
          </w:p>
        </w:tc>
        <w:tc>
          <w:tcPr>
            <w:tcW w:w="1109" w:type="dxa"/>
            <w:tcBorders>
              <w:top w:val="nil"/>
              <w:left w:val="nil"/>
              <w:bottom w:val="nil"/>
              <w:right w:val="nil"/>
              <w:tl2br w:val="nil"/>
              <w:tr2bl w:val="nil"/>
            </w:tcBorders>
            <w:noWrap/>
            <w:tcMar>
              <w:left w:w="40" w:type="dxa"/>
              <w:right w:w="40" w:type="dxa"/>
            </w:tcMar>
            <w:vAlign w:val="center"/>
          </w:tcPr>
          <w:p w14:paraId="3772D8AB"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16/17</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14:paraId="4BEEFA8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2,795,195</w:t>
            </w:r>
          </w:p>
        </w:tc>
        <w:tc>
          <w:tcPr>
            <w:tcW w:w="1852" w:type="dxa"/>
            <w:tcBorders>
              <w:top w:val="single" w:sz="4" w:space="0" w:color="000000"/>
              <w:left w:val="nil"/>
              <w:bottom w:val="single" w:sz="4" w:space="0" w:color="000000"/>
              <w:right w:val="nil"/>
              <w:tl2br w:val="nil"/>
              <w:tr2bl w:val="nil"/>
            </w:tcBorders>
            <w:tcMar>
              <w:left w:w="40" w:type="dxa"/>
              <w:right w:w="40" w:type="dxa"/>
            </w:tcMar>
            <w:vAlign w:val="center"/>
          </w:tcPr>
          <w:p w14:paraId="2A0CED4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3,304,911</w:t>
            </w:r>
          </w:p>
        </w:tc>
      </w:tr>
      <w:tr w:rsidR="00FD1E19" w14:paraId="0D793B9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tcMar>
              <w:left w:w="0" w:type="dxa"/>
              <w:right w:w="0" w:type="dxa"/>
            </w:tcMar>
            <w:vAlign w:val="center"/>
          </w:tcPr>
          <w:p w14:paraId="6C9DDC85" w14:textId="77777777" w:rsidR="00FD1E19" w:rsidRDefault="00FD1E19" w:rsidP="00BE7E4A">
            <w:pPr>
              <w:suppressAutoHyphens/>
              <w:rPr>
                <w:rFonts w:ascii="Arial" w:eastAsia="Arial" w:hAnsi="Arial" w:cs="Arial"/>
                <w:noProof/>
                <w:color w:val="000000"/>
                <w:sz w:val="16"/>
                <w:lang w:eastAsia="ar-SA"/>
              </w:rPr>
            </w:pPr>
          </w:p>
        </w:tc>
        <w:tc>
          <w:tcPr>
            <w:tcW w:w="1109" w:type="dxa"/>
            <w:tcBorders>
              <w:top w:val="nil"/>
              <w:left w:val="nil"/>
              <w:bottom w:val="nil"/>
              <w:right w:val="nil"/>
              <w:tl2br w:val="nil"/>
              <w:tr2bl w:val="nil"/>
            </w:tcBorders>
            <w:tcMar>
              <w:left w:w="0" w:type="dxa"/>
              <w:right w:w="0" w:type="dxa"/>
            </w:tcMar>
            <w:vAlign w:val="center"/>
          </w:tcPr>
          <w:p w14:paraId="7F21BA99" w14:textId="77777777" w:rsidR="00FD1E19" w:rsidRDefault="00FD1E19" w:rsidP="00BE7E4A">
            <w:pPr>
              <w:suppressAutoHyphens/>
              <w:jc w:val="center"/>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14:paraId="4C006928" w14:textId="77777777" w:rsidR="00FD1E19" w:rsidRDefault="00FD1E19" w:rsidP="00BE7E4A">
            <w:pPr>
              <w:suppressAutoHyphens/>
              <w:jc w:val="right"/>
              <w:rPr>
                <w:rFonts w:ascii="Arial" w:eastAsia="Arial" w:hAnsi="Arial" w:cs="Arial"/>
                <w:noProof/>
                <w:color w:val="000000"/>
                <w:sz w:val="16"/>
                <w:lang w:eastAsia="ar-SA"/>
              </w:rPr>
            </w:pPr>
          </w:p>
        </w:tc>
        <w:tc>
          <w:tcPr>
            <w:tcW w:w="1852" w:type="dxa"/>
            <w:tcBorders>
              <w:top w:val="single" w:sz="4" w:space="0" w:color="000000"/>
              <w:left w:val="nil"/>
              <w:bottom w:val="nil"/>
              <w:right w:val="nil"/>
              <w:tl2br w:val="nil"/>
              <w:tr2bl w:val="nil"/>
            </w:tcBorders>
            <w:tcMar>
              <w:left w:w="0" w:type="dxa"/>
              <w:right w:w="0" w:type="dxa"/>
            </w:tcMar>
            <w:vAlign w:val="center"/>
          </w:tcPr>
          <w:p w14:paraId="46CEFAD3" w14:textId="77777777" w:rsidR="00FD1E19" w:rsidRDefault="00FD1E19" w:rsidP="00BE7E4A">
            <w:pPr>
              <w:suppressAutoHyphens/>
              <w:jc w:val="right"/>
              <w:rPr>
                <w:rFonts w:ascii="Arial" w:eastAsia="Arial" w:hAnsi="Arial" w:cs="Arial"/>
                <w:noProof/>
                <w:color w:val="000000"/>
                <w:sz w:val="16"/>
                <w:lang w:eastAsia="ar-SA"/>
              </w:rPr>
            </w:pPr>
          </w:p>
        </w:tc>
      </w:tr>
      <w:tr w:rsidR="00FD1E19" w14:paraId="695CD3B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865" w:type="dxa"/>
            <w:tcBorders>
              <w:top w:val="nil"/>
              <w:left w:val="nil"/>
              <w:bottom w:val="nil"/>
              <w:right w:val="nil"/>
              <w:tl2br w:val="nil"/>
              <w:tr2bl w:val="nil"/>
            </w:tcBorders>
            <w:shd w:val="clear" w:color="FFFFFF" w:fill="C0C0C0"/>
            <w:tcMar>
              <w:left w:w="40" w:type="dxa"/>
              <w:right w:w="40" w:type="dxa"/>
            </w:tcMar>
            <w:vAlign w:val="center"/>
          </w:tcPr>
          <w:p w14:paraId="7EEF8F2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liabilities and contributors' resources</w:t>
            </w:r>
          </w:p>
          <w:p w14:paraId="4754BF90" w14:textId="77777777" w:rsidR="00FD1E19" w:rsidRPr="00ED5898" w:rsidRDefault="00FD1E19" w:rsidP="00BE7E4A">
            <w:pPr>
              <w:rPr>
                <w:rFonts w:ascii="Arial" w:eastAsia="Arial" w:hAnsi="Arial" w:cs="Arial"/>
                <w:noProof/>
                <w:sz w:val="16"/>
                <w:lang w:eastAsia="ar-SA"/>
              </w:rPr>
            </w:pPr>
          </w:p>
          <w:p w14:paraId="1945C7DD" w14:textId="77777777" w:rsidR="00FD1E19" w:rsidRPr="00ED5898" w:rsidRDefault="00FD1E19" w:rsidP="00BE7E4A">
            <w:pPr>
              <w:rPr>
                <w:rFonts w:ascii="Arial" w:eastAsia="Arial" w:hAnsi="Arial" w:cs="Arial"/>
                <w:noProof/>
                <w:sz w:val="16"/>
                <w:lang w:eastAsia="ar-SA"/>
              </w:rPr>
            </w:pPr>
          </w:p>
          <w:p w14:paraId="251126E1" w14:textId="77777777" w:rsidR="00FD1E19" w:rsidRPr="00ED5898" w:rsidRDefault="00FD1E19" w:rsidP="00BE7E4A">
            <w:pPr>
              <w:rPr>
                <w:rFonts w:ascii="Arial" w:eastAsia="Arial" w:hAnsi="Arial" w:cs="Arial"/>
                <w:noProof/>
                <w:sz w:val="16"/>
                <w:lang w:eastAsia="ar-SA"/>
              </w:rPr>
            </w:pPr>
          </w:p>
          <w:p w14:paraId="1E0D450E" w14:textId="77777777" w:rsidR="00FD1E19" w:rsidRPr="00ED5898" w:rsidRDefault="00FD1E19" w:rsidP="00BE7E4A">
            <w:pPr>
              <w:rPr>
                <w:rFonts w:ascii="Arial" w:eastAsia="Arial" w:hAnsi="Arial" w:cs="Arial"/>
                <w:noProof/>
                <w:sz w:val="16"/>
                <w:lang w:eastAsia="ar-SA"/>
              </w:rPr>
            </w:pPr>
          </w:p>
          <w:p w14:paraId="7E1EF037" w14:textId="77777777" w:rsidR="00FD1E19" w:rsidRPr="00ED5898" w:rsidRDefault="00FD1E19" w:rsidP="00BE7E4A">
            <w:pPr>
              <w:rPr>
                <w:rFonts w:ascii="Arial" w:eastAsia="Arial" w:hAnsi="Arial" w:cs="Arial"/>
                <w:noProof/>
                <w:sz w:val="16"/>
                <w:lang w:eastAsia="ar-SA"/>
              </w:rPr>
            </w:pPr>
          </w:p>
          <w:p w14:paraId="03F26EC9" w14:textId="77777777" w:rsidR="00FD1E19" w:rsidRPr="00ED5898" w:rsidRDefault="00FD1E19" w:rsidP="00BE7E4A">
            <w:pPr>
              <w:rPr>
                <w:rFonts w:ascii="Arial" w:eastAsia="Arial" w:hAnsi="Arial" w:cs="Arial"/>
                <w:noProof/>
                <w:sz w:val="16"/>
                <w:lang w:eastAsia="ar-SA"/>
              </w:rPr>
            </w:pPr>
          </w:p>
          <w:p w14:paraId="0690D1CA" w14:textId="77777777" w:rsidR="00FD1E19" w:rsidRPr="00ED5898" w:rsidRDefault="00FD1E19" w:rsidP="00BE7E4A">
            <w:pPr>
              <w:rPr>
                <w:rFonts w:ascii="Arial" w:eastAsia="Arial" w:hAnsi="Arial" w:cs="Arial"/>
                <w:noProof/>
                <w:sz w:val="16"/>
                <w:lang w:eastAsia="ar-SA"/>
              </w:rPr>
            </w:pPr>
          </w:p>
          <w:p w14:paraId="7CCCF1C5" w14:textId="77777777" w:rsidR="00FD1E19" w:rsidRPr="00ED5898" w:rsidRDefault="00FD1E19" w:rsidP="00BE7E4A">
            <w:pPr>
              <w:rPr>
                <w:rFonts w:ascii="Arial" w:eastAsia="Arial" w:hAnsi="Arial" w:cs="Arial"/>
                <w:noProof/>
                <w:sz w:val="16"/>
                <w:lang w:eastAsia="ar-SA"/>
              </w:rPr>
            </w:pPr>
          </w:p>
          <w:p w14:paraId="5D640608" w14:textId="77777777" w:rsidR="00FD1E19" w:rsidRPr="00ED5898" w:rsidRDefault="00FD1E19" w:rsidP="00BE7E4A">
            <w:pPr>
              <w:rPr>
                <w:rFonts w:ascii="Arial" w:eastAsia="Arial" w:hAnsi="Arial" w:cs="Arial"/>
                <w:noProof/>
                <w:sz w:val="16"/>
                <w:lang w:eastAsia="ar-SA"/>
              </w:rPr>
            </w:pPr>
          </w:p>
          <w:p w14:paraId="6148374C" w14:textId="77777777" w:rsidR="00FD1E19" w:rsidRPr="00ED5898" w:rsidRDefault="00FD1E19" w:rsidP="00BE7E4A">
            <w:pPr>
              <w:rPr>
                <w:rFonts w:ascii="Arial" w:eastAsia="Arial" w:hAnsi="Arial" w:cs="Arial"/>
                <w:noProof/>
                <w:sz w:val="16"/>
                <w:lang w:eastAsia="ar-SA"/>
              </w:rPr>
            </w:pPr>
          </w:p>
          <w:p w14:paraId="2A7E4902" w14:textId="77777777" w:rsidR="00FD1E19" w:rsidRPr="00ED5898" w:rsidRDefault="00FD1E19" w:rsidP="00BE7E4A">
            <w:pPr>
              <w:rPr>
                <w:rFonts w:ascii="Arial" w:eastAsia="Arial" w:hAnsi="Arial" w:cs="Arial"/>
                <w:noProof/>
                <w:sz w:val="16"/>
                <w:lang w:eastAsia="ar-SA"/>
              </w:rPr>
            </w:pPr>
          </w:p>
          <w:p w14:paraId="49C3A8DE" w14:textId="77777777" w:rsidR="00FD1E19" w:rsidRPr="00ED5898" w:rsidRDefault="00FD1E19" w:rsidP="00BE7E4A">
            <w:pPr>
              <w:rPr>
                <w:rFonts w:ascii="Arial" w:eastAsia="Arial" w:hAnsi="Arial" w:cs="Arial"/>
                <w:noProof/>
                <w:sz w:val="16"/>
                <w:lang w:eastAsia="ar-SA"/>
              </w:rPr>
            </w:pPr>
          </w:p>
          <w:p w14:paraId="72323000" w14:textId="77777777" w:rsidR="00FD1E19" w:rsidRPr="00ED5898" w:rsidRDefault="00FD1E19" w:rsidP="00BE7E4A">
            <w:pPr>
              <w:rPr>
                <w:rFonts w:ascii="Arial" w:eastAsia="Arial" w:hAnsi="Arial" w:cs="Arial"/>
                <w:noProof/>
                <w:sz w:val="16"/>
                <w:lang w:eastAsia="ar-SA"/>
              </w:rPr>
            </w:pPr>
          </w:p>
          <w:p w14:paraId="0A686AA9" w14:textId="77777777" w:rsidR="00FD1E19" w:rsidRPr="00ED5898" w:rsidRDefault="00FD1E19" w:rsidP="00BE7E4A">
            <w:pPr>
              <w:rPr>
                <w:rFonts w:ascii="Arial" w:eastAsia="Arial" w:hAnsi="Arial" w:cs="Arial"/>
                <w:noProof/>
                <w:sz w:val="16"/>
                <w:lang w:eastAsia="ar-SA"/>
              </w:rPr>
            </w:pPr>
          </w:p>
          <w:p w14:paraId="62D09635" w14:textId="77777777" w:rsidR="00FD1E19" w:rsidRPr="00ED5898" w:rsidRDefault="00FD1E19" w:rsidP="00BE7E4A">
            <w:pPr>
              <w:rPr>
                <w:rFonts w:ascii="Arial" w:eastAsia="Arial" w:hAnsi="Arial" w:cs="Arial"/>
                <w:noProof/>
                <w:sz w:val="16"/>
                <w:lang w:eastAsia="ar-SA"/>
              </w:rPr>
            </w:pPr>
          </w:p>
          <w:p w14:paraId="771F4DA9" w14:textId="77777777" w:rsidR="00FD1E19" w:rsidRPr="00ED5898" w:rsidRDefault="00FD1E19" w:rsidP="00BE7E4A">
            <w:pPr>
              <w:rPr>
                <w:rFonts w:ascii="Arial" w:eastAsia="Arial" w:hAnsi="Arial" w:cs="Arial"/>
                <w:noProof/>
                <w:sz w:val="16"/>
                <w:lang w:eastAsia="ar-SA"/>
              </w:rPr>
            </w:pPr>
          </w:p>
          <w:p w14:paraId="06F34781" w14:textId="77777777" w:rsidR="00FD1E19" w:rsidRPr="00ED5898" w:rsidRDefault="00FD1E19" w:rsidP="00BE7E4A">
            <w:pPr>
              <w:rPr>
                <w:rFonts w:ascii="Arial" w:eastAsia="Arial" w:hAnsi="Arial" w:cs="Arial"/>
                <w:noProof/>
                <w:sz w:val="16"/>
                <w:lang w:eastAsia="ar-SA"/>
              </w:rPr>
            </w:pPr>
          </w:p>
          <w:p w14:paraId="3E0AE420" w14:textId="77777777" w:rsidR="00FD1E19" w:rsidRPr="00ED5898" w:rsidRDefault="00FD1E19" w:rsidP="00BE7E4A">
            <w:pPr>
              <w:rPr>
                <w:rFonts w:ascii="Arial" w:eastAsia="Arial" w:hAnsi="Arial" w:cs="Arial"/>
                <w:noProof/>
                <w:sz w:val="16"/>
                <w:lang w:eastAsia="ar-SA"/>
              </w:rPr>
            </w:pPr>
          </w:p>
          <w:p w14:paraId="42DE654F" w14:textId="77777777" w:rsidR="00FD1E19" w:rsidRPr="00ED5898" w:rsidRDefault="00FD1E19" w:rsidP="00BE7E4A">
            <w:pPr>
              <w:rPr>
                <w:rFonts w:ascii="Arial" w:eastAsia="Arial" w:hAnsi="Arial" w:cs="Arial"/>
                <w:noProof/>
                <w:sz w:val="16"/>
                <w:lang w:eastAsia="ar-SA"/>
              </w:rPr>
            </w:pPr>
          </w:p>
          <w:p w14:paraId="68E15EB0" w14:textId="77777777" w:rsidR="00FD1E19" w:rsidRPr="00ED5898" w:rsidRDefault="00FD1E19" w:rsidP="00BE7E4A">
            <w:pPr>
              <w:rPr>
                <w:rFonts w:ascii="Arial" w:eastAsia="Arial" w:hAnsi="Arial" w:cs="Arial"/>
                <w:noProof/>
                <w:sz w:val="16"/>
                <w:lang w:eastAsia="ar-SA"/>
              </w:rPr>
            </w:pPr>
          </w:p>
          <w:p w14:paraId="28FA81B9" w14:textId="77777777" w:rsidR="00FD1E19" w:rsidRPr="00ED5898" w:rsidRDefault="00FD1E19" w:rsidP="00BE7E4A">
            <w:pPr>
              <w:rPr>
                <w:rFonts w:ascii="Arial" w:eastAsia="Arial" w:hAnsi="Arial" w:cs="Arial"/>
                <w:noProof/>
                <w:sz w:val="16"/>
                <w:lang w:eastAsia="ar-SA"/>
              </w:rPr>
            </w:pPr>
          </w:p>
          <w:p w14:paraId="2D4F4C62" w14:textId="77777777" w:rsidR="00FD1E19" w:rsidRPr="00ED5898" w:rsidRDefault="00FD1E19" w:rsidP="00BE7E4A">
            <w:pPr>
              <w:rPr>
                <w:rFonts w:ascii="Arial" w:eastAsia="Arial" w:hAnsi="Arial" w:cs="Arial"/>
                <w:noProof/>
                <w:sz w:val="16"/>
                <w:lang w:eastAsia="ar-SA"/>
              </w:rPr>
            </w:pPr>
          </w:p>
          <w:p w14:paraId="56320B97" w14:textId="77777777" w:rsidR="00FD1E19" w:rsidRPr="00ED5898" w:rsidRDefault="00FD1E19" w:rsidP="00BE7E4A">
            <w:pPr>
              <w:rPr>
                <w:rFonts w:ascii="Arial" w:eastAsia="Arial" w:hAnsi="Arial" w:cs="Arial"/>
                <w:noProof/>
                <w:sz w:val="16"/>
                <w:lang w:eastAsia="ar-SA"/>
              </w:rPr>
            </w:pPr>
          </w:p>
          <w:p w14:paraId="58F37E57" w14:textId="77777777" w:rsidR="00FD1E19" w:rsidRPr="00ED5898" w:rsidRDefault="00FD1E19" w:rsidP="00BE7E4A">
            <w:pPr>
              <w:rPr>
                <w:rFonts w:ascii="Arial" w:eastAsia="Arial" w:hAnsi="Arial" w:cs="Arial"/>
                <w:noProof/>
                <w:sz w:val="16"/>
                <w:lang w:eastAsia="ar-SA"/>
              </w:rPr>
            </w:pPr>
          </w:p>
          <w:p w14:paraId="1042AB52" w14:textId="77777777" w:rsidR="00FD1E19" w:rsidRPr="00ED5898" w:rsidRDefault="00FD1E19" w:rsidP="00BE7E4A">
            <w:pPr>
              <w:rPr>
                <w:rFonts w:ascii="Arial" w:eastAsia="Arial" w:hAnsi="Arial" w:cs="Arial"/>
                <w:noProof/>
                <w:sz w:val="16"/>
                <w:lang w:eastAsia="ar-SA"/>
              </w:rPr>
            </w:pPr>
          </w:p>
          <w:p w14:paraId="68B328DA" w14:textId="77777777" w:rsidR="00FD1E19" w:rsidRPr="00ED5898" w:rsidRDefault="00FD1E19" w:rsidP="00BE7E4A">
            <w:pPr>
              <w:rPr>
                <w:rFonts w:ascii="Arial" w:eastAsia="Arial" w:hAnsi="Arial" w:cs="Arial"/>
                <w:noProof/>
                <w:sz w:val="16"/>
                <w:lang w:eastAsia="ar-SA"/>
              </w:rPr>
            </w:pPr>
          </w:p>
          <w:p w14:paraId="3C3318A6" w14:textId="77777777" w:rsidR="00FD1E19" w:rsidRPr="00ED5898" w:rsidRDefault="00FD1E19" w:rsidP="00BE7E4A">
            <w:pPr>
              <w:rPr>
                <w:rFonts w:ascii="Arial" w:eastAsia="Arial" w:hAnsi="Arial" w:cs="Arial"/>
                <w:noProof/>
                <w:sz w:val="16"/>
                <w:lang w:eastAsia="ar-SA"/>
              </w:rPr>
            </w:pPr>
          </w:p>
          <w:p w14:paraId="0F456FE6" w14:textId="77777777" w:rsidR="00FD1E19" w:rsidRPr="00ED5898" w:rsidRDefault="00FD1E19" w:rsidP="00BE7E4A">
            <w:pPr>
              <w:rPr>
                <w:rFonts w:ascii="Arial" w:eastAsia="Arial" w:hAnsi="Arial" w:cs="Arial"/>
                <w:noProof/>
                <w:sz w:val="16"/>
                <w:lang w:eastAsia="ar-SA"/>
              </w:rPr>
            </w:pPr>
          </w:p>
          <w:p w14:paraId="75E28AFD" w14:textId="77777777" w:rsidR="00FD1E19" w:rsidRPr="00ED5898" w:rsidRDefault="00FD1E19" w:rsidP="00BE7E4A">
            <w:pPr>
              <w:rPr>
                <w:rFonts w:ascii="Arial" w:eastAsia="Arial" w:hAnsi="Arial" w:cs="Arial"/>
                <w:noProof/>
                <w:sz w:val="16"/>
                <w:lang w:eastAsia="ar-SA"/>
              </w:rPr>
            </w:pPr>
          </w:p>
          <w:p w14:paraId="0EFB1435" w14:textId="77777777" w:rsidR="00FD1E19" w:rsidRPr="00ED5898" w:rsidRDefault="00FD1E19" w:rsidP="00BE7E4A">
            <w:pPr>
              <w:rPr>
                <w:rFonts w:ascii="Arial" w:eastAsia="Arial" w:hAnsi="Arial" w:cs="Arial"/>
                <w:noProof/>
                <w:sz w:val="16"/>
                <w:lang w:eastAsia="ar-SA"/>
              </w:rPr>
            </w:pPr>
          </w:p>
          <w:p w14:paraId="5142F850" w14:textId="77777777" w:rsidR="00FD1E19" w:rsidRPr="00ED5898" w:rsidRDefault="00FD1E19" w:rsidP="00BE7E4A">
            <w:pPr>
              <w:rPr>
                <w:rFonts w:ascii="Arial" w:eastAsia="Arial" w:hAnsi="Arial" w:cs="Arial"/>
                <w:noProof/>
                <w:sz w:val="16"/>
                <w:lang w:eastAsia="ar-SA"/>
              </w:rPr>
            </w:pPr>
          </w:p>
          <w:p w14:paraId="113D04B5" w14:textId="77777777" w:rsidR="00FD1E19" w:rsidRPr="00ED5898" w:rsidRDefault="00FD1E19" w:rsidP="00BE7E4A">
            <w:pPr>
              <w:rPr>
                <w:rFonts w:ascii="Arial" w:eastAsia="Arial" w:hAnsi="Arial" w:cs="Arial"/>
                <w:noProof/>
                <w:sz w:val="16"/>
                <w:lang w:eastAsia="ar-SA"/>
              </w:rPr>
            </w:pPr>
          </w:p>
          <w:p w14:paraId="6CEA5FF4" w14:textId="77777777" w:rsidR="00FD1E19" w:rsidRPr="00ED5898" w:rsidRDefault="00FD1E19" w:rsidP="00BE7E4A">
            <w:pPr>
              <w:rPr>
                <w:rFonts w:ascii="Arial" w:eastAsia="Arial" w:hAnsi="Arial" w:cs="Arial"/>
                <w:noProof/>
                <w:sz w:val="16"/>
                <w:lang w:eastAsia="ar-SA"/>
              </w:rPr>
            </w:pPr>
          </w:p>
          <w:p w14:paraId="7670096D" w14:textId="77777777" w:rsidR="00FD1E19" w:rsidRPr="00ED5898" w:rsidRDefault="00FD1E19" w:rsidP="00BE7E4A">
            <w:pPr>
              <w:rPr>
                <w:rFonts w:ascii="Arial" w:eastAsia="Arial" w:hAnsi="Arial" w:cs="Arial"/>
                <w:noProof/>
                <w:sz w:val="16"/>
                <w:lang w:eastAsia="ar-SA"/>
              </w:rPr>
            </w:pPr>
          </w:p>
        </w:tc>
        <w:tc>
          <w:tcPr>
            <w:tcW w:w="1109" w:type="dxa"/>
            <w:tcBorders>
              <w:top w:val="nil"/>
              <w:left w:val="nil"/>
              <w:bottom w:val="nil"/>
              <w:right w:val="nil"/>
              <w:tl2br w:val="nil"/>
              <w:tr2bl w:val="nil"/>
            </w:tcBorders>
            <w:shd w:val="clear" w:color="FFFFFF" w:fill="C0C0C0"/>
            <w:tcMar>
              <w:left w:w="0" w:type="dxa"/>
              <w:right w:w="0" w:type="dxa"/>
            </w:tcMar>
            <w:vAlign w:val="center"/>
          </w:tcPr>
          <w:p w14:paraId="4326891E" w14:textId="77777777" w:rsidR="00FD1E19" w:rsidRDefault="00FD1E19" w:rsidP="00BE7E4A">
            <w:pPr>
              <w:suppressAutoHyphens/>
              <w:jc w:val="center"/>
              <w:rPr>
                <w:rFonts w:ascii="Arial" w:eastAsia="Arial" w:hAnsi="Arial" w:cs="Arial"/>
                <w:b/>
                <w:noProof/>
                <w:color w:val="000000"/>
                <w:sz w:val="16"/>
                <w:lang w:eastAsia="ar-SA"/>
              </w:rPr>
            </w:pPr>
          </w:p>
        </w:tc>
        <w:tc>
          <w:tcPr>
            <w:tcW w:w="1852" w:type="dxa"/>
            <w:tcBorders>
              <w:top w:val="nil"/>
              <w:left w:val="nil"/>
              <w:bottom w:val="nil"/>
              <w:right w:val="nil"/>
              <w:tl2br w:val="nil"/>
              <w:tr2bl w:val="nil"/>
            </w:tcBorders>
            <w:shd w:val="clear" w:color="FFFFFF" w:fill="C0C0C0"/>
            <w:tcMar>
              <w:left w:w="40" w:type="dxa"/>
              <w:right w:w="40" w:type="dxa"/>
            </w:tcMar>
            <w:vAlign w:val="center"/>
          </w:tcPr>
          <w:p w14:paraId="38671AB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3,519,226</w:t>
            </w:r>
          </w:p>
        </w:tc>
        <w:tc>
          <w:tcPr>
            <w:tcW w:w="1852" w:type="dxa"/>
            <w:tcBorders>
              <w:top w:val="nil"/>
              <w:left w:val="nil"/>
              <w:bottom w:val="nil"/>
              <w:right w:val="nil"/>
              <w:tl2br w:val="nil"/>
              <w:tr2bl w:val="nil"/>
            </w:tcBorders>
            <w:shd w:val="clear" w:color="FFFFFF" w:fill="C0C0C0"/>
            <w:tcMar>
              <w:left w:w="40" w:type="dxa"/>
              <w:right w:w="40" w:type="dxa"/>
            </w:tcMar>
            <w:vAlign w:val="center"/>
          </w:tcPr>
          <w:p w14:paraId="6679B28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3,979,538</w:t>
            </w:r>
          </w:p>
          <w:p w14:paraId="65C1E3A4" w14:textId="77777777" w:rsidR="00FD1E19" w:rsidRPr="00066BF3" w:rsidRDefault="00FD1E19" w:rsidP="00BE7E4A">
            <w:pPr>
              <w:suppressAutoHyphens/>
              <w:rPr>
                <w:rFonts w:ascii="Arial" w:eastAsia="Arial" w:hAnsi="Arial" w:cs="Arial"/>
                <w:noProof/>
                <w:sz w:val="16"/>
                <w:lang w:eastAsia="ar-SA"/>
              </w:rPr>
            </w:pPr>
          </w:p>
          <w:p w14:paraId="5A46F02E" w14:textId="77777777" w:rsidR="00FD1E19" w:rsidRPr="00066BF3" w:rsidRDefault="00FD1E19" w:rsidP="00BE7E4A">
            <w:pPr>
              <w:suppressAutoHyphens/>
              <w:rPr>
                <w:rFonts w:ascii="Arial" w:eastAsia="Arial" w:hAnsi="Arial" w:cs="Arial"/>
                <w:noProof/>
                <w:sz w:val="16"/>
                <w:lang w:eastAsia="ar-SA"/>
              </w:rPr>
            </w:pPr>
          </w:p>
          <w:p w14:paraId="6E78FA3C" w14:textId="77777777" w:rsidR="00FD1E19" w:rsidRPr="00066BF3" w:rsidRDefault="00FD1E19" w:rsidP="00BE7E4A">
            <w:pPr>
              <w:suppressAutoHyphens/>
              <w:rPr>
                <w:rFonts w:ascii="Arial" w:eastAsia="Arial" w:hAnsi="Arial" w:cs="Arial"/>
                <w:noProof/>
                <w:sz w:val="16"/>
                <w:lang w:eastAsia="ar-SA"/>
              </w:rPr>
            </w:pPr>
          </w:p>
          <w:p w14:paraId="3224D4B9" w14:textId="77777777" w:rsidR="00FD1E19" w:rsidRPr="00066BF3" w:rsidRDefault="00FD1E19" w:rsidP="00BE7E4A">
            <w:pPr>
              <w:suppressAutoHyphens/>
              <w:rPr>
                <w:rFonts w:ascii="Arial" w:eastAsia="Arial" w:hAnsi="Arial" w:cs="Arial"/>
                <w:noProof/>
                <w:sz w:val="16"/>
                <w:lang w:eastAsia="ar-SA"/>
              </w:rPr>
            </w:pPr>
          </w:p>
          <w:p w14:paraId="4A0179AD" w14:textId="77777777" w:rsidR="00FD1E19" w:rsidRPr="00066BF3" w:rsidRDefault="00FD1E19" w:rsidP="00BE7E4A">
            <w:pPr>
              <w:suppressAutoHyphens/>
              <w:rPr>
                <w:rFonts w:ascii="Arial" w:eastAsia="Arial" w:hAnsi="Arial" w:cs="Arial"/>
                <w:noProof/>
                <w:sz w:val="16"/>
                <w:lang w:eastAsia="ar-SA"/>
              </w:rPr>
            </w:pPr>
          </w:p>
          <w:p w14:paraId="35A5ABBA" w14:textId="77777777" w:rsidR="00FD1E19" w:rsidRPr="00066BF3" w:rsidRDefault="00FD1E19" w:rsidP="00BE7E4A">
            <w:pPr>
              <w:suppressAutoHyphens/>
              <w:rPr>
                <w:rFonts w:ascii="Arial" w:eastAsia="Arial" w:hAnsi="Arial" w:cs="Arial"/>
                <w:noProof/>
                <w:sz w:val="16"/>
                <w:lang w:eastAsia="ar-SA"/>
              </w:rPr>
            </w:pPr>
          </w:p>
          <w:p w14:paraId="2FB9DC28" w14:textId="77777777" w:rsidR="00FD1E19" w:rsidRPr="00066BF3" w:rsidRDefault="00FD1E19" w:rsidP="00BE7E4A">
            <w:pPr>
              <w:suppressAutoHyphens/>
              <w:rPr>
                <w:rFonts w:ascii="Arial" w:eastAsia="Arial" w:hAnsi="Arial" w:cs="Arial"/>
                <w:noProof/>
                <w:sz w:val="16"/>
                <w:lang w:eastAsia="ar-SA"/>
              </w:rPr>
            </w:pPr>
          </w:p>
          <w:p w14:paraId="083FBF5B" w14:textId="77777777" w:rsidR="00FD1E19" w:rsidRPr="00066BF3" w:rsidRDefault="00FD1E19" w:rsidP="00BE7E4A">
            <w:pPr>
              <w:suppressAutoHyphens/>
              <w:rPr>
                <w:rFonts w:ascii="Arial" w:eastAsia="Arial" w:hAnsi="Arial" w:cs="Arial"/>
                <w:noProof/>
                <w:sz w:val="16"/>
                <w:lang w:eastAsia="ar-SA"/>
              </w:rPr>
            </w:pPr>
          </w:p>
          <w:p w14:paraId="109CAADA" w14:textId="77777777" w:rsidR="00FD1E19" w:rsidRPr="00066BF3" w:rsidRDefault="00FD1E19" w:rsidP="00BE7E4A">
            <w:pPr>
              <w:suppressAutoHyphens/>
              <w:rPr>
                <w:rFonts w:ascii="Arial" w:eastAsia="Arial" w:hAnsi="Arial" w:cs="Arial"/>
                <w:noProof/>
                <w:sz w:val="16"/>
                <w:lang w:eastAsia="ar-SA"/>
              </w:rPr>
            </w:pPr>
          </w:p>
          <w:p w14:paraId="655327CA" w14:textId="77777777" w:rsidR="00FD1E19" w:rsidRPr="00066BF3" w:rsidRDefault="00FD1E19" w:rsidP="00BE7E4A">
            <w:pPr>
              <w:suppressAutoHyphens/>
              <w:rPr>
                <w:rFonts w:ascii="Arial" w:eastAsia="Arial" w:hAnsi="Arial" w:cs="Arial"/>
                <w:noProof/>
                <w:sz w:val="16"/>
                <w:lang w:eastAsia="ar-SA"/>
              </w:rPr>
            </w:pPr>
          </w:p>
          <w:p w14:paraId="422A4BDF" w14:textId="77777777" w:rsidR="00FD1E19" w:rsidRPr="00066BF3" w:rsidRDefault="00FD1E19" w:rsidP="00BE7E4A">
            <w:pPr>
              <w:suppressAutoHyphens/>
              <w:rPr>
                <w:rFonts w:ascii="Arial" w:eastAsia="Arial" w:hAnsi="Arial" w:cs="Arial"/>
                <w:noProof/>
                <w:sz w:val="16"/>
                <w:lang w:eastAsia="ar-SA"/>
              </w:rPr>
            </w:pPr>
          </w:p>
          <w:p w14:paraId="6BAD7B88" w14:textId="77777777" w:rsidR="00FD1E19" w:rsidRPr="00066BF3" w:rsidRDefault="00FD1E19" w:rsidP="00BE7E4A">
            <w:pPr>
              <w:suppressAutoHyphens/>
              <w:rPr>
                <w:rFonts w:ascii="Arial" w:eastAsia="Arial" w:hAnsi="Arial" w:cs="Arial"/>
                <w:noProof/>
                <w:sz w:val="16"/>
                <w:lang w:eastAsia="ar-SA"/>
              </w:rPr>
            </w:pPr>
          </w:p>
          <w:p w14:paraId="79690238" w14:textId="77777777" w:rsidR="00FD1E19" w:rsidRPr="00066BF3" w:rsidRDefault="00FD1E19" w:rsidP="00BE7E4A">
            <w:pPr>
              <w:suppressAutoHyphens/>
              <w:rPr>
                <w:rFonts w:ascii="Arial" w:eastAsia="Arial" w:hAnsi="Arial" w:cs="Arial"/>
                <w:noProof/>
                <w:sz w:val="16"/>
                <w:lang w:eastAsia="ar-SA"/>
              </w:rPr>
            </w:pPr>
          </w:p>
          <w:p w14:paraId="4C871B40" w14:textId="77777777" w:rsidR="00FD1E19" w:rsidRPr="00066BF3" w:rsidRDefault="00FD1E19" w:rsidP="00BE7E4A">
            <w:pPr>
              <w:suppressAutoHyphens/>
              <w:rPr>
                <w:rFonts w:ascii="Arial" w:eastAsia="Arial" w:hAnsi="Arial" w:cs="Arial"/>
                <w:noProof/>
                <w:sz w:val="16"/>
                <w:lang w:eastAsia="ar-SA"/>
              </w:rPr>
            </w:pPr>
          </w:p>
          <w:p w14:paraId="762D384B" w14:textId="77777777" w:rsidR="00FD1E19" w:rsidRPr="00066BF3" w:rsidRDefault="00FD1E19" w:rsidP="00BE7E4A">
            <w:pPr>
              <w:suppressAutoHyphens/>
              <w:rPr>
                <w:rFonts w:ascii="Arial" w:eastAsia="Arial" w:hAnsi="Arial" w:cs="Arial"/>
                <w:noProof/>
                <w:sz w:val="16"/>
                <w:lang w:eastAsia="ar-SA"/>
              </w:rPr>
            </w:pPr>
          </w:p>
          <w:p w14:paraId="3FD5917A" w14:textId="77777777" w:rsidR="00FD1E19" w:rsidRPr="00066BF3" w:rsidRDefault="00FD1E19" w:rsidP="00BE7E4A">
            <w:pPr>
              <w:suppressAutoHyphens/>
              <w:rPr>
                <w:rFonts w:ascii="Arial" w:eastAsia="Arial" w:hAnsi="Arial" w:cs="Arial"/>
                <w:noProof/>
                <w:sz w:val="16"/>
                <w:lang w:eastAsia="ar-SA"/>
              </w:rPr>
            </w:pPr>
          </w:p>
          <w:p w14:paraId="7F3AD573" w14:textId="77777777" w:rsidR="00FD1E19" w:rsidRPr="00066BF3" w:rsidRDefault="00FD1E19" w:rsidP="00BE7E4A">
            <w:pPr>
              <w:suppressAutoHyphens/>
              <w:rPr>
                <w:rFonts w:ascii="Arial" w:eastAsia="Arial" w:hAnsi="Arial" w:cs="Arial"/>
                <w:noProof/>
                <w:sz w:val="16"/>
                <w:lang w:eastAsia="ar-SA"/>
              </w:rPr>
            </w:pPr>
          </w:p>
          <w:p w14:paraId="0F1B9EB5" w14:textId="77777777" w:rsidR="00FD1E19" w:rsidRPr="00066BF3" w:rsidRDefault="00FD1E19" w:rsidP="00BE7E4A">
            <w:pPr>
              <w:suppressAutoHyphens/>
              <w:rPr>
                <w:rFonts w:ascii="Arial" w:eastAsia="Arial" w:hAnsi="Arial" w:cs="Arial"/>
                <w:noProof/>
                <w:sz w:val="16"/>
                <w:lang w:eastAsia="ar-SA"/>
              </w:rPr>
            </w:pPr>
          </w:p>
          <w:p w14:paraId="31A43808" w14:textId="77777777" w:rsidR="00FD1E19" w:rsidRPr="00066BF3" w:rsidRDefault="00FD1E19" w:rsidP="00BE7E4A">
            <w:pPr>
              <w:suppressAutoHyphens/>
              <w:rPr>
                <w:rFonts w:ascii="Arial" w:eastAsia="Arial" w:hAnsi="Arial" w:cs="Arial"/>
                <w:noProof/>
                <w:sz w:val="16"/>
                <w:lang w:eastAsia="ar-SA"/>
              </w:rPr>
            </w:pPr>
          </w:p>
          <w:p w14:paraId="0406602E" w14:textId="77777777" w:rsidR="00FD1E19" w:rsidRPr="00066BF3" w:rsidRDefault="00FD1E19" w:rsidP="00BE7E4A">
            <w:pPr>
              <w:suppressAutoHyphens/>
              <w:rPr>
                <w:rFonts w:ascii="Arial" w:eastAsia="Arial" w:hAnsi="Arial" w:cs="Arial"/>
                <w:noProof/>
                <w:sz w:val="16"/>
                <w:lang w:eastAsia="ar-SA"/>
              </w:rPr>
            </w:pPr>
          </w:p>
          <w:p w14:paraId="03A46CF4" w14:textId="77777777" w:rsidR="00FD1E19" w:rsidRPr="00066BF3" w:rsidRDefault="00FD1E19" w:rsidP="00BE7E4A">
            <w:pPr>
              <w:suppressAutoHyphens/>
              <w:rPr>
                <w:rFonts w:ascii="Arial" w:eastAsia="Arial" w:hAnsi="Arial" w:cs="Arial"/>
                <w:noProof/>
                <w:sz w:val="16"/>
                <w:lang w:eastAsia="ar-SA"/>
              </w:rPr>
            </w:pPr>
          </w:p>
          <w:p w14:paraId="55F46E82" w14:textId="77777777" w:rsidR="00FD1E19" w:rsidRPr="00066BF3" w:rsidRDefault="00FD1E19" w:rsidP="00BE7E4A">
            <w:pPr>
              <w:suppressAutoHyphens/>
              <w:rPr>
                <w:rFonts w:ascii="Arial" w:eastAsia="Arial" w:hAnsi="Arial" w:cs="Arial"/>
                <w:noProof/>
                <w:sz w:val="16"/>
                <w:lang w:eastAsia="ar-SA"/>
              </w:rPr>
            </w:pPr>
          </w:p>
          <w:p w14:paraId="1D404EF7" w14:textId="77777777" w:rsidR="00FD1E19" w:rsidRPr="00066BF3" w:rsidRDefault="00FD1E19" w:rsidP="00BE7E4A">
            <w:pPr>
              <w:suppressAutoHyphens/>
              <w:rPr>
                <w:rFonts w:ascii="Arial" w:eastAsia="Arial" w:hAnsi="Arial" w:cs="Arial"/>
                <w:noProof/>
                <w:sz w:val="16"/>
                <w:lang w:eastAsia="ar-SA"/>
              </w:rPr>
            </w:pPr>
          </w:p>
          <w:p w14:paraId="4722161F" w14:textId="77777777" w:rsidR="00FD1E19" w:rsidRPr="00066BF3" w:rsidRDefault="00FD1E19" w:rsidP="00BE7E4A">
            <w:pPr>
              <w:suppressAutoHyphens/>
              <w:rPr>
                <w:rFonts w:ascii="Arial" w:eastAsia="Arial" w:hAnsi="Arial" w:cs="Arial"/>
                <w:noProof/>
                <w:sz w:val="16"/>
                <w:lang w:eastAsia="ar-SA"/>
              </w:rPr>
            </w:pPr>
          </w:p>
          <w:p w14:paraId="01B78C8A" w14:textId="77777777" w:rsidR="00FD1E19" w:rsidRPr="00066BF3" w:rsidRDefault="00FD1E19" w:rsidP="00BE7E4A">
            <w:pPr>
              <w:suppressAutoHyphens/>
              <w:rPr>
                <w:rFonts w:ascii="Arial" w:eastAsia="Arial" w:hAnsi="Arial" w:cs="Arial"/>
                <w:noProof/>
                <w:sz w:val="16"/>
                <w:lang w:eastAsia="ar-SA"/>
              </w:rPr>
            </w:pPr>
          </w:p>
          <w:p w14:paraId="79974579" w14:textId="77777777" w:rsidR="00FD1E19" w:rsidRPr="00066BF3" w:rsidRDefault="00FD1E19" w:rsidP="00BE7E4A">
            <w:pPr>
              <w:suppressAutoHyphens/>
              <w:rPr>
                <w:rFonts w:ascii="Arial" w:eastAsia="Arial" w:hAnsi="Arial" w:cs="Arial"/>
                <w:noProof/>
                <w:sz w:val="16"/>
                <w:lang w:eastAsia="ar-SA"/>
              </w:rPr>
            </w:pPr>
          </w:p>
          <w:p w14:paraId="3B512DC4" w14:textId="77777777" w:rsidR="00FD1E19" w:rsidRPr="00066BF3" w:rsidRDefault="00FD1E19" w:rsidP="00BE7E4A">
            <w:pPr>
              <w:suppressAutoHyphens/>
              <w:rPr>
                <w:rFonts w:ascii="Arial" w:eastAsia="Arial" w:hAnsi="Arial" w:cs="Arial"/>
                <w:noProof/>
                <w:sz w:val="16"/>
                <w:lang w:eastAsia="ar-SA"/>
              </w:rPr>
            </w:pPr>
          </w:p>
          <w:p w14:paraId="34559DE2" w14:textId="77777777" w:rsidR="00FD1E19" w:rsidRPr="00066BF3" w:rsidRDefault="00FD1E19" w:rsidP="00BE7E4A">
            <w:pPr>
              <w:suppressAutoHyphens/>
              <w:rPr>
                <w:rFonts w:ascii="Arial" w:eastAsia="Arial" w:hAnsi="Arial" w:cs="Arial"/>
                <w:noProof/>
                <w:sz w:val="16"/>
                <w:lang w:eastAsia="ar-SA"/>
              </w:rPr>
            </w:pPr>
          </w:p>
          <w:p w14:paraId="5396AD3C" w14:textId="77777777" w:rsidR="00FD1E19" w:rsidRPr="00066BF3" w:rsidRDefault="00FD1E19" w:rsidP="00BE7E4A">
            <w:pPr>
              <w:suppressAutoHyphens/>
              <w:rPr>
                <w:rFonts w:ascii="Arial" w:eastAsia="Arial" w:hAnsi="Arial" w:cs="Arial"/>
                <w:noProof/>
                <w:sz w:val="16"/>
                <w:lang w:eastAsia="ar-SA"/>
              </w:rPr>
            </w:pPr>
          </w:p>
          <w:p w14:paraId="5680B13C" w14:textId="77777777" w:rsidR="00FD1E19" w:rsidRPr="00066BF3" w:rsidRDefault="00FD1E19" w:rsidP="00BE7E4A">
            <w:pPr>
              <w:suppressAutoHyphens/>
              <w:rPr>
                <w:rFonts w:ascii="Arial" w:eastAsia="Arial" w:hAnsi="Arial" w:cs="Arial"/>
                <w:noProof/>
                <w:sz w:val="16"/>
                <w:lang w:eastAsia="ar-SA"/>
              </w:rPr>
            </w:pPr>
          </w:p>
          <w:p w14:paraId="221C2DDB" w14:textId="77777777" w:rsidR="00FD1E19" w:rsidRPr="00066BF3" w:rsidRDefault="00FD1E19" w:rsidP="00BE7E4A">
            <w:pPr>
              <w:suppressAutoHyphens/>
              <w:rPr>
                <w:rFonts w:ascii="Arial" w:eastAsia="Arial" w:hAnsi="Arial" w:cs="Arial"/>
                <w:noProof/>
                <w:sz w:val="16"/>
                <w:lang w:eastAsia="ar-SA"/>
              </w:rPr>
            </w:pPr>
          </w:p>
          <w:p w14:paraId="2E17E2FB" w14:textId="77777777" w:rsidR="00FD1E19" w:rsidRDefault="00FD1E19" w:rsidP="00BE7E4A">
            <w:pPr>
              <w:suppressAutoHyphens/>
              <w:rPr>
                <w:rFonts w:ascii="Arial" w:eastAsia="Arial" w:hAnsi="Arial" w:cs="Arial"/>
                <w:b/>
                <w:noProof/>
                <w:color w:val="000000"/>
                <w:sz w:val="16"/>
                <w:lang w:eastAsia="ar-SA"/>
              </w:rPr>
            </w:pPr>
          </w:p>
          <w:p w14:paraId="656B8867" w14:textId="77777777" w:rsidR="00FD1E19" w:rsidRPr="00066BF3" w:rsidRDefault="00FD1E19" w:rsidP="00BE7E4A">
            <w:pPr>
              <w:suppressAutoHyphens/>
              <w:rPr>
                <w:rFonts w:ascii="Arial" w:eastAsia="Arial" w:hAnsi="Arial" w:cs="Arial"/>
                <w:noProof/>
                <w:sz w:val="16"/>
                <w:lang w:eastAsia="ar-SA"/>
              </w:rPr>
            </w:pPr>
          </w:p>
        </w:tc>
      </w:tr>
    </w:tbl>
    <w:p w14:paraId="29334729" w14:textId="77777777" w:rsidR="00FD1E19" w:rsidRDefault="00FD1E19" w:rsidP="00FD1E19">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lang w:eastAsia="ar-SA"/>
        </w:rPr>
      </w:pPr>
      <w:bookmarkStart w:id="200" w:name="RG_MARKER_90094"/>
      <w:bookmarkStart w:id="201" w:name="RG_MARKER_90070"/>
      <w:r w:rsidRPr="00E66DDB">
        <w:rPr>
          <w:rFonts w:ascii="Arial" w:hAnsi="Arial"/>
          <w:b/>
          <w:caps/>
          <w:noProof/>
          <w:sz w:val="20"/>
          <w:szCs w:val="20"/>
          <w:lang w:eastAsia="ar-SA"/>
        </w:rPr>
        <w:t xml:space="preserve">STATEMENT OF </w:t>
      </w:r>
      <w:bookmarkEnd w:id="200"/>
      <w:bookmarkEnd w:id="201"/>
      <w:r>
        <w:rPr>
          <w:rFonts w:ascii="Arial" w:hAnsi="Arial"/>
          <w:b/>
          <w:caps/>
          <w:noProof/>
          <w:sz w:val="20"/>
          <w:szCs w:val="20"/>
          <w:lang w:eastAsia="ar-SA"/>
        </w:rPr>
        <w:t xml:space="preserve">profit or loss and other </w:t>
      </w:r>
      <w:r w:rsidRPr="00E66DDB">
        <w:rPr>
          <w:rFonts w:ascii="Arial" w:hAnsi="Arial"/>
          <w:b/>
          <w:caps/>
          <w:noProof/>
          <w:sz w:val="20"/>
          <w:szCs w:val="20"/>
          <w:lang w:eastAsia="ar-SA"/>
        </w:rPr>
        <w:t xml:space="preserve">COMPREHENSIVE INCOME </w:t>
      </w:r>
    </w:p>
    <w:p w14:paraId="2F3DB967" w14:textId="77777777" w:rsidR="00FD1E19" w:rsidRPr="00E66DDB" w:rsidRDefault="00FD1E19" w:rsidP="00FD1E19">
      <w:pPr>
        <w:pBdr>
          <w:top w:val="nil"/>
          <w:left w:val="nil"/>
          <w:bottom w:val="nil"/>
          <w:right w:val="nil"/>
          <w:between w:val="nil"/>
          <w:bar w:val="nil"/>
        </w:pBdr>
        <w:suppressAutoHyphens/>
        <w:spacing w:before="60" w:after="60"/>
        <w:jc w:val="center"/>
        <w:rPr>
          <w:rFonts w:ascii="Arial" w:hAnsi="Arial"/>
          <w:b/>
          <w:caps/>
          <w:noProof/>
          <w:sz w:val="20"/>
          <w:szCs w:val="20"/>
          <w:bdr w:val="nil"/>
          <w:lang w:eastAsia="ar-SA"/>
        </w:rPr>
      </w:pPr>
      <w:r w:rsidRPr="00E66DDB">
        <w:rPr>
          <w:rFonts w:ascii="Arial" w:hAnsi="Arial"/>
          <w:b/>
          <w:caps/>
          <w:noProof/>
          <w:sz w:val="20"/>
          <w:szCs w:val="20"/>
          <w:lang w:eastAsia="ar-SA"/>
        </w:rPr>
        <w:t xml:space="preserve">for the year ENDED 31 DECEMBER </w:t>
      </w:r>
      <w:r w:rsidRPr="00A86104">
        <w:rPr>
          <w:rFonts w:ascii="Arial" w:hAnsi="Arial"/>
          <w:b/>
          <w:caps/>
          <w:noProof/>
          <w:sz w:val="20"/>
          <w:szCs w:val="20"/>
          <w:lang w:eastAsia="ar-SA"/>
        </w:rPr>
        <w:t>2025</w:t>
      </w:r>
    </w:p>
    <w:p w14:paraId="6DFE5F29" w14:textId="77777777" w:rsidR="00FD1E19" w:rsidRDefault="00FD1E19" w:rsidP="00FD1E19">
      <w:pPr>
        <w:pBdr>
          <w:top w:val="nil"/>
          <w:left w:val="nil"/>
          <w:bottom w:val="nil"/>
          <w:right w:val="nil"/>
          <w:between w:val="nil"/>
          <w:bar w:val="nil"/>
        </w:pBdr>
        <w:suppressAutoHyphens/>
        <w:spacing w:before="60" w:after="60"/>
        <w:jc w:val="center"/>
        <w:rPr>
          <w:rFonts w:ascii="Arial" w:hAnsi="Arial"/>
          <w:noProof/>
          <w:sz w:val="16"/>
          <w:szCs w:val="16"/>
          <w:bdr w:val="nil"/>
          <w:lang w:eastAsia="ar-SA"/>
        </w:rPr>
      </w:pPr>
      <w:r>
        <w:rPr>
          <w:rFonts w:ascii="Arial" w:hAnsi="Arial"/>
          <w:noProof/>
          <w:sz w:val="16"/>
          <w:szCs w:val="16"/>
          <w:lang w:eastAsia="ar-SA"/>
        </w:rPr>
        <w:t>(in EUR’000)</w:t>
      </w:r>
    </w:p>
    <w:p w14:paraId="52959151" w14:textId="77777777" w:rsidR="00FD1E19" w:rsidRPr="00BD1346" w:rsidRDefault="00FD1E19" w:rsidP="00FD1E19">
      <w:pPr>
        <w:pBdr>
          <w:top w:val="nil"/>
          <w:left w:val="nil"/>
          <w:bottom w:val="nil"/>
          <w:right w:val="nil"/>
          <w:between w:val="nil"/>
          <w:bar w:val="nil"/>
        </w:pBdr>
        <w:suppressAutoHyphens/>
        <w:spacing w:before="60" w:after="60"/>
        <w:rPr>
          <w:rFonts w:ascii="Arial" w:hAnsi="Arial"/>
          <w:noProof/>
          <w:sz w:val="16"/>
          <w:szCs w:val="16"/>
          <w:bdr w:val="nil"/>
          <w:lang w:eastAsia="ar-SA"/>
        </w:rPr>
      </w:pPr>
    </w:p>
    <w:tbl>
      <w:tblPr>
        <w:tblStyle w:val="CDMRange2"/>
        <w:tblW w:w="5000" w:type="pct"/>
        <w:tblLayout w:type="fixed"/>
        <w:tblLook w:val="0600" w:firstRow="0" w:lastRow="0" w:firstColumn="0" w:lastColumn="0" w:noHBand="1" w:noVBand="1"/>
      </w:tblPr>
      <w:tblGrid>
        <w:gridCol w:w="4865"/>
        <w:gridCol w:w="1109"/>
        <w:gridCol w:w="1852"/>
        <w:gridCol w:w="1852"/>
      </w:tblGrid>
      <w:tr w:rsidR="00FD1E19" w14:paraId="608A53F5" w14:textId="77777777" w:rsidTr="00BE7E4A">
        <w:trPr>
          <w:trHeight w:hRule="exact" w:val="252"/>
        </w:trPr>
        <w:tc>
          <w:tcPr>
            <w:tcW w:w="501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4EF4C025" w14:textId="77777777" w:rsidR="00FD1E19" w:rsidRDefault="00FD1E19" w:rsidP="00BE7E4A">
            <w:pPr>
              <w:suppressAutoHyphens/>
              <w:rPr>
                <w:noProof/>
                <w:color w:val="000000"/>
                <w:lang w:eastAsia="ar-SA"/>
              </w:rPr>
            </w:pPr>
            <w:bookmarkStart w:id="202" w:name="RG_MARKER_90095"/>
            <w:bookmarkEnd w:id="202"/>
          </w:p>
        </w:tc>
        <w:tc>
          <w:tcPr>
            <w:tcW w:w="1140" w:type="dxa"/>
            <w:vMerge w:val="restart"/>
            <w:tcBorders>
              <w:top w:val="single" w:sz="4" w:space="0" w:color="000000"/>
              <w:left w:val="nil"/>
              <w:bottom w:val="nil"/>
              <w:right w:val="nil"/>
              <w:tl2br w:val="nil"/>
              <w:tr2bl w:val="nil"/>
            </w:tcBorders>
            <w:shd w:val="clear" w:color="FFFFFF" w:fill="FFFFFF"/>
            <w:tcMar>
              <w:left w:w="40" w:type="dxa"/>
              <w:right w:w="40" w:type="dxa"/>
            </w:tcMar>
            <w:vAlign w:val="center"/>
          </w:tcPr>
          <w:p w14:paraId="1E7C1E9D"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Notes</w:t>
            </w:r>
          </w:p>
        </w:tc>
        <w:tc>
          <w:tcPr>
            <w:tcW w:w="19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1AAF385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01.01.2025</w:t>
            </w:r>
          </w:p>
        </w:tc>
        <w:tc>
          <w:tcPr>
            <w:tcW w:w="1905"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4F112A2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01.01.2024</w:t>
            </w:r>
          </w:p>
        </w:tc>
      </w:tr>
      <w:tr w:rsidR="00FD1E19" w14:paraId="0F4F12C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501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35C3D6A4" w14:textId="77777777" w:rsidR="00FD1E19" w:rsidRDefault="00FD1E19" w:rsidP="00BE7E4A">
            <w:pPr>
              <w:suppressAutoHyphens/>
              <w:rPr>
                <w:noProof/>
                <w:color w:val="000000"/>
                <w:lang w:eastAsia="ar-SA"/>
              </w:rPr>
            </w:pPr>
          </w:p>
        </w:tc>
        <w:tc>
          <w:tcPr>
            <w:tcW w:w="1140" w:type="dxa"/>
            <w:vMerge/>
            <w:tcBorders>
              <w:top w:val="nil"/>
              <w:left w:val="nil"/>
              <w:bottom w:val="single" w:sz="4" w:space="0" w:color="000000"/>
              <w:right w:val="nil"/>
              <w:tl2br w:val="nil"/>
              <w:tr2bl w:val="nil"/>
            </w:tcBorders>
            <w:shd w:val="clear" w:color="FFFFFF" w:fill="FFFFFF"/>
            <w:tcMar>
              <w:left w:w="0" w:type="dxa"/>
              <w:right w:w="0" w:type="dxa"/>
            </w:tcMar>
            <w:vAlign w:val="center"/>
          </w:tcPr>
          <w:p w14:paraId="350E15FD" w14:textId="77777777" w:rsidR="00FD1E19" w:rsidRDefault="00FD1E19" w:rsidP="00BE7E4A">
            <w:pPr>
              <w:suppressAutoHyphens/>
              <w:jc w:val="center"/>
              <w:rPr>
                <w:rFonts w:ascii="Arial" w:eastAsia="Arial" w:hAnsi="Arial" w:cs="Arial"/>
                <w:b/>
                <w:noProof/>
                <w:color w:val="000000"/>
                <w:sz w:val="16"/>
                <w:lang w:eastAsia="ar-SA"/>
              </w:rPr>
            </w:pPr>
          </w:p>
        </w:tc>
        <w:tc>
          <w:tcPr>
            <w:tcW w:w="19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86E5E8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31.12.2025</w:t>
            </w:r>
          </w:p>
        </w:tc>
        <w:tc>
          <w:tcPr>
            <w:tcW w:w="19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D2D562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31.12.2024</w:t>
            </w:r>
          </w:p>
        </w:tc>
      </w:tr>
      <w:tr w:rsidR="00FD1E19" w14:paraId="5E66E37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single" w:sz="4" w:space="0" w:color="000000"/>
              <w:left w:val="nil"/>
              <w:bottom w:val="nil"/>
              <w:right w:val="nil"/>
              <w:tl2br w:val="nil"/>
              <w:tr2bl w:val="nil"/>
            </w:tcBorders>
            <w:tcMar>
              <w:left w:w="0" w:type="dxa"/>
              <w:right w:w="0" w:type="dxa"/>
            </w:tcMar>
            <w:vAlign w:val="center"/>
          </w:tcPr>
          <w:p w14:paraId="67901264" w14:textId="77777777" w:rsidR="00FD1E19" w:rsidRDefault="00FD1E19" w:rsidP="00BE7E4A">
            <w:pPr>
              <w:suppressAutoHyphens/>
              <w:rPr>
                <w:noProof/>
                <w:color w:val="000000"/>
                <w:lang w:eastAsia="ar-SA"/>
              </w:rPr>
            </w:pPr>
          </w:p>
        </w:tc>
        <w:tc>
          <w:tcPr>
            <w:tcW w:w="1140" w:type="dxa"/>
            <w:tcBorders>
              <w:top w:val="single" w:sz="4" w:space="0" w:color="000000"/>
              <w:left w:val="nil"/>
              <w:bottom w:val="nil"/>
              <w:right w:val="nil"/>
              <w:tl2br w:val="nil"/>
              <w:tr2bl w:val="nil"/>
            </w:tcBorders>
            <w:tcMar>
              <w:left w:w="0" w:type="dxa"/>
              <w:right w:w="0" w:type="dxa"/>
            </w:tcMar>
            <w:vAlign w:val="center"/>
          </w:tcPr>
          <w:p w14:paraId="1D1E65B7" w14:textId="77777777" w:rsidR="00FD1E19" w:rsidRDefault="00FD1E19" w:rsidP="00BE7E4A">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3230D9B9" w14:textId="77777777" w:rsidR="00FD1E19" w:rsidRDefault="00FD1E19" w:rsidP="00BE7E4A">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171D698C" w14:textId="77777777" w:rsidR="00FD1E19" w:rsidRDefault="00FD1E19" w:rsidP="00BE7E4A">
            <w:pPr>
              <w:suppressAutoHyphens/>
              <w:rPr>
                <w:noProof/>
                <w:color w:val="000000"/>
                <w:lang w:eastAsia="ar-SA"/>
              </w:rPr>
            </w:pPr>
          </w:p>
        </w:tc>
      </w:tr>
      <w:tr w:rsidR="00FD1E19" w14:paraId="0E16F4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2C30601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and similar income*</w:t>
            </w:r>
          </w:p>
        </w:tc>
        <w:tc>
          <w:tcPr>
            <w:tcW w:w="1140" w:type="dxa"/>
            <w:tcBorders>
              <w:top w:val="nil"/>
              <w:left w:val="nil"/>
              <w:bottom w:val="nil"/>
              <w:right w:val="nil"/>
              <w:tl2br w:val="nil"/>
              <w:tr2bl w:val="nil"/>
            </w:tcBorders>
            <w:noWrap/>
            <w:tcMar>
              <w:left w:w="40" w:type="dxa"/>
              <w:right w:w="40" w:type="dxa"/>
            </w:tcMar>
            <w:vAlign w:val="center"/>
          </w:tcPr>
          <w:p w14:paraId="56E3E7E4"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19</w:t>
            </w:r>
          </w:p>
        </w:tc>
        <w:tc>
          <w:tcPr>
            <w:tcW w:w="1905" w:type="dxa"/>
            <w:tcBorders>
              <w:top w:val="nil"/>
              <w:left w:val="nil"/>
              <w:bottom w:val="nil"/>
              <w:right w:val="nil"/>
              <w:tl2br w:val="nil"/>
              <w:tr2bl w:val="nil"/>
            </w:tcBorders>
            <w:tcMar>
              <w:left w:w="40" w:type="dxa"/>
              <w:right w:w="40" w:type="dxa"/>
            </w:tcMar>
            <w:vAlign w:val="center"/>
          </w:tcPr>
          <w:p w14:paraId="0043E7E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116,470</w:t>
            </w:r>
          </w:p>
        </w:tc>
        <w:tc>
          <w:tcPr>
            <w:tcW w:w="1905" w:type="dxa"/>
            <w:tcBorders>
              <w:top w:val="nil"/>
              <w:left w:val="nil"/>
              <w:bottom w:val="nil"/>
              <w:right w:val="nil"/>
              <w:tl2br w:val="nil"/>
              <w:tr2bl w:val="nil"/>
            </w:tcBorders>
            <w:tcMar>
              <w:left w:w="40" w:type="dxa"/>
              <w:right w:w="40" w:type="dxa"/>
            </w:tcMar>
            <w:vAlign w:val="center"/>
          </w:tcPr>
          <w:p w14:paraId="4823523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156,601</w:t>
            </w:r>
          </w:p>
        </w:tc>
      </w:tr>
      <w:tr w:rsidR="00FD1E19" w14:paraId="093BE24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21AEFB3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and similar expenses</w:t>
            </w:r>
          </w:p>
        </w:tc>
        <w:tc>
          <w:tcPr>
            <w:tcW w:w="1140" w:type="dxa"/>
            <w:tcBorders>
              <w:top w:val="nil"/>
              <w:left w:val="nil"/>
              <w:bottom w:val="nil"/>
              <w:right w:val="nil"/>
              <w:tl2br w:val="nil"/>
              <w:tr2bl w:val="nil"/>
            </w:tcBorders>
            <w:noWrap/>
            <w:tcMar>
              <w:left w:w="40" w:type="dxa"/>
              <w:right w:w="40" w:type="dxa"/>
            </w:tcMar>
            <w:vAlign w:val="center"/>
          </w:tcPr>
          <w:p w14:paraId="50E92F19"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19</w:t>
            </w:r>
          </w:p>
        </w:tc>
        <w:tc>
          <w:tcPr>
            <w:tcW w:w="1905" w:type="dxa"/>
            <w:tcBorders>
              <w:top w:val="nil"/>
              <w:left w:val="nil"/>
              <w:bottom w:val="nil"/>
              <w:right w:val="nil"/>
              <w:tl2br w:val="nil"/>
              <w:tr2bl w:val="nil"/>
            </w:tcBorders>
            <w:tcMar>
              <w:left w:w="40" w:type="dxa"/>
              <w:right w:w="40" w:type="dxa"/>
            </w:tcMar>
            <w:vAlign w:val="center"/>
          </w:tcPr>
          <w:p w14:paraId="1CC0A70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-1,700</w:t>
            </w:r>
          </w:p>
        </w:tc>
        <w:tc>
          <w:tcPr>
            <w:tcW w:w="1905" w:type="dxa"/>
            <w:tcBorders>
              <w:top w:val="nil"/>
              <w:left w:val="nil"/>
              <w:bottom w:val="nil"/>
              <w:right w:val="nil"/>
              <w:tl2br w:val="nil"/>
              <w:tr2bl w:val="nil"/>
            </w:tcBorders>
            <w:tcMar>
              <w:left w:w="40" w:type="dxa"/>
              <w:right w:w="40" w:type="dxa"/>
            </w:tcMar>
            <w:vAlign w:val="center"/>
          </w:tcPr>
          <w:p w14:paraId="25D576D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-1,805</w:t>
            </w:r>
          </w:p>
        </w:tc>
      </w:tr>
      <w:tr w:rsidR="00FD1E19" w14:paraId="5DD133C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59649A07" w14:textId="77777777" w:rsidR="00FD1E19" w:rsidRDefault="00FD1E19" w:rsidP="00BE7E4A">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14:paraId="0375EF64" w14:textId="77777777" w:rsidR="00FD1E19" w:rsidRDefault="00FD1E19" w:rsidP="00BE7E4A">
            <w:pPr>
              <w:suppressAutoHyphens/>
              <w:rPr>
                <w:noProof/>
                <w:color w:val="000000"/>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14:paraId="5E6D7192" w14:textId="77777777" w:rsidR="00FD1E19" w:rsidRDefault="00FD1E19" w:rsidP="00BE7E4A">
            <w:pPr>
              <w:suppressAutoHyphens/>
              <w:jc w:val="right"/>
              <w:rPr>
                <w:rFonts w:ascii="Arial" w:eastAsia="Arial" w:hAnsi="Arial" w:cs="Arial"/>
                <w:noProof/>
                <w:color w:val="000000"/>
                <w:sz w:val="16"/>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14:paraId="27AAC841" w14:textId="77777777" w:rsidR="00FD1E19" w:rsidRDefault="00FD1E19" w:rsidP="00BE7E4A">
            <w:pPr>
              <w:suppressAutoHyphens/>
              <w:rPr>
                <w:noProof/>
                <w:color w:val="000000"/>
                <w:lang w:eastAsia="ar-SA"/>
              </w:rPr>
            </w:pPr>
          </w:p>
        </w:tc>
      </w:tr>
      <w:tr w:rsidR="00FD1E19" w14:paraId="59341DF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3DBBAAF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interest and similar income</w:t>
            </w:r>
          </w:p>
        </w:tc>
        <w:tc>
          <w:tcPr>
            <w:tcW w:w="1140" w:type="dxa"/>
            <w:tcBorders>
              <w:top w:val="nil"/>
              <w:left w:val="nil"/>
              <w:bottom w:val="nil"/>
              <w:right w:val="nil"/>
              <w:tl2br w:val="nil"/>
              <w:tr2bl w:val="nil"/>
            </w:tcBorders>
            <w:tcMar>
              <w:left w:w="0" w:type="dxa"/>
              <w:right w:w="0" w:type="dxa"/>
            </w:tcMar>
            <w:vAlign w:val="center"/>
          </w:tcPr>
          <w:p w14:paraId="639B7C02" w14:textId="77777777" w:rsidR="00FD1E19" w:rsidRDefault="00FD1E19" w:rsidP="00BE7E4A">
            <w:pPr>
              <w:suppressAutoHyphens/>
              <w:rPr>
                <w:noProof/>
                <w:color w:val="000000"/>
                <w:lang w:eastAsia="ar-SA"/>
              </w:rPr>
            </w:pP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14:paraId="5EF1393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114,770</w:t>
            </w: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14:paraId="672D8AD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154,796</w:t>
            </w:r>
          </w:p>
        </w:tc>
      </w:tr>
      <w:tr w:rsidR="00FD1E19" w14:paraId="2C47307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3F6F627B" w14:textId="77777777" w:rsidR="00FD1E19" w:rsidRDefault="00FD1E19" w:rsidP="00BE7E4A">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14:paraId="2F21CDEB" w14:textId="77777777" w:rsidR="00FD1E19" w:rsidRDefault="00FD1E19" w:rsidP="00BE7E4A">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3EE583EB" w14:textId="77777777" w:rsidR="00FD1E19" w:rsidRDefault="00FD1E19" w:rsidP="00BE7E4A">
            <w:pPr>
              <w:suppressAutoHyphens/>
              <w:jc w:val="right"/>
              <w:rPr>
                <w:rFonts w:ascii="Arial" w:eastAsia="Arial" w:hAnsi="Arial" w:cs="Arial"/>
                <w:noProof/>
                <w:color w:val="000000"/>
                <w:sz w:val="16"/>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06029628" w14:textId="77777777" w:rsidR="00FD1E19" w:rsidRDefault="00FD1E19" w:rsidP="00BE7E4A">
            <w:pPr>
              <w:suppressAutoHyphens/>
              <w:rPr>
                <w:noProof/>
                <w:color w:val="000000"/>
                <w:lang w:eastAsia="ar-SA"/>
              </w:rPr>
            </w:pPr>
          </w:p>
        </w:tc>
      </w:tr>
      <w:tr w:rsidR="00FD1E19" w14:paraId="7846704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421ACD9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Fee and commission income</w:t>
            </w:r>
          </w:p>
        </w:tc>
        <w:tc>
          <w:tcPr>
            <w:tcW w:w="1140" w:type="dxa"/>
            <w:tcBorders>
              <w:top w:val="nil"/>
              <w:left w:val="nil"/>
              <w:bottom w:val="nil"/>
              <w:right w:val="nil"/>
              <w:tl2br w:val="nil"/>
              <w:tr2bl w:val="nil"/>
            </w:tcBorders>
            <w:noWrap/>
            <w:tcMar>
              <w:left w:w="40" w:type="dxa"/>
              <w:right w:w="40" w:type="dxa"/>
            </w:tcMar>
            <w:vAlign w:val="center"/>
          </w:tcPr>
          <w:p w14:paraId="194F33CA"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20</w:t>
            </w:r>
          </w:p>
        </w:tc>
        <w:tc>
          <w:tcPr>
            <w:tcW w:w="1905" w:type="dxa"/>
            <w:tcBorders>
              <w:top w:val="nil"/>
              <w:left w:val="nil"/>
              <w:bottom w:val="nil"/>
              <w:right w:val="nil"/>
              <w:tl2br w:val="nil"/>
              <w:tr2bl w:val="nil"/>
            </w:tcBorders>
            <w:tcMar>
              <w:left w:w="40" w:type="dxa"/>
              <w:right w:w="40" w:type="dxa"/>
            </w:tcMar>
            <w:vAlign w:val="center"/>
          </w:tcPr>
          <w:p w14:paraId="0E829CD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4,103</w:t>
            </w:r>
          </w:p>
        </w:tc>
        <w:tc>
          <w:tcPr>
            <w:tcW w:w="1905" w:type="dxa"/>
            <w:tcBorders>
              <w:top w:val="nil"/>
              <w:left w:val="nil"/>
              <w:bottom w:val="nil"/>
              <w:right w:val="nil"/>
              <w:tl2br w:val="nil"/>
              <w:tr2bl w:val="nil"/>
            </w:tcBorders>
            <w:tcMar>
              <w:left w:w="40" w:type="dxa"/>
              <w:right w:w="40" w:type="dxa"/>
            </w:tcMar>
            <w:vAlign w:val="center"/>
          </w:tcPr>
          <w:p w14:paraId="43C85A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w:t>
            </w:r>
          </w:p>
        </w:tc>
      </w:tr>
      <w:tr w:rsidR="00FD1E19" w14:paraId="761847E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414ED95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Fee and commission expenses</w:t>
            </w:r>
          </w:p>
        </w:tc>
        <w:tc>
          <w:tcPr>
            <w:tcW w:w="1140" w:type="dxa"/>
            <w:tcBorders>
              <w:top w:val="nil"/>
              <w:left w:val="nil"/>
              <w:bottom w:val="nil"/>
              <w:right w:val="nil"/>
              <w:tl2br w:val="nil"/>
              <w:tr2bl w:val="nil"/>
            </w:tcBorders>
            <w:noWrap/>
            <w:tcMar>
              <w:left w:w="40" w:type="dxa"/>
              <w:right w:w="40" w:type="dxa"/>
            </w:tcMar>
            <w:vAlign w:val="center"/>
          </w:tcPr>
          <w:p w14:paraId="08F5C930"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20</w:t>
            </w:r>
          </w:p>
        </w:tc>
        <w:tc>
          <w:tcPr>
            <w:tcW w:w="1905" w:type="dxa"/>
            <w:tcBorders>
              <w:top w:val="nil"/>
              <w:left w:val="nil"/>
              <w:bottom w:val="nil"/>
              <w:right w:val="nil"/>
              <w:tl2br w:val="nil"/>
              <w:tr2bl w:val="nil"/>
            </w:tcBorders>
            <w:tcMar>
              <w:left w:w="40" w:type="dxa"/>
              <w:right w:w="40" w:type="dxa"/>
            </w:tcMar>
            <w:vAlign w:val="center"/>
          </w:tcPr>
          <w:p w14:paraId="5833E85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-88</w:t>
            </w:r>
          </w:p>
        </w:tc>
        <w:tc>
          <w:tcPr>
            <w:tcW w:w="1905" w:type="dxa"/>
            <w:tcBorders>
              <w:top w:val="nil"/>
              <w:left w:val="nil"/>
              <w:bottom w:val="nil"/>
              <w:right w:val="nil"/>
              <w:tl2br w:val="nil"/>
              <w:tr2bl w:val="nil"/>
            </w:tcBorders>
            <w:tcMar>
              <w:left w:w="40" w:type="dxa"/>
              <w:right w:w="40" w:type="dxa"/>
            </w:tcMar>
            <w:vAlign w:val="center"/>
          </w:tcPr>
          <w:p w14:paraId="5A652A6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-212</w:t>
            </w:r>
          </w:p>
        </w:tc>
      </w:tr>
      <w:tr w:rsidR="00FD1E19" w14:paraId="6564B46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1C8B08EA" w14:textId="77777777" w:rsidR="00FD1E19" w:rsidRDefault="00FD1E19" w:rsidP="00BE7E4A">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14:paraId="1CE1C211" w14:textId="77777777" w:rsidR="00FD1E19" w:rsidRDefault="00FD1E19" w:rsidP="00BE7E4A">
            <w:pPr>
              <w:suppressAutoHyphens/>
              <w:rPr>
                <w:noProof/>
                <w:color w:val="000000"/>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14:paraId="1BDEBD7A" w14:textId="77777777" w:rsidR="00FD1E19" w:rsidRDefault="00FD1E19" w:rsidP="00BE7E4A">
            <w:pPr>
              <w:suppressAutoHyphens/>
              <w:jc w:val="right"/>
              <w:rPr>
                <w:rFonts w:ascii="Arial" w:eastAsia="Arial" w:hAnsi="Arial" w:cs="Arial"/>
                <w:noProof/>
                <w:color w:val="000000"/>
                <w:sz w:val="16"/>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14:paraId="4B17A6BE" w14:textId="77777777" w:rsidR="00FD1E19" w:rsidRDefault="00FD1E19" w:rsidP="00BE7E4A">
            <w:pPr>
              <w:suppressAutoHyphens/>
              <w:rPr>
                <w:noProof/>
                <w:color w:val="000000"/>
                <w:lang w:eastAsia="ar-SA"/>
              </w:rPr>
            </w:pPr>
          </w:p>
        </w:tc>
      </w:tr>
      <w:tr w:rsidR="00FD1E19" w14:paraId="651F729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636A4E3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fee and commission income</w:t>
            </w:r>
          </w:p>
        </w:tc>
        <w:tc>
          <w:tcPr>
            <w:tcW w:w="1140" w:type="dxa"/>
            <w:tcBorders>
              <w:top w:val="nil"/>
              <w:left w:val="nil"/>
              <w:bottom w:val="nil"/>
              <w:right w:val="nil"/>
              <w:tl2br w:val="nil"/>
              <w:tr2bl w:val="nil"/>
            </w:tcBorders>
            <w:tcMar>
              <w:left w:w="0" w:type="dxa"/>
              <w:right w:w="0" w:type="dxa"/>
            </w:tcMar>
            <w:vAlign w:val="center"/>
          </w:tcPr>
          <w:p w14:paraId="0046F8DC" w14:textId="77777777" w:rsidR="00FD1E19" w:rsidRDefault="00FD1E19" w:rsidP="00BE7E4A">
            <w:pPr>
              <w:suppressAutoHyphens/>
              <w:rPr>
                <w:noProof/>
                <w:color w:val="000000"/>
                <w:lang w:eastAsia="ar-SA"/>
              </w:rPr>
            </w:pP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14:paraId="3DC5CC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4,015</w:t>
            </w: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14:paraId="6850216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-192</w:t>
            </w:r>
          </w:p>
        </w:tc>
      </w:tr>
      <w:tr w:rsidR="00FD1E19" w14:paraId="3D51716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027B1D50" w14:textId="77777777" w:rsidR="00FD1E19" w:rsidRDefault="00FD1E19" w:rsidP="00BE7E4A">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14:paraId="48204A79" w14:textId="77777777" w:rsidR="00FD1E19" w:rsidRDefault="00FD1E19" w:rsidP="00BE7E4A">
            <w:pPr>
              <w:suppressAutoHyphens/>
              <w:rPr>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19D5D795" w14:textId="77777777" w:rsidR="00FD1E19" w:rsidRDefault="00FD1E19" w:rsidP="00BE7E4A">
            <w:pPr>
              <w:suppressAutoHyphens/>
              <w:jc w:val="right"/>
              <w:rPr>
                <w:rFonts w:ascii="Arial" w:eastAsia="Arial" w:hAnsi="Arial" w:cs="Arial"/>
                <w:noProof/>
                <w:color w:val="000000"/>
                <w:sz w:val="16"/>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3BBC2E85" w14:textId="77777777" w:rsidR="00FD1E19" w:rsidRDefault="00FD1E19" w:rsidP="00BE7E4A">
            <w:pPr>
              <w:suppressAutoHyphens/>
              <w:rPr>
                <w:noProof/>
                <w:color w:val="000000"/>
                <w:lang w:eastAsia="ar-SA"/>
              </w:rPr>
            </w:pPr>
          </w:p>
        </w:tc>
      </w:tr>
      <w:tr w:rsidR="00FD1E19" w14:paraId="3C011BD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7878EC2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Fair value change of derivative financial instruments </w:t>
            </w:r>
          </w:p>
        </w:tc>
        <w:tc>
          <w:tcPr>
            <w:tcW w:w="1140" w:type="dxa"/>
            <w:tcBorders>
              <w:top w:val="nil"/>
              <w:left w:val="nil"/>
              <w:bottom w:val="nil"/>
              <w:right w:val="nil"/>
              <w:tl2br w:val="nil"/>
              <w:tr2bl w:val="nil"/>
            </w:tcBorders>
            <w:noWrap/>
            <w:tcMar>
              <w:left w:w="40" w:type="dxa"/>
              <w:right w:w="40" w:type="dxa"/>
            </w:tcMar>
            <w:vAlign w:val="center"/>
          </w:tcPr>
          <w:p w14:paraId="5209D0DE"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6</w:t>
            </w:r>
          </w:p>
        </w:tc>
        <w:tc>
          <w:tcPr>
            <w:tcW w:w="1905" w:type="dxa"/>
            <w:tcBorders>
              <w:top w:val="nil"/>
              <w:left w:val="nil"/>
              <w:bottom w:val="nil"/>
              <w:right w:val="nil"/>
              <w:tl2br w:val="nil"/>
              <w:tr2bl w:val="nil"/>
            </w:tcBorders>
            <w:tcMar>
              <w:left w:w="40" w:type="dxa"/>
              <w:right w:w="40" w:type="dxa"/>
            </w:tcMar>
            <w:vAlign w:val="center"/>
          </w:tcPr>
          <w:p w14:paraId="5D9EAFF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45,836</w:t>
            </w:r>
          </w:p>
        </w:tc>
        <w:tc>
          <w:tcPr>
            <w:tcW w:w="1905" w:type="dxa"/>
            <w:tcBorders>
              <w:top w:val="nil"/>
              <w:left w:val="nil"/>
              <w:bottom w:val="nil"/>
              <w:right w:val="nil"/>
              <w:tl2br w:val="nil"/>
              <w:tr2bl w:val="nil"/>
            </w:tcBorders>
            <w:tcMar>
              <w:left w:w="40" w:type="dxa"/>
              <w:right w:w="40" w:type="dxa"/>
            </w:tcMar>
            <w:vAlign w:val="center"/>
          </w:tcPr>
          <w:p w14:paraId="2BD240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-94,192</w:t>
            </w:r>
          </w:p>
        </w:tc>
      </w:tr>
      <w:tr w:rsidR="00FD1E19" w14:paraId="2086932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1195901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result on shares and other variable yield securities</w:t>
            </w:r>
          </w:p>
        </w:tc>
        <w:tc>
          <w:tcPr>
            <w:tcW w:w="1140" w:type="dxa"/>
            <w:tcBorders>
              <w:top w:val="nil"/>
              <w:left w:val="nil"/>
              <w:bottom w:val="nil"/>
              <w:right w:val="nil"/>
              <w:tl2br w:val="nil"/>
              <w:tr2bl w:val="nil"/>
            </w:tcBorders>
            <w:noWrap/>
            <w:tcMar>
              <w:left w:w="40" w:type="dxa"/>
              <w:right w:w="40" w:type="dxa"/>
            </w:tcMar>
            <w:vAlign w:val="center"/>
          </w:tcPr>
          <w:p w14:paraId="31C5E12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21</w:t>
            </w:r>
          </w:p>
        </w:tc>
        <w:tc>
          <w:tcPr>
            <w:tcW w:w="1905" w:type="dxa"/>
            <w:tcBorders>
              <w:top w:val="nil"/>
              <w:left w:val="nil"/>
              <w:bottom w:val="nil"/>
              <w:right w:val="nil"/>
              <w:tl2br w:val="nil"/>
              <w:tr2bl w:val="nil"/>
            </w:tcBorders>
            <w:tcMar>
              <w:left w:w="40" w:type="dxa"/>
              <w:right w:w="40" w:type="dxa"/>
            </w:tcMar>
            <w:vAlign w:val="center"/>
          </w:tcPr>
          <w:p w14:paraId="0F5A84D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24,877</w:t>
            </w:r>
          </w:p>
        </w:tc>
        <w:tc>
          <w:tcPr>
            <w:tcW w:w="1905" w:type="dxa"/>
            <w:tcBorders>
              <w:top w:val="nil"/>
              <w:left w:val="nil"/>
              <w:bottom w:val="nil"/>
              <w:right w:val="nil"/>
              <w:tl2br w:val="nil"/>
              <w:tr2bl w:val="nil"/>
            </w:tcBorders>
            <w:tcMar>
              <w:left w:w="40" w:type="dxa"/>
              <w:right w:w="40" w:type="dxa"/>
            </w:tcMar>
            <w:vAlign w:val="center"/>
          </w:tcPr>
          <w:p w14:paraId="1EA7A5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-34,096</w:t>
            </w:r>
          </w:p>
        </w:tc>
      </w:tr>
      <w:tr w:rsidR="00FD1E19" w14:paraId="605805D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65C6ECF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result on loans and advances measured at FVTPL</w:t>
            </w:r>
          </w:p>
        </w:tc>
        <w:tc>
          <w:tcPr>
            <w:tcW w:w="1140" w:type="dxa"/>
            <w:tcBorders>
              <w:top w:val="nil"/>
              <w:left w:val="nil"/>
              <w:bottom w:val="nil"/>
              <w:right w:val="nil"/>
              <w:tl2br w:val="nil"/>
              <w:tr2bl w:val="nil"/>
            </w:tcBorders>
            <w:noWrap/>
            <w:tcMar>
              <w:left w:w="40" w:type="dxa"/>
              <w:right w:w="40" w:type="dxa"/>
            </w:tcMar>
            <w:vAlign w:val="center"/>
          </w:tcPr>
          <w:p w14:paraId="1B7EB939"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7.1</w:t>
            </w:r>
          </w:p>
        </w:tc>
        <w:tc>
          <w:tcPr>
            <w:tcW w:w="1905" w:type="dxa"/>
            <w:tcBorders>
              <w:top w:val="nil"/>
              <w:left w:val="nil"/>
              <w:bottom w:val="nil"/>
              <w:right w:val="nil"/>
              <w:tl2br w:val="nil"/>
              <w:tr2bl w:val="nil"/>
            </w:tcBorders>
            <w:tcMar>
              <w:left w:w="40" w:type="dxa"/>
              <w:right w:w="40" w:type="dxa"/>
            </w:tcMar>
            <w:vAlign w:val="center"/>
          </w:tcPr>
          <w:p w14:paraId="6794773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-6,948</w:t>
            </w:r>
          </w:p>
        </w:tc>
        <w:tc>
          <w:tcPr>
            <w:tcW w:w="1905" w:type="dxa"/>
            <w:tcBorders>
              <w:top w:val="nil"/>
              <w:left w:val="nil"/>
              <w:bottom w:val="nil"/>
              <w:right w:val="nil"/>
              <w:tl2br w:val="nil"/>
              <w:tr2bl w:val="nil"/>
            </w:tcBorders>
            <w:tcMar>
              <w:left w:w="40" w:type="dxa"/>
              <w:right w:w="40" w:type="dxa"/>
            </w:tcMar>
            <w:vAlign w:val="center"/>
          </w:tcPr>
          <w:p w14:paraId="45AEDCC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-5,436</w:t>
            </w:r>
          </w:p>
        </w:tc>
      </w:tr>
      <w:tr w:rsidR="00FD1E19" w14:paraId="1C779B1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2BE61E7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foreign exchange result</w:t>
            </w:r>
          </w:p>
        </w:tc>
        <w:tc>
          <w:tcPr>
            <w:tcW w:w="1140" w:type="dxa"/>
            <w:tcBorders>
              <w:top w:val="nil"/>
              <w:left w:val="nil"/>
              <w:bottom w:val="nil"/>
              <w:right w:val="nil"/>
              <w:tl2br w:val="nil"/>
              <w:tr2bl w:val="nil"/>
            </w:tcBorders>
            <w:noWrap/>
            <w:tcMar>
              <w:left w:w="40" w:type="dxa"/>
              <w:right w:w="40" w:type="dxa"/>
            </w:tcMar>
            <w:vAlign w:val="center"/>
          </w:tcPr>
          <w:p w14:paraId="362BAEFF"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22</w:t>
            </w:r>
          </w:p>
        </w:tc>
        <w:tc>
          <w:tcPr>
            <w:tcW w:w="1905" w:type="dxa"/>
            <w:tcBorders>
              <w:top w:val="nil"/>
              <w:left w:val="nil"/>
              <w:bottom w:val="nil"/>
              <w:right w:val="nil"/>
              <w:tl2br w:val="nil"/>
              <w:tr2bl w:val="nil"/>
            </w:tcBorders>
            <w:tcMar>
              <w:left w:w="40" w:type="dxa"/>
              <w:right w:w="40" w:type="dxa"/>
            </w:tcMar>
            <w:vAlign w:val="center"/>
          </w:tcPr>
          <w:p w14:paraId="44E538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-90,703</w:t>
            </w:r>
          </w:p>
        </w:tc>
        <w:tc>
          <w:tcPr>
            <w:tcW w:w="1905" w:type="dxa"/>
            <w:tcBorders>
              <w:top w:val="nil"/>
              <w:left w:val="nil"/>
              <w:bottom w:val="nil"/>
              <w:right w:val="nil"/>
              <w:tl2br w:val="nil"/>
              <w:tr2bl w:val="nil"/>
            </w:tcBorders>
            <w:tcMar>
              <w:left w:w="40" w:type="dxa"/>
              <w:right w:w="40" w:type="dxa"/>
            </w:tcMar>
            <w:vAlign w:val="center"/>
          </w:tcPr>
          <w:p w14:paraId="28B400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81,907</w:t>
            </w:r>
          </w:p>
        </w:tc>
      </w:tr>
      <w:tr w:rsidR="00FD1E19" w14:paraId="340B4AC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33865611" w14:textId="77777777" w:rsidR="00FD1E19" w:rsidRDefault="00FD1E19" w:rsidP="00BE7E4A">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14:paraId="43A09C4C" w14:textId="77777777" w:rsidR="00FD1E19" w:rsidRDefault="00FD1E19" w:rsidP="00BE7E4A">
            <w:pPr>
              <w:suppressAutoHyphens/>
              <w:rPr>
                <w:noProof/>
                <w:color w:val="000000"/>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14:paraId="0398EC73" w14:textId="77777777" w:rsidR="00FD1E19" w:rsidRDefault="00FD1E19" w:rsidP="00BE7E4A">
            <w:pPr>
              <w:suppressAutoHyphens/>
              <w:jc w:val="right"/>
              <w:rPr>
                <w:rFonts w:ascii="Arial" w:eastAsia="Arial" w:hAnsi="Arial" w:cs="Arial"/>
                <w:noProof/>
                <w:color w:val="000000"/>
                <w:sz w:val="16"/>
                <w:lang w:eastAsia="ar-SA"/>
              </w:rPr>
            </w:pPr>
          </w:p>
        </w:tc>
        <w:tc>
          <w:tcPr>
            <w:tcW w:w="1905" w:type="dxa"/>
            <w:tcBorders>
              <w:top w:val="nil"/>
              <w:left w:val="nil"/>
              <w:bottom w:val="single" w:sz="4" w:space="0" w:color="000000"/>
              <w:right w:val="nil"/>
              <w:tl2br w:val="nil"/>
              <w:tr2bl w:val="nil"/>
            </w:tcBorders>
            <w:tcMar>
              <w:left w:w="0" w:type="dxa"/>
              <w:right w:w="0" w:type="dxa"/>
            </w:tcMar>
            <w:vAlign w:val="center"/>
          </w:tcPr>
          <w:p w14:paraId="1CB3AD47" w14:textId="77777777" w:rsidR="00FD1E19" w:rsidRDefault="00FD1E19" w:rsidP="00BE7E4A">
            <w:pPr>
              <w:suppressAutoHyphens/>
              <w:rPr>
                <w:noProof/>
                <w:color w:val="000000"/>
                <w:lang w:eastAsia="ar-SA"/>
              </w:rPr>
            </w:pPr>
          </w:p>
        </w:tc>
      </w:tr>
      <w:tr w:rsidR="00FD1E19" w14:paraId="3478D5C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30412AF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result on financial operations</w:t>
            </w:r>
          </w:p>
        </w:tc>
        <w:tc>
          <w:tcPr>
            <w:tcW w:w="1140" w:type="dxa"/>
            <w:tcBorders>
              <w:top w:val="nil"/>
              <w:left w:val="nil"/>
              <w:bottom w:val="nil"/>
              <w:right w:val="nil"/>
              <w:tl2br w:val="nil"/>
              <w:tr2bl w:val="nil"/>
            </w:tcBorders>
            <w:tcMar>
              <w:left w:w="0" w:type="dxa"/>
              <w:right w:w="0" w:type="dxa"/>
            </w:tcMar>
            <w:vAlign w:val="center"/>
          </w:tcPr>
          <w:p w14:paraId="4F19D158" w14:textId="77777777" w:rsidR="00FD1E19" w:rsidRDefault="00FD1E19" w:rsidP="00BE7E4A">
            <w:pPr>
              <w:suppressAutoHyphens/>
              <w:rPr>
                <w:noProof/>
                <w:color w:val="000000"/>
                <w:lang w:eastAsia="ar-SA"/>
              </w:rPr>
            </w:pP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14:paraId="2C80FCB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-26,938</w:t>
            </w:r>
          </w:p>
        </w:tc>
        <w:tc>
          <w:tcPr>
            <w:tcW w:w="1905" w:type="dxa"/>
            <w:tcBorders>
              <w:top w:val="single" w:sz="4" w:space="0" w:color="000000"/>
              <w:left w:val="nil"/>
              <w:bottom w:val="single" w:sz="4" w:space="0" w:color="000000"/>
              <w:right w:val="nil"/>
              <w:tl2br w:val="nil"/>
              <w:tr2bl w:val="nil"/>
            </w:tcBorders>
            <w:tcMar>
              <w:left w:w="40" w:type="dxa"/>
              <w:right w:w="40" w:type="dxa"/>
            </w:tcMar>
            <w:vAlign w:val="center"/>
          </w:tcPr>
          <w:p w14:paraId="6B6C4AA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-51,817</w:t>
            </w:r>
          </w:p>
        </w:tc>
      </w:tr>
      <w:tr w:rsidR="00FD1E19" w14:paraId="0504AA5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1AAD85AA" w14:textId="77777777" w:rsidR="00FD1E19" w:rsidRDefault="00FD1E19" w:rsidP="00BE7E4A">
            <w:pPr>
              <w:suppressAutoHyphens/>
              <w:rPr>
                <w:rFonts w:ascii="Arial" w:eastAsia="Arial" w:hAnsi="Arial" w:cs="Arial"/>
                <w:noProof/>
                <w:color w:val="000000"/>
                <w:sz w:val="16"/>
                <w:lang w:eastAsia="ar-SA"/>
              </w:rPr>
            </w:pPr>
          </w:p>
        </w:tc>
        <w:tc>
          <w:tcPr>
            <w:tcW w:w="1140" w:type="dxa"/>
            <w:tcBorders>
              <w:top w:val="nil"/>
              <w:left w:val="nil"/>
              <w:bottom w:val="nil"/>
              <w:right w:val="nil"/>
              <w:tl2br w:val="nil"/>
              <w:tr2bl w:val="nil"/>
            </w:tcBorders>
            <w:noWrap/>
            <w:tcMar>
              <w:left w:w="0" w:type="dxa"/>
              <w:right w:w="0" w:type="dxa"/>
            </w:tcMar>
            <w:vAlign w:val="bottom"/>
          </w:tcPr>
          <w:p w14:paraId="0DED8CD9" w14:textId="77777777" w:rsidR="00FD1E19" w:rsidRDefault="00FD1E19" w:rsidP="00BE7E4A">
            <w:pPr>
              <w:suppressAutoHyphens/>
              <w:rPr>
                <w:rFonts w:ascii="Arial" w:eastAsia="Arial" w:hAnsi="Arial" w:cs="Arial"/>
                <w:noProof/>
                <w:color w:val="000000"/>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6D411C3F" w14:textId="77777777" w:rsidR="00FD1E19" w:rsidRDefault="00FD1E19" w:rsidP="00BE7E4A">
            <w:pPr>
              <w:suppressAutoHyphens/>
              <w:jc w:val="right"/>
              <w:rPr>
                <w:rFonts w:ascii="Arial" w:eastAsia="Arial" w:hAnsi="Arial" w:cs="Arial"/>
                <w:noProof/>
                <w:color w:val="000000"/>
                <w:sz w:val="16"/>
                <w:lang w:eastAsia="ar-SA"/>
              </w:rPr>
            </w:pPr>
          </w:p>
        </w:tc>
        <w:tc>
          <w:tcPr>
            <w:tcW w:w="1905" w:type="dxa"/>
            <w:tcBorders>
              <w:top w:val="single" w:sz="4" w:space="0" w:color="000000"/>
              <w:left w:val="nil"/>
              <w:bottom w:val="nil"/>
              <w:right w:val="nil"/>
              <w:tl2br w:val="nil"/>
              <w:tr2bl w:val="nil"/>
            </w:tcBorders>
            <w:tcMar>
              <w:left w:w="0" w:type="dxa"/>
              <w:right w:w="0" w:type="dxa"/>
            </w:tcMar>
            <w:vAlign w:val="center"/>
          </w:tcPr>
          <w:p w14:paraId="75E59EA9" w14:textId="77777777" w:rsidR="00FD1E19" w:rsidRDefault="00FD1E19" w:rsidP="00BE7E4A">
            <w:pPr>
              <w:suppressAutoHyphens/>
              <w:jc w:val="right"/>
              <w:rPr>
                <w:rFonts w:ascii="Arial" w:eastAsia="Arial" w:hAnsi="Arial" w:cs="Arial"/>
                <w:noProof/>
                <w:color w:val="000000"/>
                <w:sz w:val="16"/>
                <w:lang w:eastAsia="ar-SA"/>
              </w:rPr>
            </w:pPr>
          </w:p>
        </w:tc>
      </w:tr>
      <w:tr w:rsidR="00FD1E19" w14:paraId="4F29AA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1F068EB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Change in impairment on loans and advances, net of reversals</w:t>
            </w:r>
          </w:p>
        </w:tc>
        <w:tc>
          <w:tcPr>
            <w:tcW w:w="1140" w:type="dxa"/>
            <w:tcBorders>
              <w:top w:val="nil"/>
              <w:left w:val="nil"/>
              <w:bottom w:val="nil"/>
              <w:right w:val="nil"/>
              <w:tl2br w:val="nil"/>
              <w:tr2bl w:val="nil"/>
            </w:tcBorders>
            <w:noWrap/>
            <w:tcMar>
              <w:left w:w="40" w:type="dxa"/>
              <w:right w:w="40" w:type="dxa"/>
            </w:tcMar>
            <w:vAlign w:val="center"/>
          </w:tcPr>
          <w:p w14:paraId="599DB92D"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7.2</w:t>
            </w:r>
          </w:p>
        </w:tc>
        <w:tc>
          <w:tcPr>
            <w:tcW w:w="1905" w:type="dxa"/>
            <w:tcBorders>
              <w:top w:val="nil"/>
              <w:left w:val="nil"/>
              <w:bottom w:val="nil"/>
              <w:right w:val="nil"/>
              <w:tl2br w:val="nil"/>
              <w:tr2bl w:val="nil"/>
            </w:tcBorders>
            <w:tcMar>
              <w:left w:w="40" w:type="dxa"/>
              <w:right w:w="40" w:type="dxa"/>
            </w:tcMar>
            <w:vAlign w:val="center"/>
          </w:tcPr>
          <w:p w14:paraId="12D5E4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8,915</w:t>
            </w:r>
          </w:p>
        </w:tc>
        <w:tc>
          <w:tcPr>
            <w:tcW w:w="1905" w:type="dxa"/>
            <w:tcBorders>
              <w:top w:val="nil"/>
              <w:left w:val="nil"/>
              <w:bottom w:val="nil"/>
              <w:right w:val="nil"/>
              <w:tl2br w:val="nil"/>
              <w:tr2bl w:val="nil"/>
            </w:tcBorders>
            <w:tcMar>
              <w:left w:w="40" w:type="dxa"/>
              <w:right w:w="40" w:type="dxa"/>
            </w:tcMar>
            <w:vAlign w:val="center"/>
          </w:tcPr>
          <w:p w14:paraId="329D148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12,145</w:t>
            </w:r>
          </w:p>
        </w:tc>
      </w:tr>
      <w:tr w:rsidR="00FD1E19" w14:paraId="608884D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0C6F9B9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Change in provisions for loan commitments, net of reversals</w:t>
            </w:r>
          </w:p>
        </w:tc>
        <w:tc>
          <w:tcPr>
            <w:tcW w:w="1140" w:type="dxa"/>
            <w:tcBorders>
              <w:top w:val="nil"/>
              <w:left w:val="nil"/>
              <w:bottom w:val="nil"/>
              <w:right w:val="nil"/>
              <w:tl2br w:val="nil"/>
              <w:tr2bl w:val="nil"/>
            </w:tcBorders>
            <w:noWrap/>
            <w:tcMar>
              <w:left w:w="40" w:type="dxa"/>
              <w:right w:w="40" w:type="dxa"/>
            </w:tcMar>
            <w:vAlign w:val="center"/>
          </w:tcPr>
          <w:p w14:paraId="30B091CD"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13</w:t>
            </w:r>
          </w:p>
        </w:tc>
        <w:tc>
          <w:tcPr>
            <w:tcW w:w="1905" w:type="dxa"/>
            <w:tcBorders>
              <w:top w:val="nil"/>
              <w:left w:val="nil"/>
              <w:bottom w:val="nil"/>
              <w:right w:val="nil"/>
              <w:tl2br w:val="nil"/>
              <w:tr2bl w:val="nil"/>
            </w:tcBorders>
            <w:tcMar>
              <w:left w:w="40" w:type="dxa"/>
              <w:right w:w="40" w:type="dxa"/>
            </w:tcMar>
            <w:vAlign w:val="center"/>
          </w:tcPr>
          <w:p w14:paraId="00D623D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735</w:t>
            </w:r>
          </w:p>
        </w:tc>
        <w:tc>
          <w:tcPr>
            <w:tcW w:w="1905" w:type="dxa"/>
            <w:tcBorders>
              <w:top w:val="nil"/>
              <w:left w:val="nil"/>
              <w:bottom w:val="nil"/>
              <w:right w:val="nil"/>
              <w:tl2br w:val="nil"/>
              <w:tr2bl w:val="nil"/>
            </w:tcBorders>
            <w:tcMar>
              <w:left w:w="40" w:type="dxa"/>
              <w:right w:w="40" w:type="dxa"/>
            </w:tcMar>
            <w:vAlign w:val="center"/>
          </w:tcPr>
          <w:p w14:paraId="3228C13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718</w:t>
            </w:r>
          </w:p>
        </w:tc>
      </w:tr>
      <w:tr w:rsidR="00FD1E19" w14:paraId="20AB73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40" w:type="dxa"/>
              <w:right w:w="40" w:type="dxa"/>
            </w:tcMar>
            <w:vAlign w:val="center"/>
          </w:tcPr>
          <w:p w14:paraId="705C093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General administrative expenses</w:t>
            </w:r>
          </w:p>
        </w:tc>
        <w:tc>
          <w:tcPr>
            <w:tcW w:w="1140" w:type="dxa"/>
            <w:tcBorders>
              <w:top w:val="nil"/>
              <w:left w:val="nil"/>
              <w:bottom w:val="nil"/>
              <w:right w:val="nil"/>
              <w:tl2br w:val="nil"/>
              <w:tr2bl w:val="nil"/>
            </w:tcBorders>
            <w:noWrap/>
            <w:tcMar>
              <w:left w:w="40" w:type="dxa"/>
              <w:right w:w="40" w:type="dxa"/>
            </w:tcMar>
            <w:vAlign w:val="center"/>
          </w:tcPr>
          <w:p w14:paraId="15DBAAC7"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23</w:t>
            </w:r>
          </w:p>
        </w:tc>
        <w:tc>
          <w:tcPr>
            <w:tcW w:w="1905" w:type="dxa"/>
            <w:tcBorders>
              <w:top w:val="nil"/>
              <w:left w:val="nil"/>
              <w:bottom w:val="nil"/>
              <w:right w:val="nil"/>
              <w:tl2br w:val="nil"/>
              <w:tr2bl w:val="nil"/>
            </w:tcBorders>
            <w:tcMar>
              <w:left w:w="40" w:type="dxa"/>
              <w:right w:w="40" w:type="dxa"/>
            </w:tcMar>
            <w:vAlign w:val="center"/>
          </w:tcPr>
          <w:p w14:paraId="2733558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-19,942</w:t>
            </w:r>
          </w:p>
        </w:tc>
        <w:tc>
          <w:tcPr>
            <w:tcW w:w="1905" w:type="dxa"/>
            <w:tcBorders>
              <w:top w:val="nil"/>
              <w:left w:val="nil"/>
              <w:bottom w:val="nil"/>
              <w:right w:val="nil"/>
              <w:tl2br w:val="nil"/>
              <w:tr2bl w:val="nil"/>
            </w:tcBorders>
            <w:tcMar>
              <w:left w:w="40" w:type="dxa"/>
              <w:right w:w="40" w:type="dxa"/>
            </w:tcMar>
            <w:vAlign w:val="center"/>
          </w:tcPr>
          <w:p w14:paraId="77660A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-24,794</w:t>
            </w:r>
          </w:p>
        </w:tc>
      </w:tr>
      <w:tr w:rsidR="00FD1E19" w14:paraId="4DAFFCC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6C782FD4" w14:textId="77777777" w:rsidR="00FD1E19" w:rsidRDefault="00FD1E19" w:rsidP="00BE7E4A">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14:paraId="59CFD54B" w14:textId="77777777" w:rsidR="00FD1E19" w:rsidRDefault="00FD1E19" w:rsidP="00BE7E4A">
            <w:pPr>
              <w:suppressAutoHyphens/>
              <w:rPr>
                <w:noProof/>
                <w:color w:val="000000"/>
                <w:lang w:eastAsia="ar-SA"/>
              </w:rPr>
            </w:pPr>
          </w:p>
        </w:tc>
        <w:tc>
          <w:tcPr>
            <w:tcW w:w="1905" w:type="dxa"/>
            <w:tcBorders>
              <w:top w:val="nil"/>
              <w:left w:val="nil"/>
              <w:bottom w:val="nil"/>
              <w:right w:val="nil"/>
              <w:tl2br w:val="nil"/>
              <w:tr2bl w:val="nil"/>
            </w:tcBorders>
            <w:tcMar>
              <w:left w:w="0" w:type="dxa"/>
              <w:right w:w="0" w:type="dxa"/>
            </w:tcMar>
            <w:vAlign w:val="center"/>
          </w:tcPr>
          <w:p w14:paraId="15369310" w14:textId="77777777" w:rsidR="00FD1E19" w:rsidRDefault="00FD1E19" w:rsidP="00BE7E4A">
            <w:pPr>
              <w:suppressAutoHyphens/>
              <w:jc w:val="right"/>
              <w:rPr>
                <w:rFonts w:ascii="Arial" w:eastAsia="Arial" w:hAnsi="Arial" w:cs="Arial"/>
                <w:noProof/>
                <w:color w:val="000000"/>
                <w:sz w:val="16"/>
                <w:lang w:eastAsia="ar-SA"/>
              </w:rPr>
            </w:pPr>
          </w:p>
        </w:tc>
        <w:tc>
          <w:tcPr>
            <w:tcW w:w="1905" w:type="dxa"/>
            <w:tcBorders>
              <w:top w:val="nil"/>
              <w:left w:val="nil"/>
              <w:bottom w:val="nil"/>
              <w:right w:val="nil"/>
              <w:tl2br w:val="nil"/>
              <w:tr2bl w:val="nil"/>
            </w:tcBorders>
            <w:tcMar>
              <w:left w:w="0" w:type="dxa"/>
              <w:right w:w="0" w:type="dxa"/>
            </w:tcMar>
            <w:vAlign w:val="center"/>
          </w:tcPr>
          <w:p w14:paraId="69B4871B" w14:textId="77777777" w:rsidR="00FD1E19" w:rsidRDefault="00FD1E19" w:rsidP="00BE7E4A">
            <w:pPr>
              <w:suppressAutoHyphens/>
              <w:rPr>
                <w:noProof/>
                <w:color w:val="000000"/>
                <w:lang w:eastAsia="ar-SA"/>
              </w:rPr>
            </w:pPr>
          </w:p>
        </w:tc>
      </w:tr>
      <w:tr w:rsidR="00FD1E19" w14:paraId="73C8676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shd w:val="clear" w:color="FFFFFF" w:fill="C0C0C0"/>
            <w:tcMar>
              <w:left w:w="40" w:type="dxa"/>
              <w:right w:w="40" w:type="dxa"/>
            </w:tcMar>
            <w:vAlign w:val="center"/>
          </w:tcPr>
          <w:p w14:paraId="73818D0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Profit for the year</w:t>
            </w:r>
          </w:p>
        </w:tc>
        <w:tc>
          <w:tcPr>
            <w:tcW w:w="1140" w:type="dxa"/>
            <w:tcBorders>
              <w:top w:val="nil"/>
              <w:left w:val="nil"/>
              <w:bottom w:val="nil"/>
              <w:right w:val="nil"/>
              <w:tl2br w:val="nil"/>
              <w:tr2bl w:val="nil"/>
            </w:tcBorders>
            <w:shd w:val="clear" w:color="FFFFFF" w:fill="C0C0C0"/>
            <w:tcMar>
              <w:left w:w="0" w:type="dxa"/>
              <w:right w:w="0" w:type="dxa"/>
            </w:tcMar>
            <w:vAlign w:val="center"/>
          </w:tcPr>
          <w:p w14:paraId="4C0C0F7F" w14:textId="77777777" w:rsidR="00FD1E19" w:rsidRDefault="00FD1E19" w:rsidP="00BE7E4A">
            <w:pPr>
              <w:suppressAutoHyphens/>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shd w:val="clear" w:color="FFFFFF" w:fill="C0C0C0"/>
            <w:tcMar>
              <w:left w:w="40" w:type="dxa"/>
              <w:right w:w="40" w:type="dxa"/>
            </w:tcMar>
            <w:vAlign w:val="center"/>
          </w:tcPr>
          <w:p w14:paraId="05BB5FC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81,555</w:t>
            </w:r>
          </w:p>
        </w:tc>
        <w:tc>
          <w:tcPr>
            <w:tcW w:w="1905" w:type="dxa"/>
            <w:tcBorders>
              <w:top w:val="nil"/>
              <w:left w:val="nil"/>
              <w:bottom w:val="nil"/>
              <w:right w:val="nil"/>
              <w:tl2br w:val="nil"/>
              <w:tr2bl w:val="nil"/>
            </w:tcBorders>
            <w:shd w:val="clear" w:color="FFFFFF" w:fill="C0C0C0"/>
            <w:tcMar>
              <w:left w:w="40" w:type="dxa"/>
              <w:right w:w="40" w:type="dxa"/>
            </w:tcMar>
            <w:vAlign w:val="center"/>
          </w:tcPr>
          <w:p w14:paraId="0055B9E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90,856</w:t>
            </w:r>
          </w:p>
        </w:tc>
      </w:tr>
      <w:tr w:rsidR="00FD1E19" w14:paraId="5A9A77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6A3451AE" w14:textId="77777777" w:rsidR="00FD1E19" w:rsidRDefault="00FD1E19" w:rsidP="00BE7E4A">
            <w:pPr>
              <w:suppressAutoHyphens/>
              <w:rPr>
                <w:noProof/>
                <w:color w:val="000000"/>
                <w:lang w:eastAsia="ar-SA"/>
              </w:rPr>
            </w:pPr>
          </w:p>
        </w:tc>
        <w:tc>
          <w:tcPr>
            <w:tcW w:w="1140" w:type="dxa"/>
            <w:tcBorders>
              <w:top w:val="nil"/>
              <w:left w:val="nil"/>
              <w:bottom w:val="nil"/>
              <w:right w:val="nil"/>
              <w:tl2br w:val="nil"/>
              <w:tr2bl w:val="nil"/>
            </w:tcBorders>
            <w:tcMar>
              <w:left w:w="0" w:type="dxa"/>
              <w:right w:w="0" w:type="dxa"/>
            </w:tcMar>
            <w:vAlign w:val="center"/>
          </w:tcPr>
          <w:p w14:paraId="742E7851" w14:textId="77777777" w:rsidR="00FD1E19" w:rsidRDefault="00FD1E19" w:rsidP="00BE7E4A">
            <w:pPr>
              <w:suppressAutoHyphens/>
              <w:rPr>
                <w:noProof/>
                <w:color w:val="000000"/>
                <w:lang w:eastAsia="ar-SA"/>
              </w:rPr>
            </w:pPr>
          </w:p>
        </w:tc>
        <w:tc>
          <w:tcPr>
            <w:tcW w:w="1905" w:type="dxa"/>
            <w:tcBorders>
              <w:top w:val="nil"/>
              <w:left w:val="nil"/>
              <w:bottom w:val="nil"/>
              <w:right w:val="nil"/>
              <w:tl2br w:val="nil"/>
              <w:tr2bl w:val="nil"/>
            </w:tcBorders>
            <w:tcMar>
              <w:left w:w="0" w:type="dxa"/>
              <w:right w:w="0" w:type="dxa"/>
            </w:tcMar>
            <w:vAlign w:val="center"/>
          </w:tcPr>
          <w:p w14:paraId="35CAC226" w14:textId="77777777" w:rsidR="00FD1E19" w:rsidRDefault="00FD1E19" w:rsidP="00BE7E4A">
            <w:pPr>
              <w:suppressAutoHyphens/>
              <w:rPr>
                <w:noProof/>
                <w:color w:val="000000"/>
                <w:lang w:eastAsia="ar-SA"/>
              </w:rPr>
            </w:pPr>
          </w:p>
        </w:tc>
        <w:tc>
          <w:tcPr>
            <w:tcW w:w="1905" w:type="dxa"/>
            <w:tcBorders>
              <w:top w:val="nil"/>
              <w:left w:val="nil"/>
              <w:bottom w:val="nil"/>
              <w:right w:val="nil"/>
              <w:tl2br w:val="nil"/>
              <w:tr2bl w:val="nil"/>
            </w:tcBorders>
            <w:tcMar>
              <w:left w:w="0" w:type="dxa"/>
              <w:right w:w="0" w:type="dxa"/>
            </w:tcMar>
            <w:vAlign w:val="center"/>
          </w:tcPr>
          <w:p w14:paraId="3E86F60F" w14:textId="77777777" w:rsidR="00FD1E19" w:rsidRDefault="00FD1E19" w:rsidP="00BE7E4A">
            <w:pPr>
              <w:suppressAutoHyphens/>
              <w:rPr>
                <w:noProof/>
                <w:color w:val="000000"/>
                <w:lang w:eastAsia="ar-SA"/>
              </w:rPr>
            </w:pPr>
          </w:p>
        </w:tc>
      </w:tr>
      <w:tr w:rsidR="00FD1E19" w14:paraId="6575853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shd w:val="clear" w:color="FFFFFF" w:fill="C0C0C0"/>
            <w:tcMar>
              <w:left w:w="40" w:type="dxa"/>
              <w:right w:w="40" w:type="dxa"/>
            </w:tcMar>
            <w:vAlign w:val="center"/>
          </w:tcPr>
          <w:p w14:paraId="72E7C32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comprehensive income profit for the year</w:t>
            </w:r>
          </w:p>
        </w:tc>
        <w:tc>
          <w:tcPr>
            <w:tcW w:w="1140" w:type="dxa"/>
            <w:tcBorders>
              <w:top w:val="nil"/>
              <w:left w:val="nil"/>
              <w:bottom w:val="nil"/>
              <w:right w:val="nil"/>
              <w:tl2br w:val="nil"/>
              <w:tr2bl w:val="nil"/>
            </w:tcBorders>
            <w:shd w:val="clear" w:color="FFFFFF" w:fill="C0C0C0"/>
            <w:tcMar>
              <w:left w:w="0" w:type="dxa"/>
              <w:right w:w="0" w:type="dxa"/>
            </w:tcMar>
            <w:vAlign w:val="center"/>
          </w:tcPr>
          <w:p w14:paraId="403715A6" w14:textId="77777777" w:rsidR="00FD1E19" w:rsidRDefault="00FD1E19" w:rsidP="00BE7E4A">
            <w:pPr>
              <w:suppressAutoHyphens/>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shd w:val="clear" w:color="FFFFFF" w:fill="C0C0C0"/>
            <w:tcMar>
              <w:left w:w="40" w:type="dxa"/>
              <w:right w:w="40" w:type="dxa"/>
            </w:tcMar>
            <w:vAlign w:val="center"/>
          </w:tcPr>
          <w:p w14:paraId="1C4650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81,555</w:t>
            </w:r>
          </w:p>
        </w:tc>
        <w:tc>
          <w:tcPr>
            <w:tcW w:w="1905" w:type="dxa"/>
            <w:tcBorders>
              <w:top w:val="nil"/>
              <w:left w:val="nil"/>
              <w:bottom w:val="nil"/>
              <w:right w:val="nil"/>
              <w:tl2br w:val="nil"/>
              <w:tr2bl w:val="nil"/>
            </w:tcBorders>
            <w:shd w:val="clear" w:color="FFFFFF" w:fill="C0C0C0"/>
            <w:tcMar>
              <w:left w:w="40" w:type="dxa"/>
              <w:right w:w="40" w:type="dxa"/>
            </w:tcMar>
            <w:vAlign w:val="center"/>
          </w:tcPr>
          <w:p w14:paraId="5090FE3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90,856</w:t>
            </w:r>
          </w:p>
        </w:tc>
      </w:tr>
      <w:tr w:rsidR="00FD1E19" w14:paraId="54C3814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010" w:type="dxa"/>
            <w:tcBorders>
              <w:top w:val="nil"/>
              <w:left w:val="nil"/>
              <w:bottom w:val="nil"/>
              <w:right w:val="nil"/>
              <w:tl2br w:val="nil"/>
              <w:tr2bl w:val="nil"/>
            </w:tcBorders>
            <w:tcMar>
              <w:left w:w="0" w:type="dxa"/>
              <w:right w:w="0" w:type="dxa"/>
            </w:tcMar>
            <w:vAlign w:val="center"/>
          </w:tcPr>
          <w:p w14:paraId="68850EEF" w14:textId="77777777" w:rsidR="00FD1E19" w:rsidRDefault="00FD1E19" w:rsidP="00BE7E4A">
            <w:pPr>
              <w:suppressAutoHyphens/>
              <w:rPr>
                <w:rFonts w:ascii="Arial" w:eastAsia="Arial" w:hAnsi="Arial" w:cs="Arial"/>
                <w:b/>
                <w:noProof/>
                <w:color w:val="000000"/>
                <w:sz w:val="16"/>
                <w:lang w:eastAsia="ar-SA"/>
              </w:rPr>
            </w:pPr>
          </w:p>
        </w:tc>
        <w:tc>
          <w:tcPr>
            <w:tcW w:w="1140" w:type="dxa"/>
            <w:tcBorders>
              <w:top w:val="nil"/>
              <w:left w:val="nil"/>
              <w:bottom w:val="nil"/>
              <w:right w:val="nil"/>
              <w:tl2br w:val="nil"/>
              <w:tr2bl w:val="nil"/>
            </w:tcBorders>
            <w:tcMar>
              <w:left w:w="0" w:type="dxa"/>
              <w:right w:w="0" w:type="dxa"/>
            </w:tcMar>
            <w:vAlign w:val="center"/>
          </w:tcPr>
          <w:p w14:paraId="539AD33F" w14:textId="77777777" w:rsidR="00FD1E19" w:rsidRDefault="00FD1E19" w:rsidP="00BE7E4A">
            <w:pPr>
              <w:suppressAutoHyphens/>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tcMar>
              <w:left w:w="0" w:type="dxa"/>
              <w:right w:w="0" w:type="dxa"/>
            </w:tcMar>
            <w:vAlign w:val="center"/>
          </w:tcPr>
          <w:p w14:paraId="75A6EB5B" w14:textId="77777777" w:rsidR="00FD1E19" w:rsidRDefault="00FD1E19" w:rsidP="00BE7E4A">
            <w:pPr>
              <w:suppressAutoHyphens/>
              <w:jc w:val="right"/>
              <w:rPr>
                <w:rFonts w:ascii="Arial" w:eastAsia="Arial" w:hAnsi="Arial" w:cs="Arial"/>
                <w:b/>
                <w:noProof/>
                <w:color w:val="000000"/>
                <w:sz w:val="16"/>
                <w:lang w:eastAsia="ar-SA"/>
              </w:rPr>
            </w:pPr>
          </w:p>
        </w:tc>
        <w:tc>
          <w:tcPr>
            <w:tcW w:w="1905" w:type="dxa"/>
            <w:tcBorders>
              <w:top w:val="nil"/>
              <w:left w:val="nil"/>
              <w:bottom w:val="nil"/>
              <w:right w:val="nil"/>
              <w:tl2br w:val="nil"/>
              <w:tr2bl w:val="nil"/>
            </w:tcBorders>
            <w:tcMar>
              <w:left w:w="0" w:type="dxa"/>
              <w:right w:w="0" w:type="dxa"/>
            </w:tcMar>
            <w:vAlign w:val="center"/>
          </w:tcPr>
          <w:p w14:paraId="1F9FE93D"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1800651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9960" w:type="dxa"/>
            <w:gridSpan w:val="4"/>
            <w:tcBorders>
              <w:top w:val="nil"/>
              <w:left w:val="nil"/>
              <w:bottom w:val="nil"/>
              <w:right w:val="nil"/>
              <w:tl2br w:val="nil"/>
              <w:tr2bl w:val="nil"/>
            </w:tcBorders>
            <w:tcMar>
              <w:left w:w="40" w:type="dxa"/>
              <w:right w:w="40" w:type="dxa"/>
            </w:tcMar>
            <w:vAlign w:val="bottom"/>
          </w:tcPr>
          <w:p w14:paraId="6B4382DE"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 xml:space="preserve">* For the year ended 31 December 2025, Interest and similar income includes EUR 109.7 million (2024: EUR 144.3 million) calculated on assets held at amortised cost based on the effective interest method. </w:t>
            </w:r>
          </w:p>
        </w:tc>
      </w:tr>
    </w:tbl>
    <w:p w14:paraId="62326F6E" w14:textId="77777777" w:rsidR="00FD1E19" w:rsidRDefault="00FD1E19" w:rsidP="00FD1E19">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lang w:eastAsia="ar-SA"/>
        </w:rPr>
      </w:pPr>
      <w:bookmarkStart w:id="203" w:name="RG_MARKER_90096"/>
      <w:bookmarkStart w:id="204" w:name="RG_MARKER_90071"/>
      <w:r w:rsidRPr="00E66DDB">
        <w:rPr>
          <w:rFonts w:ascii="Arial" w:hAnsi="Arial"/>
          <w:b/>
          <w:caps/>
          <w:noProof/>
          <w:sz w:val="20"/>
          <w:szCs w:val="20"/>
          <w:lang w:eastAsia="ar-SA"/>
        </w:rPr>
        <w:t>STATEMENT OF CHANGES IN CONTRIBUTORS’ RESOURCES</w:t>
      </w:r>
      <w:bookmarkEnd w:id="203"/>
      <w:bookmarkEnd w:id="204"/>
    </w:p>
    <w:p w14:paraId="43E9AD85" w14:textId="77777777" w:rsidR="00FD1E19" w:rsidRPr="00E66DDB" w:rsidRDefault="00FD1E19" w:rsidP="00FD1E19">
      <w:pPr>
        <w:pBdr>
          <w:top w:val="nil"/>
          <w:left w:val="nil"/>
          <w:bottom w:val="nil"/>
          <w:right w:val="nil"/>
          <w:between w:val="nil"/>
          <w:bar w:val="nil"/>
        </w:pBdr>
        <w:suppressAutoHyphens/>
        <w:spacing w:before="60" w:after="60"/>
        <w:jc w:val="center"/>
        <w:rPr>
          <w:rFonts w:ascii="Arial" w:hAnsi="Arial"/>
          <w:b/>
          <w:caps/>
          <w:noProof/>
          <w:sz w:val="20"/>
          <w:szCs w:val="20"/>
          <w:bdr w:val="nil"/>
          <w:lang w:eastAsia="ar-SA"/>
        </w:rPr>
      </w:pPr>
      <w:r w:rsidRPr="00E66DDB">
        <w:rPr>
          <w:rFonts w:ascii="Arial" w:hAnsi="Arial"/>
          <w:b/>
          <w:caps/>
          <w:noProof/>
          <w:sz w:val="20"/>
          <w:szCs w:val="20"/>
          <w:lang w:eastAsia="ar-SA"/>
        </w:rPr>
        <w:t xml:space="preserve">FOR THE YEAR ENDED 31 december </w:t>
      </w:r>
      <w:r w:rsidRPr="00947745">
        <w:rPr>
          <w:rFonts w:ascii="Arial" w:hAnsi="Arial"/>
          <w:b/>
          <w:caps/>
          <w:noProof/>
          <w:sz w:val="20"/>
          <w:szCs w:val="20"/>
          <w:lang w:eastAsia="ar-SA"/>
        </w:rPr>
        <w:t>2025</w:t>
      </w:r>
    </w:p>
    <w:p w14:paraId="76B2A9FE" w14:textId="77777777" w:rsidR="00FD1E19" w:rsidRDefault="00FD1E19" w:rsidP="00FD1E19">
      <w:pPr>
        <w:pBdr>
          <w:top w:val="nil"/>
          <w:left w:val="nil"/>
          <w:bottom w:val="nil"/>
          <w:right w:val="nil"/>
          <w:between w:val="nil"/>
          <w:bar w:val="nil"/>
        </w:pBdr>
        <w:tabs>
          <w:tab w:val="center" w:pos="4153"/>
          <w:tab w:val="right" w:pos="8306"/>
        </w:tabs>
        <w:suppressAutoHyphens/>
        <w:spacing w:before="60" w:after="60"/>
        <w:jc w:val="center"/>
        <w:rPr>
          <w:rFonts w:ascii="Arial" w:hAnsi="Arial"/>
          <w:noProof/>
          <w:sz w:val="16"/>
          <w:szCs w:val="16"/>
          <w:bdr w:val="nil"/>
          <w:lang w:eastAsia="ar-SA"/>
        </w:rPr>
      </w:pPr>
      <w:r>
        <w:rPr>
          <w:rFonts w:ascii="Arial" w:hAnsi="Arial"/>
          <w:noProof/>
          <w:sz w:val="16"/>
          <w:szCs w:val="16"/>
          <w:lang w:eastAsia="ar-SA"/>
        </w:rPr>
        <w:t>(in EUR’000)</w:t>
      </w:r>
    </w:p>
    <w:p w14:paraId="3F307DF1" w14:textId="77777777" w:rsidR="00FD1E19" w:rsidRPr="00BD1346" w:rsidRDefault="00FD1E19" w:rsidP="00FD1E19">
      <w:pPr>
        <w:pBdr>
          <w:top w:val="nil"/>
          <w:left w:val="nil"/>
          <w:bottom w:val="nil"/>
          <w:right w:val="nil"/>
          <w:between w:val="nil"/>
          <w:bar w:val="nil"/>
        </w:pBdr>
        <w:suppressAutoHyphens/>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3998"/>
        <w:gridCol w:w="1020"/>
        <w:gridCol w:w="1165"/>
        <w:gridCol w:w="1165"/>
        <w:gridCol w:w="1165"/>
        <w:gridCol w:w="1165"/>
      </w:tblGrid>
      <w:tr w:rsidR="00FD1E19" w14:paraId="57AB64B0" w14:textId="77777777" w:rsidTr="00BE7E4A">
        <w:trPr>
          <w:trHeight w:hRule="exact" w:val="420"/>
        </w:trPr>
        <w:tc>
          <w:tcPr>
            <w:tcW w:w="4125" w:type="dxa"/>
            <w:tcBorders>
              <w:top w:val="single" w:sz="4" w:space="0" w:color="000000"/>
              <w:left w:val="nil"/>
              <w:bottom w:val="single" w:sz="4" w:space="0" w:color="000000"/>
              <w:right w:val="nil"/>
              <w:tl2br w:val="nil"/>
              <w:tr2bl w:val="nil"/>
            </w:tcBorders>
            <w:tcMar>
              <w:left w:w="0" w:type="dxa"/>
              <w:right w:w="0" w:type="dxa"/>
            </w:tcMar>
            <w:vAlign w:val="center"/>
          </w:tcPr>
          <w:p w14:paraId="425C6C61" w14:textId="77777777" w:rsidR="00FD1E19" w:rsidRDefault="00FD1E19" w:rsidP="00BE7E4A">
            <w:pPr>
              <w:suppressAutoHyphens/>
              <w:jc w:val="right"/>
              <w:rPr>
                <w:rFonts w:ascii="Arial" w:eastAsia="Arial" w:hAnsi="Arial" w:cs="Arial"/>
                <w:b/>
                <w:noProof/>
                <w:color w:val="000000"/>
                <w:sz w:val="16"/>
                <w:lang w:eastAsia="ar-SA"/>
              </w:rPr>
            </w:pPr>
            <w:bookmarkStart w:id="205" w:name="RG_MARKER_90097"/>
            <w:bookmarkEnd w:id="205"/>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14:paraId="6EB6994E"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E243DE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Contribution called</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F675E1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Available Reflows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B90B75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Retained earnings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9D5BC7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r>
      <w:tr w:rsidR="00FD1E19" w14:paraId="10A1A35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single" w:sz="4" w:space="0" w:color="000000"/>
              <w:right w:val="nil"/>
              <w:tl2br w:val="nil"/>
              <w:tr2bl w:val="nil"/>
            </w:tcBorders>
            <w:tcMar>
              <w:left w:w="40" w:type="dxa"/>
              <w:right w:w="40" w:type="dxa"/>
            </w:tcMar>
            <w:vAlign w:val="center"/>
          </w:tcPr>
          <w:p w14:paraId="654296C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At 1 January 2025</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14:paraId="469ECD72"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Notes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53C6C0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3,721,695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A0810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-897,690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27A137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480,906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048B7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3,304,911</w:t>
            </w:r>
          </w:p>
        </w:tc>
      </w:tr>
      <w:tr w:rsidR="00FD1E19" w14:paraId="230C233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nil"/>
              <w:right w:val="nil"/>
              <w:tl2br w:val="nil"/>
              <w:tr2bl w:val="nil"/>
            </w:tcBorders>
            <w:tcMar>
              <w:left w:w="0" w:type="dxa"/>
              <w:right w:w="0" w:type="dxa"/>
            </w:tcMar>
            <w:vAlign w:val="center"/>
          </w:tcPr>
          <w:p w14:paraId="2405063F"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single" w:sz="4" w:space="0" w:color="000000"/>
              <w:left w:val="nil"/>
              <w:bottom w:val="nil"/>
              <w:right w:val="nil"/>
              <w:tl2br w:val="nil"/>
              <w:tr2bl w:val="nil"/>
            </w:tcBorders>
            <w:tcMar>
              <w:left w:w="0" w:type="dxa"/>
              <w:right w:w="0" w:type="dxa"/>
            </w:tcMar>
            <w:vAlign w:val="center"/>
          </w:tcPr>
          <w:p w14:paraId="6FCD6218"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3539304D"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DFEBDEE"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0C949FF"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2528A344" w14:textId="77777777" w:rsidR="00FD1E19" w:rsidRDefault="00FD1E19" w:rsidP="00BE7E4A">
            <w:pPr>
              <w:suppressAutoHyphens/>
              <w:jc w:val="right"/>
              <w:rPr>
                <w:rFonts w:ascii="Arial" w:eastAsia="Arial" w:hAnsi="Arial" w:cs="Arial"/>
                <w:noProof/>
                <w:color w:val="000000"/>
                <w:sz w:val="16"/>
                <w:lang w:eastAsia="ar-SA"/>
              </w:rPr>
            </w:pPr>
          </w:p>
        </w:tc>
      </w:tr>
      <w:tr w:rsidR="00FD1E19" w14:paraId="4ADEE0F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23AF178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Member States contributions called during the year</w:t>
            </w:r>
          </w:p>
        </w:tc>
        <w:tc>
          <w:tcPr>
            <w:tcW w:w="1050" w:type="dxa"/>
            <w:tcBorders>
              <w:top w:val="nil"/>
              <w:left w:val="nil"/>
              <w:bottom w:val="nil"/>
              <w:right w:val="nil"/>
              <w:tl2br w:val="nil"/>
              <w:tr2bl w:val="nil"/>
            </w:tcBorders>
            <w:tcMar>
              <w:left w:w="40" w:type="dxa"/>
              <w:right w:w="40" w:type="dxa"/>
            </w:tcMar>
            <w:vAlign w:val="bottom"/>
          </w:tcPr>
          <w:p w14:paraId="0F271C4C"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16</w:t>
            </w:r>
          </w:p>
        </w:tc>
        <w:tc>
          <w:tcPr>
            <w:tcW w:w="1200" w:type="dxa"/>
            <w:tcBorders>
              <w:top w:val="nil"/>
              <w:left w:val="nil"/>
              <w:bottom w:val="nil"/>
              <w:right w:val="nil"/>
              <w:tl2br w:val="nil"/>
              <w:tr2bl w:val="nil"/>
            </w:tcBorders>
            <w:tcMar>
              <w:left w:w="40" w:type="dxa"/>
              <w:right w:w="40" w:type="dxa"/>
            </w:tcMar>
            <w:vAlign w:val="center"/>
          </w:tcPr>
          <w:p w14:paraId="6A7539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E2005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D88DD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6A9604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4943D9A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6368B8B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Available Reflows in relation to year 2024</w:t>
            </w:r>
          </w:p>
        </w:tc>
        <w:tc>
          <w:tcPr>
            <w:tcW w:w="1050" w:type="dxa"/>
            <w:tcBorders>
              <w:top w:val="nil"/>
              <w:left w:val="nil"/>
              <w:bottom w:val="nil"/>
              <w:right w:val="nil"/>
              <w:tl2br w:val="nil"/>
              <w:tr2bl w:val="nil"/>
            </w:tcBorders>
            <w:noWrap/>
            <w:tcMar>
              <w:left w:w="40" w:type="dxa"/>
              <w:right w:w="40" w:type="dxa"/>
            </w:tcMar>
            <w:vAlign w:val="center"/>
          </w:tcPr>
          <w:p w14:paraId="4383610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17</w:t>
            </w:r>
          </w:p>
        </w:tc>
        <w:tc>
          <w:tcPr>
            <w:tcW w:w="1200" w:type="dxa"/>
            <w:tcBorders>
              <w:top w:val="nil"/>
              <w:left w:val="nil"/>
              <w:bottom w:val="nil"/>
              <w:right w:val="nil"/>
              <w:tl2br w:val="nil"/>
              <w:tr2bl w:val="nil"/>
            </w:tcBorders>
            <w:tcMar>
              <w:left w:w="40" w:type="dxa"/>
              <w:right w:w="40" w:type="dxa"/>
            </w:tcMar>
            <w:vAlign w:val="center"/>
          </w:tcPr>
          <w:p w14:paraId="222D4E5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3F2407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-591,271</w:t>
            </w:r>
          </w:p>
        </w:tc>
        <w:tc>
          <w:tcPr>
            <w:tcW w:w="1200" w:type="dxa"/>
            <w:tcBorders>
              <w:top w:val="nil"/>
              <w:left w:val="nil"/>
              <w:bottom w:val="nil"/>
              <w:right w:val="nil"/>
              <w:tl2br w:val="nil"/>
              <w:tr2bl w:val="nil"/>
            </w:tcBorders>
            <w:tcMar>
              <w:left w:w="40" w:type="dxa"/>
              <w:right w:w="40" w:type="dxa"/>
            </w:tcMar>
            <w:vAlign w:val="center"/>
          </w:tcPr>
          <w:p w14:paraId="6451B7A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DFFCC0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-591,271</w:t>
            </w:r>
          </w:p>
        </w:tc>
      </w:tr>
      <w:tr w:rsidR="00FD1E19" w14:paraId="501A256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4B01A7B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Profit for the year 2025</w:t>
            </w:r>
          </w:p>
        </w:tc>
        <w:tc>
          <w:tcPr>
            <w:tcW w:w="1050" w:type="dxa"/>
            <w:tcBorders>
              <w:top w:val="nil"/>
              <w:left w:val="nil"/>
              <w:bottom w:val="nil"/>
              <w:right w:val="nil"/>
              <w:tl2br w:val="nil"/>
              <w:tr2bl w:val="nil"/>
            </w:tcBorders>
            <w:tcMar>
              <w:left w:w="0" w:type="dxa"/>
              <w:right w:w="0" w:type="dxa"/>
            </w:tcMar>
            <w:vAlign w:val="bottom"/>
          </w:tcPr>
          <w:p w14:paraId="198C25B2"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308EEE1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764FB1D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A65FF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81,555</w:t>
            </w:r>
          </w:p>
        </w:tc>
        <w:tc>
          <w:tcPr>
            <w:tcW w:w="1200" w:type="dxa"/>
            <w:tcBorders>
              <w:top w:val="nil"/>
              <w:left w:val="nil"/>
              <w:bottom w:val="nil"/>
              <w:right w:val="nil"/>
              <w:tl2br w:val="nil"/>
              <w:tr2bl w:val="nil"/>
            </w:tcBorders>
            <w:tcMar>
              <w:left w:w="40" w:type="dxa"/>
              <w:right w:w="40" w:type="dxa"/>
            </w:tcMar>
            <w:vAlign w:val="center"/>
          </w:tcPr>
          <w:p w14:paraId="66185FA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81,555</w:t>
            </w:r>
          </w:p>
        </w:tc>
      </w:tr>
      <w:tr w:rsidR="00FD1E19" w14:paraId="6E994F9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14:paraId="16194F1D"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14:paraId="63FCC095"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7275050B"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0E4F6CF0"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1812E312"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279DDFA4" w14:textId="77777777" w:rsidR="00FD1E19" w:rsidRDefault="00FD1E19" w:rsidP="00BE7E4A">
            <w:pPr>
              <w:suppressAutoHyphens/>
              <w:jc w:val="right"/>
              <w:rPr>
                <w:rFonts w:ascii="Arial" w:eastAsia="Arial" w:hAnsi="Arial" w:cs="Arial"/>
                <w:noProof/>
                <w:color w:val="000000"/>
                <w:sz w:val="16"/>
                <w:lang w:eastAsia="ar-SA"/>
              </w:rPr>
            </w:pPr>
          </w:p>
        </w:tc>
      </w:tr>
      <w:tr w:rsidR="00FD1E19" w14:paraId="31E58ED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0A8F833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Changes in contributors’ resources</w:t>
            </w:r>
          </w:p>
        </w:tc>
        <w:tc>
          <w:tcPr>
            <w:tcW w:w="1050" w:type="dxa"/>
            <w:tcBorders>
              <w:top w:val="nil"/>
              <w:left w:val="nil"/>
              <w:bottom w:val="nil"/>
              <w:right w:val="nil"/>
              <w:tl2br w:val="nil"/>
              <w:tr2bl w:val="nil"/>
            </w:tcBorders>
            <w:tcMar>
              <w:left w:w="0" w:type="dxa"/>
              <w:right w:w="0" w:type="dxa"/>
            </w:tcMar>
            <w:vAlign w:val="center"/>
          </w:tcPr>
          <w:p w14:paraId="3EA8A3C7"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69FCCE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B83A77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-591,271</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4BB230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81,555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A3C2F0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-509,716</w:t>
            </w:r>
          </w:p>
        </w:tc>
      </w:tr>
      <w:tr w:rsidR="00FD1E19" w14:paraId="70D6760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14:paraId="4EA69445"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14:paraId="6792E8B1"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09F5AF09"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3148B2DA"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4D023314"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86E76F5" w14:textId="77777777" w:rsidR="00FD1E19" w:rsidRDefault="00FD1E19" w:rsidP="00BE7E4A">
            <w:pPr>
              <w:suppressAutoHyphens/>
              <w:jc w:val="right"/>
              <w:rPr>
                <w:rFonts w:ascii="Arial" w:eastAsia="Arial" w:hAnsi="Arial" w:cs="Arial"/>
                <w:noProof/>
                <w:color w:val="000000"/>
                <w:sz w:val="16"/>
                <w:lang w:eastAsia="ar-SA"/>
              </w:rPr>
            </w:pPr>
          </w:p>
        </w:tc>
      </w:tr>
      <w:tr w:rsidR="00FD1E19" w14:paraId="090A22E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shd w:val="clear" w:color="FFFFFF" w:fill="BFBFBF"/>
            <w:tcMar>
              <w:left w:w="40" w:type="dxa"/>
              <w:right w:w="40" w:type="dxa"/>
            </w:tcMar>
            <w:vAlign w:val="center"/>
          </w:tcPr>
          <w:p w14:paraId="6E7B19B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At 31 December 2025</w:t>
            </w:r>
          </w:p>
        </w:tc>
        <w:tc>
          <w:tcPr>
            <w:tcW w:w="1050" w:type="dxa"/>
            <w:tcBorders>
              <w:top w:val="nil"/>
              <w:left w:val="nil"/>
              <w:bottom w:val="nil"/>
              <w:right w:val="nil"/>
              <w:tl2br w:val="nil"/>
              <w:tr2bl w:val="nil"/>
            </w:tcBorders>
            <w:shd w:val="clear" w:color="FFFFFF" w:fill="BFBFBF"/>
            <w:tcMar>
              <w:left w:w="0" w:type="dxa"/>
              <w:right w:w="0" w:type="dxa"/>
            </w:tcMar>
            <w:vAlign w:val="center"/>
          </w:tcPr>
          <w:p w14:paraId="0396C220"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49A1F91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3,721,695</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65DE2C1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-1,488,961</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174F544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562,461</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5961691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2,795,195</w:t>
            </w:r>
          </w:p>
        </w:tc>
      </w:tr>
      <w:tr w:rsidR="00FD1E19" w14:paraId="19E3221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single" w:sz="4" w:space="0" w:color="000000"/>
              <w:right w:val="nil"/>
              <w:tl2br w:val="nil"/>
              <w:tr2bl w:val="nil"/>
            </w:tcBorders>
            <w:tcMar>
              <w:left w:w="0" w:type="dxa"/>
              <w:right w:w="0" w:type="dxa"/>
            </w:tcMar>
            <w:vAlign w:val="center"/>
          </w:tcPr>
          <w:p w14:paraId="64EAAA13" w14:textId="77777777" w:rsidR="00FD1E19" w:rsidRDefault="00FD1E19" w:rsidP="00BE7E4A">
            <w:pPr>
              <w:suppressAutoHyphens/>
              <w:jc w:val="right"/>
              <w:rPr>
                <w:rFonts w:ascii="Arial" w:eastAsia="Arial" w:hAnsi="Arial" w:cs="Arial"/>
                <w:b/>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14:paraId="198B7BCA"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1718A28B"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27205DC7"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1FBA6660"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4CF62480"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D8A3C7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4125" w:type="dxa"/>
            <w:tcBorders>
              <w:top w:val="single" w:sz="4" w:space="0" w:color="000000"/>
              <w:left w:val="nil"/>
              <w:bottom w:val="single" w:sz="4" w:space="0" w:color="000000"/>
              <w:right w:val="nil"/>
              <w:tl2br w:val="nil"/>
              <w:tr2bl w:val="nil"/>
            </w:tcBorders>
            <w:tcMar>
              <w:left w:w="0" w:type="dxa"/>
              <w:right w:w="0" w:type="dxa"/>
            </w:tcMar>
            <w:vAlign w:val="center"/>
          </w:tcPr>
          <w:p w14:paraId="39A05D52" w14:textId="77777777" w:rsidR="00FD1E19" w:rsidRDefault="00FD1E19" w:rsidP="00BE7E4A">
            <w:pPr>
              <w:suppressAutoHyphens/>
              <w:jc w:val="right"/>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14:paraId="5828E1C3"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369E0E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Contribution called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FE63A2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Available Reflows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E51355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Retained earnings </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C7848B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r>
      <w:tr w:rsidR="00FD1E19" w14:paraId="6DA1362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single" w:sz="4" w:space="0" w:color="000000"/>
              <w:right w:val="nil"/>
              <w:tl2br w:val="nil"/>
              <w:tr2bl w:val="nil"/>
            </w:tcBorders>
            <w:tcMar>
              <w:left w:w="40" w:type="dxa"/>
              <w:right w:w="40" w:type="dxa"/>
            </w:tcMar>
            <w:vAlign w:val="center"/>
          </w:tcPr>
          <w:p w14:paraId="7B3F877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At 1 January 2024</w:t>
            </w:r>
          </w:p>
        </w:tc>
        <w:tc>
          <w:tcPr>
            <w:tcW w:w="1050" w:type="dxa"/>
            <w:tcBorders>
              <w:top w:val="single" w:sz="4" w:space="0" w:color="000000"/>
              <w:left w:val="nil"/>
              <w:bottom w:val="single" w:sz="4" w:space="0" w:color="000000"/>
              <w:right w:val="nil"/>
              <w:tl2br w:val="nil"/>
              <w:tr2bl w:val="nil"/>
            </w:tcBorders>
            <w:tcMar>
              <w:left w:w="0" w:type="dxa"/>
              <w:right w:w="0" w:type="dxa"/>
            </w:tcMar>
            <w:vAlign w:val="center"/>
          </w:tcPr>
          <w:p w14:paraId="4F3CA3F7"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46B1C5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3,721,695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C2BE94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-587,913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BA0822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390,050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7AD479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3,523,832</w:t>
            </w:r>
          </w:p>
        </w:tc>
      </w:tr>
      <w:tr w:rsidR="00FD1E19" w14:paraId="587CB42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single" w:sz="4" w:space="0" w:color="000000"/>
              <w:left w:val="nil"/>
              <w:bottom w:val="nil"/>
              <w:right w:val="nil"/>
              <w:tl2br w:val="nil"/>
              <w:tr2bl w:val="nil"/>
            </w:tcBorders>
            <w:tcMar>
              <w:left w:w="0" w:type="dxa"/>
              <w:right w:w="0" w:type="dxa"/>
            </w:tcMar>
            <w:vAlign w:val="center"/>
          </w:tcPr>
          <w:p w14:paraId="5CA6D054"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single" w:sz="4" w:space="0" w:color="000000"/>
              <w:left w:val="nil"/>
              <w:bottom w:val="nil"/>
              <w:right w:val="nil"/>
              <w:tl2br w:val="nil"/>
              <w:tr2bl w:val="nil"/>
            </w:tcBorders>
            <w:tcMar>
              <w:left w:w="0" w:type="dxa"/>
              <w:right w:w="0" w:type="dxa"/>
            </w:tcMar>
            <w:vAlign w:val="center"/>
          </w:tcPr>
          <w:p w14:paraId="06930AD9"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5213E2A0"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5FE9EC04"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2C1031C4"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0451FDA7" w14:textId="77777777" w:rsidR="00FD1E19" w:rsidRDefault="00FD1E19" w:rsidP="00BE7E4A">
            <w:pPr>
              <w:suppressAutoHyphens/>
              <w:jc w:val="right"/>
              <w:rPr>
                <w:rFonts w:ascii="Arial" w:eastAsia="Arial" w:hAnsi="Arial" w:cs="Arial"/>
                <w:noProof/>
                <w:color w:val="000000"/>
                <w:sz w:val="16"/>
                <w:lang w:eastAsia="ar-SA"/>
              </w:rPr>
            </w:pPr>
          </w:p>
        </w:tc>
      </w:tr>
      <w:tr w:rsidR="00FD1E19" w14:paraId="20E84FF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431816C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Member States contribution called during the year</w:t>
            </w:r>
          </w:p>
        </w:tc>
        <w:tc>
          <w:tcPr>
            <w:tcW w:w="1050" w:type="dxa"/>
            <w:tcBorders>
              <w:top w:val="nil"/>
              <w:left w:val="nil"/>
              <w:bottom w:val="nil"/>
              <w:right w:val="nil"/>
              <w:tl2br w:val="nil"/>
              <w:tr2bl w:val="nil"/>
            </w:tcBorders>
            <w:tcMar>
              <w:left w:w="40" w:type="dxa"/>
              <w:right w:w="40" w:type="dxa"/>
            </w:tcMar>
            <w:vAlign w:val="bottom"/>
          </w:tcPr>
          <w:p w14:paraId="0E2DDB1C"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16</w:t>
            </w:r>
          </w:p>
        </w:tc>
        <w:tc>
          <w:tcPr>
            <w:tcW w:w="1200" w:type="dxa"/>
            <w:tcBorders>
              <w:top w:val="nil"/>
              <w:left w:val="nil"/>
              <w:bottom w:val="nil"/>
              <w:right w:val="nil"/>
              <w:tl2br w:val="nil"/>
              <w:tr2bl w:val="nil"/>
            </w:tcBorders>
            <w:tcMar>
              <w:left w:w="40" w:type="dxa"/>
              <w:right w:w="40" w:type="dxa"/>
            </w:tcMar>
            <w:vAlign w:val="center"/>
          </w:tcPr>
          <w:p w14:paraId="103B71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53785B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B617E0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762C69E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4EDC678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0B515AE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Available Reflows in relation to year 2023</w:t>
            </w:r>
          </w:p>
        </w:tc>
        <w:tc>
          <w:tcPr>
            <w:tcW w:w="1050" w:type="dxa"/>
            <w:tcBorders>
              <w:top w:val="nil"/>
              <w:left w:val="nil"/>
              <w:bottom w:val="nil"/>
              <w:right w:val="nil"/>
              <w:tl2br w:val="nil"/>
              <w:tr2bl w:val="nil"/>
            </w:tcBorders>
            <w:noWrap/>
            <w:tcMar>
              <w:left w:w="40" w:type="dxa"/>
              <w:right w:w="40" w:type="dxa"/>
            </w:tcMar>
            <w:vAlign w:val="center"/>
          </w:tcPr>
          <w:p w14:paraId="4B182588"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17</w:t>
            </w:r>
          </w:p>
        </w:tc>
        <w:tc>
          <w:tcPr>
            <w:tcW w:w="1200" w:type="dxa"/>
            <w:tcBorders>
              <w:top w:val="nil"/>
              <w:left w:val="nil"/>
              <w:bottom w:val="nil"/>
              <w:right w:val="nil"/>
              <w:tl2br w:val="nil"/>
              <w:tr2bl w:val="nil"/>
            </w:tcBorders>
            <w:tcMar>
              <w:left w:w="40" w:type="dxa"/>
              <w:right w:w="40" w:type="dxa"/>
            </w:tcMar>
            <w:vAlign w:val="center"/>
          </w:tcPr>
          <w:p w14:paraId="7864AA4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8E601E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-309,777</w:t>
            </w:r>
          </w:p>
        </w:tc>
        <w:tc>
          <w:tcPr>
            <w:tcW w:w="1200" w:type="dxa"/>
            <w:tcBorders>
              <w:top w:val="nil"/>
              <w:left w:val="nil"/>
              <w:bottom w:val="nil"/>
              <w:right w:val="nil"/>
              <w:tl2br w:val="nil"/>
              <w:tr2bl w:val="nil"/>
            </w:tcBorders>
            <w:tcMar>
              <w:left w:w="40" w:type="dxa"/>
              <w:right w:w="40" w:type="dxa"/>
            </w:tcMar>
            <w:vAlign w:val="center"/>
          </w:tcPr>
          <w:p w14:paraId="3AE48C2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CE2AB8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-309,777</w:t>
            </w:r>
          </w:p>
        </w:tc>
      </w:tr>
      <w:tr w:rsidR="00FD1E19" w14:paraId="7E6E735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787CE3D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Profit for the year 2024</w:t>
            </w:r>
          </w:p>
        </w:tc>
        <w:tc>
          <w:tcPr>
            <w:tcW w:w="1050" w:type="dxa"/>
            <w:tcBorders>
              <w:top w:val="nil"/>
              <w:left w:val="nil"/>
              <w:bottom w:val="nil"/>
              <w:right w:val="nil"/>
              <w:tl2br w:val="nil"/>
              <w:tr2bl w:val="nil"/>
            </w:tcBorders>
            <w:tcMar>
              <w:left w:w="0" w:type="dxa"/>
              <w:right w:w="0" w:type="dxa"/>
            </w:tcMar>
            <w:vAlign w:val="center"/>
          </w:tcPr>
          <w:p w14:paraId="6A3D6640"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14:paraId="508899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2374398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3CCEEA7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90,856</w:t>
            </w:r>
          </w:p>
        </w:tc>
        <w:tc>
          <w:tcPr>
            <w:tcW w:w="1200" w:type="dxa"/>
            <w:tcBorders>
              <w:top w:val="nil"/>
              <w:left w:val="nil"/>
              <w:bottom w:val="single" w:sz="4" w:space="0" w:color="000000"/>
              <w:right w:val="nil"/>
              <w:tl2br w:val="nil"/>
              <w:tr2bl w:val="nil"/>
            </w:tcBorders>
            <w:tcMar>
              <w:left w:w="40" w:type="dxa"/>
              <w:right w:w="40" w:type="dxa"/>
            </w:tcMar>
            <w:vAlign w:val="center"/>
          </w:tcPr>
          <w:p w14:paraId="6904F66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90,856</w:t>
            </w:r>
          </w:p>
        </w:tc>
      </w:tr>
      <w:tr w:rsidR="00FD1E19" w14:paraId="0CC5A3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40" w:type="dxa"/>
              <w:right w:w="40" w:type="dxa"/>
            </w:tcMar>
            <w:vAlign w:val="center"/>
          </w:tcPr>
          <w:p w14:paraId="6E4C805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Changes in contributors’ resources</w:t>
            </w:r>
          </w:p>
        </w:tc>
        <w:tc>
          <w:tcPr>
            <w:tcW w:w="1050" w:type="dxa"/>
            <w:tcBorders>
              <w:top w:val="nil"/>
              <w:left w:val="nil"/>
              <w:bottom w:val="nil"/>
              <w:right w:val="nil"/>
              <w:tl2br w:val="nil"/>
              <w:tr2bl w:val="nil"/>
            </w:tcBorders>
            <w:tcMar>
              <w:left w:w="0" w:type="dxa"/>
              <w:right w:w="0" w:type="dxa"/>
            </w:tcMar>
            <w:vAlign w:val="center"/>
          </w:tcPr>
          <w:p w14:paraId="07E55804"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46E380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368C66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-309,777</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58F3C8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90,856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312A15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-218,921</w:t>
            </w:r>
          </w:p>
        </w:tc>
      </w:tr>
      <w:tr w:rsidR="00FD1E19" w14:paraId="4AD7F12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tcMar>
              <w:left w:w="0" w:type="dxa"/>
              <w:right w:w="0" w:type="dxa"/>
            </w:tcMar>
            <w:vAlign w:val="center"/>
          </w:tcPr>
          <w:p w14:paraId="151F9970"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nil"/>
              <w:left w:val="nil"/>
              <w:bottom w:val="nil"/>
              <w:right w:val="nil"/>
              <w:tl2br w:val="nil"/>
              <w:tr2bl w:val="nil"/>
            </w:tcBorders>
            <w:tcMar>
              <w:left w:w="0" w:type="dxa"/>
              <w:right w:w="0" w:type="dxa"/>
            </w:tcMar>
            <w:vAlign w:val="center"/>
          </w:tcPr>
          <w:p w14:paraId="784E08EB"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4B91827"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2BE088E1"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5FEFEB1D"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121BAD67"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621EA3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shd w:val="clear" w:color="FFFFFF" w:fill="BFBFBF"/>
            <w:tcMar>
              <w:left w:w="40" w:type="dxa"/>
              <w:right w:w="40" w:type="dxa"/>
            </w:tcMar>
            <w:vAlign w:val="center"/>
          </w:tcPr>
          <w:p w14:paraId="594C445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At 31 December 2024</w:t>
            </w:r>
          </w:p>
        </w:tc>
        <w:tc>
          <w:tcPr>
            <w:tcW w:w="1050" w:type="dxa"/>
            <w:tcBorders>
              <w:top w:val="nil"/>
              <w:left w:val="nil"/>
              <w:bottom w:val="nil"/>
              <w:right w:val="nil"/>
              <w:tl2br w:val="nil"/>
              <w:tr2bl w:val="nil"/>
            </w:tcBorders>
            <w:shd w:val="clear" w:color="FFFFFF" w:fill="BFBFBF"/>
            <w:tcMar>
              <w:left w:w="0" w:type="dxa"/>
              <w:right w:w="0" w:type="dxa"/>
            </w:tcMar>
            <w:vAlign w:val="center"/>
          </w:tcPr>
          <w:p w14:paraId="5DE73E4F"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0B4E42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3,721,695</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5449C9E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-897,690</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2DD2F46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480,906</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10F65B8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3,304,911</w:t>
            </w:r>
          </w:p>
        </w:tc>
      </w:tr>
      <w:tr w:rsidR="00FD1E19" w14:paraId="34D7694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125" w:type="dxa"/>
            <w:tcBorders>
              <w:top w:val="nil"/>
              <w:left w:val="nil"/>
              <w:bottom w:val="nil"/>
              <w:right w:val="nil"/>
              <w:tl2br w:val="nil"/>
              <w:tr2bl w:val="nil"/>
            </w:tcBorders>
            <w:noWrap/>
            <w:tcMar>
              <w:left w:w="0" w:type="dxa"/>
              <w:right w:w="0" w:type="dxa"/>
            </w:tcMar>
            <w:vAlign w:val="bottom"/>
          </w:tcPr>
          <w:p w14:paraId="6E220A5A" w14:textId="77777777" w:rsidR="00FD1E19" w:rsidRDefault="00FD1E19" w:rsidP="00BE7E4A">
            <w:pPr>
              <w:suppressAutoHyphens/>
              <w:rPr>
                <w:rFonts w:ascii="Arial" w:eastAsia="Arial" w:hAnsi="Arial" w:cs="Arial"/>
                <w:noProof/>
                <w:color w:val="000000"/>
                <w:lang w:eastAsia="ar-SA"/>
              </w:rPr>
            </w:pPr>
          </w:p>
        </w:tc>
        <w:tc>
          <w:tcPr>
            <w:tcW w:w="1050" w:type="dxa"/>
            <w:tcBorders>
              <w:top w:val="nil"/>
              <w:left w:val="nil"/>
              <w:bottom w:val="nil"/>
              <w:right w:val="nil"/>
              <w:tl2br w:val="nil"/>
              <w:tr2bl w:val="nil"/>
            </w:tcBorders>
            <w:noWrap/>
            <w:tcMar>
              <w:left w:w="0" w:type="dxa"/>
              <w:right w:w="0" w:type="dxa"/>
            </w:tcMar>
            <w:vAlign w:val="bottom"/>
          </w:tcPr>
          <w:p w14:paraId="2AF41383" w14:textId="77777777" w:rsidR="00FD1E19" w:rsidRDefault="00FD1E19" w:rsidP="00BE7E4A">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14:paraId="709D42F5" w14:textId="77777777" w:rsidR="00FD1E19" w:rsidRDefault="00FD1E19" w:rsidP="00BE7E4A">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14:paraId="5C1E9DF3" w14:textId="77777777" w:rsidR="00FD1E19" w:rsidRDefault="00FD1E19" w:rsidP="00BE7E4A">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14:paraId="1D9E5151" w14:textId="77777777" w:rsidR="00FD1E19" w:rsidRDefault="00FD1E19" w:rsidP="00BE7E4A">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noWrap/>
            <w:tcMar>
              <w:left w:w="0" w:type="dxa"/>
              <w:right w:w="0" w:type="dxa"/>
            </w:tcMar>
            <w:vAlign w:val="bottom"/>
          </w:tcPr>
          <w:p w14:paraId="5DA24254" w14:textId="77777777" w:rsidR="00FD1E19" w:rsidRDefault="00FD1E19" w:rsidP="00BE7E4A">
            <w:pPr>
              <w:suppressAutoHyphens/>
              <w:rPr>
                <w:rFonts w:ascii="Arial" w:eastAsia="Arial" w:hAnsi="Arial" w:cs="Arial"/>
                <w:noProof/>
                <w:color w:val="000000"/>
                <w:lang w:eastAsia="ar-SA"/>
              </w:rPr>
            </w:pPr>
          </w:p>
        </w:tc>
      </w:tr>
    </w:tbl>
    <w:p w14:paraId="46EFB88A" w14:textId="77777777" w:rsidR="00FD1E19" w:rsidRDefault="00FD1E19" w:rsidP="00FD1E19">
      <w:pPr>
        <w:pageBreakBefore/>
        <w:pBdr>
          <w:top w:val="nil"/>
          <w:left w:val="nil"/>
          <w:bottom w:val="nil"/>
          <w:right w:val="nil"/>
          <w:between w:val="nil"/>
          <w:bar w:val="nil"/>
        </w:pBdr>
        <w:suppressAutoHyphens/>
        <w:spacing w:before="60" w:after="60"/>
        <w:jc w:val="center"/>
        <w:rPr>
          <w:rFonts w:ascii="Arial" w:hAnsi="Arial"/>
          <w:b/>
          <w:caps/>
          <w:noProof/>
          <w:sz w:val="20"/>
          <w:szCs w:val="20"/>
          <w:bdr w:val="nil"/>
          <w:lang w:eastAsia="ar-SA"/>
        </w:rPr>
      </w:pPr>
      <w:bookmarkStart w:id="206" w:name="RG_MARKER_90098"/>
      <w:bookmarkStart w:id="207" w:name="RG_MARKER_90099"/>
      <w:r w:rsidRPr="00E66DDB">
        <w:rPr>
          <w:rFonts w:ascii="Arial" w:hAnsi="Arial"/>
          <w:b/>
          <w:caps/>
          <w:noProof/>
          <w:sz w:val="20"/>
          <w:szCs w:val="20"/>
          <w:lang w:eastAsia="ar-SA"/>
        </w:rPr>
        <w:t>STATEMENT OF Cash FlowS</w:t>
      </w:r>
      <w:bookmarkEnd w:id="206"/>
      <w:bookmarkEnd w:id="207"/>
    </w:p>
    <w:p w14:paraId="758772DA" w14:textId="77777777" w:rsidR="00FD1E19" w:rsidRPr="00E66DDB" w:rsidRDefault="00FD1E19" w:rsidP="00FD1E19">
      <w:pPr>
        <w:pBdr>
          <w:top w:val="nil"/>
          <w:left w:val="nil"/>
          <w:bottom w:val="nil"/>
          <w:right w:val="nil"/>
          <w:between w:val="nil"/>
          <w:bar w:val="nil"/>
        </w:pBdr>
        <w:suppressAutoHyphens/>
        <w:spacing w:before="60" w:after="60"/>
        <w:jc w:val="center"/>
        <w:rPr>
          <w:rFonts w:ascii="Arial" w:hAnsi="Arial"/>
          <w:b/>
          <w:caps/>
          <w:noProof/>
          <w:sz w:val="20"/>
          <w:szCs w:val="20"/>
          <w:bdr w:val="nil"/>
          <w:lang w:eastAsia="ar-SA"/>
        </w:rPr>
      </w:pPr>
      <w:r w:rsidRPr="00E66DDB">
        <w:rPr>
          <w:rFonts w:ascii="Arial" w:hAnsi="Arial"/>
          <w:b/>
          <w:caps/>
          <w:noProof/>
          <w:sz w:val="20"/>
          <w:szCs w:val="20"/>
          <w:lang w:eastAsia="ar-SA"/>
        </w:rPr>
        <w:t xml:space="preserve">FOR THE YEAR ENDED 31 december </w:t>
      </w:r>
      <w:r w:rsidRPr="00EA6B5A">
        <w:rPr>
          <w:rFonts w:ascii="Arial" w:hAnsi="Arial"/>
          <w:b/>
          <w:caps/>
          <w:noProof/>
          <w:sz w:val="20"/>
          <w:szCs w:val="20"/>
          <w:lang w:eastAsia="ar-SA"/>
        </w:rPr>
        <w:t>2025</w:t>
      </w:r>
    </w:p>
    <w:p w14:paraId="684E0489" w14:textId="77777777" w:rsidR="00FD1E19" w:rsidRDefault="00FD1E19" w:rsidP="00FD1E19">
      <w:pPr>
        <w:pBdr>
          <w:top w:val="nil"/>
          <w:left w:val="nil"/>
          <w:bottom w:val="nil"/>
          <w:right w:val="nil"/>
          <w:between w:val="nil"/>
          <w:bar w:val="nil"/>
        </w:pBdr>
        <w:tabs>
          <w:tab w:val="center" w:pos="4153"/>
          <w:tab w:val="right" w:pos="8306"/>
        </w:tabs>
        <w:suppressAutoHyphens/>
        <w:spacing w:before="60" w:after="60"/>
        <w:jc w:val="center"/>
        <w:rPr>
          <w:rFonts w:ascii="Arial" w:hAnsi="Arial"/>
          <w:noProof/>
          <w:sz w:val="16"/>
          <w:szCs w:val="16"/>
          <w:bdr w:val="nil"/>
          <w:lang w:eastAsia="ar-SA"/>
        </w:rPr>
      </w:pPr>
      <w:r>
        <w:rPr>
          <w:rFonts w:ascii="Arial" w:hAnsi="Arial"/>
          <w:noProof/>
          <w:sz w:val="16"/>
          <w:szCs w:val="16"/>
          <w:lang w:eastAsia="ar-SA"/>
        </w:rPr>
        <w:t>(in EUR’000)</w:t>
      </w:r>
    </w:p>
    <w:p w14:paraId="1410F8FA" w14:textId="77777777" w:rsidR="00FD1E19" w:rsidRDefault="00FD1E19" w:rsidP="00FD1E19">
      <w:pPr>
        <w:pBdr>
          <w:top w:val="nil"/>
          <w:left w:val="nil"/>
          <w:bottom w:val="nil"/>
          <w:right w:val="nil"/>
          <w:between w:val="nil"/>
          <w:bar w:val="nil"/>
        </w:pBdr>
        <w:suppressAutoHyphens/>
        <w:jc w:val="center"/>
        <w:rPr>
          <w:rFonts w:ascii="Arial" w:hAnsi="Arial"/>
          <w:noProof/>
          <w:sz w:val="16"/>
          <w:szCs w:val="16"/>
          <w:bdr w:val="nil"/>
          <w:lang w:eastAsia="ar-SA"/>
        </w:rPr>
      </w:pPr>
    </w:p>
    <w:tbl>
      <w:tblPr>
        <w:tblStyle w:val="CDMRange2"/>
        <w:tblW w:w="5000" w:type="pct"/>
        <w:tblLayout w:type="fixed"/>
        <w:tblLook w:val="0600" w:firstRow="0" w:lastRow="0" w:firstColumn="0" w:lastColumn="0" w:noHBand="1" w:noVBand="1"/>
      </w:tblPr>
      <w:tblGrid>
        <w:gridCol w:w="6694"/>
        <w:gridCol w:w="656"/>
        <w:gridCol w:w="1164"/>
        <w:gridCol w:w="1164"/>
      </w:tblGrid>
      <w:tr w:rsidR="00FD1E19" w14:paraId="1663A245" w14:textId="77777777" w:rsidTr="00BE7E4A">
        <w:trPr>
          <w:trHeight w:hRule="exact" w:val="660"/>
        </w:trPr>
        <w:tc>
          <w:tcPr>
            <w:tcW w:w="6915" w:type="dxa"/>
            <w:tcBorders>
              <w:top w:val="single" w:sz="4" w:space="0" w:color="000000"/>
              <w:left w:val="nil"/>
              <w:bottom w:val="single" w:sz="4" w:space="0" w:color="000000"/>
              <w:right w:val="nil"/>
              <w:tl2br w:val="nil"/>
              <w:tr2bl w:val="nil"/>
            </w:tcBorders>
            <w:tcMar>
              <w:left w:w="0" w:type="dxa"/>
              <w:right w:w="0" w:type="dxa"/>
            </w:tcMar>
            <w:vAlign w:val="center"/>
          </w:tcPr>
          <w:p w14:paraId="6A2C564D" w14:textId="77777777" w:rsidR="00FD1E19" w:rsidRDefault="00FD1E19" w:rsidP="00BE7E4A">
            <w:pPr>
              <w:suppressAutoHyphens/>
              <w:rPr>
                <w:noProof/>
                <w:color w:val="000000"/>
                <w:lang w:eastAsia="ar-SA"/>
              </w:rPr>
            </w:pPr>
            <w:bookmarkStart w:id="208" w:name="RG_MARKER_90100"/>
            <w:bookmarkEnd w:id="208"/>
          </w:p>
        </w:tc>
        <w:tc>
          <w:tcPr>
            <w:tcW w:w="675" w:type="dxa"/>
            <w:tcBorders>
              <w:top w:val="single" w:sz="4" w:space="0" w:color="000000"/>
              <w:left w:val="nil"/>
              <w:bottom w:val="single" w:sz="4" w:space="0" w:color="000000"/>
              <w:right w:val="nil"/>
              <w:tl2br w:val="nil"/>
              <w:tr2bl w:val="nil"/>
            </w:tcBorders>
            <w:tcMar>
              <w:left w:w="40" w:type="dxa"/>
              <w:right w:w="40" w:type="dxa"/>
            </w:tcMar>
            <w:vAlign w:val="center"/>
          </w:tcPr>
          <w:p w14:paraId="41F7ACC0"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Notes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5AB275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01.01.2025 to 31.12.2025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2118D3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01.01.2024 to 31.12.2024</w:t>
            </w:r>
          </w:p>
        </w:tc>
      </w:tr>
      <w:tr w:rsidR="00FD1E19" w14:paraId="319A16B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15" w:type="dxa"/>
            <w:tcBorders>
              <w:top w:val="single" w:sz="4" w:space="0" w:color="000000"/>
              <w:left w:val="nil"/>
              <w:bottom w:val="single" w:sz="4" w:space="0" w:color="000000"/>
              <w:right w:val="nil"/>
              <w:tl2br w:val="nil"/>
              <w:tr2bl w:val="nil"/>
            </w:tcBorders>
            <w:tcMar>
              <w:left w:w="40" w:type="dxa"/>
              <w:right w:w="40" w:type="dxa"/>
            </w:tcMar>
            <w:vAlign w:val="bottom"/>
          </w:tcPr>
          <w:p w14:paraId="0754ED6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OPERATING ACTIVITIES</w:t>
            </w:r>
          </w:p>
        </w:tc>
        <w:tc>
          <w:tcPr>
            <w:tcW w:w="675" w:type="dxa"/>
            <w:tcBorders>
              <w:top w:val="single" w:sz="4" w:space="0" w:color="000000"/>
              <w:left w:val="nil"/>
              <w:bottom w:val="single" w:sz="4" w:space="0" w:color="000000"/>
              <w:right w:val="nil"/>
              <w:tl2br w:val="nil"/>
              <w:tr2bl w:val="nil"/>
            </w:tcBorders>
            <w:tcMar>
              <w:left w:w="0" w:type="dxa"/>
              <w:right w:w="0" w:type="dxa"/>
            </w:tcMar>
            <w:vAlign w:val="center"/>
          </w:tcPr>
          <w:p w14:paraId="6023AAE8"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53606C1C"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3520423E"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4D141E8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single" w:sz="4" w:space="0" w:color="000000"/>
              <w:left w:val="nil"/>
              <w:bottom w:val="nil"/>
              <w:right w:val="nil"/>
              <w:tl2br w:val="nil"/>
              <w:tr2bl w:val="nil"/>
            </w:tcBorders>
            <w:tcMar>
              <w:left w:w="40" w:type="dxa"/>
              <w:right w:w="40" w:type="dxa"/>
            </w:tcMar>
            <w:vAlign w:val="center"/>
          </w:tcPr>
          <w:p w14:paraId="7F6674A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Profit for the year *</w:t>
            </w:r>
          </w:p>
        </w:tc>
        <w:tc>
          <w:tcPr>
            <w:tcW w:w="675" w:type="dxa"/>
            <w:tcBorders>
              <w:top w:val="single" w:sz="4" w:space="0" w:color="000000"/>
              <w:left w:val="nil"/>
              <w:bottom w:val="nil"/>
              <w:right w:val="nil"/>
              <w:tl2br w:val="nil"/>
              <w:tr2bl w:val="nil"/>
            </w:tcBorders>
            <w:noWrap/>
            <w:tcMar>
              <w:left w:w="0" w:type="dxa"/>
              <w:right w:w="0" w:type="dxa"/>
            </w:tcMar>
            <w:vAlign w:val="bottom"/>
          </w:tcPr>
          <w:p w14:paraId="1895DC0C" w14:textId="77777777" w:rsidR="00FD1E19" w:rsidRDefault="00FD1E19" w:rsidP="00BE7E4A">
            <w:pPr>
              <w:suppressAutoHyphens/>
              <w:rPr>
                <w:rFonts w:ascii="Arial" w:eastAsia="Arial" w:hAnsi="Arial" w:cs="Arial"/>
                <w:b/>
                <w:noProof/>
                <w:color w:val="000000"/>
                <w:lang w:eastAsia="ar-SA"/>
              </w:rPr>
            </w:pPr>
          </w:p>
        </w:tc>
        <w:tc>
          <w:tcPr>
            <w:tcW w:w="1200" w:type="dxa"/>
            <w:tcBorders>
              <w:top w:val="single" w:sz="4" w:space="0" w:color="000000"/>
              <w:left w:val="nil"/>
              <w:bottom w:val="nil"/>
              <w:right w:val="nil"/>
              <w:tl2br w:val="nil"/>
              <w:tr2bl w:val="nil"/>
            </w:tcBorders>
            <w:tcMar>
              <w:left w:w="40" w:type="dxa"/>
              <w:right w:w="40" w:type="dxa"/>
            </w:tcMar>
            <w:vAlign w:val="center"/>
          </w:tcPr>
          <w:p w14:paraId="482786C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81,555</w:t>
            </w:r>
          </w:p>
        </w:tc>
        <w:tc>
          <w:tcPr>
            <w:tcW w:w="1200" w:type="dxa"/>
            <w:tcBorders>
              <w:top w:val="single" w:sz="4" w:space="0" w:color="000000"/>
              <w:left w:val="nil"/>
              <w:bottom w:val="nil"/>
              <w:right w:val="nil"/>
              <w:tl2br w:val="nil"/>
              <w:tr2bl w:val="nil"/>
            </w:tcBorders>
            <w:tcMar>
              <w:left w:w="40" w:type="dxa"/>
              <w:right w:w="40" w:type="dxa"/>
            </w:tcMar>
            <w:vAlign w:val="center"/>
          </w:tcPr>
          <w:p w14:paraId="2F6B93D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90,856</w:t>
            </w:r>
          </w:p>
        </w:tc>
      </w:tr>
      <w:tr w:rsidR="00FD1E19" w14:paraId="2E7E3C4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17E44FC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Adjustments made for:</w:t>
            </w:r>
          </w:p>
        </w:tc>
        <w:tc>
          <w:tcPr>
            <w:tcW w:w="675" w:type="dxa"/>
            <w:tcBorders>
              <w:top w:val="nil"/>
              <w:left w:val="nil"/>
              <w:bottom w:val="nil"/>
              <w:right w:val="nil"/>
              <w:tl2br w:val="nil"/>
              <w:tr2bl w:val="nil"/>
            </w:tcBorders>
            <w:noWrap/>
            <w:tcMar>
              <w:left w:w="0" w:type="dxa"/>
              <w:right w:w="0" w:type="dxa"/>
            </w:tcMar>
            <w:vAlign w:val="center"/>
          </w:tcPr>
          <w:p w14:paraId="2CD54F40"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14:paraId="0E4E0872"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14:paraId="62A6A7BF" w14:textId="77777777" w:rsidR="00FD1E19" w:rsidRDefault="00FD1E19" w:rsidP="00BE7E4A">
            <w:pPr>
              <w:suppressAutoHyphens/>
              <w:jc w:val="right"/>
              <w:rPr>
                <w:rFonts w:ascii="Arial" w:eastAsia="Arial" w:hAnsi="Arial" w:cs="Arial"/>
                <w:noProof/>
                <w:color w:val="000000"/>
                <w:sz w:val="16"/>
                <w:lang w:eastAsia="ar-SA"/>
              </w:rPr>
            </w:pPr>
          </w:p>
        </w:tc>
      </w:tr>
      <w:tr w:rsidR="00FD1E19" w14:paraId="2C63FBA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3BDB4D3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result on shares and other variable yield securities</w:t>
            </w:r>
          </w:p>
        </w:tc>
        <w:tc>
          <w:tcPr>
            <w:tcW w:w="675" w:type="dxa"/>
            <w:tcBorders>
              <w:top w:val="nil"/>
              <w:left w:val="nil"/>
              <w:bottom w:val="nil"/>
              <w:right w:val="nil"/>
              <w:tl2br w:val="nil"/>
              <w:tr2bl w:val="nil"/>
            </w:tcBorders>
            <w:noWrap/>
            <w:tcMar>
              <w:left w:w="0" w:type="dxa"/>
              <w:right w:w="0" w:type="dxa"/>
            </w:tcMar>
            <w:vAlign w:val="center"/>
          </w:tcPr>
          <w:p w14:paraId="672E9750"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016FD1D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-5,176</w:t>
            </w:r>
          </w:p>
        </w:tc>
        <w:tc>
          <w:tcPr>
            <w:tcW w:w="1200" w:type="dxa"/>
            <w:tcBorders>
              <w:top w:val="nil"/>
              <w:left w:val="nil"/>
              <w:bottom w:val="nil"/>
              <w:right w:val="nil"/>
              <w:tl2br w:val="nil"/>
              <w:tr2bl w:val="nil"/>
            </w:tcBorders>
            <w:tcMar>
              <w:left w:w="40" w:type="dxa"/>
              <w:right w:w="40" w:type="dxa"/>
            </w:tcMar>
            <w:vAlign w:val="center"/>
          </w:tcPr>
          <w:p w14:paraId="39D145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52,265</w:t>
            </w:r>
          </w:p>
        </w:tc>
      </w:tr>
      <w:tr w:rsidR="00FD1E19" w14:paraId="40B6870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12BAAEF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Change in impairment on loans and advances, net of reversals</w:t>
            </w:r>
          </w:p>
        </w:tc>
        <w:tc>
          <w:tcPr>
            <w:tcW w:w="675" w:type="dxa"/>
            <w:tcBorders>
              <w:top w:val="nil"/>
              <w:left w:val="nil"/>
              <w:bottom w:val="nil"/>
              <w:right w:val="nil"/>
              <w:tl2br w:val="nil"/>
              <w:tr2bl w:val="nil"/>
            </w:tcBorders>
            <w:noWrap/>
            <w:tcMar>
              <w:left w:w="40" w:type="dxa"/>
              <w:right w:w="40" w:type="dxa"/>
            </w:tcMar>
            <w:vAlign w:val="center"/>
          </w:tcPr>
          <w:p w14:paraId="1ED6ACB2"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7.2</w:t>
            </w:r>
          </w:p>
        </w:tc>
        <w:tc>
          <w:tcPr>
            <w:tcW w:w="1200" w:type="dxa"/>
            <w:tcBorders>
              <w:top w:val="nil"/>
              <w:left w:val="nil"/>
              <w:bottom w:val="nil"/>
              <w:right w:val="nil"/>
              <w:tl2br w:val="nil"/>
              <w:tr2bl w:val="nil"/>
            </w:tcBorders>
            <w:tcMar>
              <w:left w:w="40" w:type="dxa"/>
              <w:right w:w="40" w:type="dxa"/>
            </w:tcMar>
            <w:vAlign w:val="center"/>
          </w:tcPr>
          <w:p w14:paraId="2CABEB4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-8,915</w:t>
            </w:r>
          </w:p>
        </w:tc>
        <w:tc>
          <w:tcPr>
            <w:tcW w:w="1200" w:type="dxa"/>
            <w:tcBorders>
              <w:top w:val="nil"/>
              <w:left w:val="nil"/>
              <w:bottom w:val="nil"/>
              <w:right w:val="nil"/>
              <w:tl2br w:val="nil"/>
              <w:tr2bl w:val="nil"/>
            </w:tcBorders>
            <w:tcMar>
              <w:left w:w="40" w:type="dxa"/>
              <w:right w:w="40" w:type="dxa"/>
            </w:tcMar>
            <w:vAlign w:val="center"/>
          </w:tcPr>
          <w:p w14:paraId="5A6DC8A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-12,145</w:t>
            </w:r>
          </w:p>
        </w:tc>
      </w:tr>
      <w:tr w:rsidR="00FD1E19" w14:paraId="1D56CAD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3567F14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result on loans and advances measured at FVTPL</w:t>
            </w:r>
          </w:p>
        </w:tc>
        <w:tc>
          <w:tcPr>
            <w:tcW w:w="675" w:type="dxa"/>
            <w:tcBorders>
              <w:top w:val="nil"/>
              <w:left w:val="nil"/>
              <w:bottom w:val="nil"/>
              <w:right w:val="nil"/>
              <w:tl2br w:val="nil"/>
              <w:tr2bl w:val="nil"/>
            </w:tcBorders>
            <w:noWrap/>
            <w:tcMar>
              <w:left w:w="40" w:type="dxa"/>
              <w:right w:w="40" w:type="dxa"/>
            </w:tcMar>
            <w:vAlign w:val="center"/>
          </w:tcPr>
          <w:p w14:paraId="6F9F749F"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7</w:t>
            </w:r>
          </w:p>
        </w:tc>
        <w:tc>
          <w:tcPr>
            <w:tcW w:w="1200" w:type="dxa"/>
            <w:tcBorders>
              <w:top w:val="nil"/>
              <w:left w:val="nil"/>
              <w:bottom w:val="nil"/>
              <w:right w:val="nil"/>
              <w:tl2br w:val="nil"/>
              <w:tr2bl w:val="nil"/>
            </w:tcBorders>
            <w:tcMar>
              <w:left w:w="40" w:type="dxa"/>
              <w:right w:w="40" w:type="dxa"/>
            </w:tcMar>
            <w:vAlign w:val="center"/>
          </w:tcPr>
          <w:p w14:paraId="5349FD6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6,948</w:t>
            </w:r>
          </w:p>
        </w:tc>
        <w:tc>
          <w:tcPr>
            <w:tcW w:w="1200" w:type="dxa"/>
            <w:tcBorders>
              <w:top w:val="nil"/>
              <w:left w:val="nil"/>
              <w:bottom w:val="nil"/>
              <w:right w:val="nil"/>
              <w:tl2br w:val="nil"/>
              <w:tr2bl w:val="nil"/>
            </w:tcBorders>
            <w:tcMar>
              <w:left w:w="40" w:type="dxa"/>
              <w:right w:w="40" w:type="dxa"/>
            </w:tcMar>
            <w:vAlign w:val="center"/>
          </w:tcPr>
          <w:p w14:paraId="588C66F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5,436</w:t>
            </w:r>
          </w:p>
        </w:tc>
      </w:tr>
      <w:tr w:rsidR="00FD1E19" w14:paraId="747F0D0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25AFEA3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Change in accrued interest and amortised cost on loans and advances</w:t>
            </w:r>
          </w:p>
        </w:tc>
        <w:tc>
          <w:tcPr>
            <w:tcW w:w="675" w:type="dxa"/>
            <w:tcBorders>
              <w:top w:val="nil"/>
              <w:left w:val="nil"/>
              <w:bottom w:val="nil"/>
              <w:right w:val="nil"/>
              <w:tl2br w:val="nil"/>
              <w:tr2bl w:val="nil"/>
            </w:tcBorders>
            <w:noWrap/>
            <w:tcMar>
              <w:left w:w="0" w:type="dxa"/>
              <w:right w:w="0" w:type="dxa"/>
            </w:tcMar>
            <w:vAlign w:val="center"/>
          </w:tcPr>
          <w:p w14:paraId="68B98A49"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30FAFCD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-3,776</w:t>
            </w:r>
          </w:p>
        </w:tc>
        <w:tc>
          <w:tcPr>
            <w:tcW w:w="1200" w:type="dxa"/>
            <w:tcBorders>
              <w:top w:val="nil"/>
              <w:left w:val="nil"/>
              <w:bottom w:val="nil"/>
              <w:right w:val="nil"/>
              <w:tl2br w:val="nil"/>
              <w:tr2bl w:val="nil"/>
            </w:tcBorders>
            <w:tcMar>
              <w:left w:w="40" w:type="dxa"/>
              <w:right w:w="40" w:type="dxa"/>
            </w:tcMar>
            <w:vAlign w:val="center"/>
          </w:tcPr>
          <w:p w14:paraId="27C2BAA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-2,229</w:t>
            </w:r>
          </w:p>
        </w:tc>
      </w:tr>
      <w:tr w:rsidR="00FD1E19" w14:paraId="38EE900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4924A60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change in provisions for loan commitments, net of reversals</w:t>
            </w:r>
          </w:p>
        </w:tc>
        <w:tc>
          <w:tcPr>
            <w:tcW w:w="675" w:type="dxa"/>
            <w:tcBorders>
              <w:top w:val="nil"/>
              <w:left w:val="nil"/>
              <w:bottom w:val="nil"/>
              <w:right w:val="nil"/>
              <w:tl2br w:val="nil"/>
              <w:tr2bl w:val="nil"/>
            </w:tcBorders>
            <w:noWrap/>
            <w:tcMar>
              <w:left w:w="0" w:type="dxa"/>
              <w:right w:w="0" w:type="dxa"/>
            </w:tcMar>
            <w:vAlign w:val="bottom"/>
          </w:tcPr>
          <w:p w14:paraId="1E015EFD" w14:textId="77777777" w:rsidR="00FD1E19" w:rsidRDefault="00FD1E19" w:rsidP="00BE7E4A">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14:paraId="35A5D59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-735</w:t>
            </w:r>
          </w:p>
        </w:tc>
        <w:tc>
          <w:tcPr>
            <w:tcW w:w="1200" w:type="dxa"/>
            <w:tcBorders>
              <w:top w:val="nil"/>
              <w:left w:val="nil"/>
              <w:bottom w:val="nil"/>
              <w:right w:val="nil"/>
              <w:tl2br w:val="nil"/>
              <w:tr2bl w:val="nil"/>
            </w:tcBorders>
            <w:tcMar>
              <w:left w:w="40" w:type="dxa"/>
              <w:right w:w="40" w:type="dxa"/>
            </w:tcMar>
            <w:vAlign w:val="center"/>
          </w:tcPr>
          <w:p w14:paraId="35FFFF3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-718</w:t>
            </w:r>
          </w:p>
        </w:tc>
      </w:tr>
      <w:tr w:rsidR="00FD1E19" w14:paraId="3435E5D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331885C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Fair value changes on derivatives </w:t>
            </w:r>
          </w:p>
        </w:tc>
        <w:tc>
          <w:tcPr>
            <w:tcW w:w="675" w:type="dxa"/>
            <w:tcBorders>
              <w:top w:val="nil"/>
              <w:left w:val="nil"/>
              <w:bottom w:val="nil"/>
              <w:right w:val="nil"/>
              <w:tl2br w:val="nil"/>
              <w:tr2bl w:val="nil"/>
            </w:tcBorders>
            <w:noWrap/>
            <w:tcMar>
              <w:left w:w="40" w:type="dxa"/>
              <w:right w:w="40" w:type="dxa"/>
            </w:tcMar>
            <w:vAlign w:val="center"/>
          </w:tcPr>
          <w:p w14:paraId="4ED21630"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13</w:t>
            </w:r>
          </w:p>
        </w:tc>
        <w:tc>
          <w:tcPr>
            <w:tcW w:w="1200" w:type="dxa"/>
            <w:tcBorders>
              <w:top w:val="nil"/>
              <w:left w:val="nil"/>
              <w:bottom w:val="nil"/>
              <w:right w:val="nil"/>
              <w:tl2br w:val="nil"/>
              <w:tr2bl w:val="nil"/>
            </w:tcBorders>
            <w:tcMar>
              <w:left w:w="40" w:type="dxa"/>
              <w:right w:w="40" w:type="dxa"/>
            </w:tcMar>
            <w:vAlign w:val="center"/>
          </w:tcPr>
          <w:p w14:paraId="6CAA0D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-45,836</w:t>
            </w:r>
          </w:p>
        </w:tc>
        <w:tc>
          <w:tcPr>
            <w:tcW w:w="1200" w:type="dxa"/>
            <w:tcBorders>
              <w:top w:val="nil"/>
              <w:left w:val="nil"/>
              <w:bottom w:val="nil"/>
              <w:right w:val="nil"/>
              <w:tl2br w:val="nil"/>
              <w:tr2bl w:val="nil"/>
            </w:tcBorders>
            <w:tcMar>
              <w:left w:w="40" w:type="dxa"/>
              <w:right w:w="40" w:type="dxa"/>
            </w:tcMar>
            <w:vAlign w:val="center"/>
          </w:tcPr>
          <w:p w14:paraId="52E4F27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94,192</w:t>
            </w:r>
          </w:p>
        </w:tc>
      </w:tr>
      <w:tr w:rsidR="00FD1E19" w14:paraId="6D0BBA7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12BF4E9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Change in deferred income</w:t>
            </w:r>
          </w:p>
        </w:tc>
        <w:tc>
          <w:tcPr>
            <w:tcW w:w="675" w:type="dxa"/>
            <w:tcBorders>
              <w:top w:val="nil"/>
              <w:left w:val="nil"/>
              <w:bottom w:val="nil"/>
              <w:right w:val="nil"/>
              <w:tl2br w:val="nil"/>
              <w:tr2bl w:val="nil"/>
            </w:tcBorders>
            <w:noWrap/>
            <w:tcMar>
              <w:left w:w="40" w:type="dxa"/>
              <w:right w:w="40" w:type="dxa"/>
            </w:tcMar>
            <w:vAlign w:val="center"/>
          </w:tcPr>
          <w:p w14:paraId="50359B8A"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12</w:t>
            </w:r>
          </w:p>
        </w:tc>
        <w:tc>
          <w:tcPr>
            <w:tcW w:w="1200" w:type="dxa"/>
            <w:tcBorders>
              <w:top w:val="nil"/>
              <w:left w:val="nil"/>
              <w:bottom w:val="nil"/>
              <w:right w:val="nil"/>
              <w:tl2br w:val="nil"/>
              <w:tr2bl w:val="nil"/>
            </w:tcBorders>
            <w:tcMar>
              <w:left w:w="40" w:type="dxa"/>
              <w:right w:w="40" w:type="dxa"/>
            </w:tcMar>
            <w:vAlign w:val="center"/>
          </w:tcPr>
          <w:p w14:paraId="339CE3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-2,880</w:t>
            </w:r>
          </w:p>
        </w:tc>
        <w:tc>
          <w:tcPr>
            <w:tcW w:w="1200" w:type="dxa"/>
            <w:tcBorders>
              <w:top w:val="nil"/>
              <w:left w:val="nil"/>
              <w:bottom w:val="nil"/>
              <w:right w:val="nil"/>
              <w:tl2br w:val="nil"/>
              <w:tr2bl w:val="nil"/>
            </w:tcBorders>
            <w:tcMar>
              <w:left w:w="40" w:type="dxa"/>
              <w:right w:w="40" w:type="dxa"/>
            </w:tcMar>
            <w:vAlign w:val="center"/>
          </w:tcPr>
          <w:p w14:paraId="24E129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-790</w:t>
            </w:r>
          </w:p>
        </w:tc>
      </w:tr>
      <w:tr w:rsidR="00FD1E19" w14:paraId="04CF3CA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75FD298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Effect of exchange rate changes on loans  </w:t>
            </w:r>
          </w:p>
        </w:tc>
        <w:tc>
          <w:tcPr>
            <w:tcW w:w="675" w:type="dxa"/>
            <w:tcBorders>
              <w:top w:val="nil"/>
              <w:left w:val="nil"/>
              <w:bottom w:val="nil"/>
              <w:right w:val="nil"/>
              <w:tl2br w:val="nil"/>
              <w:tr2bl w:val="nil"/>
            </w:tcBorders>
            <w:tcMar>
              <w:left w:w="0" w:type="dxa"/>
              <w:right w:w="0" w:type="dxa"/>
            </w:tcMar>
            <w:vAlign w:val="center"/>
          </w:tcPr>
          <w:p w14:paraId="0C2F89E6"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16C9EC4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95,552</w:t>
            </w:r>
          </w:p>
        </w:tc>
        <w:tc>
          <w:tcPr>
            <w:tcW w:w="1200" w:type="dxa"/>
            <w:tcBorders>
              <w:top w:val="nil"/>
              <w:left w:val="nil"/>
              <w:bottom w:val="nil"/>
              <w:right w:val="nil"/>
              <w:tl2br w:val="nil"/>
              <w:tr2bl w:val="nil"/>
            </w:tcBorders>
            <w:tcMar>
              <w:left w:w="40" w:type="dxa"/>
              <w:right w:w="40" w:type="dxa"/>
            </w:tcMar>
            <w:vAlign w:val="center"/>
          </w:tcPr>
          <w:p w14:paraId="5B7A7B0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-78,744</w:t>
            </w:r>
          </w:p>
        </w:tc>
      </w:tr>
      <w:tr w:rsidR="00FD1E19" w14:paraId="2C838FE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1D55819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Effect of exchange rate changes on shares and other variable yield securities</w:t>
            </w:r>
          </w:p>
        </w:tc>
        <w:tc>
          <w:tcPr>
            <w:tcW w:w="675" w:type="dxa"/>
            <w:tcBorders>
              <w:top w:val="nil"/>
              <w:left w:val="nil"/>
              <w:bottom w:val="nil"/>
              <w:right w:val="nil"/>
              <w:tl2br w:val="nil"/>
              <w:tr2bl w:val="nil"/>
            </w:tcBorders>
            <w:tcMar>
              <w:left w:w="0" w:type="dxa"/>
              <w:right w:w="0" w:type="dxa"/>
            </w:tcMar>
            <w:vAlign w:val="center"/>
          </w:tcPr>
          <w:p w14:paraId="745A6CC7"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4C0BFB1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58,444</w:t>
            </w:r>
          </w:p>
        </w:tc>
        <w:tc>
          <w:tcPr>
            <w:tcW w:w="1200" w:type="dxa"/>
            <w:tcBorders>
              <w:top w:val="nil"/>
              <w:left w:val="nil"/>
              <w:bottom w:val="nil"/>
              <w:right w:val="nil"/>
              <w:tl2br w:val="nil"/>
              <w:tr2bl w:val="nil"/>
            </w:tcBorders>
            <w:tcMar>
              <w:left w:w="40" w:type="dxa"/>
              <w:right w:w="40" w:type="dxa"/>
            </w:tcMar>
            <w:vAlign w:val="center"/>
          </w:tcPr>
          <w:p w14:paraId="02AC714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-23,199</w:t>
            </w:r>
          </w:p>
        </w:tc>
      </w:tr>
      <w:tr w:rsidR="00FD1E19" w14:paraId="698ECA1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4E34979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Effect of exchange rate changes on cash held </w:t>
            </w:r>
          </w:p>
        </w:tc>
        <w:tc>
          <w:tcPr>
            <w:tcW w:w="675" w:type="dxa"/>
            <w:tcBorders>
              <w:top w:val="nil"/>
              <w:left w:val="nil"/>
              <w:bottom w:val="nil"/>
              <w:right w:val="nil"/>
              <w:tl2br w:val="nil"/>
              <w:tr2bl w:val="nil"/>
            </w:tcBorders>
            <w:tcMar>
              <w:left w:w="0" w:type="dxa"/>
              <w:right w:w="0" w:type="dxa"/>
            </w:tcMar>
            <w:vAlign w:val="center"/>
          </w:tcPr>
          <w:p w14:paraId="52A76FD0"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14:paraId="7C796C1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11,405</w:t>
            </w:r>
          </w:p>
        </w:tc>
        <w:tc>
          <w:tcPr>
            <w:tcW w:w="1200" w:type="dxa"/>
            <w:tcBorders>
              <w:top w:val="nil"/>
              <w:left w:val="nil"/>
              <w:bottom w:val="single" w:sz="4" w:space="0" w:color="000000"/>
              <w:right w:val="nil"/>
              <w:tl2br w:val="nil"/>
              <w:tr2bl w:val="nil"/>
            </w:tcBorders>
            <w:tcMar>
              <w:left w:w="40" w:type="dxa"/>
              <w:right w:w="40" w:type="dxa"/>
            </w:tcMar>
            <w:vAlign w:val="center"/>
          </w:tcPr>
          <w:p w14:paraId="5935371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-5,282</w:t>
            </w:r>
          </w:p>
        </w:tc>
      </w:tr>
      <w:tr w:rsidR="00FD1E19" w14:paraId="1A2D20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25EAB2D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Profit / (loss) on operating activities before changes in operating assets and liabilities</w:t>
            </w:r>
          </w:p>
        </w:tc>
        <w:tc>
          <w:tcPr>
            <w:tcW w:w="675" w:type="dxa"/>
            <w:tcBorders>
              <w:top w:val="nil"/>
              <w:left w:val="nil"/>
              <w:bottom w:val="nil"/>
              <w:right w:val="nil"/>
              <w:tl2br w:val="nil"/>
              <w:tr2bl w:val="nil"/>
            </w:tcBorders>
            <w:noWrap/>
            <w:tcMar>
              <w:left w:w="0" w:type="dxa"/>
              <w:right w:w="0" w:type="dxa"/>
            </w:tcMar>
            <w:vAlign w:val="bottom"/>
          </w:tcPr>
          <w:p w14:paraId="37DA97BA" w14:textId="77777777" w:rsidR="00FD1E19" w:rsidRDefault="00FD1E19" w:rsidP="00BE7E4A">
            <w:pPr>
              <w:suppressAutoHyphens/>
              <w:rPr>
                <w:rFonts w:ascii="Arial" w:eastAsia="Arial" w:hAnsi="Arial" w:cs="Arial"/>
                <w:noProof/>
                <w:color w:val="000000"/>
                <w:lang w:eastAsia="ar-SA"/>
              </w:rPr>
            </w:pPr>
          </w:p>
        </w:tc>
        <w:tc>
          <w:tcPr>
            <w:tcW w:w="1200" w:type="dxa"/>
            <w:tcBorders>
              <w:top w:val="single" w:sz="4" w:space="0" w:color="000000"/>
              <w:left w:val="nil"/>
              <w:bottom w:val="nil"/>
              <w:right w:val="nil"/>
              <w:tl2br w:val="nil"/>
              <w:tr2bl w:val="nil"/>
            </w:tcBorders>
            <w:tcMar>
              <w:left w:w="40" w:type="dxa"/>
              <w:right w:w="40" w:type="dxa"/>
            </w:tcMar>
            <w:vAlign w:val="center"/>
          </w:tcPr>
          <w:p w14:paraId="57FB7CF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186,586</w:t>
            </w:r>
          </w:p>
        </w:tc>
        <w:tc>
          <w:tcPr>
            <w:tcW w:w="1200" w:type="dxa"/>
            <w:tcBorders>
              <w:top w:val="single" w:sz="4" w:space="0" w:color="000000"/>
              <w:left w:val="nil"/>
              <w:bottom w:val="nil"/>
              <w:right w:val="nil"/>
              <w:tl2br w:val="nil"/>
              <w:tr2bl w:val="nil"/>
            </w:tcBorders>
            <w:tcMar>
              <w:left w:w="40" w:type="dxa"/>
              <w:right w:w="40" w:type="dxa"/>
            </w:tcMar>
            <w:vAlign w:val="center"/>
          </w:tcPr>
          <w:p w14:paraId="65F59A4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119,642</w:t>
            </w:r>
          </w:p>
        </w:tc>
      </w:tr>
      <w:tr w:rsidR="00FD1E19" w14:paraId="73B5541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50461A2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 disbursements</w:t>
            </w:r>
          </w:p>
        </w:tc>
        <w:tc>
          <w:tcPr>
            <w:tcW w:w="675" w:type="dxa"/>
            <w:tcBorders>
              <w:top w:val="nil"/>
              <w:left w:val="nil"/>
              <w:bottom w:val="nil"/>
              <w:right w:val="nil"/>
              <w:tl2br w:val="nil"/>
              <w:tr2bl w:val="nil"/>
            </w:tcBorders>
            <w:noWrap/>
            <w:tcMar>
              <w:left w:w="40" w:type="dxa"/>
              <w:right w:w="40" w:type="dxa"/>
            </w:tcMar>
            <w:vAlign w:val="center"/>
          </w:tcPr>
          <w:p w14:paraId="2C6764ED"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7</w:t>
            </w:r>
          </w:p>
        </w:tc>
        <w:tc>
          <w:tcPr>
            <w:tcW w:w="1200" w:type="dxa"/>
            <w:tcBorders>
              <w:top w:val="nil"/>
              <w:left w:val="nil"/>
              <w:bottom w:val="nil"/>
              <w:right w:val="nil"/>
              <w:tl2br w:val="nil"/>
              <w:tr2bl w:val="nil"/>
            </w:tcBorders>
            <w:tcMar>
              <w:left w:w="40" w:type="dxa"/>
              <w:right w:w="40" w:type="dxa"/>
            </w:tcMar>
            <w:vAlign w:val="center"/>
          </w:tcPr>
          <w:p w14:paraId="1597A88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-106,653</w:t>
            </w:r>
          </w:p>
        </w:tc>
        <w:tc>
          <w:tcPr>
            <w:tcW w:w="1200" w:type="dxa"/>
            <w:tcBorders>
              <w:top w:val="nil"/>
              <w:left w:val="nil"/>
              <w:bottom w:val="nil"/>
              <w:right w:val="nil"/>
              <w:tl2br w:val="nil"/>
              <w:tr2bl w:val="nil"/>
            </w:tcBorders>
            <w:tcMar>
              <w:left w:w="40" w:type="dxa"/>
              <w:right w:w="40" w:type="dxa"/>
            </w:tcMar>
            <w:vAlign w:val="center"/>
          </w:tcPr>
          <w:p w14:paraId="7627E6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-101,394</w:t>
            </w:r>
          </w:p>
        </w:tc>
      </w:tr>
      <w:tr w:rsidR="00FD1E19" w14:paraId="6F80E16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0E67BBD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 of loans</w:t>
            </w:r>
          </w:p>
        </w:tc>
        <w:tc>
          <w:tcPr>
            <w:tcW w:w="675" w:type="dxa"/>
            <w:tcBorders>
              <w:top w:val="nil"/>
              <w:left w:val="nil"/>
              <w:bottom w:val="nil"/>
              <w:right w:val="nil"/>
              <w:tl2br w:val="nil"/>
              <w:tr2bl w:val="nil"/>
            </w:tcBorders>
            <w:noWrap/>
            <w:tcMar>
              <w:left w:w="40" w:type="dxa"/>
              <w:right w:w="40" w:type="dxa"/>
            </w:tcMar>
            <w:vAlign w:val="center"/>
          </w:tcPr>
          <w:p w14:paraId="3C9D0317"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7</w:t>
            </w:r>
          </w:p>
        </w:tc>
        <w:tc>
          <w:tcPr>
            <w:tcW w:w="1200" w:type="dxa"/>
            <w:tcBorders>
              <w:top w:val="nil"/>
              <w:left w:val="nil"/>
              <w:bottom w:val="nil"/>
              <w:right w:val="nil"/>
              <w:tl2br w:val="nil"/>
              <w:tr2bl w:val="nil"/>
            </w:tcBorders>
            <w:tcMar>
              <w:left w:w="40" w:type="dxa"/>
              <w:right w:w="40" w:type="dxa"/>
            </w:tcMar>
            <w:vAlign w:val="center"/>
          </w:tcPr>
          <w:p w14:paraId="6E8C4B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398,998</w:t>
            </w:r>
          </w:p>
        </w:tc>
        <w:tc>
          <w:tcPr>
            <w:tcW w:w="1200" w:type="dxa"/>
            <w:tcBorders>
              <w:top w:val="nil"/>
              <w:left w:val="nil"/>
              <w:bottom w:val="nil"/>
              <w:right w:val="nil"/>
              <w:tl2br w:val="nil"/>
              <w:tr2bl w:val="nil"/>
            </w:tcBorders>
            <w:tcMar>
              <w:left w:w="40" w:type="dxa"/>
              <w:right w:w="40" w:type="dxa"/>
            </w:tcMar>
            <w:vAlign w:val="center"/>
          </w:tcPr>
          <w:p w14:paraId="17428F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371,568</w:t>
            </w:r>
          </w:p>
        </w:tc>
      </w:tr>
      <w:tr w:rsidR="00FD1E19" w14:paraId="5B4C947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3E550BF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Change in accrued interest on cash and cash equivalents</w:t>
            </w:r>
          </w:p>
        </w:tc>
        <w:tc>
          <w:tcPr>
            <w:tcW w:w="675" w:type="dxa"/>
            <w:tcBorders>
              <w:top w:val="nil"/>
              <w:left w:val="nil"/>
              <w:bottom w:val="nil"/>
              <w:right w:val="nil"/>
              <w:tl2br w:val="nil"/>
              <w:tr2bl w:val="nil"/>
            </w:tcBorders>
            <w:noWrap/>
            <w:tcMar>
              <w:left w:w="40" w:type="dxa"/>
              <w:right w:w="40" w:type="dxa"/>
            </w:tcMar>
            <w:vAlign w:val="center"/>
          </w:tcPr>
          <w:p w14:paraId="5FB97FE9"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5</w:t>
            </w:r>
          </w:p>
        </w:tc>
        <w:tc>
          <w:tcPr>
            <w:tcW w:w="1200" w:type="dxa"/>
            <w:tcBorders>
              <w:top w:val="nil"/>
              <w:left w:val="nil"/>
              <w:bottom w:val="nil"/>
              <w:right w:val="nil"/>
              <w:tl2br w:val="nil"/>
              <w:tr2bl w:val="nil"/>
            </w:tcBorders>
            <w:tcMar>
              <w:left w:w="40" w:type="dxa"/>
              <w:right w:w="40" w:type="dxa"/>
            </w:tcMar>
            <w:vAlign w:val="center"/>
          </w:tcPr>
          <w:p w14:paraId="6A6D04C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-2,331</w:t>
            </w:r>
          </w:p>
        </w:tc>
        <w:tc>
          <w:tcPr>
            <w:tcW w:w="1200" w:type="dxa"/>
            <w:tcBorders>
              <w:top w:val="nil"/>
              <w:left w:val="nil"/>
              <w:bottom w:val="nil"/>
              <w:right w:val="nil"/>
              <w:tl2br w:val="nil"/>
              <w:tr2bl w:val="nil"/>
            </w:tcBorders>
            <w:tcMar>
              <w:left w:w="40" w:type="dxa"/>
              <w:right w:w="40" w:type="dxa"/>
            </w:tcMar>
            <w:vAlign w:val="center"/>
          </w:tcPr>
          <w:p w14:paraId="735D3F2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-646</w:t>
            </w:r>
          </w:p>
        </w:tc>
      </w:tr>
      <w:tr w:rsidR="00FD1E19" w14:paraId="6F3F8B8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23E9204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 disbursements</w:t>
            </w:r>
          </w:p>
        </w:tc>
        <w:tc>
          <w:tcPr>
            <w:tcW w:w="675" w:type="dxa"/>
            <w:tcBorders>
              <w:top w:val="nil"/>
              <w:left w:val="nil"/>
              <w:bottom w:val="nil"/>
              <w:right w:val="nil"/>
              <w:tl2br w:val="nil"/>
              <w:tr2bl w:val="nil"/>
            </w:tcBorders>
            <w:noWrap/>
            <w:tcMar>
              <w:left w:w="40" w:type="dxa"/>
              <w:right w:w="40" w:type="dxa"/>
            </w:tcMar>
            <w:vAlign w:val="center"/>
          </w:tcPr>
          <w:p w14:paraId="41892036"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8</w:t>
            </w:r>
          </w:p>
        </w:tc>
        <w:tc>
          <w:tcPr>
            <w:tcW w:w="1200" w:type="dxa"/>
            <w:tcBorders>
              <w:top w:val="nil"/>
              <w:left w:val="nil"/>
              <w:bottom w:val="nil"/>
              <w:right w:val="nil"/>
              <w:tl2br w:val="nil"/>
              <w:tr2bl w:val="nil"/>
            </w:tcBorders>
            <w:tcMar>
              <w:left w:w="40" w:type="dxa"/>
              <w:right w:w="40" w:type="dxa"/>
            </w:tcMar>
            <w:vAlign w:val="center"/>
          </w:tcPr>
          <w:p w14:paraId="44A5833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-51,701</w:t>
            </w:r>
          </w:p>
        </w:tc>
        <w:tc>
          <w:tcPr>
            <w:tcW w:w="1200" w:type="dxa"/>
            <w:tcBorders>
              <w:top w:val="nil"/>
              <w:left w:val="nil"/>
              <w:bottom w:val="nil"/>
              <w:right w:val="nil"/>
              <w:tl2br w:val="nil"/>
              <w:tr2bl w:val="nil"/>
            </w:tcBorders>
            <w:tcMar>
              <w:left w:w="40" w:type="dxa"/>
              <w:right w:w="40" w:type="dxa"/>
            </w:tcMar>
            <w:vAlign w:val="center"/>
          </w:tcPr>
          <w:p w14:paraId="1CA7DFC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-69,392</w:t>
            </w:r>
          </w:p>
        </w:tc>
      </w:tr>
      <w:tr w:rsidR="00FD1E19" w14:paraId="4A24E9E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73D7F45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proceeds from shares and other variable yield securities</w:t>
            </w:r>
          </w:p>
        </w:tc>
        <w:tc>
          <w:tcPr>
            <w:tcW w:w="675" w:type="dxa"/>
            <w:tcBorders>
              <w:top w:val="nil"/>
              <w:left w:val="nil"/>
              <w:bottom w:val="nil"/>
              <w:right w:val="nil"/>
              <w:tl2br w:val="nil"/>
              <w:tr2bl w:val="nil"/>
            </w:tcBorders>
            <w:noWrap/>
            <w:tcMar>
              <w:left w:w="0" w:type="dxa"/>
              <w:right w:w="0" w:type="dxa"/>
            </w:tcMar>
            <w:vAlign w:val="bottom"/>
          </w:tcPr>
          <w:p w14:paraId="3EC64A42" w14:textId="77777777" w:rsidR="00FD1E19" w:rsidRDefault="00FD1E19" w:rsidP="00BE7E4A">
            <w:pPr>
              <w:suppressAutoHyphens/>
              <w:rPr>
                <w:rFonts w:ascii="Arial" w:eastAsia="Arial" w:hAnsi="Arial" w:cs="Arial"/>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14:paraId="581BA1E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90,480</w:t>
            </w:r>
          </w:p>
        </w:tc>
        <w:tc>
          <w:tcPr>
            <w:tcW w:w="1200" w:type="dxa"/>
            <w:tcBorders>
              <w:top w:val="nil"/>
              <w:left w:val="nil"/>
              <w:bottom w:val="nil"/>
              <w:right w:val="nil"/>
              <w:tl2br w:val="nil"/>
              <w:tr2bl w:val="nil"/>
            </w:tcBorders>
            <w:tcMar>
              <w:left w:w="40" w:type="dxa"/>
              <w:right w:w="40" w:type="dxa"/>
            </w:tcMar>
            <w:vAlign w:val="center"/>
          </w:tcPr>
          <w:p w14:paraId="371F62F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23,033</w:t>
            </w:r>
          </w:p>
        </w:tc>
      </w:tr>
      <w:tr w:rsidR="00FD1E19" w14:paraId="31BCB26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052E685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Dividends received</w:t>
            </w:r>
          </w:p>
        </w:tc>
        <w:tc>
          <w:tcPr>
            <w:tcW w:w="675" w:type="dxa"/>
            <w:tcBorders>
              <w:top w:val="nil"/>
              <w:left w:val="nil"/>
              <w:bottom w:val="nil"/>
              <w:right w:val="nil"/>
              <w:tl2br w:val="nil"/>
              <w:tr2bl w:val="nil"/>
            </w:tcBorders>
            <w:noWrap/>
            <w:tcMar>
              <w:left w:w="40" w:type="dxa"/>
              <w:right w:w="40" w:type="dxa"/>
            </w:tcMar>
            <w:vAlign w:val="center"/>
          </w:tcPr>
          <w:p w14:paraId="60666DA8"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21</w:t>
            </w:r>
          </w:p>
        </w:tc>
        <w:tc>
          <w:tcPr>
            <w:tcW w:w="1200" w:type="dxa"/>
            <w:tcBorders>
              <w:top w:val="nil"/>
              <w:left w:val="nil"/>
              <w:bottom w:val="nil"/>
              <w:right w:val="nil"/>
              <w:tl2br w:val="nil"/>
              <w:tr2bl w:val="nil"/>
            </w:tcBorders>
            <w:tcMar>
              <w:left w:w="40" w:type="dxa"/>
              <w:right w:w="40" w:type="dxa"/>
            </w:tcMar>
            <w:vAlign w:val="center"/>
          </w:tcPr>
          <w:p w14:paraId="5489B6D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18,573</w:t>
            </w:r>
          </w:p>
        </w:tc>
        <w:tc>
          <w:tcPr>
            <w:tcW w:w="1200" w:type="dxa"/>
            <w:tcBorders>
              <w:top w:val="nil"/>
              <w:left w:val="nil"/>
              <w:bottom w:val="nil"/>
              <w:right w:val="nil"/>
              <w:tl2br w:val="nil"/>
              <w:tr2bl w:val="nil"/>
            </w:tcBorders>
            <w:tcMar>
              <w:left w:w="40" w:type="dxa"/>
              <w:right w:w="40" w:type="dxa"/>
            </w:tcMar>
            <w:vAlign w:val="center"/>
          </w:tcPr>
          <w:p w14:paraId="423977F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16,548</w:t>
            </w:r>
          </w:p>
        </w:tc>
      </w:tr>
      <w:tr w:rsidR="00FD1E19" w14:paraId="6BDC7B1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14:paraId="2F14C13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Decrease in other assets</w:t>
            </w:r>
          </w:p>
        </w:tc>
        <w:tc>
          <w:tcPr>
            <w:tcW w:w="675" w:type="dxa"/>
            <w:tcBorders>
              <w:top w:val="nil"/>
              <w:left w:val="nil"/>
              <w:bottom w:val="nil"/>
              <w:right w:val="nil"/>
              <w:tl2br w:val="nil"/>
              <w:tr2bl w:val="nil"/>
            </w:tcBorders>
            <w:tcMar>
              <w:left w:w="0" w:type="dxa"/>
              <w:right w:w="0" w:type="dxa"/>
            </w:tcMar>
            <w:vAlign w:val="center"/>
          </w:tcPr>
          <w:p w14:paraId="4A44D30A"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14:paraId="4D60F6B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BE6447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616</w:t>
            </w:r>
          </w:p>
        </w:tc>
      </w:tr>
      <w:tr w:rsidR="00FD1E19" w14:paraId="282D5EB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14:paraId="046B0B9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(Decrease) in other liabilities</w:t>
            </w:r>
          </w:p>
        </w:tc>
        <w:tc>
          <w:tcPr>
            <w:tcW w:w="675" w:type="dxa"/>
            <w:tcBorders>
              <w:top w:val="nil"/>
              <w:left w:val="nil"/>
              <w:bottom w:val="nil"/>
              <w:right w:val="nil"/>
              <w:tl2br w:val="nil"/>
              <w:tr2bl w:val="nil"/>
            </w:tcBorders>
            <w:tcMar>
              <w:left w:w="0" w:type="dxa"/>
              <w:right w:w="0" w:type="dxa"/>
            </w:tcMar>
            <w:vAlign w:val="center"/>
          </w:tcPr>
          <w:p w14:paraId="19A902AB"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14:paraId="03D806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-245</w:t>
            </w:r>
          </w:p>
        </w:tc>
        <w:tc>
          <w:tcPr>
            <w:tcW w:w="1200" w:type="dxa"/>
            <w:tcBorders>
              <w:top w:val="nil"/>
              <w:left w:val="nil"/>
              <w:bottom w:val="nil"/>
              <w:right w:val="nil"/>
              <w:tl2br w:val="nil"/>
              <w:tr2bl w:val="nil"/>
            </w:tcBorders>
            <w:tcMar>
              <w:left w:w="40" w:type="dxa"/>
              <w:right w:w="40" w:type="dxa"/>
            </w:tcMar>
            <w:vAlign w:val="center"/>
          </w:tcPr>
          <w:p w14:paraId="118EA3C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w:t>
            </w:r>
          </w:p>
        </w:tc>
      </w:tr>
      <w:tr w:rsidR="00FD1E19" w14:paraId="6875379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14:paraId="6F98258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(Decrease) in amounts payable to the European Investment Bank</w:t>
            </w:r>
          </w:p>
        </w:tc>
        <w:tc>
          <w:tcPr>
            <w:tcW w:w="675" w:type="dxa"/>
            <w:tcBorders>
              <w:top w:val="nil"/>
              <w:left w:val="nil"/>
              <w:bottom w:val="nil"/>
              <w:right w:val="nil"/>
              <w:tl2br w:val="nil"/>
              <w:tr2bl w:val="nil"/>
            </w:tcBorders>
            <w:tcMar>
              <w:left w:w="0" w:type="dxa"/>
              <w:right w:w="0" w:type="dxa"/>
            </w:tcMar>
            <w:vAlign w:val="center"/>
          </w:tcPr>
          <w:p w14:paraId="3AE517C5"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14:paraId="01CDA52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-44,913</w:t>
            </w:r>
          </w:p>
        </w:tc>
        <w:tc>
          <w:tcPr>
            <w:tcW w:w="1200" w:type="dxa"/>
            <w:tcBorders>
              <w:top w:val="nil"/>
              <w:left w:val="nil"/>
              <w:bottom w:val="nil"/>
              <w:right w:val="nil"/>
              <w:tl2br w:val="nil"/>
              <w:tr2bl w:val="nil"/>
            </w:tcBorders>
            <w:tcMar>
              <w:left w:w="40" w:type="dxa"/>
              <w:right w:w="40" w:type="dxa"/>
            </w:tcMar>
            <w:vAlign w:val="center"/>
          </w:tcPr>
          <w:p w14:paraId="49449E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-985</w:t>
            </w:r>
          </w:p>
        </w:tc>
      </w:tr>
      <w:tr w:rsidR="00FD1E19" w14:paraId="6261D3D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15" w:type="dxa"/>
            <w:tcBorders>
              <w:top w:val="nil"/>
              <w:left w:val="nil"/>
              <w:bottom w:val="nil"/>
              <w:right w:val="nil"/>
              <w:tl2br w:val="nil"/>
              <w:tr2bl w:val="nil"/>
            </w:tcBorders>
            <w:tcMar>
              <w:left w:w="40" w:type="dxa"/>
              <w:right w:w="40" w:type="dxa"/>
            </w:tcMar>
            <w:vAlign w:val="center"/>
          </w:tcPr>
          <w:p w14:paraId="73E23D0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cash flows (used in) / from operating activities</w:t>
            </w:r>
          </w:p>
        </w:tc>
        <w:tc>
          <w:tcPr>
            <w:tcW w:w="675" w:type="dxa"/>
            <w:tcBorders>
              <w:top w:val="nil"/>
              <w:left w:val="nil"/>
              <w:bottom w:val="nil"/>
              <w:right w:val="nil"/>
              <w:tl2br w:val="nil"/>
              <w:tr2bl w:val="nil"/>
            </w:tcBorders>
            <w:tcMar>
              <w:left w:w="0" w:type="dxa"/>
              <w:right w:w="0" w:type="dxa"/>
            </w:tcMar>
            <w:vAlign w:val="center"/>
          </w:tcPr>
          <w:p w14:paraId="494CE11B" w14:textId="77777777" w:rsidR="00FD1E19" w:rsidRDefault="00FD1E19" w:rsidP="00BE7E4A">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40" w:type="dxa"/>
              <w:right w:w="40" w:type="dxa"/>
            </w:tcMar>
            <w:vAlign w:val="center"/>
          </w:tcPr>
          <w:p w14:paraId="2564AA7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488,794</w:t>
            </w:r>
          </w:p>
        </w:tc>
        <w:tc>
          <w:tcPr>
            <w:tcW w:w="1200" w:type="dxa"/>
            <w:tcBorders>
              <w:top w:val="nil"/>
              <w:left w:val="nil"/>
              <w:bottom w:val="single" w:sz="4" w:space="0" w:color="000000"/>
              <w:right w:val="nil"/>
              <w:tl2br w:val="nil"/>
              <w:tr2bl w:val="nil"/>
            </w:tcBorders>
            <w:tcMar>
              <w:left w:w="40" w:type="dxa"/>
              <w:right w:w="40" w:type="dxa"/>
            </w:tcMar>
            <w:vAlign w:val="center"/>
          </w:tcPr>
          <w:p w14:paraId="21EB7E8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358,941</w:t>
            </w:r>
          </w:p>
        </w:tc>
      </w:tr>
      <w:tr w:rsidR="00FD1E19" w14:paraId="60C0FF1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single" w:sz="4" w:space="0" w:color="000000"/>
              <w:right w:val="nil"/>
              <w:tl2br w:val="nil"/>
              <w:tr2bl w:val="nil"/>
            </w:tcBorders>
            <w:tcMar>
              <w:left w:w="40" w:type="dxa"/>
              <w:right w:w="40" w:type="dxa"/>
            </w:tcMar>
            <w:vAlign w:val="bottom"/>
          </w:tcPr>
          <w:p w14:paraId="5E08ADE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FINANCING ACTIVITIES</w:t>
            </w:r>
          </w:p>
        </w:tc>
        <w:tc>
          <w:tcPr>
            <w:tcW w:w="675" w:type="dxa"/>
            <w:tcBorders>
              <w:top w:val="nil"/>
              <w:left w:val="nil"/>
              <w:bottom w:val="single" w:sz="4" w:space="0" w:color="000000"/>
              <w:right w:val="nil"/>
              <w:tl2br w:val="nil"/>
              <w:tr2bl w:val="nil"/>
            </w:tcBorders>
            <w:tcMar>
              <w:left w:w="0" w:type="dxa"/>
              <w:right w:w="0" w:type="dxa"/>
            </w:tcMar>
            <w:vAlign w:val="center"/>
          </w:tcPr>
          <w:p w14:paraId="0E05609A"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7F579EF3"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5F79DA85"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01462BD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6915" w:type="dxa"/>
            <w:tcBorders>
              <w:top w:val="nil"/>
              <w:left w:val="nil"/>
              <w:bottom w:val="nil"/>
              <w:right w:val="nil"/>
              <w:tl2br w:val="nil"/>
              <w:tr2bl w:val="nil"/>
            </w:tcBorders>
            <w:tcMar>
              <w:left w:w="40" w:type="dxa"/>
              <w:right w:w="40" w:type="dxa"/>
            </w:tcMar>
            <w:vAlign w:val="center"/>
          </w:tcPr>
          <w:p w14:paraId="670759A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received from Member States with regard to interest subsidies and technical assistance</w:t>
            </w:r>
          </w:p>
        </w:tc>
        <w:tc>
          <w:tcPr>
            <w:tcW w:w="675" w:type="dxa"/>
            <w:tcBorders>
              <w:top w:val="nil"/>
              <w:left w:val="nil"/>
              <w:bottom w:val="nil"/>
              <w:right w:val="nil"/>
              <w:tl2br w:val="nil"/>
              <w:tr2bl w:val="nil"/>
            </w:tcBorders>
            <w:tcMar>
              <w:left w:w="0" w:type="dxa"/>
              <w:right w:w="0" w:type="dxa"/>
            </w:tcMar>
            <w:vAlign w:val="center"/>
          </w:tcPr>
          <w:p w14:paraId="2007CB11"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66060BC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7,482</w:t>
            </w:r>
          </w:p>
        </w:tc>
        <w:tc>
          <w:tcPr>
            <w:tcW w:w="1200" w:type="dxa"/>
            <w:tcBorders>
              <w:top w:val="nil"/>
              <w:left w:val="nil"/>
              <w:bottom w:val="nil"/>
              <w:right w:val="nil"/>
              <w:tl2br w:val="nil"/>
              <w:tr2bl w:val="nil"/>
            </w:tcBorders>
            <w:tcMar>
              <w:left w:w="40" w:type="dxa"/>
              <w:right w:w="40" w:type="dxa"/>
            </w:tcMar>
            <w:vAlign w:val="center"/>
          </w:tcPr>
          <w:p w14:paraId="10FE27B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286,800</w:t>
            </w:r>
          </w:p>
        </w:tc>
      </w:tr>
      <w:tr w:rsidR="00FD1E19" w14:paraId="4A9682C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6915" w:type="dxa"/>
            <w:tcBorders>
              <w:top w:val="nil"/>
              <w:left w:val="nil"/>
              <w:bottom w:val="nil"/>
              <w:right w:val="nil"/>
              <w:tl2br w:val="nil"/>
              <w:tr2bl w:val="nil"/>
            </w:tcBorders>
            <w:tcMar>
              <w:left w:w="40" w:type="dxa"/>
              <w:right w:w="40" w:type="dxa"/>
            </w:tcMar>
            <w:vAlign w:val="center"/>
          </w:tcPr>
          <w:p w14:paraId="7C0D805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paid on behalf of Member States with regard to interest subsidies and technical assistance</w:t>
            </w:r>
          </w:p>
        </w:tc>
        <w:tc>
          <w:tcPr>
            <w:tcW w:w="675" w:type="dxa"/>
            <w:tcBorders>
              <w:top w:val="nil"/>
              <w:left w:val="nil"/>
              <w:bottom w:val="nil"/>
              <w:right w:val="nil"/>
              <w:tl2br w:val="nil"/>
              <w:tr2bl w:val="nil"/>
            </w:tcBorders>
            <w:noWrap/>
            <w:tcMar>
              <w:left w:w="0" w:type="dxa"/>
              <w:right w:w="0" w:type="dxa"/>
            </w:tcMar>
            <w:vAlign w:val="center"/>
          </w:tcPr>
          <w:p w14:paraId="2D019F9D"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325521C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-108,597</w:t>
            </w:r>
          </w:p>
        </w:tc>
        <w:tc>
          <w:tcPr>
            <w:tcW w:w="1200" w:type="dxa"/>
            <w:tcBorders>
              <w:top w:val="nil"/>
              <w:left w:val="nil"/>
              <w:bottom w:val="nil"/>
              <w:right w:val="nil"/>
              <w:tl2br w:val="nil"/>
              <w:tr2bl w:val="nil"/>
            </w:tcBorders>
            <w:tcMar>
              <w:left w:w="40" w:type="dxa"/>
              <w:right w:w="40" w:type="dxa"/>
            </w:tcMar>
            <w:vAlign w:val="center"/>
          </w:tcPr>
          <w:p w14:paraId="06FD9DA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-68,256</w:t>
            </w:r>
          </w:p>
        </w:tc>
      </w:tr>
      <w:tr w:rsidR="00FD1E19" w14:paraId="5B4754E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0B25294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Contributions paid out on behalf of Member States</w:t>
            </w:r>
          </w:p>
        </w:tc>
        <w:tc>
          <w:tcPr>
            <w:tcW w:w="675" w:type="dxa"/>
            <w:tcBorders>
              <w:top w:val="nil"/>
              <w:left w:val="nil"/>
              <w:bottom w:val="nil"/>
              <w:right w:val="nil"/>
              <w:tl2br w:val="nil"/>
              <w:tr2bl w:val="nil"/>
            </w:tcBorders>
            <w:noWrap/>
            <w:tcMar>
              <w:left w:w="40" w:type="dxa"/>
              <w:right w:w="40" w:type="dxa"/>
            </w:tcMar>
            <w:vAlign w:val="center"/>
          </w:tcPr>
          <w:p w14:paraId="2BAE2A3E"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53975A0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-347,418</w:t>
            </w:r>
          </w:p>
        </w:tc>
        <w:tc>
          <w:tcPr>
            <w:tcW w:w="1200" w:type="dxa"/>
            <w:tcBorders>
              <w:top w:val="nil"/>
              <w:left w:val="nil"/>
              <w:bottom w:val="nil"/>
              <w:right w:val="nil"/>
              <w:tl2br w:val="nil"/>
              <w:tr2bl w:val="nil"/>
            </w:tcBorders>
            <w:tcMar>
              <w:left w:w="40" w:type="dxa"/>
              <w:right w:w="40" w:type="dxa"/>
            </w:tcMar>
            <w:vAlign w:val="center"/>
          </w:tcPr>
          <w:p w14:paraId="706484C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-309,777</w:t>
            </w:r>
          </w:p>
        </w:tc>
      </w:tr>
      <w:tr w:rsidR="00FD1E19" w14:paraId="2057D1B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14:paraId="5A9231F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cash flows from financing activities</w:t>
            </w:r>
          </w:p>
        </w:tc>
        <w:tc>
          <w:tcPr>
            <w:tcW w:w="675" w:type="dxa"/>
            <w:tcBorders>
              <w:top w:val="nil"/>
              <w:left w:val="nil"/>
              <w:bottom w:val="nil"/>
              <w:right w:val="nil"/>
              <w:tl2br w:val="nil"/>
              <w:tr2bl w:val="nil"/>
            </w:tcBorders>
            <w:tcMar>
              <w:left w:w="0" w:type="dxa"/>
              <w:right w:w="0" w:type="dxa"/>
            </w:tcMar>
            <w:vAlign w:val="center"/>
          </w:tcPr>
          <w:p w14:paraId="35937BBE"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14:paraId="75FEE58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-448,533</w:t>
            </w:r>
          </w:p>
        </w:tc>
        <w:tc>
          <w:tcPr>
            <w:tcW w:w="1200" w:type="dxa"/>
            <w:tcBorders>
              <w:top w:val="nil"/>
              <w:left w:val="nil"/>
              <w:bottom w:val="nil"/>
              <w:right w:val="nil"/>
              <w:tl2br w:val="nil"/>
              <w:tr2bl w:val="nil"/>
            </w:tcBorders>
            <w:tcMar>
              <w:left w:w="40" w:type="dxa"/>
              <w:right w:w="40" w:type="dxa"/>
            </w:tcMar>
            <w:vAlign w:val="center"/>
          </w:tcPr>
          <w:p w14:paraId="4EB8BD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-91,233</w:t>
            </w:r>
          </w:p>
        </w:tc>
      </w:tr>
      <w:tr w:rsidR="00FD1E19" w14:paraId="37C9329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shd w:val="clear" w:color="FFFFFF" w:fill="A8A8A8"/>
            <w:tcMar>
              <w:left w:w="40" w:type="dxa"/>
              <w:right w:w="40" w:type="dxa"/>
            </w:tcMar>
            <w:vAlign w:val="center"/>
          </w:tcPr>
          <w:p w14:paraId="6415804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increase in cash and cash equivalents</w:t>
            </w:r>
          </w:p>
        </w:tc>
        <w:tc>
          <w:tcPr>
            <w:tcW w:w="675" w:type="dxa"/>
            <w:tcBorders>
              <w:top w:val="nil"/>
              <w:left w:val="nil"/>
              <w:bottom w:val="nil"/>
              <w:right w:val="nil"/>
              <w:tl2br w:val="nil"/>
              <w:tr2bl w:val="nil"/>
            </w:tcBorders>
            <w:shd w:val="clear" w:color="FFFFFF" w:fill="A8A8A8"/>
            <w:tcMar>
              <w:left w:w="0" w:type="dxa"/>
              <w:right w:w="0" w:type="dxa"/>
            </w:tcMar>
            <w:vAlign w:val="center"/>
          </w:tcPr>
          <w:p w14:paraId="27E6BDA5"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shd w:val="clear" w:color="FFFFFF" w:fill="A8A8A8"/>
            <w:tcMar>
              <w:left w:w="40" w:type="dxa"/>
              <w:right w:w="40" w:type="dxa"/>
            </w:tcMar>
            <w:vAlign w:val="center"/>
          </w:tcPr>
          <w:p w14:paraId="5A062F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40,261</w:t>
            </w:r>
          </w:p>
        </w:tc>
        <w:tc>
          <w:tcPr>
            <w:tcW w:w="1200" w:type="dxa"/>
            <w:tcBorders>
              <w:top w:val="nil"/>
              <w:left w:val="nil"/>
              <w:bottom w:val="nil"/>
              <w:right w:val="nil"/>
              <w:tl2br w:val="nil"/>
              <w:tr2bl w:val="nil"/>
            </w:tcBorders>
            <w:shd w:val="clear" w:color="FFFFFF" w:fill="A8A8A8"/>
            <w:tcMar>
              <w:left w:w="40" w:type="dxa"/>
              <w:right w:w="40" w:type="dxa"/>
            </w:tcMar>
            <w:vAlign w:val="center"/>
          </w:tcPr>
          <w:p w14:paraId="3A6B0C7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267,708</w:t>
            </w:r>
          </w:p>
        </w:tc>
      </w:tr>
      <w:tr w:rsidR="00FD1E19" w14:paraId="71BF3FD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14:paraId="3CA718D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Summary statement of cash flows:</w:t>
            </w:r>
          </w:p>
        </w:tc>
        <w:tc>
          <w:tcPr>
            <w:tcW w:w="675" w:type="dxa"/>
            <w:tcBorders>
              <w:top w:val="nil"/>
              <w:left w:val="nil"/>
              <w:bottom w:val="nil"/>
              <w:right w:val="nil"/>
              <w:tl2br w:val="nil"/>
              <w:tr2bl w:val="nil"/>
            </w:tcBorders>
            <w:tcMar>
              <w:left w:w="0" w:type="dxa"/>
              <w:right w:w="0" w:type="dxa"/>
            </w:tcMar>
            <w:vAlign w:val="center"/>
          </w:tcPr>
          <w:p w14:paraId="717089E1"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14:paraId="0566692A"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14:paraId="44DD1D71" w14:textId="77777777" w:rsidR="00FD1E19" w:rsidRDefault="00FD1E19" w:rsidP="00BE7E4A">
            <w:pPr>
              <w:suppressAutoHyphens/>
              <w:jc w:val="right"/>
              <w:rPr>
                <w:rFonts w:ascii="Arial" w:eastAsia="Arial" w:hAnsi="Arial" w:cs="Arial"/>
                <w:noProof/>
                <w:color w:val="000000"/>
                <w:sz w:val="16"/>
                <w:lang w:eastAsia="ar-SA"/>
              </w:rPr>
            </w:pPr>
          </w:p>
        </w:tc>
      </w:tr>
      <w:tr w:rsidR="00FD1E19" w14:paraId="139D88D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2"/>
        </w:trPr>
        <w:tc>
          <w:tcPr>
            <w:tcW w:w="6915" w:type="dxa"/>
            <w:tcBorders>
              <w:top w:val="nil"/>
              <w:left w:val="nil"/>
              <w:bottom w:val="nil"/>
              <w:right w:val="nil"/>
              <w:tl2br w:val="nil"/>
              <w:tr2bl w:val="nil"/>
            </w:tcBorders>
            <w:tcMar>
              <w:left w:w="40" w:type="dxa"/>
              <w:right w:w="40" w:type="dxa"/>
            </w:tcMar>
            <w:vAlign w:val="center"/>
          </w:tcPr>
          <w:p w14:paraId="5100A8A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Cash and cash equivalents at the beginning of financial year</w:t>
            </w:r>
          </w:p>
        </w:tc>
        <w:tc>
          <w:tcPr>
            <w:tcW w:w="675" w:type="dxa"/>
            <w:tcBorders>
              <w:top w:val="nil"/>
              <w:left w:val="nil"/>
              <w:bottom w:val="nil"/>
              <w:right w:val="nil"/>
              <w:tl2br w:val="nil"/>
              <w:tr2bl w:val="nil"/>
            </w:tcBorders>
            <w:tcMar>
              <w:left w:w="0" w:type="dxa"/>
              <w:right w:w="0" w:type="dxa"/>
            </w:tcMar>
            <w:vAlign w:val="center"/>
          </w:tcPr>
          <w:p w14:paraId="21537D51"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40" w:type="dxa"/>
              <w:right w:w="40" w:type="dxa"/>
            </w:tcMar>
            <w:vAlign w:val="center"/>
          </w:tcPr>
          <w:p w14:paraId="1AFB540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1,633,830</w:t>
            </w:r>
          </w:p>
        </w:tc>
        <w:tc>
          <w:tcPr>
            <w:tcW w:w="1200" w:type="dxa"/>
            <w:tcBorders>
              <w:top w:val="nil"/>
              <w:left w:val="nil"/>
              <w:bottom w:val="nil"/>
              <w:right w:val="nil"/>
              <w:tl2br w:val="nil"/>
              <w:tr2bl w:val="nil"/>
            </w:tcBorders>
            <w:tcMar>
              <w:left w:w="40" w:type="dxa"/>
              <w:right w:w="40" w:type="dxa"/>
            </w:tcMar>
            <w:vAlign w:val="center"/>
          </w:tcPr>
          <w:p w14:paraId="36D48FC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1,371,404</w:t>
            </w:r>
          </w:p>
        </w:tc>
      </w:tr>
      <w:tr w:rsidR="00FD1E19" w14:paraId="6B3D68A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1D9739A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cash flows (used in) / from:</w:t>
            </w:r>
          </w:p>
        </w:tc>
        <w:tc>
          <w:tcPr>
            <w:tcW w:w="675" w:type="dxa"/>
            <w:tcBorders>
              <w:top w:val="nil"/>
              <w:left w:val="nil"/>
              <w:bottom w:val="nil"/>
              <w:right w:val="nil"/>
              <w:tl2br w:val="nil"/>
              <w:tr2bl w:val="nil"/>
            </w:tcBorders>
            <w:tcMar>
              <w:left w:w="0" w:type="dxa"/>
              <w:right w:w="0" w:type="dxa"/>
            </w:tcMar>
            <w:vAlign w:val="center"/>
          </w:tcPr>
          <w:p w14:paraId="4D8BB98C"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14:paraId="045A0FB2"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14:paraId="0E18DF5B"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77B73FE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2DE5545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Operating activities</w:t>
            </w:r>
          </w:p>
        </w:tc>
        <w:tc>
          <w:tcPr>
            <w:tcW w:w="675" w:type="dxa"/>
            <w:tcBorders>
              <w:top w:val="nil"/>
              <w:left w:val="nil"/>
              <w:bottom w:val="nil"/>
              <w:right w:val="nil"/>
              <w:tl2br w:val="nil"/>
              <w:tr2bl w:val="nil"/>
            </w:tcBorders>
            <w:tcMar>
              <w:left w:w="0" w:type="dxa"/>
              <w:right w:w="0" w:type="dxa"/>
            </w:tcMar>
            <w:vAlign w:val="center"/>
          </w:tcPr>
          <w:p w14:paraId="51E08C5A"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2E754C3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488,794</w:t>
            </w:r>
          </w:p>
        </w:tc>
        <w:tc>
          <w:tcPr>
            <w:tcW w:w="1200" w:type="dxa"/>
            <w:tcBorders>
              <w:top w:val="nil"/>
              <w:left w:val="nil"/>
              <w:bottom w:val="nil"/>
              <w:right w:val="nil"/>
              <w:tl2br w:val="nil"/>
              <w:tr2bl w:val="nil"/>
            </w:tcBorders>
            <w:tcMar>
              <w:left w:w="40" w:type="dxa"/>
              <w:right w:w="40" w:type="dxa"/>
            </w:tcMar>
            <w:vAlign w:val="center"/>
          </w:tcPr>
          <w:p w14:paraId="64FA771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358,941</w:t>
            </w:r>
          </w:p>
        </w:tc>
      </w:tr>
      <w:tr w:rsidR="00FD1E19" w14:paraId="1EF29A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4C1CB5D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Financing activities</w:t>
            </w:r>
          </w:p>
        </w:tc>
        <w:tc>
          <w:tcPr>
            <w:tcW w:w="675" w:type="dxa"/>
            <w:tcBorders>
              <w:top w:val="nil"/>
              <w:left w:val="nil"/>
              <w:bottom w:val="nil"/>
              <w:right w:val="nil"/>
              <w:tl2br w:val="nil"/>
              <w:tr2bl w:val="nil"/>
            </w:tcBorders>
            <w:tcMar>
              <w:left w:w="0" w:type="dxa"/>
              <w:right w:w="0" w:type="dxa"/>
            </w:tcMar>
            <w:vAlign w:val="center"/>
          </w:tcPr>
          <w:p w14:paraId="04783F31"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141CDE9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-448,533</w:t>
            </w:r>
          </w:p>
        </w:tc>
        <w:tc>
          <w:tcPr>
            <w:tcW w:w="1200" w:type="dxa"/>
            <w:tcBorders>
              <w:top w:val="nil"/>
              <w:left w:val="nil"/>
              <w:bottom w:val="nil"/>
              <w:right w:val="nil"/>
              <w:tl2br w:val="nil"/>
              <w:tr2bl w:val="nil"/>
            </w:tcBorders>
            <w:tcMar>
              <w:left w:w="40" w:type="dxa"/>
              <w:right w:w="40" w:type="dxa"/>
            </w:tcMar>
            <w:vAlign w:val="center"/>
          </w:tcPr>
          <w:p w14:paraId="329526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-91,233</w:t>
            </w:r>
          </w:p>
        </w:tc>
      </w:tr>
      <w:tr w:rsidR="00FD1E19" w14:paraId="288B754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5C1CE09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Effects of exchange rate changes on cash and cash equivalents</w:t>
            </w:r>
          </w:p>
        </w:tc>
        <w:tc>
          <w:tcPr>
            <w:tcW w:w="675" w:type="dxa"/>
            <w:tcBorders>
              <w:top w:val="nil"/>
              <w:left w:val="nil"/>
              <w:bottom w:val="nil"/>
              <w:right w:val="nil"/>
              <w:tl2br w:val="nil"/>
              <w:tr2bl w:val="nil"/>
            </w:tcBorders>
            <w:tcMar>
              <w:left w:w="0" w:type="dxa"/>
              <w:right w:w="0" w:type="dxa"/>
            </w:tcMar>
            <w:vAlign w:val="center"/>
          </w:tcPr>
          <w:p w14:paraId="5AE1938B"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tcMar>
              <w:left w:w="40" w:type="dxa"/>
              <w:right w:w="40" w:type="dxa"/>
            </w:tcMar>
            <w:vAlign w:val="center"/>
          </w:tcPr>
          <w:p w14:paraId="1AE6114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-11,405</w:t>
            </w:r>
          </w:p>
        </w:tc>
        <w:tc>
          <w:tcPr>
            <w:tcW w:w="1200" w:type="dxa"/>
            <w:tcBorders>
              <w:top w:val="nil"/>
              <w:left w:val="nil"/>
              <w:bottom w:val="nil"/>
              <w:right w:val="nil"/>
              <w:tl2br w:val="nil"/>
              <w:tr2bl w:val="nil"/>
            </w:tcBorders>
            <w:tcMar>
              <w:left w:w="40" w:type="dxa"/>
              <w:right w:w="40" w:type="dxa"/>
            </w:tcMar>
            <w:vAlign w:val="center"/>
          </w:tcPr>
          <w:p w14:paraId="07321C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-5,282</w:t>
            </w:r>
          </w:p>
        </w:tc>
      </w:tr>
      <w:tr w:rsidR="00FD1E19" w14:paraId="2B16FD9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shd w:val="clear" w:color="FFFFFF" w:fill="A8A8A8"/>
            <w:tcMar>
              <w:left w:w="40" w:type="dxa"/>
              <w:right w:w="40" w:type="dxa"/>
            </w:tcMar>
            <w:vAlign w:val="center"/>
          </w:tcPr>
          <w:p w14:paraId="091FEB5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Cash and cash equivalents at the end of financial year</w:t>
            </w:r>
          </w:p>
        </w:tc>
        <w:tc>
          <w:tcPr>
            <w:tcW w:w="675" w:type="dxa"/>
            <w:tcBorders>
              <w:top w:val="nil"/>
              <w:left w:val="nil"/>
              <w:bottom w:val="nil"/>
              <w:right w:val="nil"/>
              <w:tl2br w:val="nil"/>
              <w:tr2bl w:val="nil"/>
            </w:tcBorders>
            <w:shd w:val="clear" w:color="FFFFFF" w:fill="A8A8A8"/>
            <w:tcMar>
              <w:left w:w="0" w:type="dxa"/>
              <w:right w:w="0" w:type="dxa"/>
            </w:tcMar>
            <w:vAlign w:val="center"/>
          </w:tcPr>
          <w:p w14:paraId="2893E5FC" w14:textId="77777777" w:rsidR="00FD1E19" w:rsidRDefault="00FD1E19" w:rsidP="00BE7E4A">
            <w:pPr>
              <w:suppressAutoHyphens/>
              <w:jc w:val="center"/>
              <w:rPr>
                <w:rFonts w:ascii="Arial" w:eastAsia="Arial" w:hAnsi="Arial" w:cs="Arial"/>
                <w:noProof/>
                <w:color w:val="000000"/>
                <w:sz w:val="16"/>
                <w:lang w:eastAsia="ar-SA"/>
              </w:rPr>
            </w:pPr>
          </w:p>
        </w:tc>
        <w:tc>
          <w:tcPr>
            <w:tcW w:w="1200" w:type="dxa"/>
            <w:tcBorders>
              <w:top w:val="nil"/>
              <w:left w:val="nil"/>
              <w:bottom w:val="nil"/>
              <w:right w:val="nil"/>
              <w:tl2br w:val="nil"/>
              <w:tr2bl w:val="nil"/>
            </w:tcBorders>
            <w:shd w:val="clear" w:color="FFFFFF" w:fill="A8A8A8"/>
            <w:tcMar>
              <w:left w:w="40" w:type="dxa"/>
              <w:right w:w="40" w:type="dxa"/>
            </w:tcMar>
            <w:vAlign w:val="center"/>
          </w:tcPr>
          <w:p w14:paraId="4CEAC0A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1,662,686</w:t>
            </w:r>
          </w:p>
        </w:tc>
        <w:tc>
          <w:tcPr>
            <w:tcW w:w="1200" w:type="dxa"/>
            <w:tcBorders>
              <w:top w:val="nil"/>
              <w:left w:val="nil"/>
              <w:bottom w:val="nil"/>
              <w:right w:val="nil"/>
              <w:tl2br w:val="nil"/>
              <w:tr2bl w:val="nil"/>
            </w:tcBorders>
            <w:shd w:val="clear" w:color="FFFFFF" w:fill="A8A8A8"/>
            <w:tcMar>
              <w:left w:w="40" w:type="dxa"/>
              <w:right w:w="40" w:type="dxa"/>
            </w:tcMar>
            <w:vAlign w:val="center"/>
          </w:tcPr>
          <w:p w14:paraId="64EE754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1,633,830</w:t>
            </w:r>
          </w:p>
        </w:tc>
      </w:tr>
      <w:tr w:rsidR="00FD1E19" w14:paraId="0331EB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2C0C466E" w14:textId="77777777" w:rsidR="00FD1E19" w:rsidRDefault="00FD1E19" w:rsidP="00BE7E4A">
            <w:pPr>
              <w:suppressAutoHyphens/>
              <w:jc w:val="both"/>
              <w:rPr>
                <w:rFonts w:ascii="Arial" w:eastAsia="Arial" w:hAnsi="Arial" w:cs="Arial"/>
                <w:b/>
                <w:noProof/>
                <w:color w:val="000000"/>
                <w:sz w:val="16"/>
                <w:lang w:eastAsia="ar-SA"/>
              </w:rPr>
            </w:pPr>
            <w:r>
              <w:rPr>
                <w:rFonts w:ascii="Arial" w:eastAsia="Arial" w:hAnsi="Arial" w:cs="Arial"/>
                <w:b/>
                <w:noProof/>
                <w:color w:val="000000"/>
                <w:sz w:val="16"/>
                <w:lang w:eastAsia="ar-SA"/>
              </w:rPr>
              <w:t>Cash and cash equivalents are composed of:</w:t>
            </w:r>
          </w:p>
        </w:tc>
        <w:tc>
          <w:tcPr>
            <w:tcW w:w="675" w:type="dxa"/>
            <w:tcBorders>
              <w:top w:val="nil"/>
              <w:left w:val="nil"/>
              <w:bottom w:val="nil"/>
              <w:right w:val="nil"/>
              <w:tl2br w:val="nil"/>
              <w:tr2bl w:val="nil"/>
            </w:tcBorders>
            <w:tcMar>
              <w:left w:w="0" w:type="dxa"/>
              <w:right w:w="0" w:type="dxa"/>
            </w:tcMar>
            <w:vAlign w:val="center"/>
          </w:tcPr>
          <w:p w14:paraId="6DF6ADFE"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14:paraId="2B7DE6C8"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nil"/>
              <w:right w:val="nil"/>
              <w:tl2br w:val="nil"/>
              <w:tr2bl w:val="nil"/>
            </w:tcBorders>
            <w:tcMar>
              <w:left w:w="0" w:type="dxa"/>
              <w:right w:w="0" w:type="dxa"/>
            </w:tcMar>
            <w:vAlign w:val="center"/>
          </w:tcPr>
          <w:p w14:paraId="180B43BA"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8A265C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2D233D9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Cash in hand </w:t>
            </w:r>
          </w:p>
        </w:tc>
        <w:tc>
          <w:tcPr>
            <w:tcW w:w="675" w:type="dxa"/>
            <w:tcBorders>
              <w:top w:val="nil"/>
              <w:left w:val="nil"/>
              <w:bottom w:val="nil"/>
              <w:right w:val="nil"/>
              <w:tl2br w:val="nil"/>
              <w:tr2bl w:val="nil"/>
            </w:tcBorders>
            <w:noWrap/>
            <w:tcMar>
              <w:left w:w="40" w:type="dxa"/>
              <w:right w:w="40" w:type="dxa"/>
            </w:tcMar>
            <w:vAlign w:val="center"/>
          </w:tcPr>
          <w:p w14:paraId="3BFE0839"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5</w:t>
            </w:r>
          </w:p>
        </w:tc>
        <w:tc>
          <w:tcPr>
            <w:tcW w:w="1200" w:type="dxa"/>
            <w:tcBorders>
              <w:top w:val="nil"/>
              <w:left w:val="nil"/>
              <w:bottom w:val="nil"/>
              <w:right w:val="nil"/>
              <w:tl2br w:val="nil"/>
              <w:tr2bl w:val="nil"/>
            </w:tcBorders>
            <w:noWrap/>
            <w:tcMar>
              <w:left w:w="40" w:type="dxa"/>
              <w:right w:w="40" w:type="dxa"/>
            </w:tcMar>
            <w:vAlign w:val="center"/>
          </w:tcPr>
          <w:p w14:paraId="1B8E38B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146,087</w:t>
            </w:r>
          </w:p>
        </w:tc>
        <w:tc>
          <w:tcPr>
            <w:tcW w:w="1200" w:type="dxa"/>
            <w:tcBorders>
              <w:top w:val="nil"/>
              <w:left w:val="nil"/>
              <w:bottom w:val="nil"/>
              <w:right w:val="nil"/>
              <w:tl2br w:val="nil"/>
              <w:tr2bl w:val="nil"/>
            </w:tcBorders>
            <w:tcMar>
              <w:left w:w="40" w:type="dxa"/>
              <w:right w:w="40" w:type="dxa"/>
            </w:tcMar>
            <w:vAlign w:val="center"/>
          </w:tcPr>
          <w:p w14:paraId="3A21AAC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212,466</w:t>
            </w:r>
          </w:p>
        </w:tc>
      </w:tr>
      <w:tr w:rsidR="00FD1E19" w14:paraId="0504882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4927149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Term deposits (excluding accrued interest)</w:t>
            </w:r>
          </w:p>
        </w:tc>
        <w:tc>
          <w:tcPr>
            <w:tcW w:w="675" w:type="dxa"/>
            <w:tcBorders>
              <w:top w:val="nil"/>
              <w:left w:val="nil"/>
              <w:bottom w:val="nil"/>
              <w:right w:val="nil"/>
              <w:tl2br w:val="nil"/>
              <w:tr2bl w:val="nil"/>
            </w:tcBorders>
            <w:noWrap/>
            <w:tcMar>
              <w:left w:w="40" w:type="dxa"/>
              <w:right w:w="40" w:type="dxa"/>
            </w:tcMar>
            <w:vAlign w:val="center"/>
          </w:tcPr>
          <w:p w14:paraId="7B4E3035"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5</w:t>
            </w:r>
          </w:p>
        </w:tc>
        <w:tc>
          <w:tcPr>
            <w:tcW w:w="1200" w:type="dxa"/>
            <w:tcBorders>
              <w:top w:val="nil"/>
              <w:left w:val="nil"/>
              <w:bottom w:val="nil"/>
              <w:right w:val="nil"/>
              <w:tl2br w:val="nil"/>
              <w:tr2bl w:val="nil"/>
            </w:tcBorders>
            <w:noWrap/>
            <w:tcMar>
              <w:left w:w="40" w:type="dxa"/>
              <w:right w:w="40" w:type="dxa"/>
            </w:tcMar>
            <w:vAlign w:val="center"/>
          </w:tcPr>
          <w:p w14:paraId="019C606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556,329</w:t>
            </w:r>
          </w:p>
        </w:tc>
        <w:tc>
          <w:tcPr>
            <w:tcW w:w="1200" w:type="dxa"/>
            <w:tcBorders>
              <w:top w:val="nil"/>
              <w:left w:val="nil"/>
              <w:bottom w:val="nil"/>
              <w:right w:val="nil"/>
              <w:tl2br w:val="nil"/>
              <w:tr2bl w:val="nil"/>
            </w:tcBorders>
            <w:tcMar>
              <w:left w:w="40" w:type="dxa"/>
              <w:right w:w="40" w:type="dxa"/>
            </w:tcMar>
            <w:vAlign w:val="center"/>
          </w:tcPr>
          <w:p w14:paraId="672B590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304,538</w:t>
            </w:r>
          </w:p>
        </w:tc>
      </w:tr>
      <w:tr w:rsidR="00FD1E19" w14:paraId="0BB149B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tcMar>
              <w:left w:w="40" w:type="dxa"/>
              <w:right w:w="40" w:type="dxa"/>
            </w:tcMar>
            <w:vAlign w:val="center"/>
          </w:tcPr>
          <w:p w14:paraId="19E79D6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Commercial papers</w:t>
            </w:r>
          </w:p>
        </w:tc>
        <w:tc>
          <w:tcPr>
            <w:tcW w:w="675" w:type="dxa"/>
            <w:tcBorders>
              <w:top w:val="nil"/>
              <w:left w:val="nil"/>
              <w:bottom w:val="nil"/>
              <w:right w:val="nil"/>
              <w:tl2br w:val="nil"/>
              <w:tr2bl w:val="nil"/>
            </w:tcBorders>
            <w:noWrap/>
            <w:tcMar>
              <w:left w:w="40" w:type="dxa"/>
              <w:right w:w="40" w:type="dxa"/>
            </w:tcMar>
            <w:vAlign w:val="center"/>
          </w:tcPr>
          <w:p w14:paraId="658E4777"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5</w:t>
            </w:r>
          </w:p>
        </w:tc>
        <w:tc>
          <w:tcPr>
            <w:tcW w:w="1200" w:type="dxa"/>
            <w:tcBorders>
              <w:top w:val="nil"/>
              <w:left w:val="nil"/>
              <w:bottom w:val="single" w:sz="4" w:space="0" w:color="000000"/>
              <w:right w:val="nil"/>
              <w:tl2br w:val="nil"/>
              <w:tr2bl w:val="nil"/>
            </w:tcBorders>
            <w:noWrap/>
            <w:tcMar>
              <w:left w:w="40" w:type="dxa"/>
              <w:right w:w="40" w:type="dxa"/>
            </w:tcMar>
            <w:vAlign w:val="center"/>
          </w:tcPr>
          <w:p w14:paraId="1E5892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960,270</w:t>
            </w:r>
          </w:p>
        </w:tc>
        <w:tc>
          <w:tcPr>
            <w:tcW w:w="1200" w:type="dxa"/>
            <w:tcBorders>
              <w:top w:val="nil"/>
              <w:left w:val="nil"/>
              <w:bottom w:val="single" w:sz="4" w:space="0" w:color="000000"/>
              <w:right w:val="nil"/>
              <w:tl2br w:val="nil"/>
              <w:tr2bl w:val="nil"/>
            </w:tcBorders>
            <w:tcMar>
              <w:left w:w="40" w:type="dxa"/>
              <w:right w:w="40" w:type="dxa"/>
            </w:tcMar>
            <w:vAlign w:val="center"/>
          </w:tcPr>
          <w:p w14:paraId="46F04C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1,116,826</w:t>
            </w:r>
          </w:p>
        </w:tc>
      </w:tr>
      <w:tr w:rsidR="00FD1E19" w14:paraId="44A4ED0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6915" w:type="dxa"/>
            <w:tcBorders>
              <w:top w:val="nil"/>
              <w:left w:val="nil"/>
              <w:bottom w:val="nil"/>
              <w:right w:val="nil"/>
              <w:tl2br w:val="nil"/>
              <w:tr2bl w:val="nil"/>
            </w:tcBorders>
            <w:noWrap/>
            <w:tcMar>
              <w:left w:w="0" w:type="dxa"/>
              <w:right w:w="0" w:type="dxa"/>
            </w:tcMar>
            <w:vAlign w:val="bottom"/>
          </w:tcPr>
          <w:p w14:paraId="2B64DF72" w14:textId="77777777" w:rsidR="00FD1E19" w:rsidRDefault="00FD1E19" w:rsidP="00BE7E4A">
            <w:pPr>
              <w:suppressAutoHyphens/>
              <w:rPr>
                <w:rFonts w:ascii="Arial" w:eastAsia="Arial" w:hAnsi="Arial" w:cs="Arial"/>
                <w:noProof/>
                <w:color w:val="000000"/>
                <w:lang w:eastAsia="ar-SA"/>
              </w:rPr>
            </w:pPr>
          </w:p>
        </w:tc>
        <w:tc>
          <w:tcPr>
            <w:tcW w:w="675" w:type="dxa"/>
            <w:tcBorders>
              <w:top w:val="nil"/>
              <w:left w:val="nil"/>
              <w:bottom w:val="nil"/>
              <w:right w:val="nil"/>
              <w:tl2br w:val="nil"/>
              <w:tr2bl w:val="nil"/>
            </w:tcBorders>
            <w:noWrap/>
            <w:tcMar>
              <w:left w:w="0" w:type="dxa"/>
              <w:right w:w="0" w:type="dxa"/>
            </w:tcMar>
            <w:vAlign w:val="bottom"/>
          </w:tcPr>
          <w:p w14:paraId="57DCF194"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22C9A7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1,662,686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42E05E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1,633,830</w:t>
            </w:r>
          </w:p>
        </w:tc>
      </w:tr>
      <w:tr w:rsidR="00FD1E19" w14:paraId="14659D0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9990" w:type="dxa"/>
            <w:gridSpan w:val="4"/>
            <w:tcBorders>
              <w:top w:val="nil"/>
              <w:left w:val="nil"/>
              <w:bottom w:val="nil"/>
              <w:right w:val="nil"/>
              <w:tl2br w:val="nil"/>
              <w:tr2bl w:val="nil"/>
            </w:tcBorders>
            <w:tcMar>
              <w:left w:w="0" w:type="dxa"/>
              <w:right w:w="0" w:type="dxa"/>
            </w:tcMar>
            <w:vAlign w:val="center"/>
          </w:tcPr>
          <w:p w14:paraId="0626AA7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Profit for the year includes, interest received amounted to EUR 109.8 million (2024: EUR 149.1 million), and interest paid amounted to EUR 1.8 million (2024: EUR 1.9 million).</w:t>
            </w:r>
          </w:p>
        </w:tc>
      </w:tr>
    </w:tbl>
    <w:p w14:paraId="1945BF35" w14:textId="77777777" w:rsidR="00FD1E19" w:rsidRDefault="00FD1E19" w:rsidP="00FD1E19">
      <w:pPr>
        <w:suppressAutoHyphens/>
        <w:rPr>
          <w:noProof/>
          <w:lang w:eastAsia="ar-SA"/>
        </w:rPr>
        <w:sectPr w:rsidR="00FD1E19" w:rsidSect="00B33A24">
          <w:headerReference w:type="even" r:id="rId147"/>
          <w:headerReference w:type="default" r:id="rId148"/>
          <w:footerReference w:type="even" r:id="rId149"/>
          <w:headerReference w:type="first" r:id="rId150"/>
          <w:footerReference w:type="first" r:id="rId151"/>
          <w:type w:val="continuous"/>
          <w:pgSz w:w="11906" w:h="16838" w:code="9"/>
          <w:pgMar w:top="1134" w:right="1134" w:bottom="1134" w:left="1134" w:header="709" w:footer="709" w:gutter="0"/>
          <w:pgBorders>
            <w:top w:val="nil"/>
            <w:left w:val="nil"/>
            <w:bottom w:val="nil"/>
            <w:right w:val="nil"/>
          </w:pgBorders>
          <w:cols w:space="720"/>
          <w:docGrid w:linePitch="360"/>
        </w:sectPr>
      </w:pPr>
    </w:p>
    <w:p w14:paraId="23C5076F" w14:textId="77777777" w:rsidR="00FD1E19" w:rsidRPr="00BD1346" w:rsidRDefault="00FD1E19" w:rsidP="00FD1E19">
      <w:pPr>
        <w:pageBreakBefore/>
        <w:pBdr>
          <w:top w:val="nil"/>
          <w:left w:val="nil"/>
          <w:bottom w:val="nil"/>
          <w:right w:val="nil"/>
          <w:between w:val="nil"/>
          <w:bar w:val="nil"/>
        </w:pBdr>
        <w:suppressAutoHyphens/>
        <w:spacing w:before="140" w:after="320"/>
        <w:jc w:val="both"/>
        <w:rPr>
          <w:rFonts w:ascii="Arial" w:hAnsi="Arial"/>
          <w:b/>
          <w:noProof/>
          <w:bdr w:val="nil"/>
          <w:lang w:eastAsia="ar-SA"/>
        </w:rPr>
      </w:pPr>
      <w:bookmarkStart w:id="209" w:name="RG_MARKER_90241"/>
      <w:bookmarkStart w:id="210" w:name="RG_MARKER_90079"/>
      <w:r w:rsidRPr="00BD1346">
        <w:rPr>
          <w:rFonts w:ascii="Arial" w:hAnsi="Arial"/>
          <w:b/>
          <w:noProof/>
          <w:lang w:eastAsia="ar-SA"/>
        </w:rPr>
        <w:t xml:space="preserve">Notes to the financial statements as </w:t>
      </w:r>
      <w:bookmarkEnd w:id="209"/>
      <w:bookmarkEnd w:id="210"/>
      <w:r w:rsidRPr="00BD1346">
        <w:rPr>
          <w:rFonts w:ascii="Arial" w:hAnsi="Arial"/>
          <w:b/>
          <w:noProof/>
          <w:lang w:eastAsia="ar-SA"/>
        </w:rPr>
        <w:t xml:space="preserve">at 31 December </w:t>
      </w:r>
      <w:r w:rsidRPr="0041403A">
        <w:rPr>
          <w:rFonts w:ascii="Arial" w:hAnsi="Arial"/>
          <w:b/>
          <w:noProof/>
          <w:lang w:eastAsia="ar-SA"/>
        </w:rPr>
        <w:t>2025</w:t>
      </w:r>
    </w:p>
    <w:p w14:paraId="58BAE31F" w14:textId="77777777" w:rsidR="00FD1E19" w:rsidRDefault="00FD1E19" w:rsidP="00FD1E19">
      <w:pPr>
        <w:pBdr>
          <w:top w:val="nil"/>
          <w:left w:val="nil"/>
          <w:bottom w:val="nil"/>
          <w:right w:val="nil"/>
          <w:between w:val="nil"/>
          <w:bar w:val="nil"/>
        </w:pBdr>
        <w:tabs>
          <w:tab w:val="center" w:pos="4320"/>
          <w:tab w:val="right" w:pos="8640"/>
        </w:tabs>
        <w:suppressAutoHyphens/>
        <w:ind w:left="432" w:hanging="432"/>
        <w:jc w:val="both"/>
        <w:rPr>
          <w:rFonts w:ascii="Arial" w:hAnsi="Arial"/>
          <w:b/>
          <w:noProof/>
          <w:sz w:val="20"/>
          <w:bdr w:val="nil"/>
          <w:lang w:val="en-US" w:eastAsia="ar-SA"/>
        </w:rPr>
      </w:pPr>
      <w:r w:rsidRPr="00F11595">
        <w:rPr>
          <w:rFonts w:ascii="Arial" w:hAnsi="Arial"/>
          <w:b/>
          <w:noProof/>
          <w:sz w:val="20"/>
          <w:lang w:val="en-US" w:eastAsia="ar-SA"/>
        </w:rPr>
        <w:t>1</w:t>
      </w:r>
      <w:r>
        <w:rPr>
          <w:rFonts w:ascii="Arial" w:hAnsi="Arial"/>
          <w:b/>
          <w:noProof/>
          <w:sz w:val="20"/>
          <w:lang w:val="en-US" w:eastAsia="ar-SA"/>
        </w:rPr>
        <w:tab/>
        <w:t>General information</w:t>
      </w:r>
    </w:p>
    <w:p w14:paraId="14A80623"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0D003972"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Investment Facility (“the Facility” or “IF”) has been established within the framework of the Cotonou Agreement (the “Agreement”) on co-operation and development assistance negotiated between the African, Caribbean and Pacific Group of States (the “ACP States”) and the European Union and its Member States on 23 June 2000, revised on 25 June 2005 and 2</w:t>
      </w:r>
      <w:r>
        <w:rPr>
          <w:rFonts w:ascii="Arial" w:hAnsi="Arial"/>
          <w:noProof/>
          <w:sz w:val="16"/>
          <w:szCs w:val="16"/>
          <w:lang w:eastAsia="ar-SA"/>
        </w:rPr>
        <w:t>2</w:t>
      </w:r>
      <w:r w:rsidRPr="00BD1346">
        <w:rPr>
          <w:rFonts w:ascii="Arial" w:hAnsi="Arial"/>
          <w:noProof/>
          <w:sz w:val="16"/>
          <w:szCs w:val="16"/>
          <w:lang w:eastAsia="ar-SA"/>
        </w:rPr>
        <w:t xml:space="preserve"> June 2010.</w:t>
      </w:r>
      <w:r>
        <w:rPr>
          <w:rFonts w:ascii="Arial" w:hAnsi="Arial"/>
          <w:noProof/>
          <w:sz w:val="16"/>
          <w:szCs w:val="16"/>
          <w:lang w:eastAsia="ar-SA"/>
        </w:rPr>
        <w:t xml:space="preserve"> </w:t>
      </w:r>
      <w:r w:rsidRPr="00635F8E">
        <w:rPr>
          <w:rFonts w:ascii="Arial" w:hAnsi="Arial"/>
          <w:noProof/>
          <w:sz w:val="16"/>
          <w:szCs w:val="16"/>
          <w:lang w:eastAsia="ar-SA"/>
        </w:rPr>
        <w:t>The Samoa Agreement, replacing the Cotonou Agreement as the new framework for cooperation between the European Union and the Organisation of African, Caribbean, and Pacific States (OACPS) (Council Decision (EU) 2023/</w:t>
      </w:r>
      <w:r>
        <w:rPr>
          <w:rFonts w:ascii="Arial" w:hAnsi="Arial"/>
          <w:noProof/>
          <w:sz w:val="16"/>
          <w:szCs w:val="16"/>
          <w:lang w:eastAsia="ar-SA"/>
        </w:rPr>
        <w:t>2862</w:t>
      </w:r>
      <w:r w:rsidRPr="00635F8E">
        <w:rPr>
          <w:rFonts w:ascii="Arial" w:hAnsi="Arial"/>
          <w:noProof/>
          <w:sz w:val="16"/>
          <w:szCs w:val="16"/>
          <w:lang w:eastAsia="ar-SA"/>
        </w:rPr>
        <w:t xml:space="preserve"> of 30 October 2023), was signed on 15 November 2023, and entered into force on 1 </w:t>
      </w:r>
      <w:r>
        <w:rPr>
          <w:rFonts w:ascii="Arial" w:hAnsi="Arial"/>
          <w:noProof/>
          <w:sz w:val="16"/>
          <w:szCs w:val="16"/>
          <w:lang w:eastAsia="ar-SA"/>
        </w:rPr>
        <w:t>January</w:t>
      </w:r>
      <w:r w:rsidRPr="00635F8E">
        <w:rPr>
          <w:rFonts w:ascii="Arial" w:hAnsi="Arial"/>
          <w:noProof/>
          <w:sz w:val="16"/>
          <w:szCs w:val="16"/>
          <w:lang w:eastAsia="ar-SA"/>
        </w:rPr>
        <w:t xml:space="preserve"> 202</w:t>
      </w:r>
      <w:r>
        <w:rPr>
          <w:rFonts w:ascii="Arial" w:hAnsi="Arial"/>
          <w:noProof/>
          <w:sz w:val="16"/>
          <w:szCs w:val="16"/>
          <w:lang w:eastAsia="ar-SA"/>
        </w:rPr>
        <w:t>4</w:t>
      </w:r>
      <w:r w:rsidRPr="00635F8E">
        <w:rPr>
          <w:rFonts w:ascii="Arial" w:hAnsi="Arial"/>
          <w:noProof/>
          <w:sz w:val="16"/>
          <w:szCs w:val="16"/>
          <w:lang w:eastAsia="ar-SA"/>
        </w:rPr>
        <w:t>. It succeeds the Cotonou Agreement, which had governed relations between the EU and ACP states since 2000. This transition ensures continuity of partnerships while addressing contemporary global challenges.</w:t>
      </w:r>
    </w:p>
    <w:p w14:paraId="5CA87DE3"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46F26580"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Facility is not a separate legal entity and the European Investment Bank (“EIB”</w:t>
      </w:r>
      <w:r>
        <w:rPr>
          <w:rFonts w:ascii="Arial" w:hAnsi="Arial"/>
          <w:noProof/>
          <w:sz w:val="16"/>
          <w:szCs w:val="16"/>
          <w:lang w:eastAsia="ar-SA"/>
        </w:rPr>
        <w:t xml:space="preserve"> or “the Bank”</w:t>
      </w:r>
      <w:r w:rsidRPr="00BD1346">
        <w:rPr>
          <w:rFonts w:ascii="Arial" w:hAnsi="Arial"/>
          <w:noProof/>
          <w:sz w:val="16"/>
          <w:szCs w:val="16"/>
          <w:lang w:eastAsia="ar-SA"/>
        </w:rPr>
        <w:t>) manages the contributions on behalf of the Member States (“Donors”) in accordance with the terms of the Agreement</w:t>
      </w:r>
      <w:r>
        <w:rPr>
          <w:rFonts w:ascii="Arial" w:hAnsi="Arial"/>
          <w:noProof/>
          <w:sz w:val="16"/>
          <w:szCs w:val="16"/>
          <w:lang w:eastAsia="ar-SA"/>
        </w:rPr>
        <w:t xml:space="preserve"> and acts as an administrator of the Facility</w:t>
      </w:r>
      <w:r w:rsidRPr="00BD1346">
        <w:rPr>
          <w:rFonts w:ascii="Arial" w:hAnsi="Arial"/>
          <w:noProof/>
          <w:sz w:val="16"/>
          <w:szCs w:val="16"/>
          <w:lang w:eastAsia="ar-SA"/>
        </w:rPr>
        <w:t>.</w:t>
      </w:r>
    </w:p>
    <w:p w14:paraId="5C2CB8E3"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3ABDD10E"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635F8E">
        <w:rPr>
          <w:rFonts w:ascii="Arial" w:hAnsi="Arial"/>
          <w:noProof/>
          <w:sz w:val="16"/>
          <w:szCs w:val="16"/>
          <w:lang w:eastAsia="ar-SA"/>
        </w:rPr>
        <w:t>The duration of the Facility is not determined. The 11th EDF Internal Agreement remains in force (pursuant to Article 14(3) thereof) so long as is necessary for all the operations financed under the ACP-EU Partnership Agreement, the Overseas Association Decision and the multi-annual financial framework to be fully executed.</w:t>
      </w:r>
    </w:p>
    <w:p w14:paraId="1F09D1D7" w14:textId="77777777" w:rsidR="00FD1E19" w:rsidRPr="00BD1346"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14:paraId="56C3F115"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r w:rsidRPr="002A37C1">
        <w:rPr>
          <w:rFonts w:ascii="Arial" w:hAnsi="Arial"/>
          <w:noProof/>
          <w:sz w:val="16"/>
          <w:szCs w:val="16"/>
          <w:lang w:eastAsia="ar-SA"/>
        </w:rPr>
        <w:t>Financing under the Agreement is provided from EU Member States’ budget</w:t>
      </w:r>
      <w:r>
        <w:rPr>
          <w:rFonts w:ascii="Arial" w:hAnsi="Arial"/>
          <w:noProof/>
          <w:sz w:val="16"/>
          <w:szCs w:val="16"/>
          <w:lang w:eastAsia="ar-SA"/>
        </w:rPr>
        <w:t xml:space="preserve">s. EU Member States contribute </w:t>
      </w:r>
      <w:r w:rsidRPr="002A37C1">
        <w:rPr>
          <w:rFonts w:ascii="Arial" w:hAnsi="Arial"/>
          <w:noProof/>
          <w:sz w:val="16"/>
          <w:szCs w:val="16"/>
          <w:lang w:eastAsia="ar-SA"/>
        </w:rPr>
        <w:t>with the amounts allocated to finance the IF and grants for the financing of the interest subsidies as provided for under the multi-annual financial frameworks (First Financial Protocol covering the period 2000 - 2007 and referred to as the 9th European Development Fund (EDF), Second Financial Protocol covering the period 2008 - 2013 and referred to as the 10th EDF and the Third Financial Protocol covering the period 2014 - 2020 referred to as the 11th EDF). The EIB is entrusted with the management of:</w:t>
      </w:r>
    </w:p>
    <w:p w14:paraId="36049383" w14:textId="77777777" w:rsidR="00FD1E19" w:rsidRPr="00BD1346" w:rsidRDefault="00FD1E19" w:rsidP="00FD1E19">
      <w:pPr>
        <w:numPr>
          <w:ilvl w:val="0"/>
          <w:numId w:val="2"/>
        </w:numPr>
        <w:pBdr>
          <w:top w:val="nil"/>
          <w:left w:val="nil"/>
          <w:bottom w:val="nil"/>
          <w:right w:val="nil"/>
          <w:between w:val="nil"/>
          <w:bar w:val="nil"/>
        </w:pBdr>
        <w:tabs>
          <w:tab w:val="num" w:pos="720"/>
          <w:tab w:val="left" w:pos="1800"/>
        </w:tabs>
        <w:suppressAutoHyphens/>
        <w:spacing w:before="60" w:after="60" w:line="240" w:lineRule="auto"/>
        <w:ind w:left="714" w:hanging="357"/>
        <w:jc w:val="both"/>
        <w:rPr>
          <w:rFonts w:ascii="Arial" w:hAnsi="Arial"/>
          <w:noProof/>
          <w:sz w:val="16"/>
          <w:szCs w:val="16"/>
          <w:bdr w:val="nil"/>
          <w:lang w:eastAsia="ar-SA"/>
        </w:rPr>
      </w:pPr>
      <w:r>
        <w:rPr>
          <w:rFonts w:ascii="Arial" w:hAnsi="Arial"/>
          <w:noProof/>
          <w:sz w:val="16"/>
          <w:szCs w:val="16"/>
          <w:lang w:eastAsia="ar-SA"/>
        </w:rPr>
        <w:t xml:space="preserve">the Facility, </w:t>
      </w:r>
      <w:r w:rsidRPr="00A03CF6">
        <w:rPr>
          <w:rFonts w:ascii="Arial" w:hAnsi="Arial"/>
          <w:noProof/>
          <w:sz w:val="16"/>
          <w:szCs w:val="16"/>
          <w:lang w:eastAsia="ar-SA"/>
        </w:rPr>
        <w:t xml:space="preserve">a EUR 3,685.5 million risk-bearing </w:t>
      </w:r>
      <w:r w:rsidRPr="00BD1346">
        <w:rPr>
          <w:rFonts w:ascii="Arial" w:hAnsi="Arial"/>
          <w:noProof/>
          <w:sz w:val="16"/>
          <w:szCs w:val="16"/>
          <w:lang w:eastAsia="ar-SA"/>
        </w:rPr>
        <w:t xml:space="preserve">revolving fund geared to fostering private sector investment in ACP </w:t>
      </w:r>
      <w:r>
        <w:rPr>
          <w:rFonts w:ascii="Arial" w:hAnsi="Arial"/>
          <w:noProof/>
          <w:sz w:val="16"/>
          <w:szCs w:val="16"/>
          <w:lang w:eastAsia="ar-SA"/>
        </w:rPr>
        <w:t>States</w:t>
      </w:r>
      <w:r w:rsidRPr="00BD1346">
        <w:rPr>
          <w:rFonts w:ascii="Arial" w:hAnsi="Arial"/>
          <w:noProof/>
          <w:sz w:val="16"/>
          <w:szCs w:val="16"/>
          <w:lang w:eastAsia="ar-SA"/>
        </w:rPr>
        <w:t xml:space="preserve"> of which EUR 48.5 million are allocated to Overseas Countries and territories (“OCT countries”);</w:t>
      </w:r>
    </w:p>
    <w:p w14:paraId="689BDD1B" w14:textId="77777777" w:rsidR="00FD1E19" w:rsidRDefault="00FD1E19" w:rsidP="00FD1E19">
      <w:pPr>
        <w:numPr>
          <w:ilvl w:val="0"/>
          <w:numId w:val="2"/>
        </w:numPr>
        <w:pBdr>
          <w:top w:val="nil"/>
          <w:left w:val="nil"/>
          <w:bottom w:val="nil"/>
          <w:right w:val="nil"/>
          <w:between w:val="nil"/>
          <w:bar w:val="nil"/>
        </w:pBdr>
        <w:tabs>
          <w:tab w:val="num" w:pos="720"/>
          <w:tab w:val="left" w:pos="1800"/>
        </w:tabs>
        <w:suppressAutoHyphens/>
        <w:spacing w:before="60" w:after="60" w:line="240" w:lineRule="auto"/>
        <w:ind w:left="714" w:hanging="357"/>
        <w:jc w:val="both"/>
        <w:rPr>
          <w:rFonts w:ascii="Arial" w:hAnsi="Arial"/>
          <w:noProof/>
          <w:sz w:val="16"/>
          <w:szCs w:val="16"/>
          <w:bdr w:val="nil"/>
          <w:lang w:eastAsia="ar-SA"/>
        </w:rPr>
      </w:pPr>
      <w:r w:rsidRPr="00BD1346">
        <w:rPr>
          <w:rFonts w:ascii="Arial" w:hAnsi="Arial"/>
          <w:noProof/>
          <w:sz w:val="16"/>
          <w:szCs w:val="16"/>
          <w:lang w:eastAsia="ar-SA"/>
        </w:rPr>
        <w:t>grants for the financing of interest</w:t>
      </w:r>
      <w:r>
        <w:rPr>
          <w:rFonts w:ascii="Arial" w:hAnsi="Arial"/>
          <w:noProof/>
          <w:sz w:val="16"/>
          <w:szCs w:val="16"/>
          <w:lang w:eastAsia="ar-SA"/>
        </w:rPr>
        <w:t xml:space="preserve"> </w:t>
      </w:r>
      <w:r w:rsidRPr="00BD1346">
        <w:rPr>
          <w:rFonts w:ascii="Arial" w:hAnsi="Arial"/>
          <w:noProof/>
          <w:sz w:val="16"/>
          <w:szCs w:val="16"/>
          <w:lang w:eastAsia="ar-SA"/>
        </w:rPr>
        <w:t>subsidies worth</w:t>
      </w:r>
      <w:r>
        <w:rPr>
          <w:rFonts w:ascii="Arial" w:hAnsi="Arial"/>
          <w:noProof/>
          <w:sz w:val="16"/>
          <w:szCs w:val="16"/>
          <w:lang w:eastAsia="ar-SA"/>
        </w:rPr>
        <w:t xml:space="preserve"> max.</w:t>
      </w:r>
      <w:r w:rsidRPr="00BD1346">
        <w:rPr>
          <w:rFonts w:ascii="Arial" w:hAnsi="Arial"/>
          <w:noProof/>
          <w:sz w:val="16"/>
          <w:szCs w:val="16"/>
          <w:lang w:eastAsia="ar-SA"/>
        </w:rPr>
        <w:t xml:space="preserve"> EUR </w:t>
      </w:r>
      <w:r>
        <w:rPr>
          <w:rFonts w:ascii="Arial" w:hAnsi="Arial"/>
          <w:noProof/>
          <w:sz w:val="16"/>
          <w:szCs w:val="16"/>
          <w:lang w:eastAsia="ar-SA"/>
        </w:rPr>
        <w:t>1,220.85</w:t>
      </w:r>
      <w:r w:rsidRPr="00BD1346">
        <w:rPr>
          <w:rFonts w:ascii="Arial" w:hAnsi="Arial"/>
          <w:noProof/>
          <w:sz w:val="16"/>
          <w:szCs w:val="16"/>
          <w:lang w:eastAsia="ar-SA"/>
        </w:rPr>
        <w:t xml:space="preserve"> million for ACP </w:t>
      </w:r>
      <w:r>
        <w:rPr>
          <w:rFonts w:ascii="Arial" w:hAnsi="Arial"/>
          <w:noProof/>
          <w:sz w:val="16"/>
          <w:szCs w:val="16"/>
          <w:lang w:eastAsia="ar-SA"/>
        </w:rPr>
        <w:t>States</w:t>
      </w:r>
      <w:r w:rsidRPr="00BD1346">
        <w:rPr>
          <w:rFonts w:ascii="Arial" w:hAnsi="Arial"/>
          <w:noProof/>
          <w:sz w:val="16"/>
          <w:szCs w:val="16"/>
          <w:lang w:eastAsia="ar-SA"/>
        </w:rPr>
        <w:t xml:space="preserve"> and</w:t>
      </w:r>
      <w:r w:rsidRPr="00855ED3">
        <w:rPr>
          <w:rFonts w:ascii="Arial" w:hAnsi="Arial"/>
          <w:noProof/>
          <w:sz w:val="16"/>
          <w:szCs w:val="16"/>
          <w:lang w:eastAsia="ar-SA"/>
        </w:rPr>
        <w:t xml:space="preserve"> </w:t>
      </w:r>
      <w:r>
        <w:rPr>
          <w:rFonts w:ascii="Arial" w:hAnsi="Arial"/>
          <w:noProof/>
          <w:sz w:val="16"/>
          <w:szCs w:val="16"/>
          <w:lang w:eastAsia="ar-SA"/>
        </w:rPr>
        <w:t xml:space="preserve">max. </w:t>
      </w:r>
      <w:r w:rsidRPr="00BD1346">
        <w:rPr>
          <w:rFonts w:ascii="Arial" w:hAnsi="Arial"/>
          <w:noProof/>
          <w:sz w:val="16"/>
          <w:szCs w:val="16"/>
          <w:lang w:eastAsia="ar-SA"/>
        </w:rPr>
        <w:t xml:space="preserve">EUR </w:t>
      </w:r>
      <w:r>
        <w:rPr>
          <w:rFonts w:ascii="Arial" w:hAnsi="Arial"/>
          <w:noProof/>
          <w:sz w:val="16"/>
          <w:szCs w:val="16"/>
          <w:lang w:eastAsia="ar-SA"/>
        </w:rPr>
        <w:t>8</w:t>
      </w:r>
      <w:r w:rsidRPr="00BD1346">
        <w:rPr>
          <w:rFonts w:ascii="Arial" w:hAnsi="Arial"/>
          <w:noProof/>
          <w:sz w:val="16"/>
          <w:szCs w:val="16"/>
          <w:lang w:eastAsia="ar-SA"/>
        </w:rPr>
        <w:t>.5 million for OCT countries. Up to 1</w:t>
      </w:r>
      <w:r>
        <w:rPr>
          <w:rFonts w:ascii="Arial" w:hAnsi="Arial"/>
          <w:noProof/>
          <w:sz w:val="16"/>
          <w:szCs w:val="16"/>
          <w:lang w:eastAsia="ar-SA"/>
        </w:rPr>
        <w:t>5</w:t>
      </w:r>
      <w:r w:rsidRPr="00BD1346">
        <w:rPr>
          <w:rFonts w:ascii="Arial" w:hAnsi="Arial"/>
          <w:noProof/>
          <w:sz w:val="16"/>
          <w:szCs w:val="16"/>
          <w:lang w:eastAsia="ar-SA"/>
        </w:rPr>
        <w:t>%</w:t>
      </w:r>
      <w:r>
        <w:rPr>
          <w:rFonts w:ascii="Arial" w:hAnsi="Arial"/>
          <w:noProof/>
          <w:sz w:val="16"/>
          <w:szCs w:val="16"/>
          <w:lang w:eastAsia="ar-SA"/>
        </w:rPr>
        <w:t xml:space="preserve"> </w:t>
      </w:r>
      <w:r w:rsidRPr="00BD1346">
        <w:rPr>
          <w:rFonts w:ascii="Arial" w:hAnsi="Arial"/>
          <w:noProof/>
          <w:sz w:val="16"/>
          <w:szCs w:val="16"/>
          <w:lang w:eastAsia="ar-SA"/>
        </w:rPr>
        <w:t>of these subsidies can be used to fund project-related technical assistance</w:t>
      </w:r>
      <w:r>
        <w:rPr>
          <w:rFonts w:ascii="Arial" w:hAnsi="Arial"/>
          <w:noProof/>
          <w:sz w:val="16"/>
          <w:szCs w:val="16"/>
          <w:lang w:eastAsia="ar-SA"/>
        </w:rPr>
        <w:t xml:space="preserve"> (“TA”).</w:t>
      </w:r>
    </w:p>
    <w:p w14:paraId="3E7E50D1" w14:textId="77777777" w:rsidR="00FD1E19" w:rsidRPr="00E97FAB"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14:paraId="0EEF2D02"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 xml:space="preserve">On 23 December 2020, the Council decided for the extension of the Investment Facility commitment period by at least six months. Following the extension, the Bank approved operations in line with its Mandate until 30 June 2021 (Council Decision 2020/2233 of 23 December 2020 concerning the commitment of the funds stemming from reflows under the ACP Investment Facility from operations under the 9th, 10th and 11th EDF - L 437/188, 28.12.2020). </w:t>
      </w:r>
    </w:p>
    <w:p w14:paraId="089E595B"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14:paraId="3DD6B14E"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The EU and ACP sides agreed to amend the decision on transitional measures in order to extend the application of the provisions of the ACP-EU Partnership Agreement until 31 December 2023, or until the entry into force of the new Agreement or the provisional application between the Union and the ACP States of the new Agreement, whichever comes first (Decision No 2/2019 of the ACP EU Committee of Ambassadors to adopt transitional measures pursuant to Article 95(4) of the ACP EU Partnership Agreement which was subsequently amended by the Decision No 3/2021 of the ACP-EU Committee of Ambassadors of 26 November 2021 to amend, the Decision No 970/2022 of the ACP-EU Committee of Ambassadors of 16 June 2022 and the Decision 2/2023 of the ACP-EU Committee of Ambassadors of 25 October 2023).</w:t>
      </w:r>
    </w:p>
    <w:p w14:paraId="705CCE7B"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14:paraId="336A3A06"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The NDICI - Global Europe Regulation, which entered into force on 14 June 2021 (Regulation (EU) 2021/947 of 9 June 2021), provides the primary legal basis for EU assistance outside the EU in 2021-2027, and the governance for the Bank’s new institutional mandate for operations outside the European Union, including the ACP region. This includes the integration of the current extra-budgetary EDF into the EU budget. The NDICI Regulation provides the legal basis for the Commission to entrust future EU mandates to the EIB for its activity outside the EU. It will also provide the external investment framework for the Union to cooperate with partner institutions through grants or guarantees from the EU budget.</w:t>
      </w:r>
    </w:p>
    <w:p w14:paraId="0D40BD0B"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14:paraId="07A0FFB4"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 xml:space="preserve">Going forward, reflows from the IF shall be deployed within the NDICI framework through a combination of a dedicated ACP private sector window under the European Fund for Sustainable Development (EFSD+) and a Trust Fund. On 15 February 2023, a transfer agreement between the EIB and the European Commission was signed (“Transfer Agreement”). The purpose of this agreement is the transfer of the funds stemming from reflows, under the Facility, as they become available, in accordance with decision (EU) 2020/2233 (“ACP IF Reflows”) and Decision (EU) 2021/1764 (“OCT IF Reflows”, and together with ACP IF Reflows, the “Reflows”). For more details please refer to the Note 2.4.6 and Note </w:t>
      </w:r>
      <w:r w:rsidRPr="00E5560B">
        <w:rPr>
          <w:rFonts w:ascii="Arial" w:hAnsi="Arial"/>
          <w:noProof/>
          <w:sz w:val="16"/>
          <w:szCs w:val="16"/>
          <w:bdr w:val="none" w:sz="0" w:space="0" w:color="auto" w:frame="1"/>
          <w:lang w:eastAsia="ar-SA"/>
        </w:rPr>
        <w:t>17</w:t>
      </w:r>
      <w:r>
        <w:rPr>
          <w:rFonts w:ascii="Arial" w:hAnsi="Arial"/>
          <w:noProof/>
          <w:sz w:val="16"/>
          <w:szCs w:val="16"/>
          <w:bdr w:val="none" w:sz="0" w:space="0" w:color="auto" w:frame="1"/>
          <w:lang w:eastAsia="ar-SA"/>
        </w:rPr>
        <w:t>.</w:t>
      </w:r>
    </w:p>
    <w:p w14:paraId="467E526A"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p>
    <w:p w14:paraId="772C84EC" w14:textId="77777777" w:rsidR="00FD1E19" w:rsidRPr="00BD1346"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present financial statements cover the period from 1 January </w:t>
      </w:r>
      <w:r>
        <w:rPr>
          <w:rFonts w:ascii="Arial" w:hAnsi="Arial"/>
          <w:noProof/>
          <w:sz w:val="16"/>
          <w:szCs w:val="16"/>
          <w:lang w:eastAsia="ar-SA"/>
        </w:rPr>
        <w:t xml:space="preserve">2025 </w:t>
      </w:r>
      <w:r w:rsidRPr="00BD1346">
        <w:rPr>
          <w:rFonts w:ascii="Arial" w:hAnsi="Arial"/>
          <w:noProof/>
          <w:sz w:val="16"/>
          <w:szCs w:val="16"/>
          <w:lang w:eastAsia="ar-SA"/>
        </w:rPr>
        <w:t xml:space="preserve">to 31 December </w:t>
      </w:r>
      <w:r>
        <w:rPr>
          <w:rFonts w:ascii="Arial" w:hAnsi="Arial"/>
          <w:noProof/>
          <w:sz w:val="16"/>
          <w:szCs w:val="16"/>
          <w:lang w:eastAsia="ar-SA"/>
        </w:rPr>
        <w:t>2025</w:t>
      </w:r>
      <w:r w:rsidRPr="00BD1346">
        <w:rPr>
          <w:rFonts w:ascii="Arial" w:hAnsi="Arial"/>
          <w:noProof/>
          <w:sz w:val="16"/>
          <w:szCs w:val="16"/>
          <w:lang w:eastAsia="ar-SA"/>
        </w:rPr>
        <w:t>.</w:t>
      </w:r>
    </w:p>
    <w:p w14:paraId="01F43877" w14:textId="77777777" w:rsidR="00FD1E19" w:rsidRDefault="00FD1E19" w:rsidP="00FD1E19">
      <w:pPr>
        <w:pBdr>
          <w:top w:val="nil"/>
          <w:left w:val="nil"/>
          <w:bottom w:val="nil"/>
          <w:right w:val="nil"/>
          <w:between w:val="nil"/>
          <w:bar w:val="nil"/>
        </w:pBdr>
        <w:tabs>
          <w:tab w:val="left" w:pos="1800"/>
        </w:tabs>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 </w:t>
      </w:r>
    </w:p>
    <w:p w14:paraId="1126E1E9"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9A6228">
        <w:rPr>
          <w:rFonts w:ascii="Arial" w:hAnsi="Arial"/>
          <w:noProof/>
          <w:sz w:val="16"/>
          <w:szCs w:val="16"/>
          <w:lang w:eastAsia="ar-SA"/>
        </w:rPr>
        <w:t xml:space="preserve">On a proposal from the Management Committee, the Board of Directors </w:t>
      </w:r>
      <w:r w:rsidRPr="00D74770">
        <w:rPr>
          <w:rFonts w:ascii="Arial" w:hAnsi="Arial"/>
          <w:noProof/>
          <w:sz w:val="16"/>
          <w:szCs w:val="16"/>
          <w:lang w:eastAsia="ar-SA"/>
        </w:rPr>
        <w:t>adopted the Financial Statements on 25 March 2026 and authorised their submission to the Board of Governors for approval by 24 April 2026.</w:t>
      </w:r>
    </w:p>
    <w:p w14:paraId="1BB54F5D" w14:textId="77777777" w:rsidR="00FD1E19" w:rsidRDefault="00FD1E19" w:rsidP="00FD1E19">
      <w:pPr>
        <w:pageBreakBefore/>
        <w:numPr>
          <w:ilvl w:val="0"/>
          <w:numId w:val="23"/>
        </w:numPr>
        <w:pBdr>
          <w:top w:val="nil"/>
          <w:left w:val="nil"/>
          <w:bottom w:val="nil"/>
          <w:right w:val="nil"/>
          <w:between w:val="nil"/>
          <w:bar w:val="nil"/>
        </w:pBdr>
        <w:tabs>
          <w:tab w:val="center" w:pos="4320"/>
          <w:tab w:val="right" w:pos="8640"/>
        </w:tabs>
        <w:suppressAutoHyphens/>
        <w:spacing w:before="60" w:after="60" w:line="240" w:lineRule="auto"/>
        <w:jc w:val="both"/>
        <w:rPr>
          <w:rFonts w:ascii="Arial" w:hAnsi="Arial"/>
          <w:b/>
          <w:noProof/>
          <w:sz w:val="20"/>
          <w:bdr w:val="nil"/>
          <w:lang w:val="en-US" w:eastAsia="ar-SA"/>
        </w:rPr>
      </w:pPr>
      <w:bookmarkStart w:id="211" w:name="RG_MARKER_90091"/>
      <w:bookmarkStart w:id="212" w:name="RG_MARKER_90080"/>
      <w:r>
        <w:rPr>
          <w:rFonts w:ascii="Arial" w:hAnsi="Arial"/>
          <w:b/>
          <w:noProof/>
          <w:sz w:val="20"/>
          <w:lang w:val="en-US" w:eastAsia="ar-SA"/>
        </w:rPr>
        <w:t>Material accounting policies</w:t>
      </w:r>
      <w:bookmarkEnd w:id="211"/>
      <w:bookmarkEnd w:id="212"/>
    </w:p>
    <w:p w14:paraId="15B2513E" w14:textId="77777777" w:rsidR="00FD1E19" w:rsidRDefault="00FD1E19" w:rsidP="00FD1E19">
      <w:pPr>
        <w:pBdr>
          <w:top w:val="nil"/>
          <w:left w:val="nil"/>
          <w:bottom w:val="nil"/>
          <w:right w:val="nil"/>
          <w:between w:val="nil"/>
          <w:bar w:val="nil"/>
        </w:pBdr>
        <w:tabs>
          <w:tab w:val="center" w:pos="4320"/>
          <w:tab w:val="right" w:pos="8640"/>
        </w:tabs>
        <w:suppressAutoHyphens/>
        <w:jc w:val="both"/>
        <w:rPr>
          <w:rFonts w:ascii="Arial" w:hAnsi="Arial"/>
          <w:b/>
          <w:noProof/>
          <w:sz w:val="16"/>
          <w:szCs w:val="16"/>
          <w:bdr w:val="nil"/>
          <w:lang w:val="en-US" w:eastAsia="ar-SA"/>
        </w:rPr>
      </w:pPr>
    </w:p>
    <w:p w14:paraId="74E382AC" w14:textId="77777777" w:rsidR="00FD1E19" w:rsidRPr="005F38DD" w:rsidRDefault="00FD1E19" w:rsidP="00FD1E19">
      <w:pPr>
        <w:numPr>
          <w:ilvl w:val="1"/>
          <w:numId w:val="24"/>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lang w:eastAsia="ar-SA"/>
        </w:rPr>
      </w:pPr>
      <w:r w:rsidRPr="005F38DD">
        <w:rPr>
          <w:rFonts w:ascii="Arial" w:hAnsi="Arial"/>
          <w:b/>
          <w:noProof/>
          <w:sz w:val="16"/>
          <w:szCs w:val="16"/>
          <w:lang w:eastAsia="ar-SA"/>
        </w:rPr>
        <w:t>Basis of preparation – Statement of compliance</w:t>
      </w:r>
    </w:p>
    <w:p w14:paraId="571907CE"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764D4578"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911814">
        <w:rPr>
          <w:rFonts w:ascii="Arial" w:hAnsi="Arial"/>
          <w:noProof/>
          <w:sz w:val="16"/>
          <w:szCs w:val="16"/>
          <w:lang w:eastAsia="ar-SA"/>
        </w:rPr>
        <w:t>The financial statements have been prepared on a going concern basis, which assumes that the Facility will be able to meet all monies payables under any operations for the foreseeable future, and</w:t>
      </w:r>
      <w:r w:rsidRPr="00BD1346">
        <w:rPr>
          <w:rFonts w:ascii="Arial" w:hAnsi="Arial"/>
          <w:noProof/>
          <w:sz w:val="16"/>
          <w:szCs w:val="16"/>
          <w:lang w:eastAsia="ar-SA"/>
        </w:rPr>
        <w:t xml:space="preserve"> in accordance with International Financial Reporting Standards (IFRS) as </w:t>
      </w:r>
      <w:r>
        <w:rPr>
          <w:rFonts w:ascii="Arial" w:hAnsi="Arial"/>
          <w:noProof/>
          <w:sz w:val="16"/>
          <w:szCs w:val="16"/>
          <w:lang w:eastAsia="ar-SA"/>
        </w:rPr>
        <w:t xml:space="preserve">issued by the International Accounting Standards Board (“IASB”) and </w:t>
      </w:r>
      <w:r w:rsidRPr="00BD1346">
        <w:rPr>
          <w:rFonts w:ascii="Arial" w:hAnsi="Arial"/>
          <w:noProof/>
          <w:sz w:val="16"/>
          <w:szCs w:val="16"/>
          <w:lang w:eastAsia="ar-SA"/>
        </w:rPr>
        <w:t>adopted by the European Union</w:t>
      </w:r>
      <w:r>
        <w:rPr>
          <w:rFonts w:ascii="Arial" w:hAnsi="Arial"/>
          <w:noProof/>
          <w:sz w:val="16"/>
          <w:szCs w:val="16"/>
          <w:lang w:eastAsia="ar-SA"/>
        </w:rPr>
        <w:t xml:space="preserve"> (hereafter referred to as “IFRS” Accounting Standards)</w:t>
      </w:r>
      <w:r w:rsidRPr="00BD1346">
        <w:rPr>
          <w:rFonts w:ascii="Arial" w:hAnsi="Arial"/>
          <w:noProof/>
          <w:sz w:val="16"/>
          <w:szCs w:val="16"/>
          <w:lang w:eastAsia="ar-SA"/>
        </w:rPr>
        <w:t xml:space="preserve">. </w:t>
      </w:r>
      <w:r w:rsidRPr="00766935">
        <w:rPr>
          <w:rFonts w:ascii="Arial" w:hAnsi="Arial"/>
          <w:noProof/>
          <w:sz w:val="16"/>
          <w:szCs w:val="16"/>
          <w:lang w:eastAsia="ar-SA"/>
        </w:rPr>
        <w:t>The financial statements as at 31 December 202</w:t>
      </w:r>
      <w:r>
        <w:rPr>
          <w:rFonts w:ascii="Arial" w:hAnsi="Arial"/>
          <w:noProof/>
          <w:sz w:val="16"/>
          <w:szCs w:val="16"/>
          <w:lang w:eastAsia="ar-SA"/>
        </w:rPr>
        <w:t>5</w:t>
      </w:r>
      <w:r w:rsidRPr="00766935">
        <w:rPr>
          <w:rFonts w:ascii="Arial" w:hAnsi="Arial"/>
          <w:noProof/>
          <w:sz w:val="16"/>
          <w:szCs w:val="16"/>
          <w:lang w:eastAsia="ar-SA"/>
        </w:rPr>
        <w:t xml:space="preserve"> include the statement of financial position, the statement of profit or loss and other comprehensive income, statement of changes in contributors’ resources, the statement of cash flows, and the notes.</w:t>
      </w:r>
    </w:p>
    <w:p w14:paraId="0D6F126B"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ind w:left="431"/>
        <w:jc w:val="both"/>
        <w:rPr>
          <w:rFonts w:ascii="Arial" w:hAnsi="Arial"/>
          <w:noProof/>
          <w:sz w:val="16"/>
          <w:szCs w:val="16"/>
          <w:bdr w:val="nil"/>
          <w:lang w:eastAsia="ar-SA"/>
        </w:rPr>
      </w:pPr>
    </w:p>
    <w:p w14:paraId="7922563A" w14:textId="77777777" w:rsidR="00FD1E19" w:rsidRPr="005F38DD" w:rsidRDefault="00FD1E19" w:rsidP="00FD1E19">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lang w:eastAsia="ar-SA"/>
        </w:rPr>
      </w:pPr>
      <w:r w:rsidRPr="003E6774">
        <w:rPr>
          <w:rFonts w:ascii="Arial" w:hAnsi="Arial"/>
          <w:b/>
          <w:noProof/>
          <w:sz w:val="16"/>
          <w:szCs w:val="16"/>
          <w:lang w:eastAsia="ar-SA"/>
        </w:rPr>
        <w:t>Significant accounting judgments, assumptions and estimates</w:t>
      </w:r>
    </w:p>
    <w:p w14:paraId="3552FA96"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4B642EB9" w14:textId="77777777" w:rsidR="00FD1E19" w:rsidRPr="00057757" w:rsidRDefault="00FD1E19" w:rsidP="00FD1E19">
      <w:pPr>
        <w:pBdr>
          <w:top w:val="nil"/>
          <w:left w:val="nil"/>
          <w:bottom w:val="nil"/>
          <w:right w:val="nil"/>
          <w:between w:val="nil"/>
          <w:bar w:val="nil"/>
        </w:pBdr>
        <w:suppressAutoHyphens/>
        <w:jc w:val="both"/>
        <w:rPr>
          <w:rFonts w:ascii="Arial" w:hAnsi="Arial"/>
          <w:noProof/>
          <w:sz w:val="16"/>
          <w:szCs w:val="16"/>
          <w:bdr w:val="nil"/>
          <w:lang w:eastAsia="ar-SA"/>
        </w:rPr>
      </w:pPr>
      <w:r w:rsidRPr="00BD1346">
        <w:rPr>
          <w:rFonts w:ascii="Arial" w:hAnsi="Arial"/>
          <w:noProof/>
          <w:sz w:val="16"/>
          <w:szCs w:val="16"/>
          <w:lang w:eastAsia="ar-SA"/>
        </w:rPr>
        <w:t>The preparation of financial statements requires</w:t>
      </w:r>
      <w:r w:rsidRPr="00057757">
        <w:rPr>
          <w:rFonts w:ascii="Arial" w:hAnsi="Arial"/>
          <w:noProof/>
          <w:sz w:val="16"/>
          <w:szCs w:val="16"/>
          <w:lang w:eastAsia="ar-SA"/>
        </w:rPr>
        <w:t xml:space="preserve"> mak</w:t>
      </w:r>
      <w:r>
        <w:rPr>
          <w:rFonts w:ascii="Arial" w:hAnsi="Arial"/>
          <w:noProof/>
          <w:sz w:val="16"/>
          <w:szCs w:val="16"/>
          <w:lang w:eastAsia="ar-SA"/>
        </w:rPr>
        <w:t>ing</w:t>
      </w:r>
      <w:r w:rsidRPr="00057757">
        <w:rPr>
          <w:rFonts w:ascii="Arial" w:hAnsi="Arial"/>
          <w:noProof/>
          <w:sz w:val="16"/>
          <w:szCs w:val="16"/>
          <w:lang w:eastAsia="ar-SA"/>
        </w:rPr>
        <w:t xml:space="preserve"> estimates and assumptions that affect reported income, expenses, assets, liabilities and disclosure of contingent assets and liabilities. Use of available information and application of judgment are inherent in the formation of estimates. Actual results in the future could differ from such estimates and the differences may be material to the </w:t>
      </w:r>
      <w:r>
        <w:rPr>
          <w:rFonts w:ascii="Arial" w:hAnsi="Arial"/>
          <w:noProof/>
          <w:sz w:val="16"/>
          <w:szCs w:val="16"/>
          <w:lang w:eastAsia="ar-SA"/>
        </w:rPr>
        <w:t>f</w:t>
      </w:r>
      <w:r w:rsidRPr="00057757">
        <w:rPr>
          <w:rFonts w:ascii="Arial" w:hAnsi="Arial"/>
          <w:noProof/>
          <w:sz w:val="16"/>
          <w:szCs w:val="16"/>
          <w:lang w:eastAsia="ar-SA"/>
        </w:rPr>
        <w:t xml:space="preserve">inancial </w:t>
      </w:r>
      <w:r>
        <w:rPr>
          <w:rFonts w:ascii="Arial" w:hAnsi="Arial"/>
          <w:noProof/>
          <w:sz w:val="16"/>
          <w:szCs w:val="16"/>
          <w:lang w:eastAsia="ar-SA"/>
        </w:rPr>
        <w:t>s</w:t>
      </w:r>
      <w:r w:rsidRPr="00057757">
        <w:rPr>
          <w:rFonts w:ascii="Arial" w:hAnsi="Arial"/>
          <w:noProof/>
          <w:sz w:val="16"/>
          <w:szCs w:val="16"/>
          <w:lang w:eastAsia="ar-SA"/>
        </w:rPr>
        <w:t xml:space="preserve">tatements. </w:t>
      </w:r>
      <w:r w:rsidRPr="00057757">
        <w:rPr>
          <w:rFonts w:ascii="Arial" w:hAnsi="Arial"/>
          <w:noProof/>
          <w:sz w:val="16"/>
          <w:szCs w:val="16"/>
          <w:lang w:val="en-US" w:eastAsia="ar-SA"/>
        </w:rPr>
        <w:t>Estimates and underlying assumptions are reviewed on an ongoing basis. Revision estimates are recognized prospectively.</w:t>
      </w:r>
    </w:p>
    <w:p w14:paraId="5D614E11" w14:textId="77777777" w:rsidR="00FD1E19" w:rsidRDefault="00FD1E19" w:rsidP="00FD1E19">
      <w:pPr>
        <w:pBdr>
          <w:top w:val="nil"/>
          <w:left w:val="nil"/>
          <w:bottom w:val="nil"/>
          <w:right w:val="nil"/>
          <w:between w:val="nil"/>
          <w:bar w:val="nil"/>
        </w:pBdr>
        <w:suppressAutoHyphens/>
        <w:rPr>
          <w:noProof/>
          <w:sz w:val="15"/>
          <w:highlight w:val="cyan"/>
          <w:bdr w:val="nil"/>
        </w:rPr>
      </w:pPr>
    </w:p>
    <w:p w14:paraId="78FCBA5D"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most </w:t>
      </w:r>
      <w:r>
        <w:rPr>
          <w:rFonts w:ascii="Arial" w:hAnsi="Arial"/>
          <w:noProof/>
          <w:sz w:val="16"/>
          <w:szCs w:val="16"/>
          <w:lang w:eastAsia="ar-SA"/>
        </w:rPr>
        <w:t>significant</w:t>
      </w:r>
      <w:r w:rsidRPr="00BD1346">
        <w:rPr>
          <w:rFonts w:ascii="Arial" w:hAnsi="Arial"/>
          <w:noProof/>
          <w:sz w:val="16"/>
          <w:szCs w:val="16"/>
          <w:lang w:eastAsia="ar-SA"/>
        </w:rPr>
        <w:t xml:space="preserve"> use of judgments and estimates</w:t>
      </w:r>
      <w:r>
        <w:rPr>
          <w:rFonts w:ascii="Arial" w:hAnsi="Arial"/>
          <w:noProof/>
          <w:sz w:val="16"/>
          <w:szCs w:val="16"/>
          <w:lang w:eastAsia="ar-SA"/>
        </w:rPr>
        <w:t xml:space="preserve"> is as follows:</w:t>
      </w:r>
    </w:p>
    <w:p w14:paraId="128679F9"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4C02066B" w14:textId="77777777" w:rsidR="00FD1E19" w:rsidRPr="009608C7" w:rsidRDefault="00FD1E19" w:rsidP="00FD1E19">
      <w:pPr>
        <w:numPr>
          <w:ilvl w:val="0"/>
          <w:numId w:val="26"/>
        </w:numPr>
        <w:pBdr>
          <w:top w:val="nil"/>
          <w:left w:val="nil"/>
          <w:bottom w:val="nil"/>
          <w:right w:val="nil"/>
          <w:between w:val="nil"/>
          <w:bar w:val="nil"/>
        </w:pBdr>
        <w:suppressAutoHyphens/>
        <w:spacing w:before="60" w:after="60" w:line="240" w:lineRule="auto"/>
        <w:jc w:val="both"/>
        <w:rPr>
          <w:b/>
          <w:noProof/>
          <w:sz w:val="16"/>
          <w:szCs w:val="16"/>
          <w:bdr w:val="nil"/>
          <w:lang w:eastAsia="ar-SA"/>
        </w:rPr>
      </w:pPr>
      <w:r>
        <w:rPr>
          <w:rFonts w:ascii="Arial" w:hAnsi="Arial"/>
          <w:b/>
          <w:noProof/>
          <w:sz w:val="16"/>
          <w:szCs w:val="16"/>
          <w:lang w:eastAsia="ar-SA"/>
        </w:rPr>
        <w:t>F</w:t>
      </w:r>
      <w:r w:rsidRPr="00AD62C6">
        <w:rPr>
          <w:rFonts w:ascii="Arial" w:hAnsi="Arial"/>
          <w:b/>
          <w:noProof/>
          <w:sz w:val="16"/>
          <w:szCs w:val="16"/>
          <w:lang w:eastAsia="ar-SA"/>
        </w:rPr>
        <w:t>air value of financial instruments</w:t>
      </w:r>
    </w:p>
    <w:p w14:paraId="04BD2339" w14:textId="77777777" w:rsidR="00FD1E19" w:rsidRPr="00BD134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66FCE7D8"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sidRPr="00057757">
        <w:rPr>
          <w:rFonts w:ascii="Arial" w:hAnsi="Arial"/>
          <w:noProof/>
          <w:sz w:val="16"/>
          <w:szCs w:val="16"/>
          <w:lang w:eastAsia="ar-SA"/>
        </w:rPr>
        <w:t xml:space="preserve">Where the fair values of financial instruments recorded on the balance sheet cannot be derived from active markets, they are determined using a variety of valuation techniques that include the use of mathematical models. The input to these models is taken from observable markets where possible, but where this is not feasible, a degree of judgment is required in establishing fair values. </w:t>
      </w:r>
      <w:r w:rsidRPr="009608C7">
        <w:rPr>
          <w:rFonts w:ascii="Arial" w:hAnsi="Arial"/>
          <w:noProof/>
          <w:sz w:val="16"/>
          <w:szCs w:val="16"/>
          <w:lang w:eastAsia="ar-SA"/>
        </w:rPr>
        <w:t>The valuations are categorised into different levels in</w:t>
      </w:r>
      <w:r>
        <w:rPr>
          <w:rFonts w:ascii="Arial" w:hAnsi="Arial"/>
          <w:noProof/>
          <w:sz w:val="16"/>
          <w:szCs w:val="16"/>
          <w:lang w:eastAsia="ar-SA"/>
        </w:rPr>
        <w:t xml:space="preserve"> the</w:t>
      </w:r>
      <w:r w:rsidRPr="009608C7">
        <w:rPr>
          <w:rFonts w:ascii="Arial" w:hAnsi="Arial"/>
          <w:noProof/>
          <w:sz w:val="16"/>
          <w:szCs w:val="16"/>
          <w:lang w:eastAsia="ar-SA"/>
        </w:rPr>
        <w:t xml:space="preserve"> fair value hierarchy based on the inputs used in the valuation techniques as described and disclose</w:t>
      </w:r>
      <w:r>
        <w:rPr>
          <w:rFonts w:ascii="Arial" w:hAnsi="Arial"/>
          <w:noProof/>
          <w:sz w:val="16"/>
          <w:szCs w:val="16"/>
          <w:lang w:eastAsia="ar-SA"/>
        </w:rPr>
        <w:t xml:space="preserve">d </w:t>
      </w:r>
      <w:r w:rsidRPr="009608C7">
        <w:rPr>
          <w:rFonts w:ascii="Arial" w:hAnsi="Arial"/>
          <w:noProof/>
          <w:sz w:val="16"/>
          <w:szCs w:val="16"/>
          <w:lang w:eastAsia="ar-SA"/>
        </w:rPr>
        <w:t xml:space="preserve">in </w:t>
      </w:r>
      <w:r>
        <w:rPr>
          <w:rFonts w:ascii="Arial" w:hAnsi="Arial"/>
          <w:noProof/>
          <w:sz w:val="16"/>
          <w:szCs w:val="16"/>
          <w:lang w:eastAsia="ar-SA"/>
        </w:rPr>
        <w:br/>
      </w:r>
      <w:r w:rsidRPr="009608C7">
        <w:rPr>
          <w:rFonts w:ascii="Arial" w:hAnsi="Arial"/>
          <w:noProof/>
          <w:sz w:val="16"/>
          <w:szCs w:val="16"/>
          <w:lang w:eastAsia="ar-SA"/>
        </w:rPr>
        <w:t xml:space="preserve">Notes </w:t>
      </w:r>
      <w:r w:rsidRPr="00C73739">
        <w:rPr>
          <w:rFonts w:ascii="Arial" w:hAnsi="Arial"/>
          <w:noProof/>
          <w:sz w:val="16"/>
          <w:szCs w:val="16"/>
          <w:lang w:eastAsia="ar-SA"/>
        </w:rPr>
        <w:t>2.</w:t>
      </w:r>
      <w:r>
        <w:rPr>
          <w:rFonts w:ascii="Arial" w:hAnsi="Arial"/>
          <w:noProof/>
          <w:sz w:val="16"/>
          <w:szCs w:val="16"/>
          <w:lang w:eastAsia="ar-SA"/>
        </w:rPr>
        <w:t xml:space="preserve">4.2 </w:t>
      </w:r>
      <w:r w:rsidRPr="005B2470">
        <w:rPr>
          <w:rFonts w:ascii="Arial" w:hAnsi="Arial"/>
          <w:noProof/>
          <w:sz w:val="16"/>
          <w:szCs w:val="16"/>
          <w:lang w:eastAsia="ar-SA"/>
        </w:rPr>
        <w:t>and 4.</w:t>
      </w:r>
    </w:p>
    <w:p w14:paraId="0F5734C5"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1F90213E" w14:textId="77777777" w:rsidR="00FD1E19" w:rsidRDefault="00FD1E19" w:rsidP="00FD1E19">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lang w:eastAsia="ar-SA"/>
        </w:rPr>
      </w:pPr>
      <w:r>
        <w:rPr>
          <w:rFonts w:ascii="Arial" w:hAnsi="Arial"/>
          <w:b/>
          <w:noProof/>
          <w:sz w:val="16"/>
          <w:szCs w:val="16"/>
          <w:lang w:eastAsia="ar-SA"/>
        </w:rPr>
        <w:t>Impairment losses on loans and advances</w:t>
      </w:r>
    </w:p>
    <w:p w14:paraId="7757F96C" w14:textId="77777777" w:rsidR="00FD1E19" w:rsidRDefault="00FD1E19" w:rsidP="00FD1E19">
      <w:pPr>
        <w:pBdr>
          <w:top w:val="nil"/>
          <w:left w:val="nil"/>
          <w:bottom w:val="nil"/>
          <w:right w:val="nil"/>
          <w:between w:val="nil"/>
          <w:bar w:val="nil"/>
        </w:pBdr>
        <w:suppressAutoHyphens/>
        <w:spacing w:before="60" w:after="60"/>
        <w:ind w:left="431"/>
        <w:rPr>
          <w:rFonts w:ascii="Arial" w:hAnsi="Arial"/>
          <w:b/>
          <w:noProof/>
          <w:sz w:val="16"/>
          <w:szCs w:val="16"/>
          <w:bdr w:val="nil"/>
          <w:lang w:eastAsia="ar-SA"/>
        </w:rPr>
      </w:pPr>
    </w:p>
    <w:p w14:paraId="0508A364" w14:textId="77777777" w:rsidR="00FD1E19" w:rsidRDefault="00FD1E19" w:rsidP="00FD1E19">
      <w:pPr>
        <w:keepNext/>
        <w:keepLines/>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Pr>
          <w:rFonts w:ascii="Arial" w:hAnsi="Arial"/>
          <w:noProof/>
          <w:sz w:val="16"/>
          <w:szCs w:val="16"/>
          <w:lang w:eastAsia="ar-SA"/>
        </w:rPr>
        <w:t xml:space="preserve">The expected credit loss (“ECL”) measurement requires management to apply significant judgments, in particular, the assessment of a significant increase in credit risk since initial recognition, the incorporation of forward looking information and further the estimation of the amount and timing of future cash flows and collateral values when determining impairment losses. These estimates are driven by a number </w:t>
      </w:r>
      <w:r w:rsidRPr="00EC74AE">
        <w:rPr>
          <w:rFonts w:ascii="Arial" w:hAnsi="Arial"/>
          <w:noProof/>
          <w:sz w:val="16"/>
          <w:szCs w:val="16"/>
          <w:lang w:eastAsia="ar-SA"/>
        </w:rPr>
        <w:t xml:space="preserve">of factors, which can result in significant changes to the timing and amount of allowance for credit loss to be recognised (Note 2.4.2). </w:t>
      </w:r>
      <w:r w:rsidRPr="00EC74AE">
        <w:rPr>
          <w:rFonts w:ascii="Arial" w:hAnsi="Arial"/>
          <w:noProof/>
          <w:sz w:val="16"/>
          <w:szCs w:val="16"/>
          <w:bdr w:val="none" w:sz="0" w:space="0" w:color="auto" w:frame="1"/>
          <w:lang w:eastAsia="ar-SA"/>
        </w:rPr>
        <w:t>Relevant assumptions on the effects on impairment resulting from the general context of uncertainty and the turbulence which occurred in 202</w:t>
      </w:r>
      <w:r>
        <w:rPr>
          <w:rFonts w:ascii="Arial" w:hAnsi="Arial"/>
          <w:noProof/>
          <w:sz w:val="16"/>
          <w:szCs w:val="16"/>
          <w:bdr w:val="none" w:sz="0" w:space="0" w:color="auto" w:frame="1"/>
          <w:lang w:eastAsia="ar-SA"/>
        </w:rPr>
        <w:t>4</w:t>
      </w:r>
      <w:r w:rsidRPr="00EC74AE">
        <w:rPr>
          <w:rFonts w:ascii="Arial" w:hAnsi="Arial"/>
          <w:noProof/>
          <w:sz w:val="16"/>
          <w:szCs w:val="16"/>
          <w:bdr w:val="none" w:sz="0" w:space="0" w:color="auto" w:frame="1"/>
          <w:lang w:eastAsia="ar-SA"/>
        </w:rPr>
        <w:t xml:space="preserve"> and carried on in 202</w:t>
      </w:r>
      <w:r>
        <w:rPr>
          <w:rFonts w:ascii="Arial" w:hAnsi="Arial"/>
          <w:noProof/>
          <w:sz w:val="16"/>
          <w:szCs w:val="16"/>
          <w:bdr w:val="none" w:sz="0" w:space="0" w:color="auto" w:frame="1"/>
          <w:lang w:eastAsia="ar-SA"/>
        </w:rPr>
        <w:t>5</w:t>
      </w:r>
      <w:r w:rsidRPr="00EC74AE">
        <w:rPr>
          <w:rFonts w:ascii="Arial" w:hAnsi="Arial"/>
          <w:noProof/>
          <w:sz w:val="16"/>
          <w:szCs w:val="16"/>
          <w:bdr w:val="none" w:sz="0" w:space="0" w:color="auto" w:frame="1"/>
          <w:lang w:eastAsia="ar-SA"/>
        </w:rPr>
        <w:t xml:space="preserve"> are detailed under Note 2.4.2.2</w:t>
      </w:r>
      <w:r w:rsidRPr="00EC74AE">
        <w:rPr>
          <w:rFonts w:ascii="Arial" w:hAnsi="Arial"/>
          <w:noProof/>
          <w:sz w:val="16"/>
          <w:szCs w:val="16"/>
          <w:lang w:eastAsia="ar-SA"/>
        </w:rPr>
        <w:t xml:space="preserve"> and Note 3.2.3.7.</w:t>
      </w:r>
    </w:p>
    <w:p w14:paraId="3770F03F" w14:textId="77777777" w:rsidR="00FD1E19" w:rsidRPr="009608C7" w:rsidRDefault="00FD1E19" w:rsidP="00FD1E19">
      <w:pPr>
        <w:pBdr>
          <w:top w:val="nil"/>
          <w:left w:val="nil"/>
          <w:bottom w:val="nil"/>
          <w:right w:val="nil"/>
          <w:between w:val="nil"/>
          <w:bar w:val="nil"/>
        </w:pBdr>
        <w:suppressAutoHyphens/>
        <w:spacing w:before="60" w:after="60"/>
        <w:jc w:val="both"/>
        <w:rPr>
          <w:rFonts w:ascii="Arial" w:hAnsi="Arial"/>
          <w:b/>
          <w:noProof/>
          <w:sz w:val="16"/>
          <w:szCs w:val="16"/>
          <w:bdr w:val="nil"/>
          <w:lang w:eastAsia="ar-SA"/>
        </w:rPr>
      </w:pPr>
    </w:p>
    <w:p w14:paraId="02BD6E37" w14:textId="77777777" w:rsidR="00FD1E19" w:rsidRDefault="00FD1E19" w:rsidP="00FD1E19">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lang w:eastAsia="ar-SA"/>
        </w:rPr>
      </w:pPr>
      <w:r>
        <w:rPr>
          <w:rFonts w:ascii="Arial" w:hAnsi="Arial"/>
          <w:b/>
          <w:noProof/>
          <w:sz w:val="16"/>
          <w:szCs w:val="16"/>
          <w:lang w:eastAsia="ar-SA"/>
        </w:rPr>
        <w:t>Valuation of unquoted equity investments</w:t>
      </w:r>
    </w:p>
    <w:p w14:paraId="3839F8D7" w14:textId="77777777" w:rsidR="00FD1E19" w:rsidRPr="00BD134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230C272D" w14:textId="77777777" w:rsidR="00FD1E19" w:rsidRPr="00BD134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Valuation of unquoted equity investments is normally based on one of the following: </w:t>
      </w:r>
    </w:p>
    <w:p w14:paraId="2447B660" w14:textId="77777777" w:rsidR="00FD1E19" w:rsidRPr="00BD1346" w:rsidRDefault="00FD1E19" w:rsidP="00FD1E19">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recent arm</w:t>
      </w:r>
      <w:r>
        <w:rPr>
          <w:rFonts w:ascii="Arial" w:hAnsi="Arial"/>
          <w:noProof/>
          <w:sz w:val="16"/>
          <w:szCs w:val="16"/>
          <w:lang w:eastAsia="ar-SA"/>
        </w:rPr>
        <w:t>’</w:t>
      </w:r>
      <w:r w:rsidRPr="00BD1346">
        <w:rPr>
          <w:rFonts w:ascii="Arial" w:hAnsi="Arial"/>
          <w:noProof/>
          <w:sz w:val="16"/>
          <w:szCs w:val="16"/>
          <w:lang w:eastAsia="ar-SA"/>
        </w:rPr>
        <w:t xml:space="preserve">s length market transactions; </w:t>
      </w:r>
    </w:p>
    <w:p w14:paraId="6E2C5039" w14:textId="77777777" w:rsidR="00FD1E19" w:rsidRPr="00BD1346" w:rsidRDefault="00FD1E19" w:rsidP="00FD1E19">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 xml:space="preserve">current fair value of another instrument that is substantially the same; </w:t>
      </w:r>
    </w:p>
    <w:p w14:paraId="350E8242" w14:textId="77777777" w:rsidR="00FD1E19" w:rsidRDefault="00FD1E19" w:rsidP="00FD1E19">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 xml:space="preserve">the expected cash flows discounted at current rates applicable for items with similar terms and risk characteristics; </w:t>
      </w:r>
    </w:p>
    <w:p w14:paraId="08A7F905" w14:textId="77777777" w:rsidR="00FD1E19" w:rsidRPr="00BD1346" w:rsidRDefault="00FD1E19" w:rsidP="00FD1E19">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lang w:eastAsia="ar-SA"/>
        </w:rPr>
      </w:pPr>
      <w:r>
        <w:rPr>
          <w:rFonts w:ascii="Arial" w:hAnsi="Arial"/>
          <w:noProof/>
          <w:sz w:val="16"/>
          <w:szCs w:val="16"/>
          <w:lang w:eastAsia="ar-SA"/>
        </w:rPr>
        <w:t xml:space="preserve">adjusted net assets method; </w:t>
      </w:r>
      <w:r w:rsidRPr="00BD1346">
        <w:rPr>
          <w:rFonts w:ascii="Arial" w:hAnsi="Arial"/>
          <w:noProof/>
          <w:sz w:val="16"/>
          <w:szCs w:val="16"/>
          <w:lang w:eastAsia="ar-SA"/>
        </w:rPr>
        <w:t xml:space="preserve">or </w:t>
      </w:r>
    </w:p>
    <w:p w14:paraId="2F08DC88" w14:textId="77777777" w:rsidR="00FD1E19" w:rsidRPr="00BD1346" w:rsidRDefault="00FD1E19" w:rsidP="00FD1E19">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other valuation models.</w:t>
      </w:r>
    </w:p>
    <w:p w14:paraId="02010B3A" w14:textId="77777777" w:rsidR="00FD1E19" w:rsidRPr="00BD134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7D185DEC" w14:textId="77777777" w:rsidR="00FD1E19" w:rsidRPr="00BD134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sidRPr="00BD1346">
        <w:rPr>
          <w:rFonts w:ascii="Arial" w:hAnsi="Arial"/>
          <w:noProof/>
          <w:sz w:val="16"/>
          <w:szCs w:val="16"/>
          <w:lang w:eastAsia="ar-SA"/>
        </w:rPr>
        <w:t>The determination of the cash flows and discount factors for unquoted equity investments requires significant estimation. The Facility calibrates the valuation techniques periodically and tests them for validity using either price from observable current market transactions in the same instrument or from other available observable market data.</w:t>
      </w:r>
    </w:p>
    <w:p w14:paraId="2AD82D3C"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424C2300" w14:textId="77777777" w:rsidR="00FD1E19" w:rsidRPr="00A7602D" w:rsidRDefault="00FD1E19" w:rsidP="00FD1E19">
      <w:pPr>
        <w:numPr>
          <w:ilvl w:val="0"/>
          <w:numId w:val="26"/>
        </w:numPr>
        <w:pBdr>
          <w:top w:val="nil"/>
          <w:left w:val="nil"/>
          <w:bottom w:val="nil"/>
          <w:right w:val="nil"/>
          <w:between w:val="nil"/>
          <w:bar w:val="nil"/>
        </w:pBdr>
        <w:suppressAutoHyphens/>
        <w:spacing w:before="60" w:after="60" w:line="240" w:lineRule="auto"/>
        <w:jc w:val="both"/>
        <w:rPr>
          <w:rFonts w:ascii="Arial" w:hAnsi="Arial"/>
          <w:b/>
          <w:noProof/>
          <w:sz w:val="16"/>
          <w:szCs w:val="16"/>
          <w:bdr w:val="nil"/>
          <w:lang w:eastAsia="ar-SA"/>
        </w:rPr>
      </w:pPr>
      <w:r w:rsidRPr="00A7602D">
        <w:rPr>
          <w:rFonts w:ascii="Arial" w:hAnsi="Arial"/>
          <w:b/>
          <w:noProof/>
          <w:sz w:val="16"/>
          <w:szCs w:val="16"/>
          <w:lang w:eastAsia="ar-SA"/>
        </w:rPr>
        <w:t xml:space="preserve">Consolidation of entities in which the </w:t>
      </w:r>
      <w:r>
        <w:rPr>
          <w:rFonts w:ascii="Arial" w:hAnsi="Arial"/>
          <w:b/>
          <w:noProof/>
          <w:sz w:val="16"/>
          <w:szCs w:val="16"/>
          <w:lang w:eastAsia="ar-SA"/>
        </w:rPr>
        <w:t>Facility</w:t>
      </w:r>
      <w:r w:rsidRPr="00A7602D">
        <w:rPr>
          <w:rFonts w:ascii="Arial" w:hAnsi="Arial"/>
          <w:b/>
          <w:noProof/>
          <w:sz w:val="16"/>
          <w:szCs w:val="16"/>
          <w:lang w:eastAsia="ar-SA"/>
        </w:rPr>
        <w:t xml:space="preserve"> holds interest </w:t>
      </w:r>
    </w:p>
    <w:p w14:paraId="7DE7866C" w14:textId="77777777" w:rsidR="00FD1E19" w:rsidRPr="00A7602D"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361CCBC1"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sidRPr="00A7602D">
        <w:rPr>
          <w:rFonts w:ascii="Arial" w:hAnsi="Arial"/>
          <w:noProof/>
          <w:sz w:val="16"/>
          <w:szCs w:val="16"/>
          <w:lang w:eastAsia="ar-SA"/>
        </w:rPr>
        <w:t xml:space="preserve">The </w:t>
      </w:r>
      <w:r>
        <w:rPr>
          <w:rFonts w:ascii="Arial" w:hAnsi="Arial"/>
          <w:noProof/>
          <w:sz w:val="16"/>
          <w:szCs w:val="16"/>
          <w:lang w:eastAsia="ar-SA"/>
        </w:rPr>
        <w:t>EIB</w:t>
      </w:r>
      <w:r w:rsidRPr="00A7602D">
        <w:rPr>
          <w:rFonts w:ascii="Arial" w:hAnsi="Arial"/>
          <w:noProof/>
          <w:sz w:val="16"/>
          <w:szCs w:val="16"/>
          <w:lang w:eastAsia="ar-SA"/>
        </w:rPr>
        <w:t xml:space="preserve"> made judgements that none of the entities in which it holds interest, are controlled by the </w:t>
      </w:r>
      <w:r>
        <w:rPr>
          <w:rFonts w:ascii="Arial" w:hAnsi="Arial"/>
          <w:noProof/>
          <w:sz w:val="16"/>
          <w:szCs w:val="16"/>
          <w:lang w:eastAsia="ar-SA"/>
        </w:rPr>
        <w:t>Facility</w:t>
      </w:r>
      <w:r w:rsidRPr="00A7602D">
        <w:rPr>
          <w:rFonts w:ascii="Arial" w:hAnsi="Arial"/>
          <w:noProof/>
          <w:sz w:val="16"/>
          <w:szCs w:val="16"/>
          <w:lang w:eastAsia="ar-SA"/>
        </w:rPr>
        <w:t>. This is due to the fact that in all such entities, either the General Partner or the Fund Manager or the Management Board have the sole responsibility for the management and control of the activities and affairs of the partnership and have the power and authority to do all things necessary to carry out the purpose and objectives of the partnership complying with the investment and policy guidelines.</w:t>
      </w:r>
      <w:r>
        <w:rPr>
          <w:rFonts w:ascii="Arial" w:hAnsi="Arial"/>
          <w:noProof/>
          <w:sz w:val="16"/>
          <w:szCs w:val="16"/>
          <w:lang w:eastAsia="ar-SA"/>
        </w:rPr>
        <w:br w:type="page"/>
      </w:r>
    </w:p>
    <w:p w14:paraId="09C181F5" w14:textId="77777777" w:rsidR="00FD1E19" w:rsidRPr="00F62912" w:rsidRDefault="00FD1E19" w:rsidP="00FD1E19">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lang w:eastAsia="ar-SA"/>
        </w:rPr>
      </w:pPr>
      <w:r w:rsidRPr="00F62912">
        <w:rPr>
          <w:rFonts w:ascii="Arial" w:hAnsi="Arial"/>
          <w:b/>
          <w:noProof/>
          <w:sz w:val="16"/>
          <w:szCs w:val="16"/>
          <w:lang w:eastAsia="ar-SA"/>
        </w:rPr>
        <w:t xml:space="preserve">Changes in accounting </w:t>
      </w:r>
      <w:r>
        <w:rPr>
          <w:rFonts w:ascii="Arial" w:hAnsi="Arial"/>
          <w:b/>
          <w:noProof/>
          <w:sz w:val="16"/>
          <w:szCs w:val="16"/>
          <w:lang w:eastAsia="ar-SA"/>
        </w:rPr>
        <w:t>standards</w:t>
      </w:r>
    </w:p>
    <w:p w14:paraId="5FA35B7C"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bookmarkStart w:id="213" w:name="_Hlk215501928"/>
    </w:p>
    <w:p w14:paraId="18F988D4" w14:textId="77777777" w:rsidR="00FD1E19" w:rsidRPr="00793EF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Except for the changes below, the Facility has consistently applied the accounting policies set out in Note 2.4 to all periods presented in these financial statements. The Facility has adopted the following new standards and amendments to standards.</w:t>
      </w:r>
    </w:p>
    <w:p w14:paraId="3802EC42" w14:textId="77777777" w:rsidR="00FD1E19" w:rsidRPr="00793EF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highlight w:val="yellow"/>
          <w:bdr w:val="nil"/>
          <w:lang w:eastAsia="ar-SA"/>
        </w:rPr>
      </w:pPr>
    </w:p>
    <w:p w14:paraId="632E5F24" w14:textId="77777777" w:rsidR="00FD1E19" w:rsidRPr="00793EF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bdr w:val="nil"/>
          <w:lang w:eastAsia="ar-SA"/>
        </w:rPr>
      </w:pPr>
      <w:r w:rsidRPr="00793EF6">
        <w:rPr>
          <w:rFonts w:ascii="Arial" w:hAnsi="Arial" w:cs="Arial"/>
          <w:b/>
          <w:noProof/>
          <w:sz w:val="16"/>
          <w:szCs w:val="16"/>
          <w:bdr w:val="none" w:sz="0" w:space="0" w:color="auto" w:frame="1"/>
          <w:lang w:eastAsia="ar-SA"/>
        </w:rPr>
        <w:t>New and amended standards adopted by the Facility</w:t>
      </w:r>
    </w:p>
    <w:p w14:paraId="0504C6A4" w14:textId="77777777" w:rsidR="00FD1E19" w:rsidRPr="00793EF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cs="Arial"/>
          <w:b/>
          <w:noProof/>
          <w:sz w:val="16"/>
          <w:szCs w:val="16"/>
          <w:bdr w:val="nil"/>
          <w:lang w:eastAsia="ar-SA"/>
        </w:rPr>
      </w:pPr>
    </w:p>
    <w:p w14:paraId="23453DE6"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bookmarkStart w:id="214" w:name="_Hlk215501956"/>
      <w:r w:rsidRPr="00793EF6">
        <w:rPr>
          <w:rFonts w:ascii="Arial" w:hAnsi="Arial" w:cs="Arial"/>
          <w:noProof/>
          <w:sz w:val="16"/>
          <w:szCs w:val="16"/>
          <w:bdr w:val="none" w:sz="0" w:space="0" w:color="auto" w:frame="1"/>
          <w:lang w:eastAsia="ar-SA"/>
        </w:rPr>
        <w:t>The following amendments to existing standards, became effective for the Facility’s financial statements as of 1</w:t>
      </w:r>
      <w:r w:rsidRPr="00793EF6">
        <w:rPr>
          <w:rFonts w:ascii="Cambria Math" w:hAnsi="Cambria Math" w:cs="Cambria Math"/>
          <w:noProof/>
          <w:sz w:val="16"/>
          <w:szCs w:val="16"/>
          <w:bdr w:val="none" w:sz="0" w:space="0" w:color="auto" w:frame="1"/>
          <w:lang w:eastAsia="ar-SA"/>
        </w:rPr>
        <w:t> </w:t>
      </w:r>
      <w:r w:rsidRPr="00793EF6">
        <w:rPr>
          <w:rFonts w:ascii="Arial" w:hAnsi="Arial" w:cs="Arial"/>
          <w:noProof/>
          <w:sz w:val="16"/>
          <w:szCs w:val="16"/>
          <w:bdr w:val="none" w:sz="0" w:space="0" w:color="auto" w:frame="1"/>
          <w:lang w:eastAsia="ar-SA"/>
        </w:rPr>
        <w:t>January</w:t>
      </w:r>
      <w:r w:rsidRPr="00793EF6">
        <w:rPr>
          <w:rFonts w:ascii="Cambria Math" w:hAnsi="Cambria Math" w:cs="Cambria Math"/>
          <w:noProof/>
          <w:sz w:val="16"/>
          <w:szCs w:val="16"/>
          <w:bdr w:val="none" w:sz="0" w:space="0" w:color="auto" w:frame="1"/>
          <w:lang w:eastAsia="ar-SA"/>
        </w:rPr>
        <w:t> </w:t>
      </w:r>
      <w:r w:rsidRPr="00793EF6">
        <w:rPr>
          <w:rFonts w:ascii="Arial" w:hAnsi="Arial" w:cs="Arial"/>
          <w:noProof/>
          <w:sz w:val="16"/>
          <w:szCs w:val="16"/>
          <w:bdr w:val="none" w:sz="0" w:space="0" w:color="auto" w:frame="1"/>
          <w:lang w:eastAsia="ar-SA"/>
        </w:rPr>
        <w:t>2025: </w:t>
      </w:r>
    </w:p>
    <w:p w14:paraId="32645C80"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 </w:t>
      </w:r>
    </w:p>
    <w:p w14:paraId="4F3D59F7" w14:textId="77777777" w:rsidR="00FD1E19" w:rsidRPr="00793EF6" w:rsidRDefault="00FD1E19" w:rsidP="00FD1E19">
      <w:pPr>
        <w:widowControl w:val="0"/>
        <w:numPr>
          <w:ilvl w:val="0"/>
          <w:numId w:val="28"/>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Amendments to IAS 21 The Effects of Changes in Foreign Exchange Rates: Lack of Exchangeability. </w:t>
      </w:r>
    </w:p>
    <w:p w14:paraId="7FB12CCC"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 </w:t>
      </w:r>
    </w:p>
    <w:p w14:paraId="4B1086AB"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The amendments listed above did not have any material impact on the Facility’s financial statements. </w:t>
      </w:r>
    </w:p>
    <w:bookmarkEnd w:id="214"/>
    <w:p w14:paraId="540B3200"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 </w:t>
      </w:r>
    </w:p>
    <w:p w14:paraId="4C8A08B5"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b/>
          <w:bCs/>
          <w:noProof/>
          <w:sz w:val="16"/>
          <w:szCs w:val="16"/>
          <w:bdr w:val="none" w:sz="0" w:space="0" w:color="auto" w:frame="1"/>
          <w:lang w:eastAsia="ar-SA"/>
        </w:rPr>
        <w:t>New standards, amendments, and interpretations not yet adopted by the Facility</w:t>
      </w:r>
      <w:r w:rsidRPr="00793EF6">
        <w:rPr>
          <w:rFonts w:ascii="Arial" w:hAnsi="Arial" w:cs="Arial"/>
          <w:noProof/>
          <w:sz w:val="16"/>
          <w:szCs w:val="16"/>
          <w:bdr w:val="none" w:sz="0" w:space="0" w:color="auto" w:frame="1"/>
          <w:lang w:eastAsia="ar-SA"/>
        </w:rPr>
        <w:t> </w:t>
      </w:r>
    </w:p>
    <w:p w14:paraId="667CF85E"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 </w:t>
      </w:r>
    </w:p>
    <w:p w14:paraId="63512E93"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bookmarkStart w:id="215" w:name="_Hlk215501969"/>
      <w:r w:rsidRPr="00793EF6">
        <w:rPr>
          <w:rFonts w:ascii="Arial" w:hAnsi="Arial" w:cs="Arial"/>
          <w:noProof/>
          <w:sz w:val="16"/>
          <w:szCs w:val="16"/>
          <w:bdr w:val="none" w:sz="0" w:space="0" w:color="auto" w:frame="1"/>
          <w:lang w:eastAsia="ar-SA"/>
        </w:rPr>
        <w:t>As at 31 December 2025, the following amendments to existing Standards had been issued but were not mandatory for annual reporting periods ending on 31 December 2025: </w:t>
      </w:r>
    </w:p>
    <w:p w14:paraId="3C74A3FB"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 </w:t>
      </w:r>
    </w:p>
    <w:p w14:paraId="61C3A135"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Amendments to existing Standards endorsed by the EU, and which are effective for annual periods beginning on or after 1 January 2026:  </w:t>
      </w:r>
    </w:p>
    <w:p w14:paraId="290C63F8" w14:textId="77777777" w:rsidR="00FD1E19" w:rsidRPr="00793EF6" w:rsidRDefault="00FD1E19" w:rsidP="00FD1E19">
      <w:pPr>
        <w:widowControl w:val="0"/>
        <w:numPr>
          <w:ilvl w:val="0"/>
          <w:numId w:val="29"/>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Amendments to the Classification and Measurement of Financial Instruments (</w:t>
      </w:r>
      <w:r>
        <w:rPr>
          <w:rFonts w:ascii="Arial" w:hAnsi="Arial" w:cs="Arial"/>
          <w:noProof/>
          <w:sz w:val="16"/>
          <w:szCs w:val="16"/>
          <w:bdr w:val="none" w:sz="0" w:space="0" w:color="auto" w:frame="1"/>
          <w:lang w:eastAsia="ar-SA"/>
        </w:rPr>
        <w:t>a</w:t>
      </w:r>
      <w:r w:rsidRPr="00793EF6">
        <w:rPr>
          <w:rFonts w:ascii="Arial" w:hAnsi="Arial" w:cs="Arial"/>
          <w:noProof/>
          <w:sz w:val="16"/>
          <w:szCs w:val="16"/>
          <w:bdr w:val="none" w:sz="0" w:space="0" w:color="auto" w:frame="1"/>
          <w:lang w:eastAsia="ar-SA"/>
        </w:rPr>
        <w:t>mendments to</w:t>
      </w:r>
      <w:r>
        <w:rPr>
          <w:rFonts w:ascii="Arial" w:hAnsi="Arial" w:cs="Arial"/>
          <w:noProof/>
          <w:sz w:val="16"/>
          <w:szCs w:val="16"/>
          <w:bdr w:val="none" w:sz="0" w:space="0" w:color="auto" w:frame="1"/>
          <w:lang w:eastAsia="ar-SA"/>
        </w:rPr>
        <w:t xml:space="preserve"> IFRS 1,</w:t>
      </w:r>
      <w:r w:rsidRPr="00793EF6">
        <w:rPr>
          <w:rFonts w:ascii="Arial" w:hAnsi="Arial" w:cs="Arial"/>
          <w:noProof/>
          <w:sz w:val="16"/>
          <w:szCs w:val="16"/>
          <w:bdr w:val="none" w:sz="0" w:space="0" w:color="auto" w:frame="1"/>
          <w:lang w:eastAsia="ar-SA"/>
        </w:rPr>
        <w:t xml:space="preserve"> IFRS </w:t>
      </w:r>
      <w:r>
        <w:rPr>
          <w:rFonts w:ascii="Arial" w:hAnsi="Arial" w:cs="Arial"/>
          <w:noProof/>
          <w:sz w:val="16"/>
          <w:szCs w:val="16"/>
          <w:bdr w:val="none" w:sz="0" w:space="0" w:color="auto" w:frame="1"/>
          <w:lang w:eastAsia="ar-SA"/>
        </w:rPr>
        <w:t>7,</w:t>
      </w:r>
      <w:r w:rsidRPr="00793EF6">
        <w:rPr>
          <w:rFonts w:ascii="Arial" w:hAnsi="Arial" w:cs="Arial"/>
          <w:noProof/>
          <w:sz w:val="16"/>
          <w:szCs w:val="16"/>
          <w:bdr w:val="none" w:sz="0" w:space="0" w:color="auto" w:frame="1"/>
          <w:lang w:eastAsia="ar-SA"/>
        </w:rPr>
        <w:t xml:space="preserve"> IFRS </w:t>
      </w:r>
      <w:r>
        <w:rPr>
          <w:rFonts w:ascii="Arial" w:hAnsi="Arial" w:cs="Arial"/>
          <w:noProof/>
          <w:sz w:val="16"/>
          <w:szCs w:val="16"/>
          <w:bdr w:val="none" w:sz="0" w:space="0" w:color="auto" w:frame="1"/>
          <w:lang w:eastAsia="ar-SA"/>
        </w:rPr>
        <w:t>9 and IAS 7</w:t>
      </w:r>
      <w:r w:rsidRPr="00793EF6">
        <w:rPr>
          <w:rFonts w:ascii="Arial" w:hAnsi="Arial" w:cs="Arial"/>
          <w:noProof/>
          <w:sz w:val="16"/>
          <w:szCs w:val="16"/>
          <w:bdr w:val="none" w:sz="0" w:space="0" w:color="auto" w:frame="1"/>
          <w:lang w:eastAsia="ar-SA"/>
        </w:rPr>
        <w:t>); </w:t>
      </w:r>
    </w:p>
    <w:p w14:paraId="5B63E248" w14:textId="77777777" w:rsidR="00FD1E19" w:rsidRPr="00793EF6" w:rsidRDefault="00FD1E19" w:rsidP="00FD1E19">
      <w:pPr>
        <w:widowControl w:val="0"/>
        <w:numPr>
          <w:ilvl w:val="0"/>
          <w:numId w:val="30"/>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Annual Improvements Volume 11; </w:t>
      </w:r>
    </w:p>
    <w:p w14:paraId="21ECBF0C" w14:textId="77777777" w:rsidR="00FD1E19" w:rsidRPr="00793EF6" w:rsidRDefault="00FD1E19" w:rsidP="00FD1E19">
      <w:pPr>
        <w:widowControl w:val="0"/>
        <w:numPr>
          <w:ilvl w:val="0"/>
          <w:numId w:val="31"/>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Contracts Referencing Nature-dependent Electricity – Amendments to IFRS 9 and IFRS 7. </w:t>
      </w:r>
    </w:p>
    <w:p w14:paraId="1269EF80"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 </w:t>
      </w:r>
    </w:p>
    <w:p w14:paraId="0515C790"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New standards and amendments to existing Standards not yet endorsed by the EU: </w:t>
      </w:r>
    </w:p>
    <w:p w14:paraId="2F958C6C" w14:textId="77777777" w:rsidR="00FD1E19" w:rsidRPr="00793EF6" w:rsidRDefault="00FD1E19" w:rsidP="00FD1E19">
      <w:pPr>
        <w:widowControl w:val="0"/>
        <w:numPr>
          <w:ilvl w:val="0"/>
          <w:numId w:val="32"/>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IFRS 18 Presentation and Disclosure in Financial Statements; </w:t>
      </w:r>
    </w:p>
    <w:p w14:paraId="1738CC0D" w14:textId="77777777" w:rsidR="00FD1E19" w:rsidRPr="00793EF6" w:rsidRDefault="00FD1E19" w:rsidP="00FD1E19">
      <w:pPr>
        <w:widowControl w:val="0"/>
        <w:numPr>
          <w:ilvl w:val="0"/>
          <w:numId w:val="33"/>
        </w:numPr>
        <w:pBdr>
          <w:top w:val="nil"/>
          <w:left w:val="nil"/>
          <w:bottom w:val="nil"/>
          <w:right w:val="nil"/>
          <w:between w:val="nil"/>
          <w:bar w:val="nil"/>
        </w:pBdr>
        <w:suppressAutoHyphens/>
        <w:autoSpaceDE w:val="0"/>
        <w:spacing w:before="60" w:after="60" w:line="240" w:lineRule="auto"/>
        <w:jc w:val="both"/>
        <w:rPr>
          <w:rFonts w:ascii="Arial" w:hAnsi="Arial" w:cs="Arial"/>
          <w:noProof/>
          <w:sz w:val="16"/>
          <w:szCs w:val="16"/>
          <w:bdr w:val="nil"/>
          <w:lang w:eastAsia="ar-SA"/>
        </w:rPr>
      </w:pPr>
      <w:r w:rsidRPr="00793EF6">
        <w:rPr>
          <w:rFonts w:ascii="Arial" w:hAnsi="Arial" w:cs="Arial"/>
          <w:noProof/>
          <w:sz w:val="16"/>
          <w:szCs w:val="16"/>
          <w:bdr w:val="none" w:sz="0" w:space="0" w:color="auto" w:frame="1"/>
          <w:lang w:eastAsia="ar-SA"/>
        </w:rPr>
        <w:t>IFRS 19 Subsidiaries without Public Accountability: Disclosures; </w:t>
      </w:r>
    </w:p>
    <w:bookmarkEnd w:id="215"/>
    <w:p w14:paraId="78F8C6C4"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b/>
          <w:noProof/>
          <w:sz w:val="16"/>
          <w:szCs w:val="16"/>
          <w:bdr w:val="nil"/>
          <w:lang w:eastAsia="ar-SA"/>
        </w:rPr>
      </w:pPr>
    </w:p>
    <w:p w14:paraId="7AEE484F" w14:textId="77777777" w:rsidR="00FD1E19" w:rsidRPr="00793EF6"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cs="Arial"/>
          <w:b/>
          <w:noProof/>
          <w:sz w:val="16"/>
          <w:szCs w:val="16"/>
          <w:bdr w:val="nil"/>
          <w:lang w:eastAsia="ar-SA"/>
        </w:rPr>
      </w:pPr>
      <w:r w:rsidRPr="00793EF6">
        <w:rPr>
          <w:rFonts w:ascii="Arial" w:hAnsi="Arial" w:cs="Arial"/>
          <w:bCs/>
          <w:noProof/>
          <w:sz w:val="16"/>
          <w:szCs w:val="16"/>
          <w:bdr w:val="none" w:sz="0" w:space="0" w:color="auto" w:frame="1"/>
          <w:lang w:eastAsia="ar-SA"/>
        </w:rPr>
        <w:t xml:space="preserve">At the date of authorisation of the financial statements none of the above listed standards or amendments to existing standards have been adopted early by the Facility and no </w:t>
      </w:r>
      <w:r>
        <w:rPr>
          <w:rFonts w:ascii="Arial" w:hAnsi="Arial" w:cs="Arial"/>
          <w:bCs/>
          <w:noProof/>
          <w:sz w:val="16"/>
          <w:szCs w:val="16"/>
          <w:bdr w:val="none" w:sz="0" w:space="0" w:color="auto" w:frame="1"/>
          <w:lang w:eastAsia="ar-SA"/>
        </w:rPr>
        <w:t>i</w:t>
      </w:r>
      <w:r w:rsidRPr="00793EF6">
        <w:rPr>
          <w:rFonts w:ascii="Arial" w:hAnsi="Arial" w:cs="Arial"/>
          <w:bCs/>
          <w:noProof/>
          <w:sz w:val="16"/>
          <w:szCs w:val="16"/>
          <w:bdr w:val="none" w:sz="0" w:space="0" w:color="auto" w:frame="1"/>
          <w:lang w:eastAsia="ar-SA"/>
        </w:rPr>
        <w:t>nterpretations have been issued that are applicable and need to be taken into consideration by the Facility at either reporting date. Management anticipates that all relevant pronouncements will be adopted for the first period beginning on or after the effective date of the pronouncement, and that there will be not any material impact on the Facility’s financial statements.</w:t>
      </w:r>
    </w:p>
    <w:bookmarkEnd w:id="213"/>
    <w:p w14:paraId="2258E953" w14:textId="77777777" w:rsidR="00FD1E19" w:rsidRPr="00177623"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i/>
          <w:noProof/>
          <w:sz w:val="16"/>
          <w:szCs w:val="16"/>
          <w:bdr w:val="nil"/>
          <w:lang w:eastAsia="ar-SA"/>
        </w:rPr>
      </w:pPr>
    </w:p>
    <w:p w14:paraId="47FBDAE9" w14:textId="77777777" w:rsidR="00FD1E19" w:rsidRPr="00D9349D" w:rsidRDefault="00FD1E19" w:rsidP="00FD1E19">
      <w:pPr>
        <w:numPr>
          <w:ilvl w:val="1"/>
          <w:numId w:val="25"/>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lang w:eastAsia="ar-SA"/>
        </w:rPr>
      </w:pPr>
      <w:r w:rsidRPr="00D9349D">
        <w:rPr>
          <w:rFonts w:ascii="Arial" w:hAnsi="Arial"/>
          <w:b/>
          <w:noProof/>
          <w:sz w:val="16"/>
          <w:szCs w:val="16"/>
          <w:lang w:eastAsia="ar-SA"/>
        </w:rPr>
        <w:t xml:space="preserve">Summary of </w:t>
      </w:r>
      <w:r>
        <w:rPr>
          <w:rFonts w:ascii="Arial" w:hAnsi="Arial"/>
          <w:b/>
          <w:noProof/>
          <w:sz w:val="16"/>
          <w:szCs w:val="16"/>
          <w:lang w:eastAsia="ar-SA"/>
        </w:rPr>
        <w:t>material</w:t>
      </w:r>
      <w:r w:rsidRPr="00D9349D">
        <w:rPr>
          <w:rFonts w:ascii="Arial" w:hAnsi="Arial"/>
          <w:b/>
          <w:noProof/>
          <w:sz w:val="16"/>
          <w:szCs w:val="16"/>
          <w:lang w:eastAsia="ar-SA"/>
        </w:rPr>
        <w:t xml:space="preserve"> accounting policies</w:t>
      </w:r>
    </w:p>
    <w:p w14:paraId="2409FA9B"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2DDFDD9B"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val="en-US" w:eastAsia="ar-SA"/>
        </w:rPr>
      </w:pPr>
      <w:r w:rsidRPr="00BD1346">
        <w:rPr>
          <w:rFonts w:ascii="Arial" w:hAnsi="Arial"/>
          <w:noProof/>
          <w:sz w:val="16"/>
          <w:szCs w:val="16"/>
          <w:lang w:eastAsia="ar-SA"/>
        </w:rPr>
        <w:t xml:space="preserve">The statement of financial position </w:t>
      </w:r>
      <w:r w:rsidRPr="00BD1346">
        <w:rPr>
          <w:rFonts w:ascii="Arial" w:hAnsi="Arial"/>
          <w:noProof/>
          <w:sz w:val="16"/>
          <w:szCs w:val="16"/>
          <w:lang w:val="en-US" w:eastAsia="ar-SA"/>
        </w:rPr>
        <w:t>represents assets and liabilities in decreasing order of liquidity and does not distinguish between current and non-current items.</w:t>
      </w:r>
    </w:p>
    <w:p w14:paraId="00456039"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0089272E" w14:textId="77777777" w:rsidR="00FD1E19" w:rsidRPr="00D9349D" w:rsidRDefault="00FD1E19" w:rsidP="00FD1E19">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bookmarkStart w:id="216" w:name="_Ref110032770"/>
      <w:r w:rsidRPr="00D9349D">
        <w:rPr>
          <w:rFonts w:ascii="Arial" w:hAnsi="Arial"/>
          <w:b/>
          <w:noProof/>
          <w:sz w:val="16"/>
          <w:szCs w:val="16"/>
          <w:lang w:eastAsia="ar-SA"/>
        </w:rPr>
        <w:tab/>
        <w:t>Foreign currency translation</w:t>
      </w:r>
      <w:bookmarkEnd w:id="216"/>
    </w:p>
    <w:p w14:paraId="28B0B33B" w14:textId="77777777" w:rsidR="00FD1E19" w:rsidRPr="00BD134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1DD8A408"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Facility uses the Euro (EUR) for presenting its financial statements, which is also the functional currency. Except as otherwise indicated, financial information presented in EUR has been rounded to the nearest thousand.</w:t>
      </w:r>
      <w:r>
        <w:rPr>
          <w:rFonts w:ascii="Arial" w:hAnsi="Arial"/>
          <w:noProof/>
          <w:sz w:val="16"/>
          <w:szCs w:val="16"/>
          <w:lang w:eastAsia="ar-SA"/>
        </w:rPr>
        <w:t xml:space="preserve"> </w:t>
      </w:r>
    </w:p>
    <w:p w14:paraId="1B198B8B"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3E0B15A9"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Foreign currency transactions are translated, at the exchange rate prevailing on the date of the transaction. </w:t>
      </w:r>
    </w:p>
    <w:p w14:paraId="4A4AB6C8"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F52EDF3"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Monetary assets and liabilities denominated in currencies other than Euro are translated into Euro at the exchange rate prevailing at the </w:t>
      </w:r>
      <w:r>
        <w:rPr>
          <w:rFonts w:ascii="Arial" w:hAnsi="Arial"/>
          <w:noProof/>
          <w:sz w:val="16"/>
          <w:szCs w:val="16"/>
          <w:lang w:eastAsia="ar-SA"/>
        </w:rPr>
        <w:t>statement of financial position</w:t>
      </w:r>
      <w:r w:rsidRPr="00BD1346">
        <w:rPr>
          <w:rFonts w:ascii="Arial" w:hAnsi="Arial"/>
          <w:noProof/>
          <w:sz w:val="16"/>
          <w:szCs w:val="16"/>
          <w:lang w:eastAsia="ar-SA"/>
        </w:rPr>
        <w:t xml:space="preserve"> date. The gain or loss arising from such translation is recorded in the </w:t>
      </w:r>
      <w:r>
        <w:rPr>
          <w:rFonts w:ascii="Arial" w:hAnsi="Arial"/>
          <w:noProof/>
          <w:sz w:val="16"/>
          <w:szCs w:val="16"/>
          <w:lang w:eastAsia="ar-SA"/>
        </w:rPr>
        <w:t>statement of profit or loss and other comprehensive income</w:t>
      </w:r>
      <w:r w:rsidRPr="00BD1346">
        <w:rPr>
          <w:rFonts w:ascii="Arial" w:hAnsi="Arial"/>
          <w:noProof/>
          <w:sz w:val="16"/>
          <w:szCs w:val="16"/>
          <w:lang w:eastAsia="ar-SA"/>
        </w:rPr>
        <w:t>.</w:t>
      </w:r>
    </w:p>
    <w:p w14:paraId="1B7F4E35"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7DE8134D"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Non-monetary items that are measured in terms of historical cost in a foreign currency are translated using the exchange rates at the dates of the initial transactions. Non-monetary items measured at fair value in a foreign currency are translated using the exchange rates at the date when the fair value was determined.</w:t>
      </w:r>
    </w:p>
    <w:p w14:paraId="4B397F30"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77D124FB"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Exchange differences arising on the settlement of transactions at rates different from those at the date of the transaction, and unrealised foreign exchange differences on unsettled foreign currency monetary assets and liabilities, are recognised in the statement of profit or loss and other comprehensive income.</w:t>
      </w:r>
    </w:p>
    <w:p w14:paraId="581A0354" w14:textId="77777777" w:rsidR="00FD1E19" w:rsidRPr="00604092" w:rsidRDefault="00FD1E19" w:rsidP="00E81294">
      <w:pPr>
        <w:keepNext/>
        <w:keepLines/>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604092">
        <w:rPr>
          <w:rFonts w:ascii="Arial" w:hAnsi="Arial"/>
          <w:b/>
          <w:noProof/>
          <w:sz w:val="16"/>
          <w:szCs w:val="16"/>
          <w:lang w:eastAsia="ar-SA"/>
        </w:rPr>
        <w:tab/>
        <w:t>Financial assets other than derivatives</w:t>
      </w:r>
    </w:p>
    <w:p w14:paraId="78FE8195" w14:textId="77777777" w:rsidR="00FD1E19" w:rsidRDefault="00FD1E19" w:rsidP="00E81294">
      <w:pPr>
        <w:keepNext/>
        <w:keepLines/>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14:paraId="56BE29B0" w14:textId="77777777" w:rsidR="00FD1E19" w:rsidRDefault="00FD1E19" w:rsidP="00E81294">
      <w:pPr>
        <w:keepNext/>
        <w:keepLines/>
        <w:pBdr>
          <w:top w:val="nil"/>
          <w:left w:val="nil"/>
          <w:bottom w:val="nil"/>
          <w:right w:val="nil"/>
          <w:between w:val="nil"/>
          <w:bar w:val="nil"/>
        </w:pBdr>
        <w:jc w:val="both"/>
        <w:rPr>
          <w:rFonts w:ascii="Arial" w:hAnsi="Arial"/>
          <w:noProof/>
          <w:sz w:val="15"/>
          <w:bdr w:val="nil"/>
        </w:rPr>
      </w:pPr>
      <w:r>
        <w:rPr>
          <w:rFonts w:ascii="Arial" w:hAnsi="Arial" w:cs="Arial"/>
          <w:noProof/>
          <w:sz w:val="16"/>
          <w:szCs w:val="16"/>
          <w:lang w:eastAsia="ar-SA"/>
        </w:rPr>
        <w:t>Non-derivative financial instruments are initially recognised using the settlement date basis.</w:t>
      </w:r>
    </w:p>
    <w:p w14:paraId="62F4B8A2"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cs="Arial"/>
          <w:b/>
          <w:noProof/>
          <w:sz w:val="16"/>
          <w:szCs w:val="16"/>
          <w:bdr w:val="nil"/>
          <w:lang w:eastAsia="ar-SA"/>
        </w:rPr>
      </w:pPr>
      <w:r>
        <w:rPr>
          <w:rFonts w:ascii="Arial" w:hAnsi="Arial" w:cs="Arial"/>
          <w:b/>
          <w:noProof/>
          <w:sz w:val="16"/>
          <w:szCs w:val="16"/>
          <w:lang w:eastAsia="ar-SA"/>
        </w:rPr>
        <w:t>Classification and measurement</w:t>
      </w:r>
    </w:p>
    <w:p w14:paraId="615C0F78"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cs="Arial"/>
          <w:noProof/>
          <w:sz w:val="16"/>
          <w:szCs w:val="16"/>
          <w:bdr w:val="nil"/>
          <w:lang w:eastAsia="ar-SA"/>
        </w:rPr>
      </w:pPr>
    </w:p>
    <w:p w14:paraId="23CA48A9" w14:textId="77777777" w:rsidR="00FD1E19" w:rsidRDefault="00FD1E19" w:rsidP="00FD1E19">
      <w:pPr>
        <w:pBdr>
          <w:top w:val="nil"/>
          <w:left w:val="nil"/>
          <w:bottom w:val="nil"/>
          <w:right w:val="nil"/>
          <w:between w:val="nil"/>
          <w:bar w:val="nil"/>
        </w:pBdr>
        <w:suppressAutoHyphens/>
        <w:rPr>
          <w:rFonts w:ascii="Arial" w:hAnsi="Arial" w:cs="Arial"/>
          <w:i/>
          <w:noProof/>
          <w:sz w:val="16"/>
          <w:szCs w:val="16"/>
          <w:bdr w:val="nil"/>
          <w:lang w:eastAsia="ar-SA"/>
        </w:rPr>
      </w:pPr>
      <w:r>
        <w:rPr>
          <w:rFonts w:ascii="Arial" w:hAnsi="Arial" w:cs="Arial"/>
          <w:i/>
          <w:noProof/>
          <w:sz w:val="16"/>
          <w:szCs w:val="16"/>
          <w:lang w:eastAsia="ar-SA"/>
        </w:rPr>
        <w:t xml:space="preserve">Financial assets </w:t>
      </w:r>
    </w:p>
    <w:p w14:paraId="22523B9C" w14:textId="77777777" w:rsidR="00FD1E19" w:rsidRDefault="00FD1E19" w:rsidP="00FD1E19">
      <w:pPr>
        <w:pBdr>
          <w:top w:val="nil"/>
          <w:left w:val="nil"/>
          <w:bottom w:val="nil"/>
          <w:right w:val="nil"/>
          <w:between w:val="nil"/>
          <w:bar w:val="nil"/>
        </w:pBdr>
        <w:suppressAutoHyphens/>
        <w:rPr>
          <w:rFonts w:ascii="Arial" w:hAnsi="Arial" w:cs="Arial"/>
          <w:i/>
          <w:noProof/>
          <w:sz w:val="16"/>
          <w:szCs w:val="16"/>
          <w:bdr w:val="nil"/>
          <w:lang w:eastAsia="ar-SA"/>
        </w:rPr>
      </w:pPr>
    </w:p>
    <w:p w14:paraId="47C59CB3"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On initial recognition, a financial asset is classified as measured at amortised cost (“AC”) or fair value through P&amp;L (“FVTPL”) and a financial liability is classified as measured at AC or FVTPL.</w:t>
      </w:r>
    </w:p>
    <w:p w14:paraId="03194E61"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7CE0A06C"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Under IFRS 9, classification starts with determining whether the financial asset shall be considered as a debt or equity instrument. IFRS 9 refers to the definitions in IAS 32 Financial Instruments: Presentation.</w:t>
      </w:r>
    </w:p>
    <w:p w14:paraId="5077507D"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0C57A28E"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Debt instruments are those instruments that meet the definition of a financial liability from the counterparty’s perspective, loans and debt securities including bonds, notes or certificates issued by structured entities, government or corporates.</w:t>
      </w:r>
    </w:p>
    <w:p w14:paraId="1903DE95"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447EA80F"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A debt instrument is classified at AC if it meets both of the following conditions and is not designated as at FVTPL:</w:t>
      </w:r>
    </w:p>
    <w:p w14:paraId="4A022E8D" w14:textId="77777777" w:rsidR="00FD1E19" w:rsidRDefault="00FD1E19" w:rsidP="00FD1E19">
      <w:pPr>
        <w:numPr>
          <w:ilvl w:val="0"/>
          <w:numId w:val="35"/>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lang w:eastAsia="ar-SA"/>
        </w:rPr>
      </w:pPr>
      <w:r>
        <w:rPr>
          <w:rFonts w:ascii="Arial" w:hAnsi="Arial" w:cs="Arial"/>
          <w:noProof/>
          <w:sz w:val="16"/>
          <w:szCs w:val="16"/>
          <w:lang w:eastAsia="ar-SA"/>
        </w:rPr>
        <w:t>the asset is held within a business model whose objective is to hold assets to collect contractual cash flows; and</w:t>
      </w:r>
    </w:p>
    <w:p w14:paraId="50C0AEAA" w14:textId="77777777" w:rsidR="00FD1E19" w:rsidRDefault="00FD1E19" w:rsidP="00FD1E19">
      <w:pPr>
        <w:numPr>
          <w:ilvl w:val="0"/>
          <w:numId w:val="35"/>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lang w:eastAsia="ar-SA"/>
        </w:rPr>
      </w:pPr>
      <w:r>
        <w:rPr>
          <w:rFonts w:ascii="Arial" w:hAnsi="Arial" w:cs="Arial"/>
          <w:noProof/>
          <w:sz w:val="16"/>
          <w:szCs w:val="16"/>
          <w:lang w:eastAsia="ar-SA"/>
        </w:rPr>
        <w:t>the contractual terms of the financial asset give rise on specified dates to cash flows that are solely payments of principal and  interest on the principal amount outstanding (SPPI criteria).</w:t>
      </w:r>
    </w:p>
    <w:p w14:paraId="0AF988A0" w14:textId="77777777" w:rsidR="00FD1E19" w:rsidRDefault="00FD1E19" w:rsidP="00FD1E19">
      <w:pPr>
        <w:pBdr>
          <w:top w:val="nil"/>
          <w:left w:val="nil"/>
          <w:bottom w:val="nil"/>
          <w:right w:val="nil"/>
          <w:between w:val="nil"/>
          <w:bar w:val="nil"/>
        </w:pBdr>
        <w:suppressAutoHyphens/>
        <w:spacing w:before="60" w:after="60"/>
        <w:ind w:firstLine="720"/>
        <w:jc w:val="both"/>
        <w:rPr>
          <w:rFonts w:ascii="Arial" w:hAnsi="Arial" w:cs="Arial"/>
          <w:noProof/>
          <w:sz w:val="16"/>
          <w:szCs w:val="16"/>
          <w:bdr w:val="nil"/>
          <w:lang w:eastAsia="ar-SA"/>
        </w:rPr>
      </w:pPr>
    </w:p>
    <w:p w14:paraId="21FB25F0"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The above requirements should be applied to an entire financial asset, even if it contains an embedded derivative.</w:t>
      </w:r>
    </w:p>
    <w:p w14:paraId="3AEB2A6D"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6AC760F3"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Equity instruments are instruments that meet the definition of equity from the issuer’s perspective; that is, instruments that do not contain a contractual obligation to pay and that evidence a residual interest in the issuer’s net assets. Equity instruments are measured at FVTPL.</w:t>
      </w:r>
    </w:p>
    <w:p w14:paraId="7DDF43CF"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79394E03"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 xml:space="preserve">On initial recognition of an equity investment that is not held for trading, the Facility may irrevocably elect to present subsequent changes in other comprehensive income. This election is made on an investment-by-investment basis. </w:t>
      </w:r>
    </w:p>
    <w:p w14:paraId="2672C5FF"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1C2299B0"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All other financial assets are classified as measured at FVTPL.</w:t>
      </w:r>
    </w:p>
    <w:p w14:paraId="766EA470"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14:paraId="0DA7630A"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r>
        <w:rPr>
          <w:rFonts w:ascii="Arial" w:hAnsi="Arial" w:cs="Arial"/>
          <w:i/>
          <w:noProof/>
          <w:sz w:val="16"/>
          <w:szCs w:val="16"/>
          <w:lang w:eastAsia="ar-SA"/>
        </w:rPr>
        <w:t>Business model assessment</w:t>
      </w:r>
    </w:p>
    <w:p w14:paraId="698F1DF8"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327D9ACC"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The EIB, as a manager of the Facility, makes an assessment of the objective of a business model in which a debt instrument is held at a portfolio level because this best reflects the way the business is managed and information is provided to management. The information considered includes:</w:t>
      </w:r>
    </w:p>
    <w:p w14:paraId="17A84693" w14:textId="77777777" w:rsidR="00FD1E19" w:rsidRDefault="00FD1E19" w:rsidP="00FD1E19">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lang w:eastAsia="ar-SA"/>
        </w:rPr>
      </w:pPr>
      <w:r>
        <w:rPr>
          <w:rFonts w:ascii="Arial" w:hAnsi="Arial" w:cs="Arial"/>
          <w:noProof/>
          <w:sz w:val="16"/>
          <w:szCs w:val="16"/>
          <w:lang w:eastAsia="ar-SA"/>
        </w:rPr>
        <w:t>the stated policies and objectives for the portfolio and the operation of those policies in practice. In particular, whether management´s strategy focuses on earning contractual interest revenue, maintaining a particular interest rate profile, matching the duration of the financial assets to the duration of the liabilities that are funding those assets or realising cash flows through the sale of the assets;</w:t>
      </w:r>
    </w:p>
    <w:p w14:paraId="2DA82D4D" w14:textId="77777777" w:rsidR="00FD1E19" w:rsidRDefault="00FD1E19" w:rsidP="00FD1E19">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lang w:eastAsia="ar-SA"/>
        </w:rPr>
      </w:pPr>
      <w:r>
        <w:rPr>
          <w:rFonts w:ascii="Arial" w:hAnsi="Arial" w:cs="Arial"/>
          <w:noProof/>
          <w:sz w:val="16"/>
          <w:szCs w:val="16"/>
          <w:lang w:eastAsia="ar-SA"/>
        </w:rPr>
        <w:t>how the performance of the portfolio is evaluated and reported to the Facility’s management;</w:t>
      </w:r>
    </w:p>
    <w:p w14:paraId="27DEA9C8" w14:textId="77777777" w:rsidR="00FD1E19" w:rsidRDefault="00FD1E19" w:rsidP="00FD1E19">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lang w:eastAsia="ar-SA"/>
        </w:rPr>
      </w:pPr>
      <w:r>
        <w:rPr>
          <w:rFonts w:ascii="Arial" w:hAnsi="Arial" w:cs="Arial"/>
          <w:noProof/>
          <w:sz w:val="16"/>
          <w:szCs w:val="16"/>
          <w:lang w:eastAsia="ar-SA"/>
        </w:rPr>
        <w:t>the risks that affect the performance of the business model (and the financial assets held within that business model) and how those risks are managed; and</w:t>
      </w:r>
    </w:p>
    <w:p w14:paraId="24242A16" w14:textId="77777777" w:rsidR="00FD1E19" w:rsidRDefault="00FD1E19" w:rsidP="00FD1E19">
      <w:pPr>
        <w:numPr>
          <w:ilvl w:val="0"/>
          <w:numId w:val="36"/>
        </w:numPr>
        <w:pBdr>
          <w:top w:val="nil"/>
          <w:left w:val="nil"/>
          <w:bottom w:val="nil"/>
          <w:right w:val="nil"/>
          <w:between w:val="nil"/>
          <w:bar w:val="nil"/>
        </w:pBdr>
        <w:suppressAutoHyphens/>
        <w:spacing w:before="60" w:after="60" w:line="240" w:lineRule="auto"/>
        <w:jc w:val="both"/>
        <w:rPr>
          <w:rFonts w:ascii="Arial" w:hAnsi="Arial" w:cs="Arial"/>
          <w:noProof/>
          <w:sz w:val="16"/>
          <w:szCs w:val="16"/>
          <w:bdr w:val="nil"/>
          <w:lang w:eastAsia="ar-SA"/>
        </w:rPr>
      </w:pPr>
      <w:r>
        <w:rPr>
          <w:rFonts w:ascii="Arial" w:hAnsi="Arial" w:cs="Arial"/>
          <w:noProof/>
          <w:sz w:val="16"/>
          <w:szCs w:val="16"/>
          <w:lang w:eastAsia="ar-SA"/>
        </w:rPr>
        <w:t xml:space="preserve">the frequency, volume and timing of sales in prior periods, the reasons for such sales and its expectation about future sales activity. </w:t>
      </w:r>
    </w:p>
    <w:p w14:paraId="1A6F4BF6" w14:textId="77777777" w:rsidR="00FD1E19" w:rsidRDefault="00FD1E19" w:rsidP="00FD1E19">
      <w:pPr>
        <w:pBdr>
          <w:top w:val="nil"/>
          <w:left w:val="nil"/>
          <w:bottom w:val="nil"/>
          <w:right w:val="nil"/>
          <w:between w:val="nil"/>
          <w:bar w:val="nil"/>
        </w:pBdr>
        <w:suppressAutoHyphens/>
        <w:spacing w:before="60" w:after="60"/>
        <w:ind w:left="720"/>
        <w:jc w:val="both"/>
        <w:rPr>
          <w:rFonts w:ascii="Arial" w:hAnsi="Arial" w:cs="Arial"/>
          <w:noProof/>
          <w:sz w:val="16"/>
          <w:szCs w:val="16"/>
          <w:bdr w:val="nil"/>
          <w:lang w:eastAsia="ar-SA"/>
        </w:rPr>
      </w:pPr>
    </w:p>
    <w:p w14:paraId="3AC1D829"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However, information about sales activity is not considered in isolation, but as part of an overall assessment of how the Facility stated objective for managing the financial assets is achieved and how cash flows are realised.</w:t>
      </w:r>
    </w:p>
    <w:p w14:paraId="398E74C9"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29231F55"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 xml:space="preserve">The business model for the Impact Financing Envelope direct loan operations has been described and disclosed in Note </w:t>
      </w:r>
      <w:r w:rsidRPr="00FC768F">
        <w:rPr>
          <w:rFonts w:ascii="Arial" w:hAnsi="Arial" w:cs="Arial"/>
          <w:noProof/>
          <w:sz w:val="16"/>
          <w:szCs w:val="16"/>
          <w:lang w:eastAsia="ar-SA"/>
        </w:rPr>
        <w:t>25</w:t>
      </w:r>
      <w:r>
        <w:rPr>
          <w:rFonts w:ascii="Arial" w:hAnsi="Arial" w:cs="Arial"/>
          <w:noProof/>
          <w:sz w:val="16"/>
          <w:szCs w:val="16"/>
          <w:lang w:eastAsia="ar-SA"/>
        </w:rPr>
        <w:t>.</w:t>
      </w:r>
    </w:p>
    <w:p w14:paraId="4375D153" w14:textId="77777777" w:rsidR="00FD1E19" w:rsidRDefault="00FD1E19" w:rsidP="00FD1E19">
      <w:pPr>
        <w:pBdr>
          <w:top w:val="nil"/>
          <w:left w:val="nil"/>
          <w:bottom w:val="nil"/>
          <w:right w:val="nil"/>
          <w:between w:val="nil"/>
          <w:bar w:val="nil"/>
        </w:pBdr>
        <w:rPr>
          <w:rFonts w:ascii="Arial" w:hAnsi="Arial" w:cs="Arial"/>
          <w:noProof/>
          <w:sz w:val="16"/>
          <w:szCs w:val="16"/>
          <w:bdr w:val="nil"/>
          <w:lang w:eastAsia="ar-SA"/>
        </w:rPr>
      </w:pPr>
      <w:r>
        <w:rPr>
          <w:noProof/>
          <w:sz w:val="16"/>
          <w:szCs w:val="16"/>
          <w:lang w:eastAsia="ar-SA"/>
        </w:rPr>
        <w:br w:type="page"/>
      </w:r>
    </w:p>
    <w:p w14:paraId="19EC4801" w14:textId="77777777" w:rsidR="00FD1E19" w:rsidRPr="00D9349D"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r w:rsidRPr="00D9349D">
        <w:rPr>
          <w:rFonts w:ascii="Arial" w:hAnsi="Arial" w:cs="Arial"/>
          <w:i/>
          <w:noProof/>
          <w:sz w:val="16"/>
          <w:szCs w:val="16"/>
          <w:lang w:eastAsia="ar-SA"/>
        </w:rPr>
        <w:t>Solely payme</w:t>
      </w:r>
      <w:r>
        <w:rPr>
          <w:rFonts w:ascii="Arial" w:hAnsi="Arial" w:cs="Arial"/>
          <w:i/>
          <w:noProof/>
          <w:sz w:val="16"/>
          <w:szCs w:val="16"/>
          <w:lang w:eastAsia="ar-SA"/>
        </w:rPr>
        <w:t>nt of principal and interests (“SPPI”</w:t>
      </w:r>
      <w:r w:rsidRPr="00D9349D">
        <w:rPr>
          <w:rFonts w:ascii="Arial" w:hAnsi="Arial" w:cs="Arial"/>
          <w:i/>
          <w:noProof/>
          <w:sz w:val="16"/>
          <w:szCs w:val="16"/>
          <w:lang w:eastAsia="ar-SA"/>
        </w:rPr>
        <w:t>) criteria</w:t>
      </w:r>
    </w:p>
    <w:p w14:paraId="18930297"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5AD7257C"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For the purpose of this assessment, ‘principal’ is defined as the fair value of the debt instrument on initial recognition. ‘Interest’ is defined as consideration for the time value of money and for the credit risk associated with the principal amount outstanding during a particular period of time and for other basic lending risks and costs (e.g. liquidity risk and administrative costs), as well as profit margin.</w:t>
      </w:r>
    </w:p>
    <w:p w14:paraId="0AC5DC98"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63AC5ED3"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In assessing whether the contractual cash flows are solely payments of principal and interest, the contractual terms of the instrument are considered. This includes assessing whether the financial asset contains a contractual term that could change the timing or amount of contractual cash flows such that it would not meet this condition.</w:t>
      </w:r>
    </w:p>
    <w:p w14:paraId="66BEB9EA"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14:paraId="3DEF2A1D"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r>
        <w:rPr>
          <w:rFonts w:ascii="Arial" w:hAnsi="Arial" w:cs="Arial"/>
          <w:i/>
          <w:noProof/>
          <w:sz w:val="16"/>
          <w:szCs w:val="16"/>
          <w:lang w:eastAsia="ar-SA"/>
        </w:rPr>
        <w:t>Derecognition</w:t>
      </w:r>
    </w:p>
    <w:p w14:paraId="1B2F67CA"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14:paraId="04AD6E47" w14:textId="77777777" w:rsidR="00FD1E19" w:rsidRDefault="00FD1E19" w:rsidP="00FD1E19">
      <w:pPr>
        <w:pBdr>
          <w:top w:val="nil"/>
          <w:left w:val="nil"/>
          <w:bottom w:val="nil"/>
          <w:right w:val="nil"/>
          <w:between w:val="nil"/>
          <w:bar w:val="nil"/>
        </w:pBdr>
        <w:tabs>
          <w:tab w:val="left" w:pos="1560"/>
        </w:tabs>
        <w:spacing w:before="60" w:after="60"/>
        <w:jc w:val="both"/>
        <w:rPr>
          <w:noProof/>
          <w:sz w:val="16"/>
          <w:szCs w:val="16"/>
          <w:bdr w:val="nil"/>
          <w:lang w:eastAsia="ar-SA"/>
        </w:rPr>
      </w:pPr>
      <w:r>
        <w:rPr>
          <w:rFonts w:ascii="Arial" w:hAnsi="Arial"/>
          <w:noProof/>
          <w:sz w:val="16"/>
          <w:szCs w:val="16"/>
          <w:lang w:eastAsia="ar-SA"/>
        </w:rPr>
        <w:t>The Facility derecognises a financial asset when the contractual rights to the cash flows from the financial asset expire, or the rights to receive the contractual cash flow are transferred in a transaction in which either the Facility transfers the risks and rewards of ownership of the financial asset or it retains substantially all of the risks and rewards of ownership but does not retain control of the financial asset.</w:t>
      </w:r>
    </w:p>
    <w:p w14:paraId="0C6C4E9F"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3210DF69"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Pr>
          <w:rFonts w:ascii="Arial" w:hAnsi="Arial" w:cs="Arial"/>
          <w:noProof/>
          <w:sz w:val="16"/>
          <w:szCs w:val="16"/>
          <w:lang w:eastAsia="ar-SA"/>
        </w:rPr>
        <w:t xml:space="preserve">On derecognition of a financial asset or financial liability (Note 2.4.4), the difference between the carrying amount of the asset or liability (or the carrying amount allocated to the portion of the asset or liability derecognised) and the sum of (i) the consideration received or paid and (ii) any cumulative gain or loss that had been recognised in other comprehensive income is recognised in profit or loss except for the cumulative gains or losses recognised in other comprehensive income for equity investments measured at fair value through other comprehensive income </w:t>
      </w:r>
      <w:r w:rsidRPr="00143FEB">
        <w:rPr>
          <w:rFonts w:ascii="Arial" w:hAnsi="Arial" w:cs="Arial"/>
          <w:noProof/>
          <w:sz w:val="16"/>
          <w:szCs w:val="16"/>
          <w:lang w:eastAsia="ar-SA"/>
        </w:rPr>
        <w:t>which are transferred to the reserve fund rather than profit or loss on disposal.</w:t>
      </w:r>
    </w:p>
    <w:p w14:paraId="4C579B15" w14:textId="77777777" w:rsidR="00FD1E19" w:rsidRPr="003B1E8D"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57E54999" w14:textId="77777777" w:rsidR="00FD1E19" w:rsidRPr="000E2EF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sidRPr="000E2EF9">
        <w:rPr>
          <w:rFonts w:ascii="Arial" w:hAnsi="Arial"/>
          <w:noProof/>
          <w:sz w:val="16"/>
          <w:szCs w:val="16"/>
          <w:lang w:eastAsia="ar-SA"/>
        </w:rPr>
        <w:t>In the context of IBOR reform, the Facility’s assessment of whether a change to an amortised cost financial instrument is substantial, is made after applying the practical expedient introduced by IBOR reform Phase 2. As per the amendments issued by the IASB, the Facility does not derecognise a financial instrument, which contractual cash flows are modified as a direct consequence from the reform and the change is economically equivalent to the previous basis for determining the contractual cash flows (i.e., the basis im</w:t>
      </w:r>
      <w:r>
        <w:rPr>
          <w:rFonts w:ascii="Arial" w:hAnsi="Arial"/>
          <w:noProof/>
          <w:sz w:val="16"/>
          <w:szCs w:val="16"/>
          <w:lang w:eastAsia="ar-SA"/>
        </w:rPr>
        <w:t>mediately before the change).</w:t>
      </w:r>
    </w:p>
    <w:p w14:paraId="12454BAD" w14:textId="77777777" w:rsidR="00FD1E19" w:rsidRPr="00143FEB"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p>
    <w:p w14:paraId="0774DE34" w14:textId="77777777" w:rsidR="00FD1E19" w:rsidRPr="005A19FD"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r w:rsidRPr="005A19FD">
        <w:rPr>
          <w:rFonts w:ascii="Arial" w:hAnsi="Arial" w:cs="Arial"/>
          <w:i/>
          <w:noProof/>
          <w:sz w:val="16"/>
          <w:szCs w:val="16"/>
          <w:lang w:eastAsia="ar-SA"/>
        </w:rPr>
        <w:t>Reclassification</w:t>
      </w:r>
    </w:p>
    <w:p w14:paraId="297D26C4" w14:textId="77777777" w:rsidR="00FD1E19" w:rsidRPr="00143FEB"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4144F7AF" w14:textId="77777777" w:rsidR="00FD1E19" w:rsidRPr="00143FEB"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sidRPr="00143FEB">
        <w:rPr>
          <w:rFonts w:ascii="Arial" w:hAnsi="Arial" w:cs="Arial"/>
          <w:noProof/>
          <w:sz w:val="16"/>
          <w:szCs w:val="16"/>
          <w:lang w:eastAsia="ar-SA"/>
        </w:rPr>
        <w:t>Financial assets are not reclassified subsequent to their initial recognition, except in the period after the Facility changes its business model for managing financial assets.</w:t>
      </w:r>
      <w:r>
        <w:rPr>
          <w:rFonts w:ascii="Arial" w:hAnsi="Arial" w:cs="Arial"/>
          <w:noProof/>
          <w:sz w:val="16"/>
          <w:szCs w:val="16"/>
          <w:lang w:eastAsia="ar-SA"/>
        </w:rPr>
        <w:t xml:space="preserve"> </w:t>
      </w:r>
    </w:p>
    <w:p w14:paraId="0DDEBD2F"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350C67ED" w14:textId="77777777" w:rsidR="00FD1E19" w:rsidRDefault="00FD1E19" w:rsidP="00FD1E19">
      <w:pPr>
        <w:pBdr>
          <w:top w:val="nil"/>
          <w:left w:val="nil"/>
          <w:bottom w:val="nil"/>
          <w:right w:val="nil"/>
          <w:between w:val="nil"/>
          <w:bar w:val="nil"/>
        </w:pBdr>
        <w:suppressAutoHyphens/>
        <w:rPr>
          <w:rFonts w:ascii="Arial" w:hAnsi="Arial" w:cs="Arial"/>
          <w:i/>
          <w:noProof/>
          <w:sz w:val="16"/>
          <w:szCs w:val="16"/>
          <w:bdr w:val="nil"/>
          <w:lang w:eastAsia="ar-SA"/>
        </w:rPr>
      </w:pPr>
      <w:r>
        <w:rPr>
          <w:rFonts w:ascii="Arial" w:hAnsi="Arial" w:cs="Arial"/>
          <w:i/>
          <w:noProof/>
          <w:sz w:val="16"/>
          <w:szCs w:val="16"/>
          <w:lang w:eastAsia="ar-SA"/>
        </w:rPr>
        <w:t xml:space="preserve">Modification </w:t>
      </w:r>
    </w:p>
    <w:p w14:paraId="4F980509"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Pr>
          <w:rFonts w:ascii="Arial" w:hAnsi="Arial"/>
          <w:noProof/>
          <w:sz w:val="16"/>
          <w:szCs w:val="16"/>
          <w:lang w:eastAsia="ar-SA"/>
        </w:rPr>
        <w:t>A financial asset measured at amortised cost is considered modified when its contractual cash flows are renegotiated or otherwise modified. Renegotiation or modification may or may not lead to derecognition of the old and recognition of the new financial instrument.</w:t>
      </w:r>
    </w:p>
    <w:p w14:paraId="1605FA5F"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7E62C8A7"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Pr>
          <w:rFonts w:ascii="Arial" w:hAnsi="Arial"/>
          <w:noProof/>
          <w:sz w:val="16"/>
          <w:szCs w:val="16"/>
          <w:lang w:eastAsia="ar-SA"/>
        </w:rPr>
        <w:t>A substantial contractual modification on the cash flows of a financial asset measured at amortised cost which results in the derecognition of the financial asset, leads to the recognition of the new financial asset at its fair value, and the recording of the modification gain or loss impact in the consolidated income statement under “Result on financial operations”.</w:t>
      </w:r>
    </w:p>
    <w:p w14:paraId="2EB8AD13"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7DD475DC"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sidRPr="00255A3D">
        <w:rPr>
          <w:rFonts w:ascii="Arial" w:hAnsi="Arial"/>
          <w:noProof/>
          <w:sz w:val="16"/>
          <w:szCs w:val="16"/>
          <w:lang w:eastAsia="ar-SA"/>
        </w:rPr>
        <w:t>A contractual modification is deemed substantial if the discounted present value of the cash flows under the revised terms (discounted using the original effective interest rate) is at least 10% different from the discounted present value of the remaining cash flows of the original financial asset. Qualitative factors such as a change in the currency on which the financial asset is denominated and conversion features are also considered.</w:t>
      </w:r>
    </w:p>
    <w:p w14:paraId="5ABA6F75"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3D52C321" w14:textId="77777777" w:rsidR="00FD1E19" w:rsidRPr="000E2EF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sidRPr="000E2EF9">
        <w:rPr>
          <w:rFonts w:ascii="Arial" w:hAnsi="Arial"/>
          <w:noProof/>
          <w:sz w:val="16"/>
          <w:szCs w:val="16"/>
          <w:lang w:eastAsia="ar-SA"/>
        </w:rPr>
        <w:t>In the context of IBOR reform, the Facility’s assessment of whether a change to an amortised cost financial instrument is substantial, is made after applying the practical expedient introduced by IBOR reform Phase 2. The Facility updates the effective interest rate, without modifying the carrying amount of the financial instrument if the basis for determining the contractual cash flows of the financial instrument, measured at amortised cost, changes as a direct consequence from the reform and if the change is economically equivalent to the previous basis (i.e., the basis immediately before the change).</w:t>
      </w:r>
    </w:p>
    <w:p w14:paraId="2B14AAD9"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52EB02D9"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i/>
          <w:noProof/>
          <w:sz w:val="16"/>
          <w:szCs w:val="16"/>
          <w:bdr w:val="nil"/>
          <w:lang w:eastAsia="ar-SA"/>
        </w:rPr>
      </w:pPr>
      <w:r>
        <w:rPr>
          <w:rFonts w:ascii="Arial" w:hAnsi="Arial"/>
          <w:i/>
          <w:noProof/>
          <w:sz w:val="16"/>
          <w:szCs w:val="16"/>
          <w:lang w:eastAsia="ar-SA"/>
        </w:rPr>
        <w:t>Measurement of fair values of financial instruments</w:t>
      </w:r>
    </w:p>
    <w:p w14:paraId="1CD92BA1"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i/>
          <w:noProof/>
          <w:sz w:val="16"/>
          <w:szCs w:val="16"/>
          <w:bdr w:val="nil"/>
          <w:lang w:eastAsia="ar-SA"/>
        </w:rPr>
      </w:pPr>
    </w:p>
    <w:p w14:paraId="526B8F70"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Pr>
          <w:rFonts w:ascii="Arial" w:hAnsi="Arial"/>
          <w:noProof/>
          <w:sz w:val="16"/>
          <w:szCs w:val="16"/>
          <w:lang w:eastAsia="ar-SA"/>
        </w:rPr>
        <w:t xml:space="preserve">Fair value is the price that would be received to sell an asset or paid to transfer a liability in an orderly transaction between market participants at the measurement date in the principal, or in its absence, the most advantageous market to which the Facility has access at that date. </w:t>
      </w:r>
    </w:p>
    <w:p w14:paraId="036A8E43"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29E05A43"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Pr>
          <w:rFonts w:ascii="Arial" w:hAnsi="Arial"/>
          <w:noProof/>
          <w:sz w:val="16"/>
          <w:szCs w:val="16"/>
          <w:lang w:eastAsia="ar-SA"/>
        </w:rPr>
        <w:t>When applicable, the EIB on behalf of the Facility measures the fair value of an instrument using the quoted price in an active market for that instrument. A market is regarded as active if transactions for the asset or liability take place with sufficient frequency and volume to provide pricing information on an on-going basis.</w:t>
      </w:r>
    </w:p>
    <w:p w14:paraId="1EF37F7A"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7E6E3B91"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Pr>
          <w:rFonts w:ascii="Arial" w:hAnsi="Arial"/>
          <w:noProof/>
          <w:sz w:val="16"/>
          <w:szCs w:val="16"/>
          <w:lang w:eastAsia="ar-SA"/>
        </w:rPr>
        <w:t>Where the fair values of financial assets and financial liabilities recorded on the statement of financial position cannot be derived from active markets, they are determined using a variety of valuation techniques that include the use of mathematical models. The input to these models is taken from observable markets where possible, but where this is not feasible, a degree of judgement is required in establishing fair values. The chosen valuation technique incorporates all the factors that market participants would take into account in pricing a transaction.</w:t>
      </w:r>
    </w:p>
    <w:p w14:paraId="65F0181E"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46DA2D36"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Pr>
          <w:rFonts w:ascii="Arial" w:hAnsi="Arial"/>
          <w:noProof/>
          <w:sz w:val="16"/>
          <w:szCs w:val="16"/>
          <w:lang w:eastAsia="ar-SA"/>
        </w:rPr>
        <w:t>These valuation techniques may include net present value and discounted cash flow models, comparison to similar instruments for which market observable prices exist, Black-Scholes and polynomial option pricing models and other valuation models. Assumptions and inputs used in valuation techniques include risk-free and benchmark interest rates, credit spreads used in estimating discount rates, bond and equity prices, foreign currency exchange rates, equity and equity index prices and expected price volatilities and correlations.</w:t>
      </w:r>
    </w:p>
    <w:p w14:paraId="3B054330"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53EF68B8"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Pr>
          <w:rFonts w:ascii="Arial" w:hAnsi="Arial"/>
          <w:noProof/>
          <w:sz w:val="16"/>
          <w:szCs w:val="16"/>
          <w:lang w:eastAsia="ar-SA"/>
        </w:rPr>
        <w:t>The objective of valuation techniques is to arrive at a fair value measurement that reflects the price that would be received to sell the asset or paid to transfer the liability in an orderly transaction between market participants at the measurement date.</w:t>
      </w:r>
    </w:p>
    <w:p w14:paraId="22914458"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39F7B438"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Pr>
          <w:rFonts w:ascii="Arial" w:hAnsi="Arial"/>
          <w:noProof/>
          <w:sz w:val="16"/>
          <w:szCs w:val="16"/>
          <w:lang w:eastAsia="ar-SA"/>
        </w:rPr>
        <w:t>The Bank uses widely recognised valuation models for determining the fair value of common and more simple financial instruments, like interest rate and currency swaps that use only observable market data and require limited expert judgement and estimation. Observable prices and model inputs are usually available in the market for listed debt and equity securities, exchange traded derivatives and simple over the counter derivatives like interest rate swaps. Availability of observable market prices and model inputs reduces the need for expert judgement and estimation and also reduces the uncertainty associated with determination of fair values. Availability of observable market prices and inputs varies depending on the products and markets and is prone to changes based on specific events and general conditions in the financial markets.</w:t>
      </w:r>
    </w:p>
    <w:p w14:paraId="6EC9906C"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45B67565"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r>
        <w:rPr>
          <w:rFonts w:ascii="Arial" w:hAnsi="Arial"/>
          <w:noProof/>
          <w:sz w:val="16"/>
          <w:szCs w:val="16"/>
          <w:lang w:eastAsia="ar-SA"/>
        </w:rPr>
        <w:t>For more complex instruments, the Bank uses its own valuation models, which are developed from recognised valuation models. Some or all of the significant inputs into these models may not be observable in the market, and are derived from market prices or rates or are estimated based on assumptions. Example of instruments involving significant unobservable inputs includes certain loans and guarantees for which there is no active market. Valuation models that employ significant unobservable inputs require a higher degree of management judgement and estimation in the determination of fair value. Management judgement and estimation are usually required for selection of the appropriate valuation model to be used, determination of expected future cash flows on the financial instrument being valued, determination of probability or counterparty default and prepayments and selection of appropriate discount rates.</w:t>
      </w:r>
    </w:p>
    <w:p w14:paraId="03C28EC5" w14:textId="77777777" w:rsidR="00FD1E19" w:rsidRDefault="00FD1E19" w:rsidP="00FD1E19">
      <w:pPr>
        <w:widowControl w:val="0"/>
        <w:pBdr>
          <w:top w:val="nil"/>
          <w:left w:val="nil"/>
          <w:bottom w:val="nil"/>
          <w:right w:val="nil"/>
          <w:between w:val="nil"/>
          <w:bar w:val="nil"/>
        </w:pBdr>
        <w:suppressAutoHyphens/>
        <w:autoSpaceDE w:val="0"/>
        <w:spacing w:before="60" w:after="60"/>
        <w:jc w:val="both"/>
        <w:rPr>
          <w:rFonts w:ascii="Arial" w:hAnsi="Arial"/>
          <w:noProof/>
          <w:sz w:val="16"/>
          <w:szCs w:val="16"/>
          <w:bdr w:val="nil"/>
          <w:lang w:eastAsia="ar-SA"/>
        </w:rPr>
      </w:pPr>
    </w:p>
    <w:p w14:paraId="59EBBE55"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r>
        <w:rPr>
          <w:rFonts w:ascii="Arial" w:hAnsi="Arial"/>
          <w:noProof/>
          <w:sz w:val="16"/>
          <w:szCs w:val="16"/>
          <w:lang w:eastAsia="ar-SA"/>
        </w:rPr>
        <w:t>The Facility measures fair values using the following fair value hierarchy that reflects the significance of the inputs used in making the measurements:</w:t>
      </w:r>
    </w:p>
    <w:p w14:paraId="43F1A782" w14:textId="77777777" w:rsidR="00FD1E19" w:rsidRDefault="00FD1E19" w:rsidP="00FD1E19">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lang w:eastAsia="ar-SA"/>
        </w:rPr>
      </w:pPr>
      <w:r>
        <w:rPr>
          <w:rFonts w:ascii="Arial" w:hAnsi="Arial"/>
          <w:noProof/>
          <w:sz w:val="16"/>
          <w:szCs w:val="16"/>
          <w:lang w:eastAsia="ar-SA"/>
        </w:rPr>
        <w:t>Level 1: inputs that are unadjusted quoted market prices in active markets for identical instruments to which the Facility has access.</w:t>
      </w:r>
    </w:p>
    <w:p w14:paraId="28B3FDE5" w14:textId="77777777" w:rsidR="00FD1E19" w:rsidRDefault="00FD1E19" w:rsidP="00FD1E19">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lang w:eastAsia="ar-SA"/>
        </w:rPr>
      </w:pPr>
      <w:r>
        <w:rPr>
          <w:rFonts w:ascii="Arial" w:hAnsi="Arial"/>
          <w:noProof/>
          <w:sz w:val="16"/>
          <w:szCs w:val="16"/>
          <w:lang w:eastAsia="ar-SA"/>
        </w:rPr>
        <w:t>Level 2: inputs other than quoted prices included within Level 1 that are observable either directly (i.e. as prices) or indirectly (i.e. derived from prices). This category includes instruments valued using quoted market prices in active markets for similar instruments, quoted prices for identical or similar instruments in markets that are considered less than active or other valuation techniques where all significant inputs are directly or indirectly observable from market data.</w:t>
      </w:r>
    </w:p>
    <w:p w14:paraId="1C20019A" w14:textId="77777777" w:rsidR="00FD1E19" w:rsidRDefault="00FD1E19" w:rsidP="00FD1E19">
      <w:pPr>
        <w:numPr>
          <w:ilvl w:val="0"/>
          <w:numId w:val="37"/>
        </w:numPr>
        <w:pBdr>
          <w:top w:val="nil"/>
          <w:left w:val="nil"/>
          <w:bottom w:val="nil"/>
          <w:right w:val="nil"/>
          <w:between w:val="nil"/>
          <w:bar w:val="nil"/>
        </w:pBdr>
        <w:tabs>
          <w:tab w:val="left" w:pos="1560"/>
        </w:tabs>
        <w:spacing w:before="60" w:after="60" w:line="240" w:lineRule="auto"/>
        <w:jc w:val="both"/>
        <w:rPr>
          <w:rFonts w:ascii="Arial" w:hAnsi="Arial"/>
          <w:noProof/>
          <w:sz w:val="16"/>
          <w:szCs w:val="16"/>
          <w:bdr w:val="nil"/>
          <w:lang w:eastAsia="ar-SA"/>
        </w:rPr>
      </w:pPr>
      <w:r>
        <w:rPr>
          <w:rFonts w:ascii="Arial" w:hAnsi="Arial"/>
          <w:noProof/>
          <w:sz w:val="16"/>
          <w:szCs w:val="16"/>
          <w:lang w:eastAsia="ar-SA"/>
        </w:rPr>
        <w:t>Level 3: inputs that are not observable. This category includes all instruments where the valuation technique includes inputs not based on observable data and the unobservable inputs have a significant effect on the instrument’s valuation. This category includes instruments that are valued based on quoted prices for similar instruments where significant unobservable adjustments or assumptions are required to reflect differences between the instruments.</w:t>
      </w:r>
    </w:p>
    <w:p w14:paraId="12EA2865" w14:textId="77777777" w:rsidR="00FD1E19" w:rsidRDefault="00FD1E19" w:rsidP="00FD1E19">
      <w:pPr>
        <w:pBdr>
          <w:top w:val="nil"/>
          <w:left w:val="nil"/>
          <w:bottom w:val="nil"/>
          <w:right w:val="nil"/>
          <w:between w:val="nil"/>
          <w:bar w:val="nil"/>
        </w:pBdr>
        <w:tabs>
          <w:tab w:val="left" w:pos="1560"/>
        </w:tabs>
        <w:spacing w:before="60" w:after="60"/>
        <w:jc w:val="both"/>
        <w:rPr>
          <w:rFonts w:ascii="Arial" w:hAnsi="Arial"/>
          <w:noProof/>
          <w:sz w:val="16"/>
          <w:szCs w:val="16"/>
          <w:bdr w:val="nil"/>
          <w:lang w:eastAsia="ar-SA"/>
        </w:rPr>
      </w:pPr>
    </w:p>
    <w:p w14:paraId="3C1C6E0D" w14:textId="77777777" w:rsidR="00FD1E19" w:rsidRPr="00AD2955" w:rsidRDefault="00FD1E19" w:rsidP="00FD1E19">
      <w:pPr>
        <w:pBdr>
          <w:top w:val="nil"/>
          <w:left w:val="nil"/>
          <w:bottom w:val="nil"/>
          <w:right w:val="nil"/>
          <w:between w:val="nil"/>
          <w:bar w:val="nil"/>
        </w:pBdr>
        <w:tabs>
          <w:tab w:val="left" w:pos="1560"/>
        </w:tabs>
        <w:spacing w:before="60" w:after="60"/>
        <w:jc w:val="both"/>
        <w:rPr>
          <w:rFonts w:ascii="Arial" w:hAnsi="Arial" w:cs="Arial"/>
          <w:noProof/>
          <w:sz w:val="16"/>
          <w:szCs w:val="16"/>
          <w:bdr w:val="nil"/>
          <w:lang w:eastAsia="ar-SA"/>
        </w:rPr>
      </w:pPr>
      <w:r w:rsidRPr="00AD2955">
        <w:rPr>
          <w:rFonts w:ascii="Arial" w:hAnsi="Arial" w:cs="Arial"/>
          <w:noProof/>
          <w:sz w:val="16"/>
          <w:szCs w:val="16"/>
          <w:lang w:eastAsia="ar-SA"/>
        </w:rPr>
        <w:t>The Facility recognises transfers between levels of the fair value hierarchy as of the end of the reporting period during which the change has occurred.</w:t>
      </w:r>
    </w:p>
    <w:p w14:paraId="29B6CDE1" w14:textId="77777777" w:rsidR="00FD1E19" w:rsidRPr="00AD2955" w:rsidRDefault="00FD1E19" w:rsidP="00FD1E19">
      <w:pPr>
        <w:pBdr>
          <w:top w:val="nil"/>
          <w:left w:val="nil"/>
          <w:bottom w:val="nil"/>
          <w:right w:val="nil"/>
          <w:between w:val="nil"/>
          <w:bar w:val="nil"/>
        </w:pBdr>
        <w:suppressAutoHyphens/>
        <w:spacing w:before="60" w:after="60"/>
        <w:jc w:val="both"/>
        <w:rPr>
          <w:rFonts w:ascii="Arial" w:hAnsi="Arial" w:cs="Arial"/>
          <w:bCs/>
          <w:i/>
          <w:noProof/>
          <w:sz w:val="16"/>
          <w:szCs w:val="16"/>
          <w:bdr w:val="nil"/>
        </w:rPr>
      </w:pPr>
    </w:p>
    <w:p w14:paraId="6504EC74" w14:textId="77777777" w:rsidR="00FD1E19" w:rsidRPr="00AD2955" w:rsidRDefault="00FD1E19" w:rsidP="00FD1E19">
      <w:pPr>
        <w:pBdr>
          <w:top w:val="nil"/>
          <w:left w:val="nil"/>
          <w:bottom w:val="nil"/>
          <w:right w:val="nil"/>
          <w:between w:val="nil"/>
          <w:bar w:val="nil"/>
        </w:pBdr>
        <w:suppressAutoHyphens/>
        <w:rPr>
          <w:rFonts w:ascii="Arial" w:hAnsi="Arial" w:cs="Arial"/>
          <w:i/>
          <w:noProof/>
          <w:sz w:val="16"/>
          <w:szCs w:val="16"/>
          <w:bdr w:val="nil"/>
          <w:lang w:eastAsia="ar-SA"/>
        </w:rPr>
      </w:pPr>
      <w:r w:rsidRPr="00AD2955">
        <w:rPr>
          <w:rFonts w:ascii="Arial" w:hAnsi="Arial" w:cs="Arial"/>
          <w:i/>
          <w:noProof/>
          <w:sz w:val="16"/>
          <w:szCs w:val="16"/>
          <w:lang w:eastAsia="ar-SA"/>
        </w:rPr>
        <w:t xml:space="preserve">Impairment </w:t>
      </w:r>
      <w:r>
        <w:rPr>
          <w:rFonts w:ascii="Arial" w:hAnsi="Arial" w:cs="Arial"/>
          <w:i/>
          <w:noProof/>
          <w:sz w:val="16"/>
          <w:szCs w:val="16"/>
          <w:lang w:eastAsia="ar-SA"/>
        </w:rPr>
        <w:t>on financial assets</w:t>
      </w:r>
    </w:p>
    <w:p w14:paraId="08F0156E" w14:textId="77777777" w:rsidR="00FD1E19" w:rsidRPr="00AD2955" w:rsidRDefault="00FD1E19" w:rsidP="00FD1E19">
      <w:pPr>
        <w:pBdr>
          <w:top w:val="nil"/>
          <w:left w:val="nil"/>
          <w:bottom w:val="nil"/>
          <w:right w:val="nil"/>
          <w:between w:val="nil"/>
          <w:bar w:val="nil"/>
        </w:pBdr>
        <w:suppressAutoHyphens/>
        <w:spacing w:before="60" w:after="60"/>
        <w:jc w:val="both"/>
        <w:rPr>
          <w:rFonts w:ascii="Arial" w:hAnsi="Arial" w:cs="Arial"/>
          <w:bCs/>
          <w:i/>
          <w:noProof/>
          <w:sz w:val="16"/>
          <w:szCs w:val="16"/>
          <w:bdr w:val="nil"/>
        </w:rPr>
      </w:pPr>
    </w:p>
    <w:p w14:paraId="7D72D707"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F8565D">
        <w:rPr>
          <w:rFonts w:ascii="Arial" w:hAnsi="Arial" w:cs="Arial"/>
          <w:iCs/>
          <w:noProof/>
          <w:sz w:val="16"/>
          <w:szCs w:val="16"/>
          <w:lang w:val="en-US" w:eastAsia="ar-SA"/>
        </w:rPr>
        <w:t>IFRS 9 is based on a forward-looking expected credit loss (“ECL”) model</w:t>
      </w:r>
      <w:r>
        <w:rPr>
          <w:rFonts w:ascii="Arial" w:hAnsi="Arial" w:cs="Arial"/>
          <w:iCs/>
          <w:noProof/>
          <w:sz w:val="16"/>
          <w:szCs w:val="16"/>
          <w:lang w:val="en-US" w:eastAsia="ar-SA"/>
        </w:rPr>
        <w:t>.</w:t>
      </w:r>
      <w:r w:rsidRPr="00255A3D">
        <w:rPr>
          <w:rFonts w:ascii="Arial" w:hAnsi="Arial" w:cs="Arial"/>
          <w:iCs/>
          <w:noProof/>
          <w:sz w:val="16"/>
          <w:szCs w:val="16"/>
          <w:lang w:val="en-US" w:eastAsia="ar-SA"/>
        </w:rPr>
        <w:t xml:space="preserve"> The EIB has established a framework to calculate “expe</w:t>
      </w:r>
      <w:r>
        <w:rPr>
          <w:rFonts w:ascii="Arial" w:hAnsi="Arial" w:cs="Arial"/>
          <w:iCs/>
          <w:noProof/>
          <w:sz w:val="16"/>
          <w:szCs w:val="16"/>
          <w:lang w:val="en-US" w:eastAsia="ar-SA"/>
        </w:rPr>
        <w:t xml:space="preserve">cted credit loss” </w:t>
      </w:r>
      <w:r w:rsidRPr="00255A3D">
        <w:rPr>
          <w:rFonts w:ascii="Arial" w:hAnsi="Arial" w:cs="Arial"/>
          <w:iCs/>
          <w:noProof/>
          <w:sz w:val="16"/>
          <w:szCs w:val="16"/>
          <w:lang w:val="en-US" w:eastAsia="ar-SA"/>
        </w:rPr>
        <w:t>conditional on the state of the macro-economy. It involves the construction of point-in-time (</w:t>
      </w:r>
      <w:r>
        <w:rPr>
          <w:rFonts w:ascii="Arial" w:hAnsi="Arial" w:cs="Arial"/>
          <w:iCs/>
          <w:noProof/>
          <w:sz w:val="16"/>
          <w:szCs w:val="16"/>
          <w:lang w:val="en-US" w:eastAsia="ar-SA"/>
        </w:rPr>
        <w:t>“</w:t>
      </w:r>
      <w:r w:rsidRPr="00255A3D">
        <w:rPr>
          <w:rFonts w:ascii="Arial" w:hAnsi="Arial" w:cs="Arial"/>
          <w:iCs/>
          <w:noProof/>
          <w:sz w:val="16"/>
          <w:szCs w:val="16"/>
          <w:lang w:val="en-US" w:eastAsia="ar-SA"/>
        </w:rPr>
        <w:t>PIT</w:t>
      </w:r>
      <w:r>
        <w:rPr>
          <w:rFonts w:ascii="Arial" w:hAnsi="Arial" w:cs="Arial"/>
          <w:iCs/>
          <w:noProof/>
          <w:sz w:val="16"/>
          <w:szCs w:val="16"/>
          <w:lang w:val="en-US" w:eastAsia="ar-SA"/>
        </w:rPr>
        <w:t>”</w:t>
      </w:r>
      <w:r w:rsidRPr="00255A3D">
        <w:rPr>
          <w:rFonts w:ascii="Arial" w:hAnsi="Arial" w:cs="Arial"/>
          <w:iCs/>
          <w:noProof/>
          <w:sz w:val="16"/>
          <w:szCs w:val="16"/>
          <w:lang w:val="en-US" w:eastAsia="ar-SA"/>
        </w:rPr>
        <w:t xml:space="preserve">) credit risk parameters </w:t>
      </w:r>
      <w:r>
        <w:rPr>
          <w:rFonts w:ascii="Arial" w:hAnsi="Arial" w:cs="Arial"/>
          <w:iCs/>
          <w:noProof/>
          <w:sz w:val="16"/>
          <w:szCs w:val="16"/>
          <w:lang w:val="en-US" w:eastAsia="ar-SA"/>
        </w:rPr>
        <w:t>(Probability of default – “PD” and Loss given default – “LGD</w:t>
      </w:r>
      <w:r w:rsidRPr="00B964D4">
        <w:rPr>
          <w:rFonts w:ascii="Arial" w:hAnsi="Arial" w:cs="Arial"/>
          <w:iCs/>
          <w:noProof/>
          <w:sz w:val="16"/>
          <w:szCs w:val="16"/>
          <w:lang w:val="en-US" w:eastAsia="ar-SA"/>
        </w:rPr>
        <w:t>”)</w:t>
      </w:r>
      <w:r w:rsidRPr="00255A3D">
        <w:rPr>
          <w:rFonts w:ascii="Arial" w:hAnsi="Arial" w:cs="Arial"/>
          <w:iCs/>
          <w:noProof/>
          <w:sz w:val="16"/>
          <w:szCs w:val="16"/>
          <w:lang w:val="en-US" w:eastAsia="ar-SA"/>
        </w:rPr>
        <w:t xml:space="preserve"> based on a systematic factor (credit cycle) that is driven by the macro-economy and projected via macroeconomic forecas</w:t>
      </w:r>
      <w:r>
        <w:rPr>
          <w:rFonts w:ascii="Arial" w:hAnsi="Arial" w:cs="Arial"/>
          <w:iCs/>
          <w:noProof/>
          <w:sz w:val="16"/>
          <w:szCs w:val="16"/>
          <w:lang w:val="en-US" w:eastAsia="ar-SA"/>
        </w:rPr>
        <w:t>ts or scenarios. The final</w:t>
      </w:r>
      <w:r w:rsidRPr="00255A3D">
        <w:rPr>
          <w:rFonts w:ascii="Arial" w:hAnsi="Arial" w:cs="Arial"/>
          <w:iCs/>
          <w:noProof/>
          <w:sz w:val="16"/>
          <w:szCs w:val="16"/>
          <w:lang w:val="en-US" w:eastAsia="ar-SA"/>
        </w:rPr>
        <w:t xml:space="preserve"> ECL is a probability weighted average of the respective macro-economic scenario ECLs. This forward-looking impairment model is applied to financial assets measured at AC, to financial guarantee contracts, as well as to off-balance sheet commitments. </w:t>
      </w:r>
    </w:p>
    <w:p w14:paraId="39B01EFB"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p>
    <w:p w14:paraId="34A14B57"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r>
        <w:rPr>
          <w:rFonts w:ascii="Arial" w:hAnsi="Arial" w:cs="Arial"/>
          <w:iCs/>
          <w:noProof/>
          <w:sz w:val="16"/>
          <w:szCs w:val="16"/>
          <w:lang w:val="en-US" w:eastAsia="ar-SA"/>
        </w:rPr>
        <w:t>Under IFRS 9, loss allowances are measured on either of the following bases:</w:t>
      </w:r>
    </w:p>
    <w:p w14:paraId="2AD41F60" w14:textId="77777777" w:rsidR="00FD1E19" w:rsidRDefault="00FD1E19" w:rsidP="00FD1E19">
      <w:pPr>
        <w:numPr>
          <w:ilvl w:val="0"/>
          <w:numId w:val="37"/>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lang w:val="en-US" w:eastAsia="ar-SA"/>
        </w:rPr>
      </w:pPr>
      <w:r>
        <w:rPr>
          <w:rFonts w:ascii="Arial" w:hAnsi="Arial" w:cs="Arial"/>
          <w:iCs/>
          <w:noProof/>
          <w:sz w:val="16"/>
          <w:szCs w:val="16"/>
          <w:lang w:val="en-US" w:eastAsia="ar-SA"/>
        </w:rPr>
        <w:t>12-month ECL’s: these are the ECLs that result from possible default events within the 12 months after the reporting date; and</w:t>
      </w:r>
    </w:p>
    <w:p w14:paraId="26C46664" w14:textId="77777777" w:rsidR="00FD1E19" w:rsidRDefault="00FD1E19" w:rsidP="00FD1E19">
      <w:pPr>
        <w:numPr>
          <w:ilvl w:val="0"/>
          <w:numId w:val="37"/>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lang w:val="en-US" w:eastAsia="ar-SA"/>
        </w:rPr>
      </w:pPr>
      <w:r>
        <w:rPr>
          <w:rFonts w:ascii="Arial" w:hAnsi="Arial" w:cs="Arial"/>
          <w:iCs/>
          <w:noProof/>
          <w:sz w:val="16"/>
          <w:szCs w:val="16"/>
          <w:lang w:val="en-US" w:eastAsia="ar-SA"/>
        </w:rPr>
        <w:t>Lifetime ECL’s: these are the ECLs that result from all possible default events over the expected life of a financial instrument.</w:t>
      </w:r>
    </w:p>
    <w:p w14:paraId="5798CCDD"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14:paraId="1BF81F84"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Pr>
          <w:rFonts w:ascii="Arial" w:hAnsi="Arial" w:cs="Arial"/>
          <w:noProof/>
          <w:sz w:val="16"/>
          <w:szCs w:val="16"/>
          <w:lang w:eastAsia="ar-SA"/>
        </w:rPr>
        <w:t xml:space="preserve">The IFRS 9 Standard sets out a “three-stage” model for impairment based on changes in credit quality since initial recognition. Financial instruments are classified in Stage 1 except for those instruments for which significant increase in credit risk (“SICR”) since initial recognition is identified. This includes both quantitative and qualitative information and analysis, based on the Bank’s expertise, including forward-looking information. </w:t>
      </w:r>
    </w:p>
    <w:p w14:paraId="18DDCDA4"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1026D962"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Pr>
          <w:rFonts w:ascii="Arial" w:hAnsi="Arial" w:cs="Arial"/>
          <w:noProof/>
          <w:sz w:val="16"/>
          <w:szCs w:val="16"/>
          <w:lang w:eastAsia="ar-SA"/>
        </w:rPr>
        <w:t>Purchased or originated credit-impaired assets (“POCI”) are the financial assets which are, from the moment of initial recognition, deemed to be classified as Stage 3. For POCI financial assets, the cumulative changes in lifetime ECL since initial recognition are recognised in the statement of profit or loss.</w:t>
      </w:r>
    </w:p>
    <w:p w14:paraId="3D6E3F0C" w14:textId="77777777" w:rsidR="00FD1E19" w:rsidRPr="00D23582" w:rsidRDefault="00FD1E19" w:rsidP="00FD1E19">
      <w:pPr>
        <w:pBdr>
          <w:top w:val="nil"/>
          <w:left w:val="nil"/>
          <w:bottom w:val="nil"/>
          <w:right w:val="nil"/>
          <w:between w:val="nil"/>
          <w:bar w:val="nil"/>
        </w:pBdr>
        <w:suppressAutoHyphens/>
        <w:jc w:val="both"/>
        <w:rPr>
          <w:rFonts w:cs="Arial"/>
          <w:b/>
          <w:noProof/>
          <w:sz w:val="16"/>
          <w:szCs w:val="16"/>
          <w:bdr w:val="nil"/>
          <w:lang w:eastAsia="ar-SA"/>
        </w:rPr>
      </w:pPr>
    </w:p>
    <w:p w14:paraId="49757CE9"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Pr>
          <w:rFonts w:ascii="Arial" w:hAnsi="Arial" w:cs="Arial"/>
          <w:noProof/>
          <w:sz w:val="16"/>
          <w:szCs w:val="16"/>
          <w:bdr w:val="none" w:sz="0" w:space="0" w:color="auto" w:frame="1"/>
          <w:lang w:eastAsia="ar-SA"/>
        </w:rPr>
        <w:t>The Bank’s assessment of the IFRS9 staging is based on a sequential approach which is using counterparty or instrument specific information consistent to internal Early Warning Signals (</w:t>
      </w:r>
      <w:r>
        <w:rPr>
          <w:rFonts w:cs="Arial"/>
          <w:iCs/>
          <w:noProof/>
          <w:sz w:val="16"/>
          <w:szCs w:val="16"/>
          <w:lang w:eastAsia="ar-SA"/>
        </w:rPr>
        <w:t>“</w:t>
      </w:r>
      <w:r>
        <w:rPr>
          <w:rFonts w:ascii="Arial" w:hAnsi="Arial" w:cs="Arial"/>
          <w:noProof/>
          <w:sz w:val="16"/>
          <w:szCs w:val="16"/>
          <w:bdr w:val="none" w:sz="0" w:space="0" w:color="auto" w:frame="1"/>
          <w:lang w:eastAsia="ar-SA"/>
        </w:rPr>
        <w:t>EWS</w:t>
      </w:r>
      <w:r w:rsidRPr="00F8565D">
        <w:rPr>
          <w:rFonts w:cs="Arial"/>
          <w:iCs/>
          <w:noProof/>
          <w:sz w:val="16"/>
          <w:szCs w:val="16"/>
          <w:lang w:eastAsia="ar-SA"/>
        </w:rPr>
        <w:t>”</w:t>
      </w:r>
      <w:r>
        <w:rPr>
          <w:rFonts w:ascii="Arial" w:hAnsi="Arial" w:cs="Arial"/>
          <w:noProof/>
          <w:sz w:val="16"/>
          <w:szCs w:val="16"/>
          <w:bdr w:val="none" w:sz="0" w:space="0" w:color="auto" w:frame="1"/>
          <w:lang w:eastAsia="ar-SA"/>
        </w:rPr>
        <w:t>), Non-performing exposures (</w:t>
      </w:r>
      <w:r>
        <w:rPr>
          <w:rFonts w:cs="Arial"/>
          <w:iCs/>
          <w:noProof/>
          <w:sz w:val="16"/>
          <w:szCs w:val="16"/>
          <w:lang w:eastAsia="ar-SA"/>
        </w:rPr>
        <w:t>“</w:t>
      </w:r>
      <w:r>
        <w:rPr>
          <w:rFonts w:ascii="Arial" w:hAnsi="Arial" w:cs="Arial"/>
          <w:noProof/>
          <w:sz w:val="16"/>
          <w:szCs w:val="16"/>
          <w:bdr w:val="none" w:sz="0" w:space="0" w:color="auto" w:frame="1"/>
          <w:lang w:eastAsia="ar-SA"/>
        </w:rPr>
        <w:t>NPE</w:t>
      </w:r>
      <w:r w:rsidRPr="00F8565D">
        <w:rPr>
          <w:rFonts w:cs="Arial"/>
          <w:iCs/>
          <w:noProof/>
          <w:sz w:val="16"/>
          <w:szCs w:val="16"/>
          <w:lang w:eastAsia="ar-SA"/>
        </w:rPr>
        <w:t>”</w:t>
      </w:r>
      <w:r>
        <w:rPr>
          <w:rFonts w:ascii="Arial" w:hAnsi="Arial" w:cs="Arial"/>
          <w:noProof/>
          <w:sz w:val="16"/>
          <w:szCs w:val="16"/>
          <w:bdr w:val="none" w:sz="0" w:space="0" w:color="auto" w:frame="1"/>
          <w:lang w:eastAsia="ar-SA"/>
        </w:rPr>
        <w:t>) and forbearance guidelines and procedures.</w:t>
      </w:r>
    </w:p>
    <w:p w14:paraId="3B45D069"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005916DA"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Pr>
          <w:rFonts w:ascii="Arial" w:hAnsi="Arial" w:cs="Arial"/>
          <w:noProof/>
          <w:sz w:val="16"/>
          <w:szCs w:val="16"/>
          <w:bdr w:val="none" w:sz="0" w:space="0" w:color="auto" w:frame="1"/>
          <w:lang w:eastAsia="ar-SA"/>
        </w:rPr>
        <w:t xml:space="preserve">The EIB considers that the existing forward-looking ECL model is deemed sufficiently robust to factor in extreme economic events, which have been directly captured through the macroeconomic projections and the PD terms structures. </w:t>
      </w:r>
    </w:p>
    <w:p w14:paraId="74CE6057"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2C52DDD2"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Pr>
          <w:rFonts w:ascii="Arial" w:hAnsi="Arial" w:cs="Arial"/>
          <w:iCs/>
          <w:noProof/>
          <w:sz w:val="16"/>
          <w:szCs w:val="16"/>
          <w:bdr w:val="none" w:sz="0" w:space="0" w:color="auto" w:frame="1"/>
          <w:lang w:val="en-US" w:eastAsia="ar-SA"/>
        </w:rPr>
        <w:t>If significant increase in credit risk has occurred, the financial instrument is moved to Stage 2 but is not yet deemed to be credit-impaired. If the financial instrument is credit-impaired, the financial instrument is then moved to Stage 3.</w:t>
      </w:r>
    </w:p>
    <w:p w14:paraId="02149F07"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14:paraId="6C258BEF"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r>
        <w:rPr>
          <w:rFonts w:ascii="Arial" w:hAnsi="Arial" w:cs="Arial"/>
          <w:iCs/>
          <w:noProof/>
          <w:sz w:val="16"/>
          <w:szCs w:val="16"/>
          <w:lang w:val="en-US" w:eastAsia="ar-SA"/>
        </w:rPr>
        <w:t xml:space="preserve">To identify Stage 3 exposures, the Bank determines whether or not there is objective evidence of </w:t>
      </w:r>
      <w:r w:rsidRPr="00255A3D">
        <w:rPr>
          <w:rFonts w:ascii="Arial" w:hAnsi="Arial" w:cs="Arial"/>
          <w:iCs/>
          <w:noProof/>
          <w:sz w:val="16"/>
          <w:szCs w:val="16"/>
          <w:lang w:val="en-US" w:eastAsia="ar-SA"/>
        </w:rPr>
        <w:t xml:space="preserve">a non-performing </w:t>
      </w:r>
      <w:r>
        <w:rPr>
          <w:rFonts w:ascii="Arial" w:hAnsi="Arial" w:cs="Arial"/>
          <w:iCs/>
          <w:noProof/>
          <w:sz w:val="16"/>
          <w:szCs w:val="16"/>
          <w:lang w:val="en-US" w:eastAsia="ar-SA"/>
        </w:rPr>
        <w:t>exposure</w:t>
      </w:r>
      <w:r w:rsidRPr="00255A3D">
        <w:rPr>
          <w:rFonts w:ascii="Arial" w:hAnsi="Arial" w:cs="Arial"/>
          <w:iCs/>
          <w:noProof/>
          <w:sz w:val="16"/>
          <w:szCs w:val="16"/>
          <w:lang w:val="en-US" w:eastAsia="ar-SA"/>
        </w:rPr>
        <w:t>.</w:t>
      </w:r>
      <w:r>
        <w:rPr>
          <w:rFonts w:ascii="Arial" w:hAnsi="Arial" w:cs="Arial"/>
          <w:iCs/>
          <w:noProof/>
          <w:sz w:val="16"/>
          <w:szCs w:val="16"/>
          <w:lang w:val="en-US" w:eastAsia="ar-SA"/>
        </w:rPr>
        <w:t xml:space="preserve"> A financial asset is considered to be in default when the borrower is unlikely to pay its credit obligations to the Facility in full, without recourse by the Facility or the borrower is past due more than 90 days on any material credit obligation to the Facility.</w:t>
      </w:r>
    </w:p>
    <w:p w14:paraId="77763919"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14:paraId="0D796CCC"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r>
        <w:rPr>
          <w:rFonts w:ascii="Arial" w:hAnsi="Arial" w:cs="Arial"/>
          <w:iCs/>
          <w:noProof/>
          <w:sz w:val="16"/>
          <w:szCs w:val="16"/>
          <w:lang w:val="en-US" w:eastAsia="ar-SA"/>
        </w:rPr>
        <w:t>In this respect, a financial asset is considered impaired when it is determined that it is probable that the Facility will not be able to collect all amounts due according to the original contractual terms or an equivalent value. Individual credit exposures are evaluated based upon the borrower’s characteristics, overall financial condition, resources and payment record, the prospects for support from any financially responsible guarantors and, where applicable, the realisable value of any collateral.</w:t>
      </w:r>
    </w:p>
    <w:p w14:paraId="064F7334" w14:textId="77777777" w:rsidR="00FD1E19" w:rsidRPr="00A80E0C" w:rsidRDefault="00FD1E19" w:rsidP="00FD1E19">
      <w:pPr>
        <w:pBdr>
          <w:top w:val="nil"/>
          <w:left w:val="nil"/>
          <w:bottom w:val="nil"/>
          <w:right w:val="nil"/>
          <w:between w:val="nil"/>
          <w:bar w:val="nil"/>
        </w:pBdr>
        <w:spacing w:before="60" w:after="60"/>
        <w:jc w:val="both"/>
        <w:rPr>
          <w:rFonts w:cs="Arial"/>
          <w:b/>
          <w:iCs/>
          <w:noProof/>
          <w:sz w:val="16"/>
          <w:szCs w:val="16"/>
          <w:bdr w:val="nil"/>
          <w:lang w:eastAsia="ar-SA"/>
        </w:rPr>
      </w:pPr>
    </w:p>
    <w:p w14:paraId="310341FF" w14:textId="77777777" w:rsidR="00FD1E19" w:rsidRDefault="00FD1E19" w:rsidP="00FD1E19">
      <w:pPr>
        <w:pBdr>
          <w:top w:val="nil"/>
          <w:left w:val="nil"/>
          <w:bottom w:val="nil"/>
          <w:right w:val="nil"/>
          <w:between w:val="nil"/>
          <w:bar w:val="nil"/>
        </w:pBdr>
        <w:spacing w:before="60" w:after="60"/>
        <w:jc w:val="both"/>
        <w:rPr>
          <w:rFonts w:ascii="Arial" w:hAnsi="Arial" w:cs="Arial"/>
          <w:iCs/>
          <w:noProof/>
          <w:sz w:val="16"/>
          <w:szCs w:val="16"/>
          <w:bdr w:val="nil"/>
          <w:lang w:eastAsia="ar-SA"/>
        </w:rPr>
      </w:pPr>
      <w:r w:rsidRPr="005A19FD">
        <w:rPr>
          <w:rFonts w:ascii="Arial" w:hAnsi="Arial" w:cs="Arial"/>
          <w:iCs/>
          <w:noProof/>
          <w:sz w:val="16"/>
          <w:szCs w:val="16"/>
          <w:lang w:eastAsia="ar-SA"/>
        </w:rPr>
        <w:t>All impaired claims are reviewed and analysed at least semi-annually. Any subsequent changes to the amounts and timing of the expected future cash flows compared to the prior estimates will result in a change in the provision for credit losses and be charged or credited to the income statement. An allowance for impairment is reversed only when the credit quality has improved such that there is reasonable assurance of timely collection of principal and interest in accordance with the original contractual terms of the claim agreement. A write- off is made when all or part of a claim is deemed uncollectible or forgiven. Write-offs are charged against previously established impairments or directly to the income statement and reduce the principal amount of a claim. Recoveries in part or in full of amounts previously written- off are credited to the income statement.</w:t>
      </w:r>
      <w:r>
        <w:rPr>
          <w:rFonts w:ascii="Arial" w:hAnsi="Arial" w:cs="Arial"/>
          <w:iCs/>
          <w:noProof/>
          <w:sz w:val="16"/>
          <w:szCs w:val="16"/>
          <w:lang w:eastAsia="ar-SA"/>
        </w:rPr>
        <w:t xml:space="preserve"> </w:t>
      </w:r>
      <w:r>
        <w:rPr>
          <w:rFonts w:ascii="Arial" w:hAnsi="Arial" w:cs="Arial"/>
          <w:iCs/>
          <w:noProof/>
          <w:sz w:val="16"/>
          <w:szCs w:val="16"/>
          <w:bdr w:val="none" w:sz="0" w:space="0" w:color="auto" w:frame="1"/>
          <w:lang w:eastAsia="ar-SA"/>
        </w:rPr>
        <w:t>Financial assets that are written-off could still be subject to enforcement activities in order to comply with the Bank's procedures for recovery of amounts due.</w:t>
      </w:r>
    </w:p>
    <w:p w14:paraId="65079EA3" w14:textId="77777777" w:rsidR="00FD1E19" w:rsidRDefault="00FD1E19" w:rsidP="00FD1E19">
      <w:pPr>
        <w:pBdr>
          <w:top w:val="nil"/>
          <w:left w:val="nil"/>
          <w:bottom w:val="nil"/>
          <w:right w:val="nil"/>
          <w:between w:val="nil"/>
          <w:bar w:val="nil"/>
        </w:pBdr>
        <w:spacing w:before="60" w:after="60"/>
        <w:jc w:val="both"/>
        <w:rPr>
          <w:rFonts w:ascii="Arial" w:hAnsi="Arial" w:cs="Arial"/>
          <w:iCs/>
          <w:noProof/>
          <w:sz w:val="16"/>
          <w:szCs w:val="16"/>
          <w:bdr w:val="nil"/>
          <w:lang w:eastAsia="ar-SA"/>
        </w:rPr>
      </w:pPr>
    </w:p>
    <w:p w14:paraId="705DCC99" w14:textId="77777777" w:rsidR="00FD1E19" w:rsidRPr="00426B12" w:rsidRDefault="00FD1E19" w:rsidP="00FD1E19">
      <w:pPr>
        <w:pBdr>
          <w:top w:val="nil"/>
          <w:left w:val="nil"/>
          <w:bottom w:val="nil"/>
          <w:right w:val="nil"/>
          <w:between w:val="nil"/>
          <w:bar w:val="nil"/>
        </w:pBdr>
        <w:spacing w:before="60" w:after="60"/>
        <w:jc w:val="both"/>
        <w:rPr>
          <w:rFonts w:ascii="Arial" w:hAnsi="Arial" w:cs="Arial"/>
          <w:iCs/>
          <w:noProof/>
          <w:sz w:val="16"/>
          <w:szCs w:val="16"/>
          <w:bdr w:val="nil"/>
          <w:lang w:val="en-US" w:eastAsia="ar-SA"/>
        </w:rPr>
      </w:pPr>
      <w:r w:rsidRPr="002102A6">
        <w:rPr>
          <w:rFonts w:ascii="Arial" w:hAnsi="Arial" w:cs="Arial"/>
          <w:i/>
          <w:noProof/>
          <w:sz w:val="16"/>
          <w:szCs w:val="16"/>
          <w:lang w:eastAsia="ar-SA"/>
        </w:rPr>
        <w:t>Measuring ECL – Inputs, Assumptions and Techniques</w:t>
      </w:r>
    </w:p>
    <w:p w14:paraId="597EED4F" w14:textId="77777777" w:rsidR="00FD1E19" w:rsidRPr="00DC6FF0" w:rsidRDefault="00FD1E19" w:rsidP="00FD1E19">
      <w:pPr>
        <w:pBdr>
          <w:top w:val="nil"/>
          <w:left w:val="nil"/>
          <w:bottom w:val="nil"/>
          <w:right w:val="nil"/>
          <w:between w:val="nil"/>
          <w:bar w:val="nil"/>
        </w:pBdr>
        <w:suppressAutoHyphens/>
        <w:spacing w:before="60" w:after="60"/>
        <w:rPr>
          <w:rFonts w:ascii="Arial" w:hAnsi="Arial" w:cs="Arial"/>
          <w:noProof/>
          <w:sz w:val="16"/>
          <w:szCs w:val="16"/>
          <w:bdr w:val="nil"/>
          <w:lang w:eastAsia="ar-SA"/>
        </w:rPr>
      </w:pPr>
    </w:p>
    <w:p w14:paraId="7562E6E8"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r>
        <w:rPr>
          <w:rFonts w:ascii="Arial" w:hAnsi="Arial" w:cs="Arial"/>
          <w:iCs/>
          <w:noProof/>
          <w:sz w:val="16"/>
          <w:szCs w:val="16"/>
          <w:lang w:val="en-US" w:eastAsia="ar-SA"/>
        </w:rPr>
        <w:t xml:space="preserve">Lifetime ECL measurement applies to Stage 2 and Stage 3 assets, while 12-month ECL measurement applies to Stage 1 assets. </w:t>
      </w:r>
    </w:p>
    <w:p w14:paraId="6E41521B"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14:paraId="5AF7D184"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r>
        <w:rPr>
          <w:rFonts w:ascii="Arial" w:hAnsi="Arial" w:cs="Arial"/>
          <w:iCs/>
          <w:noProof/>
          <w:sz w:val="16"/>
          <w:szCs w:val="16"/>
          <w:lang w:val="en-US" w:eastAsia="ar-SA"/>
        </w:rPr>
        <w:t>The expected credit losses were calculated based on the following variables:</w:t>
      </w:r>
    </w:p>
    <w:p w14:paraId="702D8A98" w14:textId="77777777" w:rsidR="00FD1E19" w:rsidRDefault="00FD1E19" w:rsidP="00FD1E19">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lang w:val="en-US" w:eastAsia="ar-SA"/>
        </w:rPr>
      </w:pPr>
      <w:r w:rsidRPr="00936448">
        <w:rPr>
          <w:rFonts w:ascii="Arial" w:hAnsi="Arial" w:cs="Arial"/>
          <w:iCs/>
          <w:noProof/>
          <w:sz w:val="16"/>
          <w:szCs w:val="16"/>
          <w:lang w:val="en-US" w:eastAsia="ar-SA"/>
        </w:rPr>
        <w:t xml:space="preserve">Credit rating and PIT </w:t>
      </w:r>
      <w:r>
        <w:rPr>
          <w:rFonts w:ascii="Arial" w:hAnsi="Arial" w:cs="Arial"/>
          <w:iCs/>
          <w:noProof/>
          <w:sz w:val="16"/>
          <w:szCs w:val="16"/>
          <w:lang w:val="en-US" w:eastAsia="ar-SA"/>
        </w:rPr>
        <w:t>Probability of default (“PD”),</w:t>
      </w:r>
    </w:p>
    <w:p w14:paraId="1E2ADAAA" w14:textId="77777777" w:rsidR="00FD1E19" w:rsidRDefault="00FD1E19" w:rsidP="00FD1E19">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lang w:val="en-US" w:eastAsia="ar-SA"/>
        </w:rPr>
      </w:pPr>
      <w:r>
        <w:rPr>
          <w:rFonts w:ascii="Arial" w:hAnsi="Arial" w:cs="Arial"/>
          <w:iCs/>
          <w:noProof/>
          <w:sz w:val="16"/>
          <w:szCs w:val="16"/>
          <w:lang w:val="en-US" w:eastAsia="ar-SA"/>
        </w:rPr>
        <w:t>PIT Loss Given default (“LGD”),</w:t>
      </w:r>
    </w:p>
    <w:p w14:paraId="6D135F88" w14:textId="77777777" w:rsidR="00FD1E19" w:rsidRDefault="00FD1E19" w:rsidP="00FD1E19">
      <w:pPr>
        <w:numPr>
          <w:ilvl w:val="0"/>
          <w:numId w:val="39"/>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b/>
          <w:iCs/>
          <w:noProof/>
          <w:sz w:val="16"/>
          <w:szCs w:val="16"/>
          <w:bdr w:val="nil"/>
          <w:lang w:val="en-US" w:eastAsia="ar-SA"/>
        </w:rPr>
      </w:pPr>
      <w:r>
        <w:rPr>
          <w:rFonts w:ascii="Arial" w:hAnsi="Arial" w:cs="Arial"/>
          <w:iCs/>
          <w:noProof/>
          <w:sz w:val="16"/>
          <w:szCs w:val="16"/>
          <w:lang w:val="en-US" w:eastAsia="ar-SA"/>
        </w:rPr>
        <w:t>Exposure at default (“EAD”).</w:t>
      </w:r>
    </w:p>
    <w:p w14:paraId="1B44D1F4"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14:paraId="3A3746B2"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ab/>
        <w:t>The credit rating of a counterpart is determined at a certain date, using score-sheet models tailored to the various categories of counterparties and exposures.</w:t>
      </w:r>
    </w:p>
    <w:p w14:paraId="759FF852"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14:paraId="150663F1"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 xml:space="preserve">Each credit rating </w:t>
      </w:r>
      <w:r>
        <w:rPr>
          <w:rFonts w:ascii="Arial" w:hAnsi="Arial" w:cs="Arial"/>
          <w:iCs/>
          <w:noProof/>
          <w:sz w:val="16"/>
          <w:szCs w:val="16"/>
          <w:lang w:val="en-US" w:eastAsia="ar-SA"/>
        </w:rPr>
        <w:t>is mapped</w:t>
      </w:r>
      <w:r w:rsidRPr="00936448">
        <w:rPr>
          <w:rFonts w:ascii="Arial" w:hAnsi="Arial" w:cs="Arial"/>
          <w:iCs/>
          <w:noProof/>
          <w:sz w:val="16"/>
          <w:szCs w:val="16"/>
          <w:lang w:val="en-US" w:eastAsia="ar-SA"/>
        </w:rPr>
        <w:t xml:space="preserve"> to a specific PD that represents t</w:t>
      </w:r>
      <w:r>
        <w:rPr>
          <w:rFonts w:ascii="Arial" w:hAnsi="Arial" w:cs="Arial"/>
          <w:iCs/>
          <w:noProof/>
          <w:sz w:val="16"/>
          <w:szCs w:val="16"/>
          <w:lang w:val="en-US" w:eastAsia="ar-SA"/>
        </w:rPr>
        <w:t>he likelihood of a counterpart d</w:t>
      </w:r>
      <w:r w:rsidRPr="00936448">
        <w:rPr>
          <w:rFonts w:ascii="Arial" w:hAnsi="Arial" w:cs="Arial"/>
          <w:iCs/>
          <w:noProof/>
          <w:sz w:val="16"/>
          <w:szCs w:val="16"/>
          <w:lang w:val="en-US" w:eastAsia="ar-SA"/>
        </w:rPr>
        <w:t>efaulting on its financial obligation, either over the next 12 months, or over the remaining lifetime of the obligation. Hence, ratings</w:t>
      </w:r>
      <w:r>
        <w:rPr>
          <w:rFonts w:ascii="Arial" w:hAnsi="Arial" w:cs="Arial"/>
          <w:iCs/>
          <w:noProof/>
          <w:sz w:val="16"/>
          <w:szCs w:val="16"/>
          <w:lang w:val="en-US" w:eastAsia="ar-SA"/>
        </w:rPr>
        <w:t xml:space="preserve"> are primary input into the determination of the PIT term structure of PD for exposures. The EIB collects performance and default information about the Facility’s credit risk exposures. The collected data are segmented by type of industry and by type of region. Different industries and regions reacting in a homogenous manner to credit cycles are analysed together.</w:t>
      </w:r>
    </w:p>
    <w:p w14:paraId="3134DBA9"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b/>
          <w:iCs/>
          <w:noProof/>
          <w:sz w:val="16"/>
          <w:szCs w:val="16"/>
          <w:bdr w:val="nil"/>
          <w:lang w:val="en-US" w:eastAsia="ar-SA"/>
        </w:rPr>
      </w:pPr>
    </w:p>
    <w:p w14:paraId="53DBA455"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 xml:space="preserve">The EIB employs statistical models to analyse the data collected and generate estimates of the remaining lifetime PD of exposures and how these are expected to change </w:t>
      </w:r>
      <w:r>
        <w:rPr>
          <w:rFonts w:ascii="Arial" w:hAnsi="Arial" w:cs="Arial"/>
          <w:iCs/>
          <w:noProof/>
          <w:sz w:val="16"/>
          <w:szCs w:val="16"/>
          <w:lang w:val="en-US" w:eastAsia="ar-SA"/>
        </w:rPr>
        <w:t>because</w:t>
      </w:r>
      <w:r w:rsidRPr="00936448">
        <w:rPr>
          <w:rFonts w:ascii="Arial" w:hAnsi="Arial" w:cs="Arial"/>
          <w:iCs/>
          <w:noProof/>
          <w:sz w:val="16"/>
          <w:szCs w:val="16"/>
          <w:lang w:val="en-US" w:eastAsia="ar-SA"/>
        </w:rPr>
        <w:t xml:space="preserve"> of the passage of time and given specific macro-economic scenarios. </w:t>
      </w:r>
    </w:p>
    <w:p w14:paraId="2C3C24BA"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p>
    <w:p w14:paraId="1A59B0DD" w14:textId="563245DB"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Pr>
          <w:rFonts w:ascii="Arial" w:hAnsi="Arial" w:cs="Arial"/>
          <w:iCs/>
          <w:noProof/>
          <w:sz w:val="16"/>
          <w:szCs w:val="16"/>
          <w:lang w:val="en-US" w:eastAsia="ar-SA"/>
        </w:rPr>
        <w:t xml:space="preserve">The LGD represents the EIB’s expectation of the ratio of the loss on an exposure due to the default of a counterparty to the amount outstanding at default. LGD can be also defined as “1 - Recovery Rate”. LGD estimates are determined mainly by geography and by type of counterparty, with five main exposure classes: Sovereigns, Public Institutions, Financial Institutions, Corporate and Project Finance. LGD values can be further adjusted based on the product and contract specific features of the exposure. </w:t>
      </w:r>
    </w:p>
    <w:p w14:paraId="7DE2D816"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The EIB incorporates PIT and forward-looking information into both its assessment of whether the credit</w:t>
      </w:r>
      <w:r>
        <w:rPr>
          <w:rFonts w:ascii="Arial" w:hAnsi="Arial" w:cs="Arial"/>
          <w:iCs/>
          <w:noProof/>
          <w:sz w:val="16"/>
          <w:szCs w:val="16"/>
          <w:lang w:val="en-US" w:eastAsia="ar-SA"/>
        </w:rPr>
        <w:t xml:space="preserve"> risk of an instrument has </w:t>
      </w:r>
      <w:r w:rsidRPr="00936448">
        <w:rPr>
          <w:rFonts w:ascii="Arial" w:hAnsi="Arial" w:cs="Arial"/>
          <w:iCs/>
          <w:noProof/>
          <w:sz w:val="16"/>
          <w:szCs w:val="16"/>
          <w:lang w:val="en-US" w:eastAsia="ar-SA"/>
        </w:rPr>
        <w:t>increased significantly since its initial recognition and its measurement of expected credit losses.</w:t>
      </w:r>
    </w:p>
    <w:p w14:paraId="0288C0FA" w14:textId="77777777" w:rsidR="00FD1E19" w:rsidRDefault="00FD1E19" w:rsidP="00FD1E19">
      <w:pPr>
        <w:pBdr>
          <w:top w:val="nil"/>
          <w:left w:val="nil"/>
          <w:bottom w:val="nil"/>
          <w:right w:val="nil"/>
          <w:between w:val="nil"/>
          <w:bar w:val="nil"/>
        </w:pBdr>
        <w:rPr>
          <w:rFonts w:ascii="Arial" w:hAnsi="Arial" w:cs="Arial"/>
          <w:iCs/>
          <w:noProof/>
          <w:sz w:val="16"/>
          <w:szCs w:val="16"/>
          <w:bdr w:val="nil"/>
          <w:lang w:val="en-US" w:eastAsia="ar-SA"/>
        </w:rPr>
      </w:pPr>
    </w:p>
    <w:p w14:paraId="535FE965" w14:textId="77777777" w:rsidR="00FD1E19" w:rsidRPr="00936448"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F5185A">
        <w:rPr>
          <w:rFonts w:ascii="Arial" w:hAnsi="Arial" w:cs="Arial"/>
          <w:iCs/>
          <w:noProof/>
          <w:sz w:val="16"/>
          <w:szCs w:val="16"/>
          <w:lang w:val="en-US" w:eastAsia="ar-SA"/>
        </w:rPr>
        <w:t>For the measurement of ECL, the EIB has developed a conditional modelling approach</w:t>
      </w:r>
      <w:r>
        <w:rPr>
          <w:rFonts w:ascii="Arial" w:hAnsi="Arial" w:cs="Arial"/>
          <w:iCs/>
          <w:noProof/>
          <w:sz w:val="16"/>
          <w:szCs w:val="16"/>
          <w:lang w:val="en-US" w:eastAsia="ar-SA"/>
        </w:rPr>
        <w:t>, called the PIT PD model,</w:t>
      </w:r>
      <w:r w:rsidRPr="00F5185A">
        <w:rPr>
          <w:rFonts w:ascii="Arial" w:hAnsi="Arial" w:cs="Arial"/>
          <w:iCs/>
          <w:noProof/>
          <w:sz w:val="16"/>
          <w:szCs w:val="16"/>
          <w:lang w:val="en-US" w:eastAsia="ar-SA"/>
        </w:rPr>
        <w:t xml:space="preserve"> for calculating PD term structures involving:</w:t>
      </w:r>
    </w:p>
    <w:p w14:paraId="2189B8D6" w14:textId="77777777" w:rsidR="00FD1E19" w:rsidRPr="00936448" w:rsidRDefault="00FD1E19" w:rsidP="00FD1E19">
      <w:pPr>
        <w:numPr>
          <w:ilvl w:val="0"/>
          <w:numId w:val="40"/>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the definition of an economically reasonable link function between the credit cycle and macroeconomic variables, and</w:t>
      </w:r>
    </w:p>
    <w:p w14:paraId="3B84BEDC" w14:textId="77777777" w:rsidR="00FD1E19" w:rsidRDefault="00FD1E19" w:rsidP="00FD1E19">
      <w:pPr>
        <w:numPr>
          <w:ilvl w:val="0"/>
          <w:numId w:val="40"/>
        </w:numPr>
        <w:pBdr>
          <w:top w:val="nil"/>
          <w:left w:val="nil"/>
          <w:bottom w:val="nil"/>
          <w:right w:val="nil"/>
          <w:between w:val="nil"/>
          <w:bar w:val="nil"/>
        </w:pBdr>
        <w:tabs>
          <w:tab w:val="right" w:pos="-2700"/>
          <w:tab w:val="center" w:pos="4320"/>
          <w:tab w:val="right" w:pos="8640"/>
        </w:tabs>
        <w:suppressAutoHyphens/>
        <w:spacing w:before="60" w:after="60" w:line="240" w:lineRule="auto"/>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a set of three macro-economic scenarios (one baseline and two scenarios reflecting downturn and upturn in the economy) with multi-year potential realisation for the GDP and their associated likelihoods</w:t>
      </w:r>
      <w:r>
        <w:rPr>
          <w:rFonts w:ascii="Arial" w:hAnsi="Arial" w:cs="Arial"/>
          <w:iCs/>
          <w:noProof/>
          <w:sz w:val="16"/>
          <w:szCs w:val="16"/>
          <w:lang w:val="en-US" w:eastAsia="ar-SA"/>
        </w:rPr>
        <w:t>.</w:t>
      </w:r>
    </w:p>
    <w:p w14:paraId="6E9AE4F2"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ind w:left="720"/>
        <w:jc w:val="both"/>
        <w:rPr>
          <w:rFonts w:ascii="Arial" w:hAnsi="Arial" w:cs="Arial"/>
          <w:iCs/>
          <w:noProof/>
          <w:sz w:val="16"/>
          <w:szCs w:val="16"/>
          <w:bdr w:val="nil"/>
          <w:lang w:val="en-US" w:eastAsia="ar-SA"/>
        </w:rPr>
      </w:pPr>
    </w:p>
    <w:p w14:paraId="474E0EC0"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To generate macroeconomic scenarios, the EIB uses a macro semi-structural multi-country and multi-equation model of the global economy with country specific blocks. The central / baseline scenario is designed to be consistent with the m</w:t>
      </w:r>
      <w:r>
        <w:rPr>
          <w:rFonts w:ascii="Arial" w:hAnsi="Arial" w:cs="Arial"/>
          <w:iCs/>
          <w:noProof/>
          <w:sz w:val="16"/>
          <w:szCs w:val="16"/>
          <w:lang w:val="en-US" w:eastAsia="ar-SA"/>
        </w:rPr>
        <w:t>ost recent European Commission</w:t>
      </w:r>
      <w:r w:rsidRPr="00936448">
        <w:rPr>
          <w:rFonts w:ascii="Arial" w:hAnsi="Arial" w:cs="Arial"/>
          <w:iCs/>
          <w:noProof/>
          <w:sz w:val="16"/>
          <w:szCs w:val="16"/>
          <w:lang w:val="en-US" w:eastAsia="ar-SA"/>
        </w:rPr>
        <w:t xml:space="preserve"> forecasts. The positive and negative scenarios are designed around the central scenario by </w:t>
      </w:r>
      <w:r>
        <w:rPr>
          <w:rFonts w:ascii="Arial" w:hAnsi="Arial" w:cs="Arial"/>
          <w:iCs/>
          <w:noProof/>
          <w:sz w:val="16"/>
          <w:szCs w:val="16"/>
          <w:lang w:val="en-US" w:eastAsia="ar-SA"/>
        </w:rPr>
        <w:t>deploying</w:t>
      </w:r>
      <w:r w:rsidRPr="00936448">
        <w:rPr>
          <w:rFonts w:ascii="Arial" w:hAnsi="Arial" w:cs="Arial"/>
          <w:iCs/>
          <w:noProof/>
          <w:sz w:val="16"/>
          <w:szCs w:val="16"/>
          <w:lang w:val="en-US" w:eastAsia="ar-SA"/>
        </w:rPr>
        <w:t xml:space="preserve"> of the multi-country/multi-equation model. The scenarios are derived</w:t>
      </w:r>
      <w:r>
        <w:rPr>
          <w:rFonts w:ascii="Arial" w:hAnsi="Arial" w:cs="Arial"/>
          <w:iCs/>
          <w:noProof/>
          <w:sz w:val="16"/>
          <w:szCs w:val="16"/>
          <w:lang w:val="en-US" w:eastAsia="ar-SA"/>
        </w:rPr>
        <w:t xml:space="preserve"> by</w:t>
      </w:r>
      <w:r w:rsidRPr="00936448">
        <w:rPr>
          <w:rFonts w:ascii="Arial" w:hAnsi="Arial" w:cs="Arial"/>
          <w:iCs/>
          <w:noProof/>
          <w:sz w:val="16"/>
          <w:szCs w:val="16"/>
          <w:lang w:val="en-US" w:eastAsia="ar-SA"/>
        </w:rPr>
        <w:t xml:space="preserve"> shocking </w:t>
      </w:r>
      <w:r>
        <w:rPr>
          <w:rFonts w:ascii="Arial" w:hAnsi="Arial" w:cs="Arial"/>
          <w:iCs/>
          <w:noProof/>
          <w:sz w:val="16"/>
          <w:szCs w:val="16"/>
          <w:lang w:val="en-US" w:eastAsia="ar-SA"/>
        </w:rPr>
        <w:t xml:space="preserve">the </w:t>
      </w:r>
      <w:r w:rsidRPr="00936448">
        <w:rPr>
          <w:rFonts w:ascii="Arial" w:hAnsi="Arial" w:cs="Arial"/>
          <w:iCs/>
          <w:noProof/>
          <w:sz w:val="16"/>
          <w:szCs w:val="16"/>
          <w:lang w:val="en-US" w:eastAsia="ar-SA"/>
        </w:rPr>
        <w:t xml:space="preserve">GDP, which is the key measure of economic activity. The shocks to real GDP are calibrated to replicate the </w:t>
      </w:r>
      <w:r>
        <w:rPr>
          <w:rFonts w:ascii="Arial" w:hAnsi="Arial" w:cs="Arial"/>
          <w:iCs/>
          <w:noProof/>
          <w:sz w:val="16"/>
          <w:szCs w:val="16"/>
          <w:lang w:val="en-US" w:eastAsia="ar-SA"/>
        </w:rPr>
        <w:t>observed</w:t>
      </w:r>
      <w:r w:rsidRPr="00936448">
        <w:rPr>
          <w:rFonts w:ascii="Arial" w:hAnsi="Arial" w:cs="Arial"/>
          <w:iCs/>
          <w:noProof/>
          <w:sz w:val="16"/>
          <w:szCs w:val="16"/>
          <w:lang w:val="en-US" w:eastAsia="ar-SA"/>
        </w:rPr>
        <w:t xml:space="preserve"> volatility of the variable. Also expert judgment is applied, when appropriate, to refine the size and persistency of GDP shocks. As a result, shocks are determined together with a decay function to determine the impact of the shocks over time. Probabilities attached to each scenario are defined reflecting market (volatility) indicators and internally developed indicators/trackers deployed in a consistent manner over time to capture uncertainty.</w:t>
      </w:r>
    </w:p>
    <w:p w14:paraId="1898B8E3"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p>
    <w:p w14:paraId="35F9ADD7" w14:textId="77777777" w:rsidR="00FD1E19" w:rsidRPr="0000074F"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00074F">
        <w:rPr>
          <w:rFonts w:ascii="Arial" w:hAnsi="Arial" w:cs="Arial"/>
          <w:iCs/>
          <w:noProof/>
          <w:sz w:val="16"/>
          <w:szCs w:val="16"/>
          <w:lang w:val="en-US" w:eastAsia="ar-SA"/>
        </w:rPr>
        <w:t>The EIB’s PIT PD and PIT LGD models use the same projected values of the credit cycle as the main input under different macroeconomic scenarios. The credit cycle is calculated from an external rating agency’s downgrade rates and the projections of annual growth rates of real GDP as well as the spread between long and short-term interest rates.</w:t>
      </w:r>
    </w:p>
    <w:p w14:paraId="468ECE9F"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p>
    <w:p w14:paraId="6F998878"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iCs/>
          <w:noProof/>
          <w:sz w:val="16"/>
          <w:szCs w:val="16"/>
          <w:bdr w:val="nil"/>
          <w:lang w:val="en-US" w:eastAsia="ar-SA"/>
        </w:rPr>
      </w:pPr>
      <w:r w:rsidRPr="00936448">
        <w:rPr>
          <w:rFonts w:ascii="Arial" w:hAnsi="Arial" w:cs="Arial"/>
          <w:iCs/>
          <w:noProof/>
          <w:sz w:val="16"/>
          <w:szCs w:val="16"/>
          <w:lang w:val="en-US" w:eastAsia="ar-SA"/>
        </w:rPr>
        <w:t>The EAD represents the expected exposure in the event of a default and is based on the current exposure to the counterparty and potential changes to the current amount allowed under the contract including amortisation. The EAD of a financial asset is its gross carrying amount. For lending commitments and financial guarantees, the EAD includes the amount drawn</w:t>
      </w:r>
      <w:r>
        <w:rPr>
          <w:rFonts w:ascii="Arial" w:hAnsi="Arial" w:cs="Arial"/>
          <w:iCs/>
          <w:noProof/>
          <w:sz w:val="16"/>
          <w:szCs w:val="16"/>
          <w:lang w:val="en-US" w:eastAsia="ar-SA"/>
        </w:rPr>
        <w:t>.</w:t>
      </w:r>
    </w:p>
    <w:p w14:paraId="70155435" w14:textId="77777777" w:rsidR="00FD1E19" w:rsidRPr="00CE2F7F" w:rsidRDefault="00FD1E19" w:rsidP="00FD1E19">
      <w:pPr>
        <w:pBdr>
          <w:top w:val="nil"/>
          <w:left w:val="nil"/>
          <w:bottom w:val="nil"/>
          <w:right w:val="nil"/>
          <w:between w:val="nil"/>
          <w:bar w:val="nil"/>
        </w:pBdr>
        <w:spacing w:before="60" w:after="60"/>
        <w:rPr>
          <w:rFonts w:ascii="Arial" w:hAnsi="Arial" w:cs="Arial"/>
          <w:noProof/>
          <w:sz w:val="16"/>
          <w:szCs w:val="16"/>
          <w:bdr w:val="nil"/>
          <w:lang w:eastAsia="ar-SA"/>
        </w:rPr>
      </w:pPr>
    </w:p>
    <w:p w14:paraId="7D4C75C1" w14:textId="77777777" w:rsidR="00FD1E19" w:rsidRPr="00CE2F7F" w:rsidRDefault="00FD1E19" w:rsidP="00FD1E19">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sidRPr="00CE2F7F">
        <w:rPr>
          <w:rFonts w:ascii="Arial" w:hAnsi="Arial"/>
          <w:b/>
          <w:noProof/>
          <w:sz w:val="16"/>
          <w:szCs w:val="16"/>
          <w:lang w:eastAsia="ar-SA"/>
        </w:rPr>
        <w:t>Cash and cash equivalents</w:t>
      </w:r>
    </w:p>
    <w:p w14:paraId="794E5ABB" w14:textId="77777777" w:rsidR="00FD1E19" w:rsidRPr="00CE2F7F" w:rsidRDefault="00FD1E19" w:rsidP="00FD1E19">
      <w:pPr>
        <w:pBdr>
          <w:top w:val="nil"/>
          <w:left w:val="nil"/>
          <w:bottom w:val="nil"/>
          <w:right w:val="nil"/>
          <w:between w:val="nil"/>
          <w:bar w:val="nil"/>
        </w:pBdr>
        <w:spacing w:before="60" w:after="60"/>
        <w:rPr>
          <w:rFonts w:ascii="Arial" w:hAnsi="Arial" w:cs="Arial"/>
          <w:noProof/>
          <w:sz w:val="16"/>
          <w:szCs w:val="16"/>
          <w:bdr w:val="nil"/>
          <w:lang w:eastAsia="ar-SA"/>
        </w:rPr>
      </w:pPr>
    </w:p>
    <w:p w14:paraId="4DFBAE3F" w14:textId="77777777" w:rsidR="00FD1E19" w:rsidRPr="00CE2F7F" w:rsidRDefault="00FD1E19" w:rsidP="00FD1E19">
      <w:pPr>
        <w:pBdr>
          <w:top w:val="nil"/>
          <w:left w:val="nil"/>
          <w:bottom w:val="nil"/>
          <w:right w:val="nil"/>
          <w:between w:val="nil"/>
          <w:bar w:val="nil"/>
        </w:pBdr>
        <w:spacing w:before="60" w:after="60"/>
        <w:rPr>
          <w:rFonts w:ascii="Arial" w:hAnsi="Arial" w:cs="Arial"/>
          <w:noProof/>
          <w:sz w:val="16"/>
          <w:szCs w:val="16"/>
          <w:bdr w:val="nil"/>
          <w:lang w:eastAsia="ar-SA"/>
        </w:rPr>
      </w:pPr>
      <w:r w:rsidRPr="00CE2F7F">
        <w:rPr>
          <w:rFonts w:ascii="Arial" w:hAnsi="Arial" w:cs="Arial"/>
          <w:noProof/>
          <w:sz w:val="16"/>
          <w:szCs w:val="16"/>
          <w:lang w:eastAsia="ar-SA"/>
        </w:rPr>
        <w:t>The Facility defines cash and cash equivalents as current accounts, short-term deposits or commercial papers with maturities of three months or less. Cash and cash equivalents are carried at AC in the statement of financial position.</w:t>
      </w:r>
    </w:p>
    <w:p w14:paraId="4B587988" w14:textId="77777777" w:rsidR="00FD1E19" w:rsidRDefault="00FD1E19" w:rsidP="00FD1E19">
      <w:pPr>
        <w:pBdr>
          <w:top w:val="nil"/>
          <w:left w:val="nil"/>
          <w:bottom w:val="nil"/>
          <w:right w:val="nil"/>
          <w:between w:val="nil"/>
          <w:bar w:val="nil"/>
        </w:pBdr>
        <w:spacing w:before="60" w:after="60"/>
        <w:rPr>
          <w:rFonts w:ascii="Arial" w:hAnsi="Arial" w:cs="Arial"/>
          <w:noProof/>
          <w:sz w:val="16"/>
          <w:szCs w:val="16"/>
          <w:bdr w:val="nil"/>
          <w:lang w:eastAsia="ar-SA"/>
        </w:rPr>
      </w:pPr>
    </w:p>
    <w:p w14:paraId="1C3B3DA9" w14:textId="77777777" w:rsidR="00FD1E19" w:rsidRPr="00604092" w:rsidRDefault="00FD1E19" w:rsidP="00FD1E19">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sidRPr="00604092">
        <w:rPr>
          <w:rFonts w:ascii="Arial" w:hAnsi="Arial"/>
          <w:b/>
          <w:noProof/>
          <w:sz w:val="16"/>
          <w:szCs w:val="16"/>
          <w:lang w:eastAsia="ar-SA"/>
        </w:rPr>
        <w:t>Treasury financial assets</w:t>
      </w:r>
    </w:p>
    <w:p w14:paraId="27B93B69"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p>
    <w:p w14:paraId="0828FBC5"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Treasury financial assets comprise quoted and unquoted bonds with the intention of holding them to maturity, and commercial papers with maturities of more than three months and are consequently classified at AC.</w:t>
      </w:r>
    </w:p>
    <w:p w14:paraId="274F7921"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2EE6A22F"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Those bonds and commercial papers are initially measured at cost, which is the fair value plus any directly attributable transaction cost. The difference between entry price and redemption value is amortised in accordance with the effective interest method over the remaining life of the instrument.</w:t>
      </w:r>
    </w:p>
    <w:p w14:paraId="60E8AB94"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590B4A0B" w14:textId="77777777" w:rsidR="00FD1E19" w:rsidRPr="00604092" w:rsidRDefault="00FD1E19" w:rsidP="00FD1E19">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Pr>
          <w:rFonts w:ascii="Arial" w:hAnsi="Arial"/>
          <w:b/>
          <w:noProof/>
          <w:sz w:val="16"/>
          <w:szCs w:val="16"/>
          <w:lang w:eastAsia="ar-SA"/>
        </w:rPr>
        <w:t>Loans and advances</w:t>
      </w:r>
    </w:p>
    <w:p w14:paraId="21247CD0"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0FD4F1DC" w14:textId="77777777" w:rsidR="00FD1E19" w:rsidRDefault="00FD1E19" w:rsidP="00FD1E19">
      <w:pPr>
        <w:pBdr>
          <w:top w:val="nil"/>
          <w:left w:val="nil"/>
          <w:bottom w:val="nil"/>
          <w:right w:val="nil"/>
          <w:between w:val="nil"/>
          <w:bar w:val="nil"/>
        </w:pBdr>
        <w:spacing w:before="60" w:after="60"/>
        <w:jc w:val="both"/>
        <w:rPr>
          <w:rFonts w:ascii="Arial" w:hAnsi="Arial" w:cs="Arial"/>
          <w:noProof/>
          <w:sz w:val="16"/>
          <w:szCs w:val="16"/>
          <w:bdr w:val="nil"/>
          <w:lang w:eastAsia="ar-SA"/>
        </w:rPr>
      </w:pPr>
      <w:r>
        <w:rPr>
          <w:rFonts w:ascii="Arial" w:hAnsi="Arial" w:cs="Arial"/>
          <w:noProof/>
          <w:sz w:val="16"/>
          <w:szCs w:val="16"/>
          <w:lang w:eastAsia="ar-SA"/>
        </w:rPr>
        <w:t xml:space="preserve">The loan and advances portfolio may consist of debt instruments such as loans and debt securities including bonds, notes or certificates issued by structured entities with the intention of holding them to maturity and to collect the contractual cash flows. </w:t>
      </w:r>
    </w:p>
    <w:p w14:paraId="774F4488"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37051DC7"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Loans and advances include:</w:t>
      </w:r>
    </w:p>
    <w:p w14:paraId="5A54253F" w14:textId="77777777" w:rsidR="00FD1E19" w:rsidRDefault="00FD1E19" w:rsidP="00FD1E19">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lang w:eastAsia="ar-SA"/>
        </w:rPr>
      </w:pPr>
      <w:r>
        <w:rPr>
          <w:rFonts w:ascii="Arial" w:hAnsi="Arial" w:cs="Arial"/>
          <w:noProof/>
          <w:sz w:val="16"/>
          <w:szCs w:val="16"/>
          <w:lang w:eastAsia="ar-SA"/>
        </w:rPr>
        <w:t xml:space="preserve">Loans and advances </w:t>
      </w:r>
      <w:r w:rsidRPr="00D43D7F">
        <w:rPr>
          <w:rFonts w:ascii="Arial" w:hAnsi="Arial" w:cs="Arial"/>
          <w:noProof/>
          <w:sz w:val="16"/>
          <w:szCs w:val="16"/>
          <w:lang w:eastAsia="ar-SA"/>
        </w:rPr>
        <w:t>measured at AC</w:t>
      </w:r>
    </w:p>
    <w:p w14:paraId="6925C670" w14:textId="77777777" w:rsidR="00FD1E19" w:rsidRPr="00D43D7F" w:rsidRDefault="00FD1E19" w:rsidP="00FD1E19">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lang w:eastAsia="ar-SA"/>
        </w:rPr>
      </w:pPr>
      <w:r>
        <w:rPr>
          <w:rFonts w:ascii="Arial" w:hAnsi="Arial" w:cs="Arial"/>
          <w:noProof/>
          <w:sz w:val="16"/>
          <w:szCs w:val="16"/>
          <w:lang w:eastAsia="ar-SA"/>
        </w:rPr>
        <w:t xml:space="preserve">Loans and advances </w:t>
      </w:r>
      <w:r w:rsidRPr="00D43D7F">
        <w:rPr>
          <w:rFonts w:ascii="Arial" w:hAnsi="Arial" w:cs="Arial"/>
          <w:noProof/>
          <w:sz w:val="16"/>
          <w:szCs w:val="16"/>
          <w:lang w:eastAsia="ar-SA"/>
        </w:rPr>
        <w:t>mandatorily measured at FVTPL</w:t>
      </w:r>
      <w:r w:rsidRPr="00D43D7F">
        <w:rPr>
          <w:rFonts w:ascii="SegoeUI" w:hAnsi="SegoeUI" w:cs="SegoeUI"/>
          <w:noProof/>
        </w:rPr>
        <w:t>.</w:t>
      </w:r>
    </w:p>
    <w:p w14:paraId="693AADBF" w14:textId="77777777" w:rsidR="00FD1E19" w:rsidRPr="00DC6FF0" w:rsidRDefault="00FD1E19" w:rsidP="00FD1E19">
      <w:pPr>
        <w:pBdr>
          <w:top w:val="nil"/>
          <w:left w:val="nil"/>
          <w:bottom w:val="nil"/>
          <w:right w:val="nil"/>
          <w:between w:val="nil"/>
          <w:bar w:val="nil"/>
        </w:pBdr>
        <w:autoSpaceDE w:val="0"/>
        <w:autoSpaceDN w:val="0"/>
        <w:adjustRightInd w:val="0"/>
        <w:spacing w:before="60" w:after="60"/>
        <w:ind w:left="720"/>
        <w:contextualSpacing/>
        <w:jc w:val="both"/>
        <w:rPr>
          <w:rFonts w:ascii="Arial" w:hAnsi="Arial" w:cs="Arial"/>
          <w:noProof/>
          <w:sz w:val="16"/>
          <w:szCs w:val="16"/>
          <w:bdr w:val="nil"/>
        </w:rPr>
      </w:pPr>
    </w:p>
    <w:p w14:paraId="0B286A48"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Pr>
          <w:rFonts w:ascii="Arial" w:hAnsi="Arial" w:cs="Arial"/>
          <w:noProof/>
          <w:sz w:val="16"/>
          <w:szCs w:val="16"/>
          <w:lang w:eastAsia="ar-SA"/>
        </w:rPr>
        <w:t>Loans originated by the Facility are recognised in the assets of the Facility when cash is advanced to borrowers. Undisbursed parts of loans are recorded in the off-balance at their nominal value. Loans passing the SPPI test are initially recorded at cost (their net disbursed amounts), which is the fair value of the cash given to originate the loan, including any transaction costs, and are subsequently measured at AC using the effective interest rate method.</w:t>
      </w:r>
    </w:p>
    <w:p w14:paraId="2882033B"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53674163" w14:textId="77777777" w:rsidR="004160AF" w:rsidRDefault="00FD1E19" w:rsidP="00FD1E19">
      <w:pPr>
        <w:pBdr>
          <w:top w:val="nil"/>
          <w:left w:val="nil"/>
          <w:bottom w:val="nil"/>
          <w:right w:val="nil"/>
          <w:between w:val="nil"/>
          <w:bar w:val="nil"/>
        </w:pBdr>
        <w:jc w:val="both"/>
        <w:rPr>
          <w:rFonts w:ascii="Arial" w:hAnsi="Arial" w:cs="Arial"/>
          <w:noProof/>
          <w:sz w:val="16"/>
          <w:szCs w:val="16"/>
          <w:lang w:eastAsia="ar-SA"/>
        </w:rPr>
      </w:pPr>
      <w:r>
        <w:rPr>
          <w:rFonts w:ascii="Arial" w:hAnsi="Arial" w:cs="Arial"/>
          <w:noProof/>
          <w:sz w:val="16"/>
          <w:szCs w:val="16"/>
          <w:lang w:eastAsia="ar-SA"/>
        </w:rPr>
        <w:t>Debt securities are recognised in the assets of the Facility when cash is advanced to the issuer and can take the form of a contractually linked or single tranche debt instrument. Undisbursed parts of debt securities are recorded in the off-balance at their nominal value. Debt securities are initially measured at cost, which is the fair value plus any directly attributable transaction cost, and are subsequently measured at AC using the effective interest rate method. The difference between entry price and redemption value is amortised in accordance with the effective interest method over the remaining life of the instrument.</w:t>
      </w:r>
    </w:p>
    <w:p w14:paraId="2EB2B7D3" w14:textId="3A936F79" w:rsidR="00FD1E19" w:rsidRPr="0075584B" w:rsidRDefault="00FD1E19" w:rsidP="00FD1E19">
      <w:pPr>
        <w:pBdr>
          <w:top w:val="nil"/>
          <w:left w:val="nil"/>
          <w:bottom w:val="nil"/>
          <w:right w:val="nil"/>
          <w:between w:val="nil"/>
          <w:bar w:val="nil"/>
        </w:pBdr>
        <w:jc w:val="both"/>
        <w:rPr>
          <w:rFonts w:ascii="Arial" w:hAnsi="Arial" w:cs="Arial"/>
          <w:noProof/>
          <w:sz w:val="16"/>
          <w:szCs w:val="16"/>
          <w:bdr w:val="nil"/>
          <w:lang w:eastAsia="ar-SA"/>
        </w:rPr>
      </w:pPr>
      <w:r w:rsidRPr="0075584B">
        <w:rPr>
          <w:rFonts w:ascii="Arial" w:hAnsi="Arial" w:cs="Arial"/>
          <w:noProof/>
          <w:sz w:val="16"/>
          <w:szCs w:val="16"/>
          <w:lang w:eastAsia="ar-SA"/>
        </w:rPr>
        <w:t>The impairment policy on loans and advances is described under Note 2.4.2.</w:t>
      </w:r>
    </w:p>
    <w:p w14:paraId="1942D380"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33B891AB"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Pr>
          <w:rFonts w:ascii="Arial" w:hAnsi="Arial" w:cs="Arial"/>
          <w:noProof/>
          <w:sz w:val="16"/>
          <w:szCs w:val="16"/>
          <w:lang w:eastAsia="ar-SA"/>
        </w:rPr>
        <w:t>Loans and advances not fulfilling business model or the SPPI criterion are mandatorily measured at FVTPL. The fair value measurement technique used is based on a discounted cash flow technique or liquidation value.</w:t>
      </w:r>
    </w:p>
    <w:p w14:paraId="4AB9217D"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noProof/>
          <w:sz w:val="16"/>
          <w:szCs w:val="16"/>
          <w:bdr w:val="nil"/>
          <w:lang w:eastAsia="ar-SA"/>
        </w:rPr>
      </w:pPr>
    </w:p>
    <w:p w14:paraId="3B46A67B" w14:textId="77777777" w:rsidR="00FD1E19" w:rsidRPr="000E2EF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sidRPr="000E2EF9">
        <w:rPr>
          <w:rFonts w:ascii="Arial" w:hAnsi="Arial" w:cs="Arial"/>
          <w:noProof/>
          <w:sz w:val="16"/>
          <w:szCs w:val="16"/>
          <w:lang w:eastAsia="ar-SA"/>
        </w:rPr>
        <w:t>For the impact of the IBOR reform on remeasurement of loans and advances at amortised cost, please refer to the dedicated paragraphs in Note 2.4.2 – Classification and Measurement / Modification.</w:t>
      </w:r>
    </w:p>
    <w:p w14:paraId="206D9002"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263A4F9B" w14:textId="77777777" w:rsidR="00FD1E19" w:rsidRPr="00F81741" w:rsidRDefault="00FD1E19" w:rsidP="00FD1E19">
      <w:pPr>
        <w:numPr>
          <w:ilvl w:val="3"/>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sidRPr="00604092">
        <w:rPr>
          <w:rFonts w:ascii="Arial" w:hAnsi="Arial" w:cs="Arial"/>
          <w:b/>
          <w:noProof/>
          <w:sz w:val="16"/>
          <w:szCs w:val="16"/>
          <w:lang w:eastAsia="ar-SA"/>
        </w:rPr>
        <w:t>Shares and other variable yield securities</w:t>
      </w:r>
    </w:p>
    <w:p w14:paraId="260CAD99"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14:paraId="4F6C9A93" w14:textId="77777777" w:rsidR="00FD1E19" w:rsidRDefault="00FD1E19" w:rsidP="00FD1E19">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cs="Arial"/>
          <w:noProof/>
          <w:sz w:val="16"/>
          <w:szCs w:val="16"/>
        </w:rPr>
        <w:t>There are two types of equity investments at the Facility: (i) direct equity investments and (ii) venture capital funds. The shares and other variable yield securities are initially recognised at fair value plus transactions costs. Subsequently changes in fair value, including foreign currency translation gains and losses, are recognised in the statement of profit or loss and other comprehensive income under the caption net result on shares and other variable yield securities.</w:t>
      </w:r>
    </w:p>
    <w:p w14:paraId="1472EAFF"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14:paraId="17ADFA34" w14:textId="77777777" w:rsidR="00FD1E19" w:rsidRDefault="00FD1E19" w:rsidP="00FD1E19">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cs="Arial"/>
          <w:noProof/>
          <w:sz w:val="16"/>
          <w:szCs w:val="16"/>
          <w:bdr w:val="none" w:sz="0" w:space="0" w:color="auto" w:frame="1"/>
        </w:rPr>
        <w:t>The undrawn but committed part of these investments is recorded as consolidated off-balance sheet commitments at their nominal value.</w:t>
      </w:r>
    </w:p>
    <w:p w14:paraId="08644DE6"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14:paraId="0B0D1C17" w14:textId="77777777" w:rsidR="00FD1E19" w:rsidRDefault="00FD1E19" w:rsidP="00FD1E19">
      <w:pPr>
        <w:pBdr>
          <w:top w:val="nil"/>
          <w:left w:val="nil"/>
          <w:bottom w:val="nil"/>
          <w:right w:val="nil"/>
          <w:between w:val="nil"/>
          <w:bar w:val="nil"/>
        </w:pBdr>
        <w:autoSpaceDE w:val="0"/>
        <w:autoSpaceDN w:val="0"/>
        <w:adjustRightInd w:val="0"/>
        <w:jc w:val="both"/>
        <w:rPr>
          <w:rFonts w:ascii="Arial" w:hAnsi="Arial"/>
          <w:i/>
          <w:noProof/>
          <w:sz w:val="16"/>
          <w:szCs w:val="16"/>
          <w:bdr w:val="nil"/>
          <w:lang w:eastAsia="ar-SA"/>
        </w:rPr>
      </w:pPr>
      <w:r>
        <w:rPr>
          <w:rFonts w:ascii="Arial" w:hAnsi="Arial"/>
          <w:i/>
          <w:noProof/>
          <w:sz w:val="16"/>
          <w:szCs w:val="16"/>
          <w:bdr w:val="none" w:sz="0" w:space="0" w:color="auto" w:frame="1"/>
          <w:lang w:eastAsia="ar-SA"/>
        </w:rPr>
        <w:t>Measurement of fair values of financial instruments</w:t>
      </w:r>
    </w:p>
    <w:p w14:paraId="10FB664A"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14:paraId="178FE6BF"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cs="Arial"/>
          <w:noProof/>
          <w:sz w:val="16"/>
          <w:szCs w:val="16"/>
          <w:bdr w:val="none" w:sz="0" w:space="0" w:color="auto" w:frame="1"/>
        </w:rPr>
        <w:t xml:space="preserve">The fair value is determined by applying the aggregated net asset value (‘NAV’) method (thereby assuming that, despite the absence of readily ascertainable market value, NAV is the best estimate of the fair value). </w:t>
      </w:r>
      <w:r>
        <w:rPr>
          <w:rFonts w:ascii="Arial" w:hAnsi="Arial" w:cs="Arial"/>
          <w:noProof/>
          <w:sz w:val="16"/>
          <w:szCs w:val="16"/>
        </w:rPr>
        <w:t>For unquoted investment, when the fair value cannot be derived from active markets, the fair value is determined by applying recognised valuation techniques (Note 4.2.1).</w:t>
      </w:r>
    </w:p>
    <w:p w14:paraId="0693FA44"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14:paraId="75F4C41D"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cs="Arial"/>
          <w:noProof/>
          <w:sz w:val="16"/>
          <w:szCs w:val="16"/>
          <w:bdr w:val="none" w:sz="0" w:space="0" w:color="auto" w:frame="1"/>
        </w:rPr>
        <w:t>The attributable NAV is adjusted for events occurring between the date of the latest available NAV and the balance sheet date to the extent that such adjustment is considered to be material by the Management Committee. Material adjustments are amended until the Board of Directors adopt the Financial Statements for the year. In that respect, following the general context of uncertainty, various risks building up as a result of the Russian invasion of Ukraine and the volatility observed in terms of performance, the Bank enhanced its valuation techniques to estimate any adjustment on the fair value of the equity investments for the NAVs not reported by the fund managers at the reporting date of the Facility financial statements.</w:t>
      </w:r>
    </w:p>
    <w:p w14:paraId="4A147C54"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14:paraId="0EF27CA8"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cs="Arial"/>
          <w:noProof/>
          <w:sz w:val="16"/>
          <w:szCs w:val="16"/>
          <w:bdr w:val="none" w:sz="0" w:space="0" w:color="auto" w:frame="1"/>
        </w:rPr>
        <w:t>For specific investments where NAVs cannot readily be determined, other guidelines for example the International Private Equity and Venture Capital Valuation (‘IPEV’) Guidelines, as published by the IPEV Board might be used and more detailed monitoring and review will be required. In accordance with this method, the funds are internally classified into three categories:</w:t>
      </w:r>
    </w:p>
    <w:p w14:paraId="07A50038" w14:textId="77777777" w:rsidR="00FD1E19" w:rsidRDefault="00FD1E19" w:rsidP="00FD1E19">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p>
    <w:p w14:paraId="600606E2" w14:textId="77777777" w:rsidR="00FD1E19" w:rsidRDefault="00FD1E19" w:rsidP="00FD1E19">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cs="Arial"/>
          <w:noProof/>
          <w:sz w:val="16"/>
          <w:szCs w:val="16"/>
          <w:bdr w:val="none" w:sz="0" w:space="0" w:color="auto" w:frame="1"/>
        </w:rPr>
        <w:t>Category I – funds that have adopted the fair value requirements of IFRS 13 or IPEV Guidelines for which a specific review is performed to ensure that the NAV is a reliable estimate of fair value;</w:t>
      </w:r>
    </w:p>
    <w:p w14:paraId="62430230" w14:textId="77777777" w:rsidR="00FD1E19" w:rsidRDefault="00FD1E19" w:rsidP="00FD1E19">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cs="Arial"/>
          <w:noProof/>
          <w:sz w:val="16"/>
          <w:szCs w:val="16"/>
          <w:bdr w:val="none" w:sz="0" w:space="0" w:color="auto" w:frame="1"/>
        </w:rPr>
        <w:t>Category II – funds that have adopted other valuation guidelines (such as the former 2001 EVCA) or standards that can be considered to be in line with IFRS 13, for which an equivalent NAV can be calculated; and</w:t>
      </w:r>
    </w:p>
    <w:p w14:paraId="3FB7CF78" w14:textId="77777777" w:rsidR="00FD1E19" w:rsidRDefault="00FD1E19" w:rsidP="00FD1E19">
      <w:pPr>
        <w:numPr>
          <w:ilvl w:val="0"/>
          <w:numId w:val="41"/>
        </w:numPr>
        <w:pBdr>
          <w:top w:val="nil"/>
          <w:left w:val="nil"/>
          <w:bottom w:val="nil"/>
          <w:right w:val="nil"/>
          <w:between w:val="nil"/>
          <w:bar w:val="nil"/>
        </w:pBdr>
        <w:autoSpaceDE w:val="0"/>
        <w:autoSpaceDN w:val="0"/>
        <w:adjustRightInd w:val="0"/>
        <w:spacing w:after="0" w:line="240" w:lineRule="auto"/>
        <w:contextualSpacing/>
        <w:jc w:val="both"/>
        <w:rPr>
          <w:rFonts w:ascii="Arial" w:hAnsi="Arial" w:cs="Arial"/>
          <w:noProof/>
          <w:sz w:val="16"/>
          <w:szCs w:val="16"/>
          <w:bdr w:val="nil"/>
        </w:rPr>
      </w:pPr>
      <w:r>
        <w:rPr>
          <w:rFonts w:ascii="Arial" w:hAnsi="Arial" w:cs="Arial"/>
          <w:noProof/>
          <w:sz w:val="16"/>
          <w:szCs w:val="16"/>
          <w:bdr w:val="none" w:sz="0" w:space="0" w:color="auto" w:frame="1"/>
        </w:rPr>
        <w:t>Category III – funds that have not adopted the fair value requirements of IFRS 13 or any other valuation guidelines in line with IFRS 13.</w:t>
      </w:r>
    </w:p>
    <w:p w14:paraId="099EF4E1"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p>
    <w:p w14:paraId="32251DC0" w14:textId="77777777" w:rsidR="00FD1E19" w:rsidRDefault="00FD1E19" w:rsidP="00FD1E19">
      <w:pPr>
        <w:pBdr>
          <w:top w:val="nil"/>
          <w:left w:val="nil"/>
          <w:bottom w:val="nil"/>
          <w:right w:val="nil"/>
          <w:between w:val="nil"/>
          <w:bar w:val="nil"/>
        </w:pBdr>
        <w:suppressAutoHyphens/>
        <w:spacing w:before="60" w:after="60"/>
        <w:jc w:val="both"/>
        <w:rPr>
          <w:rFonts w:ascii="Arial" w:hAnsi="Arial" w:cs="Arial"/>
          <w:i/>
          <w:noProof/>
          <w:sz w:val="16"/>
          <w:szCs w:val="16"/>
          <w:bdr w:val="nil"/>
          <w:lang w:eastAsia="ar-SA"/>
        </w:rPr>
      </w:pPr>
      <w:r>
        <w:rPr>
          <w:rFonts w:ascii="Arial" w:hAnsi="Arial" w:cs="Arial"/>
          <w:i/>
          <w:noProof/>
          <w:sz w:val="16"/>
          <w:szCs w:val="16"/>
          <w:bdr w:val="none" w:sz="0" w:space="0" w:color="auto" w:frame="1"/>
          <w:lang w:eastAsia="ar-SA"/>
        </w:rPr>
        <w:t>Significant influence assessment</w:t>
      </w:r>
    </w:p>
    <w:p w14:paraId="54F32990" w14:textId="77777777" w:rsidR="00FD1E19" w:rsidRDefault="00FD1E19" w:rsidP="00FD1E19">
      <w:pPr>
        <w:pBdr>
          <w:top w:val="nil"/>
          <w:left w:val="nil"/>
          <w:bottom w:val="nil"/>
          <w:right w:val="nil"/>
          <w:between w:val="nil"/>
          <w:bar w:val="nil"/>
        </w:pBdr>
        <w:autoSpaceDE w:val="0"/>
        <w:autoSpaceDN w:val="0"/>
        <w:adjustRightInd w:val="0"/>
        <w:jc w:val="both"/>
        <w:rPr>
          <w:rFonts w:cs="Arial"/>
          <w:noProof/>
          <w:sz w:val="16"/>
          <w:szCs w:val="16"/>
          <w:bdr w:val="nil"/>
        </w:rPr>
      </w:pPr>
    </w:p>
    <w:p w14:paraId="0F8E58D9" w14:textId="77777777" w:rsidR="00FD1E19" w:rsidRDefault="00FD1E19" w:rsidP="00FD1E19">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cs="Arial"/>
          <w:noProof/>
          <w:sz w:val="16"/>
          <w:szCs w:val="16"/>
        </w:rPr>
        <w:t>The participations acquired by the Facility typically represent investments in private equity or venture capital funds. According to industry practice, such investments are generally investments jointly subscribed by a number of investors, none of whom is in a position to individually influence the daily operations and the investment activity of such fund. As a consequence, any membership by an investor in a governing body of such fund does not in principle entitle such investor to influence the day-to-day operations of the fund. In addition, individual investors in a private equity or a venture capital fund do not determine policies of a fund such as distribution policies on dividends or other distributions. Such decisions are typically taken by the management of a fund on the basis of the shareholders agreement governing the rights and obligations of the management and all shareholders of the fund. The shareholders’ agreement also generally prevents individual investors from bilaterally executing material transactions with the fund, interchanging managerial personnel or obtaining privileged access to essential technical information. The Facility’s investments are executed in line with the above stated industry practice, ensuring that the Facility neither controls nor exercises any form of significant influence within the meaning of IFRS 10 and IAS  28 over any of these investments, including those investments in which the Facility holds over 20 % of the voting rights.</w:t>
      </w:r>
    </w:p>
    <w:p w14:paraId="62F34702"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9F81130" w14:textId="77777777" w:rsidR="00FD1E19" w:rsidRPr="00604092" w:rsidRDefault="00FD1E19" w:rsidP="00FD1E19">
      <w:pPr>
        <w:numPr>
          <w:ilvl w:val="2"/>
          <w:numId w:val="25"/>
        </w:numPr>
        <w:pBdr>
          <w:top w:val="nil"/>
          <w:left w:val="nil"/>
          <w:bottom w:val="nil"/>
          <w:right w:val="nil"/>
          <w:between w:val="nil"/>
          <w:bar w:val="nil"/>
        </w:pBdr>
        <w:tabs>
          <w:tab w:val="right" w:pos="-2700"/>
        </w:tabs>
        <w:suppressAutoHyphens/>
        <w:spacing w:after="0" w:line="240" w:lineRule="auto"/>
        <w:ind w:left="357" w:hanging="357"/>
        <w:jc w:val="both"/>
        <w:rPr>
          <w:rFonts w:ascii="Arial" w:hAnsi="Arial"/>
          <w:b/>
          <w:noProof/>
          <w:sz w:val="16"/>
          <w:szCs w:val="16"/>
          <w:bdr w:val="nil"/>
          <w:lang w:eastAsia="ar-SA"/>
        </w:rPr>
      </w:pPr>
      <w:r w:rsidRPr="00604092">
        <w:rPr>
          <w:rFonts w:ascii="Arial" w:hAnsi="Arial"/>
          <w:b/>
          <w:noProof/>
          <w:sz w:val="16"/>
          <w:szCs w:val="16"/>
          <w:lang w:eastAsia="ar-SA"/>
        </w:rPr>
        <w:tab/>
        <w:t xml:space="preserve"> Financial guarantees</w:t>
      </w:r>
    </w:p>
    <w:p w14:paraId="2CB822C6"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2F1AD295"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1470AB">
        <w:rPr>
          <w:rFonts w:ascii="Arial" w:hAnsi="Arial"/>
          <w:noProof/>
          <w:sz w:val="16"/>
          <w:szCs w:val="16"/>
          <w:lang w:eastAsia="ar-SA"/>
        </w:rPr>
        <w:t>Financial guarantee contracts are contracts that require the Facility to make specified payments to reimburse the holder for a loss it incurs because a specified debtor fails to make payments when due in accordance with the terms of a debt instrument.</w:t>
      </w:r>
    </w:p>
    <w:p w14:paraId="330D7100" w14:textId="77777777" w:rsidR="00FD1E19" w:rsidRPr="001470AB"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5B4E2CB"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cs="Arial"/>
          <w:noProof/>
          <w:sz w:val="16"/>
          <w:szCs w:val="16"/>
        </w:rPr>
        <w:t>Financial guarantees are accounted for under IFRS 9 – Financial Instruments, either as “Derivatives” or as “Financial Guarantees”, depending on their features and characteristics as defined by IFRS 9.</w:t>
      </w:r>
    </w:p>
    <w:p w14:paraId="276D5EC3"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p>
    <w:p w14:paraId="29D93097" w14:textId="77777777" w:rsidR="00FD1E19" w:rsidRDefault="00FD1E19" w:rsidP="00FD1E19">
      <w:pPr>
        <w:pBdr>
          <w:top w:val="nil"/>
          <w:left w:val="nil"/>
          <w:bottom w:val="nil"/>
          <w:right w:val="nil"/>
          <w:between w:val="nil"/>
          <w:bar w:val="nil"/>
        </w:pBdr>
        <w:suppressAutoHyphens/>
        <w:jc w:val="both"/>
        <w:rPr>
          <w:rFonts w:ascii="Arial" w:hAnsi="Arial"/>
          <w:noProof/>
          <w:sz w:val="16"/>
          <w:szCs w:val="16"/>
          <w:bdr w:val="nil"/>
          <w:lang w:eastAsia="ar-SA"/>
        </w:rPr>
      </w:pPr>
      <w:r>
        <w:rPr>
          <w:rFonts w:ascii="Arial" w:hAnsi="Arial"/>
          <w:noProof/>
          <w:sz w:val="16"/>
          <w:szCs w:val="16"/>
          <w:lang w:eastAsia="ar-SA"/>
        </w:rPr>
        <w:t>The accounting policy for derivatives is disclosed under Note 2.4.5.</w:t>
      </w:r>
    </w:p>
    <w:p w14:paraId="0C29CADA" w14:textId="77777777" w:rsidR="00FD1E19" w:rsidRDefault="00FD1E19" w:rsidP="00FD1E19">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p>
    <w:p w14:paraId="3A57D74D" w14:textId="77777777" w:rsidR="00FD1E19" w:rsidRPr="009D5F86" w:rsidRDefault="00FD1E19" w:rsidP="00FD1E19">
      <w:pPr>
        <w:pBdr>
          <w:top w:val="nil"/>
          <w:left w:val="nil"/>
          <w:bottom w:val="nil"/>
          <w:right w:val="nil"/>
          <w:between w:val="nil"/>
          <w:bar w:val="nil"/>
        </w:pBdr>
        <w:autoSpaceDE w:val="0"/>
        <w:autoSpaceDN w:val="0"/>
        <w:adjustRightInd w:val="0"/>
        <w:jc w:val="both"/>
        <w:rPr>
          <w:rFonts w:ascii="Arial" w:hAnsi="Arial" w:cs="Arial"/>
          <w:noProof/>
          <w:sz w:val="16"/>
          <w:szCs w:val="16"/>
          <w:bdr w:val="nil"/>
        </w:rPr>
      </w:pPr>
      <w:r>
        <w:rPr>
          <w:rFonts w:ascii="Arial" w:hAnsi="Arial" w:cs="Arial"/>
          <w:noProof/>
          <w:sz w:val="16"/>
          <w:szCs w:val="16"/>
        </w:rPr>
        <w:t>Financial guarantees are initially recognised in the statement of financial position under “Provisions for guarantees issued” at fair value plus transaction costs that are directly attributable to the issuance of the financial guarantees. At initial recognition the obligation to pay corresponds to the Net Present Value (NPV) of expected premium inflows or the initial expected loss.</w:t>
      </w:r>
    </w:p>
    <w:p w14:paraId="56EB7119" w14:textId="77777777" w:rsidR="00FD1E19" w:rsidRPr="007F4A87" w:rsidRDefault="00FD1E19" w:rsidP="00FD1E19">
      <w:pPr>
        <w:pBdr>
          <w:top w:val="nil"/>
          <w:left w:val="nil"/>
          <w:bottom w:val="nil"/>
          <w:right w:val="nil"/>
          <w:between w:val="nil"/>
          <w:bar w:val="nil"/>
        </w:pBdr>
        <w:autoSpaceDE w:val="0"/>
        <w:autoSpaceDN w:val="0"/>
        <w:adjustRightInd w:val="0"/>
        <w:spacing w:before="60" w:after="60"/>
        <w:rPr>
          <w:rFonts w:ascii="Arial" w:hAnsi="Arial" w:cs="Arial"/>
          <w:iCs/>
          <w:noProof/>
          <w:sz w:val="16"/>
          <w:szCs w:val="16"/>
          <w:bdr w:val="nil"/>
          <w:lang w:eastAsia="ar-SA"/>
        </w:rPr>
      </w:pPr>
    </w:p>
    <w:p w14:paraId="215EBAE7"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cs="Arial"/>
          <w:noProof/>
          <w:sz w:val="16"/>
          <w:szCs w:val="16"/>
        </w:rPr>
        <w:t>Subsequent to initial recognition, financial guarantees are measured at the higher of:</w:t>
      </w:r>
    </w:p>
    <w:p w14:paraId="4A34FC32" w14:textId="77777777" w:rsidR="00FD1E19" w:rsidRDefault="00FD1E19" w:rsidP="00FD1E19">
      <w:pPr>
        <w:pBdr>
          <w:top w:val="nil"/>
          <w:left w:val="nil"/>
          <w:bottom w:val="nil"/>
          <w:right w:val="nil"/>
          <w:between w:val="nil"/>
          <w:bar w:val="nil"/>
        </w:pBdr>
        <w:autoSpaceDE w:val="0"/>
        <w:autoSpaceDN w:val="0"/>
        <w:adjustRightInd w:val="0"/>
        <w:ind w:firstLine="720"/>
        <w:jc w:val="both"/>
        <w:rPr>
          <w:rFonts w:ascii="Arial" w:hAnsi="Arial" w:cs="Arial"/>
          <w:noProof/>
          <w:sz w:val="16"/>
          <w:szCs w:val="16"/>
          <w:bdr w:val="nil"/>
        </w:rPr>
      </w:pPr>
      <w:r>
        <w:rPr>
          <w:rFonts w:ascii="Arial" w:hAnsi="Arial" w:cs="Arial"/>
          <w:noProof/>
          <w:sz w:val="16"/>
          <w:szCs w:val="16"/>
        </w:rPr>
        <w:t>- The amount of the loss allowance as determined under IFRS 9; and</w:t>
      </w:r>
    </w:p>
    <w:p w14:paraId="6DBBE08E" w14:textId="77777777" w:rsidR="00FD1E19" w:rsidRDefault="00FD1E19" w:rsidP="00FD1E19">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r>
        <w:rPr>
          <w:rFonts w:ascii="Arial" w:hAnsi="Arial" w:cs="Arial"/>
          <w:noProof/>
          <w:sz w:val="16"/>
          <w:szCs w:val="16"/>
        </w:rPr>
        <w:t>- The premium initially recognised less income recognised in accordance with the principles of IFRS 15.</w:t>
      </w:r>
    </w:p>
    <w:p w14:paraId="5BA291FC" w14:textId="77777777" w:rsidR="00FD1E19" w:rsidRDefault="00FD1E19" w:rsidP="00FD1E19">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p>
    <w:p w14:paraId="06C747B1"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cs="Arial"/>
          <w:noProof/>
          <w:sz w:val="16"/>
          <w:szCs w:val="16"/>
        </w:rPr>
        <w:t>Any increase or decrease in the net liability (as measured per IFRS 9) relating to financial guarantees other than the payment of guarantee calls is recognised in the statement of profit or loss and other comprehensive income under “Change in provisions for guarantees”.</w:t>
      </w:r>
    </w:p>
    <w:p w14:paraId="26160E4B" w14:textId="77777777" w:rsidR="00FD1E19" w:rsidRDefault="00FD1E19" w:rsidP="00FD1E19">
      <w:pPr>
        <w:pBdr>
          <w:top w:val="nil"/>
          <w:left w:val="nil"/>
          <w:bottom w:val="nil"/>
          <w:right w:val="nil"/>
          <w:between w:val="nil"/>
          <w:bar w:val="nil"/>
        </w:pBdr>
        <w:autoSpaceDE w:val="0"/>
        <w:autoSpaceDN w:val="0"/>
        <w:adjustRightInd w:val="0"/>
        <w:spacing w:before="60" w:after="60"/>
        <w:ind w:firstLine="720"/>
        <w:jc w:val="both"/>
        <w:rPr>
          <w:rFonts w:ascii="Arial" w:hAnsi="Arial" w:cs="Arial"/>
          <w:noProof/>
          <w:sz w:val="16"/>
          <w:szCs w:val="16"/>
          <w:bdr w:val="nil"/>
        </w:rPr>
      </w:pPr>
    </w:p>
    <w:p w14:paraId="372F278B"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hAnsi="Arial" w:cs="Arial"/>
          <w:noProof/>
          <w:sz w:val="16"/>
          <w:szCs w:val="16"/>
          <w:bdr w:val="nil"/>
        </w:rPr>
      </w:pPr>
      <w:r>
        <w:rPr>
          <w:rFonts w:ascii="Arial" w:hAnsi="Arial" w:cs="Arial"/>
          <w:noProof/>
          <w:sz w:val="16"/>
          <w:szCs w:val="16"/>
        </w:rPr>
        <w:t>The premium received is recognised in the statement of profit or loss and other comprehensive income in “Fee and commission income” on the basis of an amortisation schedule in accordance with IFRS 15 over the life of the financial guarantee.</w:t>
      </w:r>
    </w:p>
    <w:p w14:paraId="270CC03C" w14:textId="77777777" w:rsidR="00FD1E19" w:rsidRDefault="00FD1E19" w:rsidP="00FD1E19">
      <w:pPr>
        <w:pBdr>
          <w:top w:val="nil"/>
          <w:left w:val="nil"/>
          <w:bottom w:val="nil"/>
          <w:right w:val="nil"/>
          <w:between w:val="nil"/>
          <w:bar w:val="nil"/>
        </w:pBdr>
        <w:spacing w:before="60" w:after="60"/>
        <w:rPr>
          <w:rFonts w:ascii="Arial" w:hAnsi="Arial" w:cs="Arial"/>
          <w:noProof/>
          <w:sz w:val="16"/>
          <w:szCs w:val="16"/>
          <w:bdr w:val="nil"/>
        </w:rPr>
      </w:pPr>
    </w:p>
    <w:p w14:paraId="2F37953D" w14:textId="77777777" w:rsidR="00FD1E19" w:rsidRPr="00604092" w:rsidRDefault="00FD1E19" w:rsidP="00FD1E19">
      <w:pPr>
        <w:numPr>
          <w:ilvl w:val="2"/>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sidRPr="00604092">
        <w:rPr>
          <w:rFonts w:ascii="Arial" w:hAnsi="Arial"/>
          <w:b/>
          <w:noProof/>
          <w:sz w:val="16"/>
          <w:szCs w:val="16"/>
          <w:lang w:eastAsia="ar-SA"/>
        </w:rPr>
        <w:tab/>
        <w:t>Financial liabilities other than derivatives</w:t>
      </w:r>
    </w:p>
    <w:p w14:paraId="02651E07"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7C3DB65A" w14:textId="77777777" w:rsidR="00FD1E19" w:rsidRDefault="00FD1E19" w:rsidP="00FD1E19">
      <w:pPr>
        <w:pBdr>
          <w:top w:val="nil"/>
          <w:left w:val="nil"/>
          <w:bottom w:val="nil"/>
          <w:right w:val="nil"/>
          <w:between w:val="nil"/>
          <w:bar w:val="nil"/>
        </w:pBdr>
        <w:tabs>
          <w:tab w:val="right" w:pos="-2700"/>
        </w:tabs>
        <w:suppressAutoHyphens/>
        <w:spacing w:before="60" w:after="60"/>
        <w:ind w:left="680" w:hanging="680"/>
        <w:jc w:val="both"/>
        <w:rPr>
          <w:rFonts w:ascii="Arial" w:hAnsi="Arial" w:cs="Arial"/>
          <w:b/>
          <w:i/>
          <w:noProof/>
          <w:sz w:val="16"/>
          <w:szCs w:val="16"/>
          <w:bdr w:val="nil"/>
          <w:lang w:eastAsia="ar-SA"/>
        </w:rPr>
      </w:pPr>
      <w:r>
        <w:rPr>
          <w:rFonts w:ascii="Arial" w:hAnsi="Arial" w:cs="Arial"/>
          <w:b/>
          <w:i/>
          <w:noProof/>
          <w:sz w:val="16"/>
          <w:szCs w:val="16"/>
          <w:lang w:eastAsia="ar-SA"/>
        </w:rPr>
        <w:t>Classification and measurement</w:t>
      </w:r>
    </w:p>
    <w:p w14:paraId="6689834C"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cs="Arial"/>
          <w:noProof/>
          <w:sz w:val="16"/>
          <w:szCs w:val="16"/>
          <w:bdr w:val="nil"/>
          <w:lang w:eastAsia="ar-SA"/>
        </w:rPr>
      </w:pPr>
    </w:p>
    <w:p w14:paraId="447EDB0B" w14:textId="77777777" w:rsidR="00FD1E19" w:rsidRDefault="00FD1E19" w:rsidP="00FD1E19">
      <w:pPr>
        <w:pBdr>
          <w:top w:val="nil"/>
          <w:left w:val="nil"/>
          <w:bottom w:val="nil"/>
          <w:right w:val="nil"/>
          <w:between w:val="nil"/>
          <w:bar w:val="nil"/>
        </w:pBdr>
        <w:spacing w:before="60" w:after="60"/>
        <w:jc w:val="both"/>
        <w:rPr>
          <w:rFonts w:ascii="Arial" w:hAnsi="Arial" w:cs="Arial"/>
          <w:i/>
          <w:noProof/>
          <w:sz w:val="16"/>
          <w:szCs w:val="16"/>
          <w:bdr w:val="nil"/>
        </w:rPr>
      </w:pPr>
      <w:r>
        <w:rPr>
          <w:rFonts w:ascii="Arial" w:hAnsi="Arial" w:cs="Arial"/>
          <w:i/>
          <w:noProof/>
          <w:sz w:val="16"/>
          <w:szCs w:val="16"/>
        </w:rPr>
        <w:t xml:space="preserve">Financial liabilities </w:t>
      </w:r>
    </w:p>
    <w:p w14:paraId="51A60611" w14:textId="77777777" w:rsidR="00FD1E19" w:rsidRDefault="00FD1E19" w:rsidP="00FD1E19">
      <w:pPr>
        <w:pBdr>
          <w:top w:val="nil"/>
          <w:left w:val="nil"/>
          <w:bottom w:val="nil"/>
          <w:right w:val="nil"/>
          <w:between w:val="nil"/>
          <w:bar w:val="nil"/>
        </w:pBdr>
        <w:tabs>
          <w:tab w:val="right" w:pos="-2700"/>
        </w:tabs>
        <w:suppressAutoHyphens/>
        <w:spacing w:before="60" w:after="60"/>
        <w:ind w:left="680" w:hanging="680"/>
        <w:jc w:val="both"/>
        <w:rPr>
          <w:rFonts w:ascii="Arial" w:hAnsi="Arial" w:cs="Arial"/>
          <w:i/>
          <w:noProof/>
          <w:sz w:val="16"/>
          <w:szCs w:val="16"/>
          <w:bdr w:val="nil"/>
          <w:lang w:eastAsia="ar-SA"/>
        </w:rPr>
      </w:pPr>
    </w:p>
    <w:p w14:paraId="6943A88B" w14:textId="77777777" w:rsidR="00FD1E19" w:rsidRDefault="00FD1E19" w:rsidP="00FD1E19">
      <w:pPr>
        <w:pBdr>
          <w:top w:val="nil"/>
          <w:left w:val="nil"/>
          <w:bottom w:val="nil"/>
          <w:right w:val="nil"/>
          <w:between w:val="nil"/>
          <w:bar w:val="nil"/>
        </w:pBdr>
        <w:tabs>
          <w:tab w:val="right" w:pos="-2700"/>
        </w:tabs>
        <w:suppressAutoHyphens/>
        <w:spacing w:before="60" w:after="60"/>
        <w:ind w:left="680" w:hanging="680"/>
        <w:jc w:val="both"/>
        <w:rPr>
          <w:rFonts w:ascii="Arial" w:eastAsia="Calibri" w:hAnsi="Arial" w:cs="Arial"/>
          <w:noProof/>
          <w:color w:val="000000"/>
          <w:sz w:val="16"/>
          <w:szCs w:val="16"/>
          <w:bdr w:val="nil"/>
        </w:rPr>
      </w:pPr>
      <w:r w:rsidRPr="00B26B9E">
        <w:rPr>
          <w:rFonts w:ascii="Arial" w:eastAsia="Calibri" w:hAnsi="Arial" w:cs="Arial"/>
          <w:noProof/>
          <w:color w:val="000000"/>
          <w:sz w:val="16"/>
          <w:szCs w:val="16"/>
        </w:rPr>
        <w:t xml:space="preserve">A financial liability is measured at amortised cost except for financial liabilities: </w:t>
      </w:r>
    </w:p>
    <w:p w14:paraId="63A5CBB0" w14:textId="77777777" w:rsidR="00FD1E19" w:rsidRPr="00B26B9E" w:rsidRDefault="00FD1E19" w:rsidP="00FD1E19">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lang w:eastAsia="ar-SA"/>
        </w:rPr>
      </w:pPr>
      <w:r w:rsidRPr="00B26B9E">
        <w:rPr>
          <w:rFonts w:ascii="Arial" w:hAnsi="Arial"/>
          <w:noProof/>
          <w:sz w:val="16"/>
          <w:szCs w:val="16"/>
          <w:lang w:eastAsia="ar-SA"/>
        </w:rPr>
        <w:t>are mandatorily measured at fair value through profit or loss (e.g. derivative liabilities); and</w:t>
      </w:r>
    </w:p>
    <w:p w14:paraId="6A840E0E" w14:textId="77777777" w:rsidR="00FD1E19" w:rsidRPr="00B26B9E" w:rsidRDefault="00FD1E19" w:rsidP="00FD1E19">
      <w:pPr>
        <w:widowControl w:val="0"/>
        <w:numPr>
          <w:ilvl w:val="0"/>
          <w:numId w:val="27"/>
        </w:numPr>
        <w:pBdr>
          <w:top w:val="nil"/>
          <w:left w:val="nil"/>
          <w:bottom w:val="nil"/>
          <w:right w:val="nil"/>
          <w:between w:val="nil"/>
          <w:bar w:val="nil"/>
        </w:pBdr>
        <w:suppressAutoHyphens/>
        <w:autoSpaceDE w:val="0"/>
        <w:spacing w:before="60" w:after="60" w:line="240" w:lineRule="auto"/>
        <w:jc w:val="both"/>
        <w:rPr>
          <w:rFonts w:ascii="Arial" w:hAnsi="Arial"/>
          <w:noProof/>
          <w:sz w:val="16"/>
          <w:szCs w:val="16"/>
          <w:bdr w:val="nil"/>
          <w:lang w:eastAsia="ar-SA"/>
        </w:rPr>
      </w:pPr>
      <w:r w:rsidRPr="00B26B9E">
        <w:rPr>
          <w:rFonts w:ascii="Arial" w:hAnsi="Arial"/>
          <w:noProof/>
          <w:sz w:val="16"/>
          <w:szCs w:val="16"/>
          <w:lang w:eastAsia="ar-SA"/>
        </w:rPr>
        <w:t>that are designated as measured at fair value through profit or loss.</w:t>
      </w:r>
    </w:p>
    <w:p w14:paraId="671C173C" w14:textId="77777777" w:rsidR="00FD1E19" w:rsidRDefault="00FD1E19" w:rsidP="00FD1E19">
      <w:pPr>
        <w:pBdr>
          <w:top w:val="nil"/>
          <w:left w:val="nil"/>
          <w:bottom w:val="nil"/>
          <w:right w:val="nil"/>
          <w:between w:val="nil"/>
          <w:bar w:val="nil"/>
        </w:pBdr>
        <w:tabs>
          <w:tab w:val="right" w:pos="-2700"/>
        </w:tabs>
        <w:suppressAutoHyphens/>
        <w:jc w:val="both"/>
        <w:rPr>
          <w:rFonts w:ascii="Arial" w:hAnsi="Arial" w:cs="Arial"/>
          <w:noProof/>
          <w:sz w:val="16"/>
          <w:szCs w:val="16"/>
          <w:bdr w:val="nil"/>
        </w:rPr>
      </w:pPr>
    </w:p>
    <w:p w14:paraId="3BB44512" w14:textId="77777777" w:rsidR="00FD1E19" w:rsidRDefault="00FD1E19" w:rsidP="00FD1E19">
      <w:pPr>
        <w:pBdr>
          <w:top w:val="nil"/>
          <w:left w:val="nil"/>
          <w:bottom w:val="nil"/>
          <w:right w:val="nil"/>
          <w:between w:val="nil"/>
          <w:bar w:val="nil"/>
        </w:pBdr>
        <w:autoSpaceDE w:val="0"/>
        <w:autoSpaceDN w:val="0"/>
        <w:adjustRightInd w:val="0"/>
        <w:jc w:val="both"/>
        <w:rPr>
          <w:rFonts w:ascii="Arial" w:eastAsia="Calibri" w:hAnsi="Arial" w:cs="Arial"/>
          <w:noProof/>
          <w:color w:val="000000"/>
          <w:sz w:val="16"/>
          <w:szCs w:val="16"/>
          <w:bdr w:val="nil"/>
        </w:rPr>
      </w:pPr>
      <w:r>
        <w:rPr>
          <w:rFonts w:ascii="Arial" w:eastAsia="Calibri" w:hAnsi="Arial" w:cs="Arial"/>
          <w:noProof/>
          <w:color w:val="000000"/>
          <w:sz w:val="16"/>
          <w:szCs w:val="16"/>
        </w:rPr>
        <w:t xml:space="preserve">The Facility derecognises a financial liability when its contractual obligations are discharged, cancelled or expired. </w:t>
      </w:r>
    </w:p>
    <w:p w14:paraId="0DCA8913" w14:textId="77777777" w:rsidR="00FD1E19" w:rsidRDefault="00FD1E19" w:rsidP="00FD1E19">
      <w:pPr>
        <w:pBdr>
          <w:top w:val="nil"/>
          <w:left w:val="nil"/>
          <w:bottom w:val="nil"/>
          <w:right w:val="nil"/>
          <w:between w:val="nil"/>
          <w:bar w:val="nil"/>
        </w:pBdr>
        <w:autoSpaceDE w:val="0"/>
        <w:autoSpaceDN w:val="0"/>
        <w:adjustRightInd w:val="0"/>
        <w:jc w:val="both"/>
        <w:rPr>
          <w:rFonts w:ascii="Arial" w:eastAsia="Calibri" w:hAnsi="Arial" w:cs="Arial"/>
          <w:noProof/>
          <w:color w:val="000000"/>
          <w:sz w:val="16"/>
          <w:szCs w:val="16"/>
          <w:bdr w:val="nil"/>
        </w:rPr>
      </w:pPr>
    </w:p>
    <w:p w14:paraId="2DF966F5" w14:textId="77777777" w:rsidR="00FD1E19" w:rsidRPr="00E74196" w:rsidRDefault="00FD1E19" w:rsidP="00FD1E19">
      <w:pPr>
        <w:numPr>
          <w:ilvl w:val="2"/>
          <w:numId w:val="2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sidRPr="00604092">
        <w:rPr>
          <w:rFonts w:ascii="Arial" w:hAnsi="Arial"/>
          <w:b/>
          <w:noProof/>
          <w:sz w:val="16"/>
          <w:szCs w:val="16"/>
          <w:lang w:eastAsia="ar-SA"/>
        </w:rPr>
        <w:tab/>
      </w:r>
      <w:r w:rsidRPr="00116C45">
        <w:rPr>
          <w:rFonts w:ascii="Arial" w:hAnsi="Arial"/>
          <w:b/>
          <w:noProof/>
          <w:sz w:val="16"/>
          <w:szCs w:val="16"/>
          <w:lang w:eastAsia="ar-SA"/>
        </w:rPr>
        <w:t>Derivative financial instruments</w:t>
      </w:r>
    </w:p>
    <w:p w14:paraId="53EFA2AA" w14:textId="77777777" w:rsidR="00FD1E19" w:rsidRPr="00E7419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2B402F8C"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Pr>
          <w:rFonts w:ascii="Arial" w:hAnsi="Arial"/>
          <w:noProof/>
          <w:sz w:val="16"/>
          <w:szCs w:val="16"/>
          <w:lang w:eastAsia="ar-SA"/>
        </w:rPr>
        <w:t>Derivative financial instruments include cross currency swaps, cross currency interest rate swaps and short-term currency swaps (“FX swaps”).</w:t>
      </w:r>
    </w:p>
    <w:p w14:paraId="586CD4E4"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14:paraId="62301029"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eastAsia="Calibri" w:hAnsi="Arial" w:cs="Arial"/>
          <w:noProof/>
          <w:color w:val="000000"/>
          <w:sz w:val="16"/>
          <w:szCs w:val="16"/>
        </w:rPr>
        <w:t>Derivative financial instruments are initially recognised using the trade date basis.</w:t>
      </w:r>
    </w:p>
    <w:p w14:paraId="68E8CCDC"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14:paraId="4607F734"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eastAsia="Calibri" w:hAnsi="Arial" w:cs="Arial"/>
          <w:noProof/>
          <w:color w:val="000000"/>
          <w:sz w:val="16"/>
          <w:szCs w:val="16"/>
        </w:rPr>
        <w:t>In the normal course of its activity, the Facility may enter into swap contracts with a view to hedge specific lending operations or into currency forward contract with a view to hedge its currency positions, denominated in actively traded currencies other than the Euro, in order to offset any gain or loss caused by foreign exchange rate fluctuations.</w:t>
      </w:r>
    </w:p>
    <w:p w14:paraId="3AA35338"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14:paraId="26BC5034"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eastAsia="Calibri" w:hAnsi="Arial" w:cs="Arial"/>
          <w:noProof/>
          <w:color w:val="000000"/>
          <w:sz w:val="16"/>
          <w:szCs w:val="16"/>
        </w:rPr>
        <w:t>All derivatives are measured at FVTPL and are reported as derivative financial instruments. Fair values are derived primarily from discounted cash-flow models, option-pricing models and from third party quotes.</w:t>
      </w:r>
    </w:p>
    <w:p w14:paraId="215DB1F6"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14:paraId="2280E065"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eastAsia="Calibri" w:hAnsi="Arial" w:cs="Arial"/>
          <w:noProof/>
          <w:color w:val="000000"/>
          <w:sz w:val="16"/>
          <w:szCs w:val="16"/>
        </w:rPr>
        <w:t>Derivatives are recorded at fair value and carried as assets when their fair value is positive and as liabilities when their fair value is negative. Changes in the fair value of derivative financial instruments are shown in the statement of profit or loss and other comprehensive income under “Fair value change of derivative financial instruments”.</w:t>
      </w:r>
    </w:p>
    <w:p w14:paraId="452D34BE"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p>
    <w:p w14:paraId="724D43BF" w14:textId="77777777" w:rsidR="00FD1E1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rPr>
      </w:pPr>
      <w:r>
        <w:rPr>
          <w:rFonts w:ascii="Arial" w:eastAsia="Calibri" w:hAnsi="Arial" w:cs="Arial"/>
          <w:noProof/>
          <w:color w:val="000000"/>
          <w:sz w:val="16"/>
          <w:szCs w:val="16"/>
        </w:rPr>
        <w:t>Under IFRS 9, bifurcation requirements regarding embedded derivatives have been eliminated for financial assets or financial liabilities and therefore, the hybrid contract is treated as a whole for classification of financial assets or financial liability accordingly.</w:t>
      </w:r>
    </w:p>
    <w:p w14:paraId="192CF7B7" w14:textId="77777777" w:rsidR="00FD1E19" w:rsidRPr="000E2EF9" w:rsidRDefault="00FD1E19" w:rsidP="00FD1E19">
      <w:pPr>
        <w:pBdr>
          <w:top w:val="nil"/>
          <w:left w:val="nil"/>
          <w:bottom w:val="nil"/>
          <w:right w:val="nil"/>
          <w:between w:val="nil"/>
          <w:bar w:val="nil"/>
        </w:pBdr>
        <w:autoSpaceDE w:val="0"/>
        <w:autoSpaceDN w:val="0"/>
        <w:adjustRightInd w:val="0"/>
        <w:spacing w:before="60" w:after="60"/>
        <w:jc w:val="both"/>
        <w:rPr>
          <w:rFonts w:ascii="Arial" w:eastAsia="Calibri" w:hAnsi="Arial" w:cs="Arial"/>
          <w:noProof/>
          <w:color w:val="000000"/>
          <w:sz w:val="16"/>
          <w:szCs w:val="16"/>
          <w:bdr w:val="nil"/>
          <w:lang w:val="en-US"/>
        </w:rPr>
      </w:pPr>
    </w:p>
    <w:p w14:paraId="6D27EEBC" w14:textId="77777777" w:rsidR="00FD1E19" w:rsidRPr="00604092" w:rsidRDefault="00FD1E19" w:rsidP="00FD1E19">
      <w:pPr>
        <w:numPr>
          <w:ilvl w:val="2"/>
          <w:numId w:val="25"/>
        </w:numPr>
        <w:pBdr>
          <w:top w:val="nil"/>
          <w:left w:val="nil"/>
          <w:bottom w:val="nil"/>
          <w:right w:val="nil"/>
          <w:between w:val="nil"/>
          <w:bar w:val="nil"/>
        </w:pBdr>
        <w:tabs>
          <w:tab w:val="right" w:pos="-2700"/>
        </w:tabs>
        <w:suppressAutoHyphens/>
        <w:spacing w:before="60" w:after="60" w:line="240" w:lineRule="auto"/>
        <w:ind w:left="357" w:hanging="357"/>
        <w:jc w:val="both"/>
        <w:rPr>
          <w:rFonts w:ascii="Arial" w:hAnsi="Arial"/>
          <w:b/>
          <w:noProof/>
          <w:sz w:val="16"/>
          <w:szCs w:val="16"/>
          <w:bdr w:val="nil"/>
          <w:lang w:eastAsia="ar-SA"/>
        </w:rPr>
      </w:pPr>
      <w:r w:rsidRPr="00604092">
        <w:rPr>
          <w:rFonts w:ascii="Arial" w:hAnsi="Arial"/>
          <w:b/>
          <w:noProof/>
          <w:sz w:val="16"/>
          <w:szCs w:val="16"/>
          <w:lang w:eastAsia="ar-SA"/>
        </w:rPr>
        <w:tab/>
        <w:t>Contributions</w:t>
      </w:r>
    </w:p>
    <w:p w14:paraId="2FFE9889"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552E8B85"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Contributions from Member States are recognised as receivables in the statement of financial position on the date of the Council Decision fixing the financial contribution to be paid by the Member States to the Facility.</w:t>
      </w:r>
    </w:p>
    <w:p w14:paraId="75AB5FA7"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4A8190EA"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Member States contributions meet the following conditions and are consequently classified as equity:</w:t>
      </w:r>
    </w:p>
    <w:p w14:paraId="67A1359A" w14:textId="77777777" w:rsidR="00FD1E19" w:rsidRPr="00BD1346" w:rsidRDefault="00FD1E19" w:rsidP="00FD1E19">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as defined in the contribution agreement, they entitle the Member States to decide on the utilisation of the Facility’s net assets in the events of the Facility’s liquidation;</w:t>
      </w:r>
    </w:p>
    <w:p w14:paraId="2E92318F" w14:textId="77777777" w:rsidR="00FD1E19" w:rsidRPr="00BD1346" w:rsidRDefault="00FD1E19" w:rsidP="00FD1E19">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they are in the class of instruments that is subordinate</w:t>
      </w:r>
      <w:r>
        <w:rPr>
          <w:rFonts w:ascii="Arial" w:hAnsi="Arial"/>
          <w:noProof/>
          <w:sz w:val="16"/>
          <w:szCs w:val="16"/>
          <w:lang w:eastAsia="ar-SA"/>
        </w:rPr>
        <w:t>d</w:t>
      </w:r>
      <w:r w:rsidRPr="00BD1346">
        <w:rPr>
          <w:rFonts w:ascii="Arial" w:hAnsi="Arial"/>
          <w:noProof/>
          <w:sz w:val="16"/>
          <w:szCs w:val="16"/>
          <w:lang w:eastAsia="ar-SA"/>
        </w:rPr>
        <w:t xml:space="preserve"> to all other classes of instruments;</w:t>
      </w:r>
    </w:p>
    <w:p w14:paraId="398401E8" w14:textId="77777777" w:rsidR="00FD1E19" w:rsidRPr="00BD1346" w:rsidRDefault="00FD1E19" w:rsidP="00FD1E19">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 xml:space="preserve">all financial instruments in the class of instruments that </w:t>
      </w:r>
      <w:r>
        <w:rPr>
          <w:rFonts w:ascii="Arial" w:hAnsi="Arial"/>
          <w:noProof/>
          <w:sz w:val="16"/>
          <w:szCs w:val="16"/>
          <w:lang w:eastAsia="ar-SA"/>
        </w:rPr>
        <w:t>are</w:t>
      </w:r>
      <w:r w:rsidRPr="00BD1346">
        <w:rPr>
          <w:rFonts w:ascii="Arial" w:hAnsi="Arial"/>
          <w:noProof/>
          <w:sz w:val="16"/>
          <w:szCs w:val="16"/>
          <w:lang w:eastAsia="ar-SA"/>
        </w:rPr>
        <w:t xml:space="preserve"> subordinate</w:t>
      </w:r>
      <w:r>
        <w:rPr>
          <w:rFonts w:ascii="Arial" w:hAnsi="Arial"/>
          <w:noProof/>
          <w:sz w:val="16"/>
          <w:szCs w:val="16"/>
          <w:lang w:eastAsia="ar-SA"/>
        </w:rPr>
        <w:t>d</w:t>
      </w:r>
      <w:r w:rsidRPr="00BD1346">
        <w:rPr>
          <w:rFonts w:ascii="Arial" w:hAnsi="Arial"/>
          <w:noProof/>
          <w:sz w:val="16"/>
          <w:szCs w:val="16"/>
          <w:lang w:eastAsia="ar-SA"/>
        </w:rPr>
        <w:t xml:space="preserve"> to all other classes of instruments have identical features;</w:t>
      </w:r>
    </w:p>
    <w:p w14:paraId="1849FBA6" w14:textId="77777777" w:rsidR="00FD1E19" w:rsidRPr="00BD1346" w:rsidRDefault="00FD1E19" w:rsidP="00FD1E19">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the instrument does not include any features that would require classification as a liability; and</w:t>
      </w:r>
    </w:p>
    <w:p w14:paraId="6947C507" w14:textId="77777777" w:rsidR="00FD1E19" w:rsidRDefault="00FD1E19" w:rsidP="00FD1E19">
      <w:pPr>
        <w:numPr>
          <w:ilvl w:val="0"/>
          <w:numId w:val="42"/>
        </w:numPr>
        <w:pBdr>
          <w:top w:val="nil"/>
          <w:left w:val="nil"/>
          <w:bottom w:val="nil"/>
          <w:right w:val="nil"/>
          <w:between w:val="nil"/>
          <w:bar w:val="nil"/>
        </w:pBdr>
        <w:tabs>
          <w:tab w:val="left" w:pos="340"/>
        </w:tabs>
        <w:suppressAutoHyphens/>
        <w:spacing w:before="60" w:after="60" w:line="240" w:lineRule="auto"/>
        <w:jc w:val="both"/>
        <w:rPr>
          <w:rFonts w:ascii="Arial" w:hAnsi="Arial"/>
          <w:noProof/>
          <w:sz w:val="16"/>
          <w:szCs w:val="16"/>
          <w:bdr w:val="nil"/>
          <w:lang w:eastAsia="ar-SA"/>
        </w:rPr>
      </w:pPr>
      <w:r w:rsidRPr="00BD1346">
        <w:rPr>
          <w:rFonts w:ascii="Arial" w:hAnsi="Arial"/>
          <w:noProof/>
          <w:sz w:val="16"/>
          <w:szCs w:val="16"/>
          <w:lang w:eastAsia="ar-SA"/>
        </w:rPr>
        <w:t>the total expected cash flows attributable to the instrument over its life are based substantially on the profit or loss, the change in the recognised net assets or the change in the fair value of the recognised and unrecognised net assets of the Facility over the life of the instrument.</w:t>
      </w:r>
    </w:p>
    <w:p w14:paraId="015E8074" w14:textId="77777777" w:rsidR="00FD1E19" w:rsidRDefault="00FD1E19" w:rsidP="00FD1E19">
      <w:pPr>
        <w:pBdr>
          <w:top w:val="nil"/>
          <w:left w:val="nil"/>
          <w:bottom w:val="nil"/>
          <w:right w:val="nil"/>
          <w:between w:val="nil"/>
          <w:bar w:val="nil"/>
        </w:pBdr>
        <w:tabs>
          <w:tab w:val="left" w:pos="340"/>
        </w:tabs>
        <w:suppressAutoHyphens/>
        <w:spacing w:before="60" w:after="60"/>
        <w:jc w:val="both"/>
        <w:rPr>
          <w:rFonts w:ascii="Arial" w:hAnsi="Arial"/>
          <w:noProof/>
          <w:sz w:val="16"/>
          <w:szCs w:val="16"/>
          <w:bdr w:val="nil"/>
          <w:lang w:eastAsia="ar-SA"/>
        </w:rPr>
      </w:pPr>
    </w:p>
    <w:p w14:paraId="21728CA1" w14:textId="77777777" w:rsidR="00FD1E19" w:rsidRDefault="00FD1E19" w:rsidP="00FD1E19">
      <w:pPr>
        <w:pBdr>
          <w:top w:val="nil"/>
          <w:left w:val="nil"/>
          <w:bottom w:val="nil"/>
          <w:right w:val="nil"/>
          <w:between w:val="nil"/>
          <w:bar w:val="nil"/>
        </w:pBdr>
        <w:autoSpaceDE w:val="0"/>
        <w:autoSpaceDN w:val="0"/>
        <w:adjustRightInd w:val="0"/>
        <w:spacing w:before="60" w:after="60"/>
        <w:rPr>
          <w:rFonts w:ascii="Arial" w:hAnsi="Arial" w:cs="Arial"/>
          <w:noProof/>
          <w:sz w:val="16"/>
          <w:szCs w:val="16"/>
          <w:bdr w:val="nil"/>
        </w:rPr>
      </w:pPr>
      <w:r>
        <w:rPr>
          <w:rFonts w:ascii="Arial" w:hAnsi="Arial" w:cs="Arial"/>
          <w:noProof/>
          <w:sz w:val="16"/>
          <w:szCs w:val="16"/>
        </w:rPr>
        <w:t>Contributions are classified and measured at AC in the financial statements.</w:t>
      </w:r>
    </w:p>
    <w:p w14:paraId="4289AF97" w14:textId="77777777" w:rsidR="00FD1E19" w:rsidRDefault="00FD1E19" w:rsidP="00FD1E19">
      <w:pPr>
        <w:pBdr>
          <w:top w:val="nil"/>
          <w:left w:val="nil"/>
          <w:bottom w:val="nil"/>
          <w:right w:val="nil"/>
          <w:between w:val="nil"/>
          <w:bar w:val="nil"/>
        </w:pBdr>
        <w:autoSpaceDE w:val="0"/>
        <w:autoSpaceDN w:val="0"/>
        <w:adjustRightInd w:val="0"/>
        <w:spacing w:before="60" w:after="60"/>
        <w:rPr>
          <w:rFonts w:ascii="Arial" w:hAnsi="Arial" w:cs="Arial"/>
          <w:noProof/>
          <w:sz w:val="16"/>
          <w:szCs w:val="16"/>
          <w:bdr w:val="nil"/>
        </w:rPr>
      </w:pPr>
    </w:p>
    <w:p w14:paraId="3722148D"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Pr>
          <w:rFonts w:ascii="Arial" w:eastAsia="Arial" w:hAnsi="Arial" w:cs="Arial"/>
          <w:bCs/>
          <w:noProof/>
          <w:color w:val="000000"/>
          <w:sz w:val="16"/>
          <w:lang w:eastAsia="ar-SA"/>
        </w:rPr>
        <w:t>Member States Contributions paid out represent Available Reflows paid out to the EC and the UK</w:t>
      </w:r>
      <w:r>
        <w:rPr>
          <w:rFonts w:ascii="Arial" w:hAnsi="Arial"/>
          <w:bCs/>
          <w:noProof/>
          <w:sz w:val="16"/>
          <w:szCs w:val="16"/>
          <w:bdr w:val="none" w:sz="0" w:space="0" w:color="auto" w:frame="1"/>
          <w:lang w:eastAsia="ar-SA"/>
        </w:rPr>
        <w:t xml:space="preserve">. </w:t>
      </w:r>
      <w:r>
        <w:rPr>
          <w:rFonts w:ascii="Arial" w:hAnsi="Arial"/>
          <w:noProof/>
          <w:sz w:val="16"/>
          <w:szCs w:val="16"/>
          <w:bdr w:val="none" w:sz="0" w:space="0" w:color="auto" w:frame="1"/>
          <w:lang w:eastAsia="ar-SA"/>
        </w:rPr>
        <w:t xml:space="preserve">As per the Transfer Agreement, as of year 2024 and until 31 December 2027, not later than 31 March of each year, the EIB shall report, in writing, the amount of available ACP IF Reflows, and the amount of available OCT IF Reflows, accumulated respectively as of 31 December of the preceding year (the “Report on Available Reflows”). The Report on Available Reflows shall distinguish between the Reflows that are to be transferred to the Commission (ACP and OCT Reflows), and the Reflows that are to be transferred to the United Kingdom (“UK”). </w:t>
      </w:r>
      <w:bookmarkStart w:id="217" w:name="_Hlk157788576"/>
      <w:r>
        <w:rPr>
          <w:rFonts w:ascii="Arial" w:hAnsi="Arial"/>
          <w:noProof/>
          <w:sz w:val="16"/>
          <w:szCs w:val="16"/>
          <w:bdr w:val="none" w:sz="0" w:space="0" w:color="auto" w:frame="1"/>
          <w:lang w:eastAsia="ar-SA"/>
        </w:rPr>
        <w:t>Available Reflows are recognised in the statement of financial position when corresponding payment request is sent to the Facility.</w:t>
      </w:r>
      <w:bookmarkEnd w:id="217"/>
    </w:p>
    <w:p w14:paraId="317B3B8B"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5FA80090" w14:textId="77777777" w:rsidR="00FD1E19" w:rsidRDefault="00FD1E19" w:rsidP="00FD1E19">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604092">
        <w:rPr>
          <w:rFonts w:ascii="Arial" w:hAnsi="Arial"/>
          <w:b/>
          <w:noProof/>
          <w:sz w:val="16"/>
          <w:szCs w:val="16"/>
          <w:lang w:eastAsia="ar-SA"/>
        </w:rPr>
        <w:tab/>
        <w:t xml:space="preserve">Interest and similar income </w:t>
      </w:r>
    </w:p>
    <w:p w14:paraId="4B2A6F93"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36073D62"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Interest on loans originated by the Facility is recorded in the </w:t>
      </w:r>
      <w:r>
        <w:rPr>
          <w:rFonts w:ascii="Arial" w:hAnsi="Arial"/>
          <w:noProof/>
          <w:sz w:val="16"/>
          <w:szCs w:val="16"/>
          <w:lang w:eastAsia="ar-SA"/>
        </w:rPr>
        <w:t>statement of profit or loss and other comprehensive income</w:t>
      </w:r>
      <w:r w:rsidRPr="00BD1346">
        <w:rPr>
          <w:rFonts w:ascii="Arial" w:hAnsi="Arial"/>
          <w:noProof/>
          <w:sz w:val="16"/>
          <w:szCs w:val="16"/>
          <w:lang w:eastAsia="ar-SA"/>
        </w:rPr>
        <w:t xml:space="preserve"> (‘Interest and similar income’) and </w:t>
      </w:r>
      <w:r>
        <w:rPr>
          <w:rFonts w:ascii="Arial" w:hAnsi="Arial"/>
          <w:noProof/>
          <w:sz w:val="16"/>
          <w:szCs w:val="16"/>
          <w:lang w:eastAsia="ar-SA"/>
        </w:rPr>
        <w:t>in</w:t>
      </w:r>
      <w:r w:rsidRPr="00BD1346">
        <w:rPr>
          <w:rFonts w:ascii="Arial" w:hAnsi="Arial"/>
          <w:noProof/>
          <w:sz w:val="16"/>
          <w:szCs w:val="16"/>
          <w:lang w:eastAsia="ar-SA"/>
        </w:rPr>
        <w:t xml:space="preserve"> the statement of financial position (‘</w:t>
      </w:r>
      <w:r>
        <w:rPr>
          <w:rFonts w:ascii="Arial" w:hAnsi="Arial"/>
          <w:noProof/>
          <w:sz w:val="16"/>
          <w:szCs w:val="16"/>
          <w:lang w:eastAsia="ar-SA"/>
        </w:rPr>
        <w:t>Loans and advances</w:t>
      </w:r>
      <w:r w:rsidRPr="00BD1346">
        <w:rPr>
          <w:rFonts w:ascii="Arial" w:hAnsi="Arial"/>
          <w:noProof/>
          <w:sz w:val="16"/>
          <w:szCs w:val="16"/>
          <w:lang w:eastAsia="ar-SA"/>
        </w:rPr>
        <w:t>’) on an accrual basis using the effective interest rate, which is the rate that exactly discounts estimated future cash payments or receipts through the expected life of the loan to the net carrying amount of the loan. Once the recorded value of a loan has been reduced due to impairment, interest income continues to be recognised using the original effective interest rate applied to the new carrying amount.</w:t>
      </w:r>
    </w:p>
    <w:p w14:paraId="4ECAB06B"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50DECE37"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Pr>
          <w:rFonts w:ascii="Arial" w:hAnsi="Arial"/>
          <w:noProof/>
          <w:sz w:val="16"/>
          <w:szCs w:val="16"/>
          <w:lang w:eastAsia="ar-SA"/>
        </w:rPr>
        <w:t>Interest on the POCI loans is recorded in the statement of profit or loss and other comprehensive income (‘Interest and similar income’) and in the statement of financial position (‘Loans and advances’) on an accrual basis using the credit- adjusted  effective interest rate through the whole life of the loan, which is the rate that exactly discounts estimated future cash payments or receipts through the expected life of the loan to the amortised cost of the loan.</w:t>
      </w:r>
    </w:p>
    <w:p w14:paraId="0E99E98D"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41A18A55"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255A3D">
        <w:rPr>
          <w:rFonts w:ascii="Arial" w:hAnsi="Arial"/>
          <w:noProof/>
          <w:sz w:val="16"/>
          <w:szCs w:val="16"/>
          <w:lang w:eastAsia="ar-SA"/>
        </w:rPr>
        <w:t>Interest subsidies received for the Facility’s resources are deferred and recognised as an adjustment to the effective yield, being recorded under “Interest and similar income” in the income statement over the period from disbursement to repayment of the subsidised loan.</w:t>
      </w:r>
    </w:p>
    <w:p w14:paraId="6D44BCFD"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01131526"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Commitment fees are deferred and recognised in income using the effective interest method over the period from disbursement to repayment of the related loan</w:t>
      </w:r>
      <w:r>
        <w:rPr>
          <w:rFonts w:ascii="Arial" w:hAnsi="Arial"/>
          <w:noProof/>
          <w:sz w:val="16"/>
          <w:szCs w:val="16"/>
          <w:lang w:eastAsia="ar-SA"/>
        </w:rPr>
        <w:t>, and are presented in the statement of profit or loss and other comprehensive income within interest and similar income.</w:t>
      </w:r>
    </w:p>
    <w:p w14:paraId="541F012F"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447D52A0" w14:textId="77777777" w:rsidR="00FD1E19" w:rsidRPr="000D1E8C" w:rsidRDefault="00FD1E19" w:rsidP="00FD1E19">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0D1E8C">
        <w:rPr>
          <w:rFonts w:ascii="Arial" w:hAnsi="Arial"/>
          <w:b/>
          <w:noProof/>
          <w:sz w:val="16"/>
          <w:szCs w:val="16"/>
          <w:lang w:eastAsia="ar-SA"/>
        </w:rPr>
        <w:tab/>
        <w:t>Interest subsidies and technical assistance</w:t>
      </w:r>
    </w:p>
    <w:p w14:paraId="16D78E4F"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667B196E"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As part of its activity, the Facility manages interest subsidies and technical assistance</w:t>
      </w:r>
      <w:r>
        <w:rPr>
          <w:rFonts w:ascii="Arial" w:hAnsi="Arial"/>
          <w:noProof/>
          <w:sz w:val="16"/>
          <w:szCs w:val="16"/>
          <w:lang w:eastAsia="ar-SA"/>
        </w:rPr>
        <w:t xml:space="preserve"> (“TA”) </w:t>
      </w:r>
      <w:r w:rsidRPr="00BD1346">
        <w:rPr>
          <w:rFonts w:ascii="Arial" w:hAnsi="Arial"/>
          <w:noProof/>
          <w:sz w:val="16"/>
          <w:szCs w:val="16"/>
          <w:lang w:eastAsia="ar-SA"/>
        </w:rPr>
        <w:t>on behalf of the Member States.</w:t>
      </w:r>
    </w:p>
    <w:p w14:paraId="1B8B7BA9"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5113CF0C"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part of the Member States contributions allocated to the payment of interest subsidies</w:t>
      </w:r>
      <w:r>
        <w:rPr>
          <w:rFonts w:ascii="Arial" w:hAnsi="Arial"/>
          <w:noProof/>
          <w:sz w:val="16"/>
          <w:szCs w:val="16"/>
          <w:lang w:eastAsia="ar-SA"/>
        </w:rPr>
        <w:t xml:space="preserve"> and TA</w:t>
      </w:r>
      <w:r w:rsidRPr="00BD1346">
        <w:rPr>
          <w:rFonts w:ascii="Arial" w:hAnsi="Arial"/>
          <w:noProof/>
          <w:sz w:val="16"/>
          <w:szCs w:val="16"/>
          <w:lang w:eastAsia="ar-SA"/>
        </w:rPr>
        <w:t xml:space="preserve"> is not accounted for in the Facility’s contributors’ resources but is classified as amounts owed to third parties. The Facility operates the disbursement to the final beneficiaries and then decreases the amounts owed to third parties.</w:t>
      </w:r>
    </w:p>
    <w:p w14:paraId="7FFAD23A"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545FF73A"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When amounts contributed with regard to interest subsidies and </w:t>
      </w:r>
      <w:r>
        <w:rPr>
          <w:rFonts w:ascii="Arial" w:hAnsi="Arial"/>
          <w:noProof/>
          <w:sz w:val="16"/>
          <w:szCs w:val="16"/>
          <w:lang w:eastAsia="ar-SA"/>
        </w:rPr>
        <w:t>TA</w:t>
      </w:r>
      <w:r w:rsidRPr="00BD1346">
        <w:rPr>
          <w:rFonts w:ascii="Arial" w:hAnsi="Arial"/>
          <w:noProof/>
          <w:sz w:val="16"/>
          <w:szCs w:val="16"/>
          <w:lang w:eastAsia="ar-SA"/>
        </w:rPr>
        <w:t xml:space="preserve"> are not fully granted, they are</w:t>
      </w:r>
      <w:r>
        <w:rPr>
          <w:rFonts w:ascii="Arial" w:hAnsi="Arial"/>
          <w:noProof/>
          <w:sz w:val="16"/>
          <w:szCs w:val="16"/>
          <w:lang w:eastAsia="ar-SA"/>
        </w:rPr>
        <w:t xml:space="preserve"> </w:t>
      </w:r>
      <w:r w:rsidRPr="00BD1346">
        <w:rPr>
          <w:rFonts w:ascii="Arial" w:hAnsi="Arial"/>
          <w:noProof/>
          <w:sz w:val="16"/>
          <w:szCs w:val="16"/>
          <w:lang w:eastAsia="ar-SA"/>
        </w:rPr>
        <w:t>reclassified as contribution to the Facility</w:t>
      </w:r>
      <w:r>
        <w:rPr>
          <w:rFonts w:ascii="Arial" w:hAnsi="Arial"/>
          <w:noProof/>
          <w:sz w:val="16"/>
          <w:szCs w:val="16"/>
          <w:lang w:eastAsia="ar-SA"/>
        </w:rPr>
        <w:t>.</w:t>
      </w:r>
    </w:p>
    <w:p w14:paraId="009C452A" w14:textId="77777777" w:rsidR="00FD1E19" w:rsidRDefault="00FD1E19" w:rsidP="00FD1E19">
      <w:pPr>
        <w:pBdr>
          <w:top w:val="nil"/>
          <w:left w:val="nil"/>
          <w:bottom w:val="nil"/>
          <w:right w:val="nil"/>
          <w:between w:val="nil"/>
          <w:bar w:val="nil"/>
        </w:pBdr>
        <w:spacing w:before="60" w:after="60"/>
        <w:rPr>
          <w:rFonts w:ascii="Arial" w:hAnsi="Arial"/>
          <w:noProof/>
          <w:sz w:val="16"/>
          <w:szCs w:val="16"/>
          <w:bdr w:val="nil"/>
          <w:lang w:eastAsia="ar-SA"/>
        </w:rPr>
      </w:pPr>
    </w:p>
    <w:p w14:paraId="06160E9D" w14:textId="77777777" w:rsidR="00FD1E19" w:rsidRDefault="00FD1E19" w:rsidP="00FD1E19">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0D1E8C">
        <w:rPr>
          <w:rFonts w:ascii="Arial" w:hAnsi="Arial"/>
          <w:b/>
          <w:noProof/>
          <w:sz w:val="16"/>
          <w:szCs w:val="16"/>
          <w:lang w:eastAsia="ar-SA"/>
        </w:rPr>
        <w:tab/>
        <w:t>Interest income on cash and cash equivalents</w:t>
      </w:r>
    </w:p>
    <w:p w14:paraId="173B52EA"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59E88A9E"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Interest income on cash and cash equivalents is recognised in the </w:t>
      </w:r>
      <w:r>
        <w:rPr>
          <w:rFonts w:ascii="Arial" w:hAnsi="Arial"/>
          <w:noProof/>
          <w:sz w:val="16"/>
          <w:szCs w:val="16"/>
          <w:lang w:eastAsia="ar-SA"/>
        </w:rPr>
        <w:t>statement of profit or loss and other comprehensive income</w:t>
      </w:r>
      <w:r w:rsidRPr="00BD1346">
        <w:rPr>
          <w:rFonts w:ascii="Arial" w:hAnsi="Arial"/>
          <w:noProof/>
          <w:sz w:val="16"/>
          <w:szCs w:val="16"/>
          <w:lang w:eastAsia="ar-SA"/>
        </w:rPr>
        <w:t xml:space="preserve"> of the Facility on an accrual basis.</w:t>
      </w:r>
    </w:p>
    <w:p w14:paraId="491AC564" w14:textId="77777777" w:rsidR="00FD1E19" w:rsidRPr="00CE2F7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3137242" w14:textId="77777777" w:rsidR="00FD1E19" w:rsidRPr="00CE2F7F" w:rsidRDefault="00FD1E19" w:rsidP="00FD1E19">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CE2F7F">
        <w:rPr>
          <w:rFonts w:ascii="Arial" w:hAnsi="Arial"/>
          <w:b/>
          <w:noProof/>
          <w:sz w:val="16"/>
          <w:szCs w:val="16"/>
          <w:lang w:eastAsia="ar-SA"/>
        </w:rPr>
        <w:t>Fees, commissions and dividends</w:t>
      </w:r>
    </w:p>
    <w:p w14:paraId="3C131B27" w14:textId="77777777" w:rsidR="00FD1E19" w:rsidRPr="00CE2F7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44058474"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Fees received in respect of services provided over a period of time are recognised as income as the services are provided</w:t>
      </w:r>
      <w:r>
        <w:rPr>
          <w:rFonts w:ascii="Arial" w:hAnsi="Arial"/>
          <w:noProof/>
          <w:sz w:val="16"/>
          <w:szCs w:val="16"/>
          <w:lang w:eastAsia="ar-SA"/>
        </w:rPr>
        <w:t>, while fees that are earned on the execution of a significant act are recognised as income when the significant act has been completed. These fees are presented in the statement of profit or loss and other comprehensive income within fee and commission income.</w:t>
      </w:r>
      <w:r w:rsidRPr="00BD1346">
        <w:rPr>
          <w:rFonts w:ascii="Arial" w:hAnsi="Arial"/>
          <w:noProof/>
          <w:sz w:val="16"/>
          <w:szCs w:val="16"/>
          <w:lang w:eastAsia="ar-SA"/>
        </w:rPr>
        <w:t xml:space="preserve"> </w:t>
      </w:r>
    </w:p>
    <w:p w14:paraId="22B73574"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698A586A"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Dividends relating to </w:t>
      </w:r>
      <w:r>
        <w:rPr>
          <w:rFonts w:ascii="Arial" w:hAnsi="Arial"/>
          <w:noProof/>
          <w:sz w:val="16"/>
          <w:szCs w:val="16"/>
          <w:lang w:eastAsia="ar-SA"/>
        </w:rPr>
        <w:t>shares and other variable yield securities</w:t>
      </w:r>
      <w:r w:rsidRPr="00BD1346">
        <w:rPr>
          <w:rFonts w:ascii="Arial" w:hAnsi="Arial"/>
          <w:noProof/>
          <w:sz w:val="16"/>
          <w:szCs w:val="16"/>
          <w:lang w:eastAsia="ar-SA"/>
        </w:rPr>
        <w:t xml:space="preserve"> are recognised when </w:t>
      </w:r>
      <w:r>
        <w:rPr>
          <w:rFonts w:ascii="Arial" w:hAnsi="Arial"/>
          <w:noProof/>
          <w:sz w:val="16"/>
          <w:szCs w:val="16"/>
          <w:lang w:eastAsia="ar-SA"/>
        </w:rPr>
        <w:t>declared and presented in the</w:t>
      </w:r>
      <w:r w:rsidRPr="00BD1346">
        <w:rPr>
          <w:rFonts w:ascii="Arial" w:hAnsi="Arial"/>
          <w:noProof/>
          <w:sz w:val="16"/>
          <w:szCs w:val="16"/>
          <w:lang w:eastAsia="ar-SA"/>
        </w:rPr>
        <w:t xml:space="preserve"> </w:t>
      </w:r>
      <w:r>
        <w:rPr>
          <w:rFonts w:ascii="Arial" w:hAnsi="Arial"/>
          <w:noProof/>
          <w:sz w:val="16"/>
          <w:szCs w:val="16"/>
          <w:lang w:eastAsia="ar-SA"/>
        </w:rPr>
        <w:t>statement of profit or loss and other comprehensive income</w:t>
      </w:r>
      <w:r w:rsidRPr="00BD1346">
        <w:rPr>
          <w:rFonts w:ascii="Arial" w:hAnsi="Arial"/>
          <w:noProof/>
          <w:sz w:val="16"/>
          <w:szCs w:val="16"/>
          <w:lang w:eastAsia="ar-SA"/>
        </w:rPr>
        <w:t xml:space="preserve"> </w:t>
      </w:r>
      <w:r>
        <w:rPr>
          <w:rFonts w:ascii="Arial" w:hAnsi="Arial"/>
          <w:noProof/>
          <w:sz w:val="16"/>
          <w:szCs w:val="16"/>
          <w:lang w:eastAsia="ar-SA"/>
        </w:rPr>
        <w:t>within net realised gains on shares and other variable yield securities</w:t>
      </w:r>
      <w:r w:rsidRPr="00BD1346">
        <w:rPr>
          <w:rFonts w:ascii="Arial" w:hAnsi="Arial"/>
          <w:noProof/>
          <w:sz w:val="16"/>
          <w:szCs w:val="16"/>
          <w:lang w:eastAsia="ar-SA"/>
        </w:rPr>
        <w:t>.</w:t>
      </w:r>
    </w:p>
    <w:p w14:paraId="7B6EB9F7" w14:textId="77777777" w:rsidR="00FD1E19" w:rsidRPr="00CE2F7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61E1224D" w14:textId="77777777" w:rsidR="00FD1E19" w:rsidRPr="00CE2F7F" w:rsidRDefault="00FD1E19" w:rsidP="00FD1E19">
      <w:pPr>
        <w:numPr>
          <w:ilvl w:val="2"/>
          <w:numId w:val="25"/>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CE2F7F">
        <w:rPr>
          <w:rFonts w:ascii="Arial" w:hAnsi="Arial"/>
          <w:b/>
          <w:noProof/>
          <w:sz w:val="16"/>
          <w:szCs w:val="16"/>
          <w:lang w:eastAsia="ar-SA"/>
        </w:rPr>
        <w:t>Taxation</w:t>
      </w:r>
    </w:p>
    <w:p w14:paraId="14EDE1A1" w14:textId="77777777" w:rsidR="00FD1E19" w:rsidRPr="00CE2F7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1CE0632F" w14:textId="77777777" w:rsidR="00B03249" w:rsidRDefault="00FD1E19" w:rsidP="00B03249">
      <w:pPr>
        <w:pBdr>
          <w:top w:val="nil"/>
          <w:left w:val="nil"/>
          <w:bottom w:val="nil"/>
          <w:right w:val="nil"/>
          <w:between w:val="nil"/>
          <w:bar w:val="nil"/>
        </w:pBdr>
        <w:suppressAutoHyphens/>
        <w:spacing w:before="60" w:after="60"/>
        <w:jc w:val="both"/>
        <w:rPr>
          <w:rFonts w:ascii="Arial" w:hAnsi="Arial"/>
          <w:noProof/>
          <w:sz w:val="16"/>
          <w:szCs w:val="16"/>
          <w:lang w:eastAsia="ar-SA"/>
        </w:rPr>
      </w:pPr>
      <w:r w:rsidRPr="00642D7D">
        <w:rPr>
          <w:rFonts w:ascii="Arial" w:hAnsi="Arial"/>
          <w:noProof/>
          <w:sz w:val="16"/>
          <w:szCs w:val="16"/>
          <w:lang w:eastAsia="ar-SA"/>
        </w:rPr>
        <w:t xml:space="preserve">The Protocol on the Privileges and Immunities of the European </w:t>
      </w:r>
      <w:r>
        <w:rPr>
          <w:rFonts w:ascii="Arial" w:hAnsi="Arial"/>
          <w:noProof/>
          <w:sz w:val="16"/>
          <w:szCs w:val="16"/>
          <w:lang w:eastAsia="ar-SA"/>
        </w:rPr>
        <w:t>Union</w:t>
      </w:r>
      <w:r w:rsidRPr="00642D7D">
        <w:rPr>
          <w:rFonts w:ascii="Arial" w:hAnsi="Arial"/>
          <w:noProof/>
          <w:sz w:val="16"/>
          <w:szCs w:val="16"/>
          <w:lang w:eastAsia="ar-SA"/>
        </w:rPr>
        <w:t>, appended to the treaty on the European Union and the treaty of the functioning of the European Union, stipulates that the assets, revenues and other property of the Institutions of the Union are exempt from all direct taxes</w:t>
      </w:r>
      <w:r>
        <w:rPr>
          <w:rFonts w:ascii="Arial" w:hAnsi="Arial"/>
          <w:noProof/>
          <w:sz w:val="16"/>
          <w:szCs w:val="16"/>
          <w:lang w:eastAsia="ar-SA"/>
        </w:rPr>
        <w:t>.</w:t>
      </w:r>
      <w:bookmarkStart w:id="218" w:name="RG_MARKER_90101"/>
      <w:bookmarkStart w:id="219" w:name="RG_MARKER_90078"/>
    </w:p>
    <w:p w14:paraId="5F4ADCEC" w14:textId="18EB7B28" w:rsidR="00FD1E19" w:rsidRDefault="00FD1E19" w:rsidP="00B03249">
      <w:pPr>
        <w:pBdr>
          <w:top w:val="nil"/>
          <w:left w:val="nil"/>
          <w:bottom w:val="nil"/>
          <w:right w:val="nil"/>
          <w:between w:val="nil"/>
          <w:bar w:val="nil"/>
        </w:pBdr>
        <w:suppressAutoHyphens/>
        <w:spacing w:before="60" w:after="60"/>
        <w:jc w:val="both"/>
        <w:rPr>
          <w:rFonts w:ascii="Arial" w:hAnsi="Arial"/>
          <w:b/>
          <w:noProof/>
          <w:sz w:val="20"/>
          <w:bdr w:val="nil"/>
          <w:lang w:val="en-US" w:eastAsia="ar-SA"/>
        </w:rPr>
      </w:pPr>
      <w:r>
        <w:rPr>
          <w:rFonts w:ascii="Arial" w:hAnsi="Arial"/>
          <w:b/>
          <w:noProof/>
          <w:sz w:val="20"/>
          <w:lang w:val="en-US" w:eastAsia="ar-SA"/>
        </w:rPr>
        <w:t>3</w:t>
      </w:r>
      <w:bookmarkEnd w:id="218"/>
      <w:bookmarkEnd w:id="219"/>
      <w:r>
        <w:rPr>
          <w:rFonts w:ascii="Arial" w:hAnsi="Arial"/>
          <w:b/>
          <w:noProof/>
          <w:sz w:val="20"/>
          <w:lang w:val="en-US" w:eastAsia="ar-SA"/>
        </w:rPr>
        <w:tab/>
        <w:t>Risk Management</w:t>
      </w:r>
    </w:p>
    <w:p w14:paraId="560A3195" w14:textId="77777777" w:rsidR="00FD1E19" w:rsidRPr="00BD1346" w:rsidRDefault="00FD1E19" w:rsidP="00FD1E19">
      <w:pPr>
        <w:pBdr>
          <w:top w:val="nil"/>
          <w:left w:val="nil"/>
          <w:bottom w:val="nil"/>
          <w:right w:val="nil"/>
          <w:between w:val="nil"/>
          <w:bar w:val="nil"/>
        </w:pBdr>
        <w:tabs>
          <w:tab w:val="center" w:pos="4320"/>
          <w:tab w:val="right" w:pos="8640"/>
        </w:tabs>
        <w:suppressAutoHyphens/>
        <w:spacing w:before="60" w:after="60"/>
        <w:jc w:val="both"/>
        <w:rPr>
          <w:rFonts w:ascii="Arial" w:hAnsi="Arial"/>
          <w:b/>
          <w:noProof/>
          <w:sz w:val="16"/>
          <w:szCs w:val="16"/>
          <w:bdr w:val="nil"/>
          <w:lang w:val="en-US" w:eastAsia="ar-SA"/>
        </w:rPr>
      </w:pPr>
    </w:p>
    <w:p w14:paraId="601D17E3" w14:textId="77777777" w:rsidR="00FD1E19" w:rsidRPr="00BD134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iCs/>
          <w:noProof/>
          <w:sz w:val="16"/>
          <w:szCs w:val="16"/>
          <w:bdr w:val="nil"/>
          <w:lang w:val="en-US" w:eastAsia="ar-SA"/>
        </w:rPr>
      </w:pPr>
      <w:r w:rsidRPr="00BD1346">
        <w:rPr>
          <w:rFonts w:ascii="Arial" w:hAnsi="Arial"/>
          <w:iCs/>
          <w:noProof/>
          <w:sz w:val="16"/>
          <w:szCs w:val="16"/>
          <w:lang w:val="en-US" w:eastAsia="ar-SA"/>
        </w:rPr>
        <w:t>This note presents information about the Facility</w:t>
      </w:r>
      <w:r>
        <w:rPr>
          <w:rFonts w:ascii="Arial" w:hAnsi="Arial"/>
          <w:iCs/>
          <w:noProof/>
          <w:sz w:val="16"/>
          <w:szCs w:val="16"/>
          <w:lang w:val="en-US" w:eastAsia="ar-SA"/>
        </w:rPr>
        <w:t>’</w:t>
      </w:r>
      <w:r w:rsidRPr="00BD1346">
        <w:rPr>
          <w:rFonts w:ascii="Arial" w:hAnsi="Arial"/>
          <w:iCs/>
          <w:noProof/>
          <w:sz w:val="16"/>
          <w:szCs w:val="16"/>
          <w:lang w:val="en-US" w:eastAsia="ar-SA"/>
        </w:rPr>
        <w:t>s exposure to and its management and control of credit and financial risks, in particular the primary risks associated with its use of financial instruments. These are:</w:t>
      </w:r>
    </w:p>
    <w:p w14:paraId="572A5BD8" w14:textId="77777777" w:rsidR="00FD1E19" w:rsidRPr="00BD1346" w:rsidRDefault="00FD1E19" w:rsidP="00FD1E19">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noProof/>
          <w:sz w:val="16"/>
          <w:szCs w:val="16"/>
          <w:bdr w:val="nil"/>
          <w:lang w:val="en-US" w:eastAsia="ar-SA"/>
        </w:rPr>
      </w:pPr>
      <w:r w:rsidRPr="00BD1346">
        <w:rPr>
          <w:rFonts w:ascii="Arial" w:hAnsi="Arial"/>
          <w:noProof/>
          <w:sz w:val="16"/>
          <w:szCs w:val="16"/>
          <w:lang w:val="en-US" w:eastAsia="ar-SA"/>
        </w:rPr>
        <w:t>credit risk – the risk of loss resulting from client or counterparty default and arising on credit exposure in all forms, including settlement risk</w:t>
      </w:r>
      <w:r>
        <w:rPr>
          <w:rFonts w:ascii="Arial" w:hAnsi="Arial"/>
          <w:noProof/>
          <w:sz w:val="16"/>
          <w:szCs w:val="16"/>
          <w:bdr w:val="nil"/>
          <w:vertAlign w:val="superscript"/>
          <w:lang w:val="en-US" w:eastAsia="ar-SA"/>
        </w:rPr>
        <w:footnoteReference w:id="22"/>
      </w:r>
      <w:r w:rsidRPr="00BD1346">
        <w:rPr>
          <w:rFonts w:ascii="Arial" w:hAnsi="Arial"/>
          <w:noProof/>
          <w:sz w:val="16"/>
          <w:szCs w:val="16"/>
          <w:lang w:val="en-US" w:eastAsia="ar-SA"/>
        </w:rPr>
        <w:t>;</w:t>
      </w:r>
    </w:p>
    <w:p w14:paraId="0F125B64" w14:textId="77777777" w:rsidR="00FD1E19" w:rsidRPr="00BD1346" w:rsidRDefault="00FD1E19" w:rsidP="00FD1E19">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noProof/>
          <w:sz w:val="16"/>
          <w:szCs w:val="16"/>
          <w:bdr w:val="nil"/>
          <w:lang w:val="en-US" w:eastAsia="ar-SA"/>
        </w:rPr>
      </w:pPr>
      <w:r w:rsidRPr="00BD1346">
        <w:rPr>
          <w:rFonts w:ascii="Arial" w:hAnsi="Arial"/>
          <w:noProof/>
          <w:sz w:val="16"/>
          <w:szCs w:val="16"/>
          <w:lang w:val="en-US" w:eastAsia="ar-SA"/>
        </w:rPr>
        <w:t>liquidity risk – the risk that an entity</w:t>
      </w:r>
      <w:r>
        <w:rPr>
          <w:rFonts w:ascii="Arial" w:hAnsi="Arial"/>
          <w:noProof/>
          <w:sz w:val="16"/>
          <w:szCs w:val="16"/>
          <w:lang w:val="en-US" w:eastAsia="ar-SA"/>
        </w:rPr>
        <w:t xml:space="preserve"> is not</w:t>
      </w:r>
      <w:r w:rsidRPr="005B22B1">
        <w:rPr>
          <w:rFonts w:ascii="Arial" w:hAnsi="Arial"/>
          <w:noProof/>
          <w:sz w:val="16"/>
          <w:szCs w:val="16"/>
          <w:lang w:val="en-US" w:eastAsia="ar-SA"/>
        </w:rPr>
        <w:t xml:space="preserve"> </w:t>
      </w:r>
      <w:r>
        <w:rPr>
          <w:rFonts w:ascii="Arial" w:hAnsi="Arial"/>
          <w:noProof/>
          <w:sz w:val="16"/>
          <w:szCs w:val="16"/>
          <w:lang w:val="en-US" w:eastAsia="ar-SA"/>
        </w:rPr>
        <w:t xml:space="preserve">able to </w:t>
      </w:r>
      <w:r w:rsidRPr="005B22B1">
        <w:rPr>
          <w:rFonts w:ascii="Arial" w:hAnsi="Arial"/>
          <w:noProof/>
          <w:sz w:val="16"/>
          <w:szCs w:val="16"/>
          <w:lang w:val="en-US" w:eastAsia="ar-SA"/>
        </w:rPr>
        <w:t>fund increases in assets and meet obligations as they come due, without incurring unacceptable losses</w:t>
      </w:r>
      <w:r w:rsidRPr="00BD1346">
        <w:rPr>
          <w:rFonts w:ascii="Arial" w:hAnsi="Arial"/>
          <w:noProof/>
          <w:sz w:val="16"/>
          <w:szCs w:val="16"/>
          <w:lang w:val="en-US" w:eastAsia="ar-SA"/>
        </w:rPr>
        <w:t>;</w:t>
      </w:r>
    </w:p>
    <w:p w14:paraId="4E48D0B6" w14:textId="77777777" w:rsidR="00FD1E19" w:rsidRPr="00F35701" w:rsidRDefault="00FD1E19" w:rsidP="00FD1E19">
      <w:pPr>
        <w:numPr>
          <w:ilvl w:val="0"/>
          <w:numId w:val="43"/>
        </w:numPr>
        <w:pBdr>
          <w:top w:val="nil"/>
          <w:left w:val="nil"/>
          <w:bottom w:val="nil"/>
          <w:right w:val="nil"/>
          <w:between w:val="nil"/>
          <w:bar w:val="nil"/>
        </w:pBdr>
        <w:tabs>
          <w:tab w:val="center" w:pos="4320"/>
          <w:tab w:val="right" w:pos="8640"/>
        </w:tabs>
        <w:suppressAutoHyphens/>
        <w:spacing w:after="0" w:line="240" w:lineRule="auto"/>
        <w:jc w:val="both"/>
        <w:rPr>
          <w:rFonts w:ascii="Arial" w:hAnsi="Arial"/>
          <w:b/>
          <w:noProof/>
          <w:sz w:val="16"/>
          <w:szCs w:val="16"/>
          <w:bdr w:val="nil"/>
          <w:lang w:val="en-US" w:eastAsia="ar-SA"/>
        </w:rPr>
      </w:pPr>
      <w:r w:rsidRPr="00071069">
        <w:rPr>
          <w:rFonts w:ascii="Arial" w:hAnsi="Arial"/>
          <w:noProof/>
          <w:sz w:val="16"/>
          <w:szCs w:val="16"/>
          <w:lang w:val="en-US" w:eastAsia="ar-SA"/>
        </w:rPr>
        <w:t xml:space="preserve">market risk – </w:t>
      </w:r>
      <w:r w:rsidRPr="00C73739">
        <w:rPr>
          <w:rFonts w:ascii="Arial" w:hAnsi="Arial"/>
          <w:noProof/>
          <w:sz w:val="16"/>
          <w:szCs w:val="16"/>
          <w:lang w:eastAsia="ar-SA"/>
        </w:rPr>
        <w:t>the risk that changes in market prices and rates, such as interest rates, equity prices and foreign exchange rates will affect an entity’s income or the value of its holdings in financial instruments</w:t>
      </w:r>
      <w:r w:rsidRPr="00071069">
        <w:rPr>
          <w:rFonts w:ascii="Arial" w:hAnsi="Arial"/>
          <w:noProof/>
          <w:sz w:val="16"/>
          <w:szCs w:val="16"/>
          <w:lang w:val="en-US" w:eastAsia="ar-SA"/>
        </w:rPr>
        <w:t>.</w:t>
      </w:r>
    </w:p>
    <w:p w14:paraId="5A7BB799" w14:textId="77777777" w:rsidR="00FD1E19" w:rsidRPr="00D375A5" w:rsidRDefault="00FD1E19" w:rsidP="00FD1E19">
      <w:pPr>
        <w:pBdr>
          <w:top w:val="nil"/>
          <w:left w:val="nil"/>
          <w:bottom w:val="nil"/>
          <w:right w:val="nil"/>
          <w:between w:val="nil"/>
          <w:bar w:val="nil"/>
        </w:pBdr>
        <w:tabs>
          <w:tab w:val="center" w:pos="4320"/>
          <w:tab w:val="right" w:pos="8640"/>
        </w:tabs>
        <w:suppressAutoHyphens/>
        <w:ind w:left="720"/>
        <w:jc w:val="both"/>
        <w:rPr>
          <w:rFonts w:ascii="Arial" w:hAnsi="Arial"/>
          <w:b/>
          <w:noProof/>
          <w:sz w:val="16"/>
          <w:szCs w:val="16"/>
          <w:bdr w:val="nil"/>
          <w:lang w:val="en-US" w:eastAsia="ar-SA"/>
        </w:rPr>
      </w:pPr>
    </w:p>
    <w:p w14:paraId="573F4E7C" w14:textId="77777777" w:rsidR="00FD1E19" w:rsidRPr="00F547D5" w:rsidRDefault="00FD1E19" w:rsidP="00FD1E19">
      <w:pPr>
        <w:numPr>
          <w:ilvl w:val="1"/>
          <w:numId w:val="44"/>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noProof/>
          <w:sz w:val="16"/>
          <w:szCs w:val="16"/>
          <w:bdr w:val="nil"/>
          <w:lang w:eastAsia="ar-SA"/>
        </w:rPr>
      </w:pPr>
      <w:r w:rsidRPr="00F547D5">
        <w:rPr>
          <w:rFonts w:ascii="Arial" w:hAnsi="Arial"/>
          <w:b/>
          <w:noProof/>
          <w:sz w:val="16"/>
          <w:szCs w:val="16"/>
          <w:lang w:eastAsia="ar-SA"/>
        </w:rPr>
        <w:t>Risk management organisation</w:t>
      </w:r>
    </w:p>
    <w:p w14:paraId="32B2C616"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center"/>
        <w:rPr>
          <w:rFonts w:ascii="Arial" w:hAnsi="Arial"/>
          <w:noProof/>
          <w:sz w:val="16"/>
          <w:szCs w:val="16"/>
          <w:bdr w:val="nil"/>
          <w:lang w:eastAsia="ar-SA"/>
        </w:rPr>
      </w:pPr>
    </w:p>
    <w:p w14:paraId="0F660812" w14:textId="77777777" w:rsidR="00FD1E19" w:rsidRPr="00BD134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w:t>
      </w:r>
      <w:r>
        <w:rPr>
          <w:rFonts w:ascii="Arial" w:hAnsi="Arial"/>
          <w:noProof/>
          <w:sz w:val="16"/>
          <w:szCs w:val="16"/>
          <w:lang w:eastAsia="ar-SA"/>
        </w:rPr>
        <w:t>EIB</w:t>
      </w:r>
      <w:r w:rsidRPr="00BD1346">
        <w:rPr>
          <w:rFonts w:ascii="Arial" w:hAnsi="Arial"/>
          <w:noProof/>
          <w:sz w:val="16"/>
          <w:szCs w:val="16"/>
          <w:lang w:eastAsia="ar-SA"/>
        </w:rPr>
        <w:t xml:space="preserve"> adapts </w:t>
      </w:r>
      <w:r>
        <w:rPr>
          <w:rFonts w:ascii="Arial" w:hAnsi="Arial"/>
          <w:noProof/>
          <w:sz w:val="16"/>
          <w:szCs w:val="16"/>
          <w:lang w:eastAsia="ar-SA"/>
        </w:rPr>
        <w:t xml:space="preserve">the IF`s </w:t>
      </w:r>
      <w:r w:rsidRPr="00BD1346">
        <w:rPr>
          <w:rFonts w:ascii="Arial" w:hAnsi="Arial"/>
          <w:noProof/>
          <w:sz w:val="16"/>
          <w:szCs w:val="16"/>
          <w:lang w:eastAsia="ar-SA"/>
        </w:rPr>
        <w:t xml:space="preserve">risk management </w:t>
      </w:r>
      <w:r>
        <w:rPr>
          <w:rFonts w:ascii="Arial" w:hAnsi="Arial"/>
          <w:noProof/>
          <w:sz w:val="16"/>
          <w:szCs w:val="16"/>
          <w:lang w:eastAsia="ar-SA"/>
        </w:rPr>
        <w:t xml:space="preserve">framework </w:t>
      </w:r>
      <w:r w:rsidRPr="00BD1346">
        <w:rPr>
          <w:rFonts w:ascii="Arial" w:hAnsi="Arial"/>
          <w:noProof/>
          <w:sz w:val="16"/>
          <w:szCs w:val="16"/>
          <w:lang w:eastAsia="ar-SA"/>
        </w:rPr>
        <w:t>on an ongoing basis.</w:t>
      </w:r>
    </w:p>
    <w:p w14:paraId="5850585B" w14:textId="77777777" w:rsidR="00FD1E19" w:rsidRPr="00A86DE3" w:rsidRDefault="00FD1E19" w:rsidP="00FD1E19">
      <w:pPr>
        <w:pBdr>
          <w:top w:val="nil"/>
          <w:left w:val="nil"/>
          <w:bottom w:val="nil"/>
          <w:right w:val="nil"/>
          <w:between w:val="nil"/>
          <w:bar w:val="nil"/>
        </w:pBdr>
        <w:tabs>
          <w:tab w:val="center" w:pos="4320"/>
          <w:tab w:val="right" w:pos="8640"/>
        </w:tabs>
        <w:suppressAutoHyphens/>
        <w:spacing w:before="60" w:after="60"/>
        <w:jc w:val="both"/>
        <w:rPr>
          <w:rFonts w:ascii="Arial" w:hAnsi="Arial"/>
          <w:b/>
          <w:noProof/>
          <w:sz w:val="16"/>
          <w:szCs w:val="16"/>
          <w:bdr w:val="nil"/>
          <w:lang w:val="en-US" w:eastAsia="ar-SA"/>
        </w:rPr>
      </w:pPr>
    </w:p>
    <w:p w14:paraId="1D5A6F48" w14:textId="77777777" w:rsidR="00FD1E19" w:rsidRDefault="00FD1E19" w:rsidP="00FD1E19">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lang w:eastAsia="ar-SA"/>
        </w:rPr>
      </w:pPr>
      <w:r w:rsidRPr="00A86DE3">
        <w:rPr>
          <w:rFonts w:ascii="Arial" w:hAnsi="Arial"/>
          <w:noProof/>
          <w:sz w:val="16"/>
          <w:szCs w:val="16"/>
          <w:lang w:eastAsia="ar-SA"/>
        </w:rPr>
        <w:t xml:space="preserve">The </w:t>
      </w:r>
      <w:r>
        <w:rPr>
          <w:rFonts w:ascii="Arial" w:hAnsi="Arial"/>
          <w:noProof/>
          <w:sz w:val="16"/>
          <w:szCs w:val="16"/>
          <w:lang w:eastAsia="ar-SA"/>
        </w:rPr>
        <w:t xml:space="preserve">Group </w:t>
      </w:r>
      <w:r w:rsidRPr="00A86DE3">
        <w:rPr>
          <w:rFonts w:ascii="Arial" w:hAnsi="Arial"/>
          <w:noProof/>
          <w:sz w:val="16"/>
          <w:szCs w:val="16"/>
          <w:lang w:eastAsia="ar-SA"/>
        </w:rPr>
        <w:t xml:space="preserve">Risk </w:t>
      </w:r>
      <w:r>
        <w:rPr>
          <w:rFonts w:ascii="Arial" w:hAnsi="Arial"/>
          <w:noProof/>
          <w:sz w:val="16"/>
          <w:szCs w:val="16"/>
          <w:lang w:eastAsia="ar-SA"/>
        </w:rPr>
        <w:t>and Compliance</w:t>
      </w:r>
      <w:r w:rsidRPr="00A86DE3">
        <w:rPr>
          <w:rFonts w:ascii="Arial" w:hAnsi="Arial"/>
          <w:noProof/>
          <w:sz w:val="16"/>
          <w:szCs w:val="16"/>
          <w:lang w:eastAsia="ar-SA"/>
        </w:rPr>
        <w:t xml:space="preserve"> </w:t>
      </w:r>
      <w:r w:rsidRPr="0064617F">
        <w:rPr>
          <w:rFonts w:ascii="Arial" w:hAnsi="Arial"/>
          <w:noProof/>
          <w:sz w:val="16"/>
          <w:szCs w:val="16"/>
          <w:lang w:eastAsia="ar-SA"/>
        </w:rPr>
        <w:t>Directorate</w:t>
      </w:r>
      <w:r>
        <w:rPr>
          <w:rFonts w:ascii="Arial" w:hAnsi="Arial"/>
          <w:noProof/>
          <w:sz w:val="16"/>
          <w:szCs w:val="16"/>
          <w:lang w:eastAsia="ar-SA"/>
        </w:rPr>
        <w:t xml:space="preserve"> (</w:t>
      </w:r>
      <w:r w:rsidRPr="00B301FE">
        <w:rPr>
          <w:rFonts w:ascii="Arial" w:hAnsi="Arial"/>
          <w:noProof/>
          <w:sz w:val="16"/>
          <w:szCs w:val="16"/>
          <w:lang w:eastAsia="ar-SA"/>
        </w:rPr>
        <w:t>“</w:t>
      </w:r>
      <w:r>
        <w:rPr>
          <w:rFonts w:ascii="Arial" w:hAnsi="Arial"/>
          <w:noProof/>
          <w:sz w:val="16"/>
          <w:szCs w:val="16"/>
          <w:lang w:eastAsia="ar-SA"/>
        </w:rPr>
        <w:t>GR&amp;C</w:t>
      </w:r>
      <w:r w:rsidRPr="00B301FE">
        <w:rPr>
          <w:rFonts w:ascii="Arial" w:hAnsi="Arial"/>
          <w:noProof/>
          <w:sz w:val="16"/>
          <w:szCs w:val="16"/>
          <w:lang w:eastAsia="ar-SA"/>
        </w:rPr>
        <w:t>“</w:t>
      </w:r>
      <w:r>
        <w:rPr>
          <w:rFonts w:ascii="Arial" w:hAnsi="Arial"/>
          <w:noProof/>
          <w:sz w:val="16"/>
          <w:szCs w:val="16"/>
          <w:lang w:eastAsia="ar-SA"/>
        </w:rPr>
        <w:t xml:space="preserve">) </w:t>
      </w:r>
      <w:r w:rsidRPr="00A86DE3">
        <w:rPr>
          <w:rFonts w:ascii="Arial" w:hAnsi="Arial"/>
          <w:noProof/>
          <w:sz w:val="16"/>
          <w:szCs w:val="16"/>
          <w:lang w:eastAsia="ar-SA"/>
        </w:rPr>
        <w:t xml:space="preserve">of </w:t>
      </w:r>
      <w:r>
        <w:rPr>
          <w:rFonts w:ascii="Arial" w:hAnsi="Arial"/>
          <w:noProof/>
          <w:sz w:val="16"/>
          <w:szCs w:val="16"/>
          <w:lang w:eastAsia="ar-SA"/>
        </w:rPr>
        <w:t xml:space="preserve">the </w:t>
      </w:r>
      <w:r w:rsidRPr="00A86DE3">
        <w:rPr>
          <w:rFonts w:ascii="Arial" w:hAnsi="Arial"/>
          <w:noProof/>
          <w:sz w:val="16"/>
          <w:szCs w:val="16"/>
          <w:lang w:eastAsia="ar-SA"/>
        </w:rPr>
        <w:t xml:space="preserve">EIB independently identifies, assesses, monitors and reports the risks to which the Facility is exposed. Within a framework whereby the segregation of duties is preserved, the </w:t>
      </w:r>
      <w:r>
        <w:rPr>
          <w:rFonts w:ascii="Arial" w:hAnsi="Arial"/>
          <w:noProof/>
          <w:sz w:val="16"/>
          <w:szCs w:val="16"/>
          <w:lang w:eastAsia="ar-SA"/>
        </w:rPr>
        <w:t>GR&amp;C</w:t>
      </w:r>
      <w:r w:rsidRPr="00A86DE3">
        <w:rPr>
          <w:rFonts w:ascii="Arial" w:hAnsi="Arial"/>
          <w:noProof/>
          <w:sz w:val="16"/>
          <w:szCs w:val="16"/>
          <w:lang w:eastAsia="ar-SA"/>
        </w:rPr>
        <w:t xml:space="preserve"> is </w:t>
      </w:r>
      <w:r>
        <w:rPr>
          <w:rFonts w:ascii="Arial" w:hAnsi="Arial"/>
          <w:noProof/>
          <w:sz w:val="16"/>
          <w:szCs w:val="16"/>
          <w:lang w:eastAsia="ar-SA"/>
        </w:rPr>
        <w:t>independent of the Front Office and provides second opinion on all proposals made by the Front Office having risk implications</w:t>
      </w:r>
      <w:r w:rsidRPr="00A86DE3">
        <w:rPr>
          <w:rFonts w:ascii="Arial" w:hAnsi="Arial"/>
          <w:noProof/>
          <w:sz w:val="16"/>
          <w:szCs w:val="16"/>
          <w:lang w:eastAsia="ar-SA"/>
        </w:rPr>
        <w:t xml:space="preserve">. </w:t>
      </w:r>
    </w:p>
    <w:p w14:paraId="316BD6ED" w14:textId="77777777" w:rsidR="00FD1E19" w:rsidRDefault="00FD1E19" w:rsidP="00FD1E19">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lang w:eastAsia="ar-SA"/>
        </w:rPr>
      </w:pPr>
    </w:p>
    <w:p w14:paraId="11211DAA" w14:textId="77777777" w:rsidR="00FD1E19" w:rsidRDefault="00FD1E19" w:rsidP="00FD1E19">
      <w:pPr>
        <w:pBdr>
          <w:top w:val="nil"/>
          <w:left w:val="nil"/>
          <w:bottom w:val="nil"/>
          <w:right w:val="nil"/>
          <w:between w:val="nil"/>
          <w:bar w:val="nil"/>
        </w:pBdr>
        <w:tabs>
          <w:tab w:val="center" w:pos="4320"/>
          <w:tab w:val="right" w:pos="8640"/>
        </w:tabs>
        <w:suppressAutoHyphens/>
        <w:spacing w:before="60" w:after="60"/>
        <w:jc w:val="both"/>
        <w:rPr>
          <w:rFonts w:ascii="Arial" w:hAnsi="Arial"/>
          <w:noProof/>
          <w:sz w:val="16"/>
          <w:szCs w:val="16"/>
          <w:bdr w:val="nil"/>
          <w:lang w:eastAsia="ar-SA"/>
        </w:rPr>
      </w:pPr>
      <w:r w:rsidRPr="00B301FE">
        <w:rPr>
          <w:rFonts w:ascii="Arial" w:hAnsi="Arial"/>
          <w:noProof/>
          <w:sz w:val="16"/>
          <w:szCs w:val="16"/>
          <w:lang w:eastAsia="ar-SA"/>
        </w:rPr>
        <w:t xml:space="preserve">At EIB level, the Group Chief Risk Officer (“GCRO”) reports on Group Risks to the EIB Management Committee </w:t>
      </w:r>
      <w:r>
        <w:rPr>
          <w:rFonts w:ascii="Arial" w:hAnsi="Arial"/>
          <w:noProof/>
          <w:sz w:val="16"/>
          <w:szCs w:val="16"/>
          <w:lang w:eastAsia="ar-SA"/>
        </w:rPr>
        <w:t>(</w:t>
      </w:r>
      <w:r w:rsidRPr="00B301FE">
        <w:rPr>
          <w:rFonts w:ascii="Arial" w:hAnsi="Arial"/>
          <w:noProof/>
          <w:sz w:val="16"/>
          <w:szCs w:val="16"/>
          <w:lang w:eastAsia="ar-SA"/>
        </w:rPr>
        <w:t>“</w:t>
      </w:r>
      <w:r>
        <w:rPr>
          <w:rFonts w:ascii="Arial" w:hAnsi="Arial"/>
          <w:noProof/>
          <w:sz w:val="16"/>
          <w:szCs w:val="16"/>
          <w:lang w:eastAsia="ar-SA"/>
        </w:rPr>
        <w:t>MC</w:t>
      </w:r>
      <w:r w:rsidRPr="00B301FE">
        <w:rPr>
          <w:rFonts w:ascii="Arial" w:hAnsi="Arial"/>
          <w:noProof/>
          <w:sz w:val="16"/>
          <w:szCs w:val="16"/>
          <w:lang w:eastAsia="ar-SA"/>
        </w:rPr>
        <w:t>“</w:t>
      </w:r>
      <w:r>
        <w:rPr>
          <w:rFonts w:ascii="Arial" w:hAnsi="Arial"/>
          <w:noProof/>
          <w:sz w:val="16"/>
          <w:szCs w:val="16"/>
          <w:lang w:eastAsia="ar-SA"/>
        </w:rPr>
        <w:t xml:space="preserve">) </w:t>
      </w:r>
      <w:r w:rsidRPr="00B301FE">
        <w:rPr>
          <w:rFonts w:ascii="Arial" w:hAnsi="Arial"/>
          <w:noProof/>
          <w:sz w:val="16"/>
          <w:szCs w:val="16"/>
          <w:lang w:eastAsia="ar-SA"/>
        </w:rPr>
        <w:t>under the oversight of the MC member in charge of risk. The GCRO has direct access to the Risk Policy Committee and can write directly to and communicate with the EIB Board of Directors on any matter of his/her field of attribution.</w:t>
      </w:r>
    </w:p>
    <w:p w14:paraId="2AD72FCC" w14:textId="77777777" w:rsidR="00FD1E19" w:rsidRPr="00ED55F0" w:rsidRDefault="00FD1E19" w:rsidP="00B03249">
      <w:pPr>
        <w:keepNext/>
        <w:keepLines/>
        <w:numPr>
          <w:ilvl w:val="1"/>
          <w:numId w:val="45"/>
        </w:numPr>
        <w:pBdr>
          <w:top w:val="nil"/>
          <w:left w:val="nil"/>
          <w:bottom w:val="nil"/>
          <w:right w:val="nil"/>
          <w:between w:val="nil"/>
          <w:bar w:val="nil"/>
        </w:pBdr>
        <w:tabs>
          <w:tab w:val="right" w:pos="-2700"/>
          <w:tab w:val="right" w:pos="720"/>
        </w:tabs>
        <w:suppressAutoHyphens/>
        <w:spacing w:before="240" w:after="0" w:line="240" w:lineRule="auto"/>
        <w:jc w:val="both"/>
        <w:rPr>
          <w:rFonts w:ascii="Arial" w:hAnsi="Arial"/>
          <w:b/>
          <w:noProof/>
          <w:sz w:val="16"/>
          <w:szCs w:val="20"/>
          <w:bdr w:val="nil"/>
          <w:lang w:eastAsia="ar-SA"/>
        </w:rPr>
      </w:pPr>
      <w:bookmarkStart w:id="220" w:name="RG_MARKER_90102"/>
      <w:bookmarkStart w:id="221" w:name="RG_MARKER_90081"/>
      <w:r w:rsidRPr="00ED55F0">
        <w:rPr>
          <w:rFonts w:ascii="Arial" w:hAnsi="Arial"/>
          <w:b/>
          <w:noProof/>
          <w:sz w:val="16"/>
          <w:szCs w:val="20"/>
          <w:lang w:eastAsia="ar-SA"/>
        </w:rPr>
        <w:t>Credit risk</w:t>
      </w:r>
      <w:bookmarkEnd w:id="220"/>
      <w:bookmarkEnd w:id="221"/>
    </w:p>
    <w:p w14:paraId="1C517BF4" w14:textId="77777777" w:rsidR="00FD1E19" w:rsidRPr="00BD1346" w:rsidRDefault="00FD1E19" w:rsidP="00B03249">
      <w:pPr>
        <w:keepNext/>
        <w:keepLines/>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7D0D071E" w14:textId="77777777" w:rsidR="00FD1E19" w:rsidRDefault="00FD1E19" w:rsidP="00B03249">
      <w:pPr>
        <w:keepNext/>
        <w:keepLines/>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Credit risk is the potential loss that could result from client or counterparty default and arising on credit exposure in all forms, including settlement.</w:t>
      </w:r>
    </w:p>
    <w:p w14:paraId="77D7150A"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114F0650" w14:textId="77777777" w:rsidR="00FD1E19" w:rsidRPr="0009506B" w:rsidRDefault="00FD1E19" w:rsidP="00FD1E19">
      <w:pPr>
        <w:numPr>
          <w:ilvl w:val="2"/>
          <w:numId w:val="45"/>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sidRPr="0009506B">
        <w:rPr>
          <w:rFonts w:ascii="Arial" w:hAnsi="Arial"/>
          <w:b/>
          <w:noProof/>
          <w:sz w:val="16"/>
          <w:szCs w:val="16"/>
          <w:lang w:eastAsia="ar-SA"/>
        </w:rPr>
        <w:t>Credit risk policy</w:t>
      </w:r>
    </w:p>
    <w:p w14:paraId="1FB1F146"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0881C57A" w14:textId="77777777" w:rsidR="00FD1E19" w:rsidRPr="0086659C"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r w:rsidRPr="0086659C">
        <w:rPr>
          <w:rFonts w:ascii="Arial" w:hAnsi="Arial"/>
          <w:noProof/>
          <w:sz w:val="16"/>
          <w:szCs w:val="16"/>
          <w:lang w:eastAsia="ar-SA"/>
        </w:rPr>
        <w:t>In carrying out the credit analysis on loan counterparts,</w:t>
      </w:r>
      <w:r>
        <w:rPr>
          <w:rFonts w:ascii="Arial" w:hAnsi="Arial"/>
          <w:noProof/>
          <w:sz w:val="16"/>
          <w:szCs w:val="16"/>
          <w:lang w:eastAsia="ar-SA"/>
        </w:rPr>
        <w:t xml:space="preserve"> the</w:t>
      </w:r>
      <w:r w:rsidRPr="0086659C">
        <w:rPr>
          <w:rFonts w:ascii="Arial" w:hAnsi="Arial"/>
          <w:noProof/>
          <w:sz w:val="16"/>
          <w:szCs w:val="16"/>
          <w:lang w:eastAsia="ar-SA"/>
        </w:rPr>
        <w:t xml:space="preserve"> EIB assesses the credit risk and expected loss with a view to quantify and price the risk. </w:t>
      </w:r>
      <w:r>
        <w:rPr>
          <w:rFonts w:ascii="Arial" w:hAnsi="Arial"/>
          <w:noProof/>
          <w:sz w:val="16"/>
          <w:szCs w:val="16"/>
          <w:lang w:eastAsia="ar-SA"/>
        </w:rPr>
        <w:t xml:space="preserve">The </w:t>
      </w:r>
      <w:r w:rsidRPr="0086659C">
        <w:rPr>
          <w:rFonts w:ascii="Arial" w:hAnsi="Arial"/>
          <w:noProof/>
          <w:sz w:val="16"/>
          <w:szCs w:val="16"/>
          <w:lang w:eastAsia="ar-SA"/>
        </w:rPr>
        <w:t>EIB has developed a</w:t>
      </w:r>
      <w:r>
        <w:rPr>
          <w:rFonts w:ascii="Arial" w:hAnsi="Arial"/>
          <w:noProof/>
          <w:sz w:val="16"/>
          <w:szCs w:val="16"/>
          <w:lang w:eastAsia="ar-SA"/>
        </w:rPr>
        <w:t>n Internal Rating Methodology (“IRM”</w:t>
      </w:r>
      <w:r w:rsidRPr="0086659C">
        <w:rPr>
          <w:rFonts w:ascii="Arial" w:hAnsi="Arial"/>
          <w:noProof/>
          <w:sz w:val="16"/>
          <w:szCs w:val="16"/>
          <w:lang w:eastAsia="ar-SA"/>
        </w:rPr>
        <w:t>) to determine the Internal Ratings of its credit-relevant borrower/guarantor counterparts. The methodology is tailored for each major credit counterpart type (e.g. Corporates, Financial Institutions, etc.). Taking into consideration both, Best Banking Practice applicable to</w:t>
      </w:r>
      <w:r>
        <w:rPr>
          <w:rFonts w:ascii="Arial" w:hAnsi="Arial"/>
          <w:noProof/>
          <w:sz w:val="16"/>
          <w:szCs w:val="16"/>
          <w:lang w:eastAsia="ar-SA"/>
        </w:rPr>
        <w:t xml:space="preserve"> the</w:t>
      </w:r>
      <w:r w:rsidRPr="0086659C">
        <w:rPr>
          <w:rFonts w:ascii="Arial" w:hAnsi="Arial"/>
          <w:noProof/>
          <w:sz w:val="16"/>
          <w:szCs w:val="16"/>
          <w:lang w:eastAsia="ar-SA"/>
        </w:rPr>
        <w:t xml:space="preserve"> EIB and the principles set under the </w:t>
      </w:r>
      <w:r w:rsidRPr="009B6A26">
        <w:rPr>
          <w:rFonts w:ascii="Arial" w:hAnsi="Arial"/>
          <w:noProof/>
          <w:sz w:val="16"/>
          <w:szCs w:val="16"/>
          <w:lang w:eastAsia="ar-SA"/>
        </w:rPr>
        <w:t>Capital Requirements Regulation (CRR)</w:t>
      </w:r>
      <w:r w:rsidRPr="0086659C">
        <w:rPr>
          <w:rFonts w:ascii="Arial" w:hAnsi="Arial"/>
          <w:noProof/>
          <w:sz w:val="16"/>
          <w:szCs w:val="16"/>
          <w:lang w:eastAsia="ar-SA"/>
        </w:rPr>
        <w:t>, all counterparts that are material to the credit profile of a specific transaction are classified into internal rating categories using the IRM for the specific counterpart type. Each counterpart is assigned an Internal Rating reflec</w:t>
      </w:r>
      <w:r>
        <w:rPr>
          <w:rFonts w:ascii="Arial" w:hAnsi="Arial"/>
          <w:noProof/>
          <w:sz w:val="16"/>
          <w:szCs w:val="16"/>
          <w:lang w:eastAsia="ar-SA"/>
        </w:rPr>
        <w:t xml:space="preserve">ting its PD </w:t>
      </w:r>
      <w:r w:rsidRPr="0086659C">
        <w:rPr>
          <w:rFonts w:ascii="Arial" w:hAnsi="Arial"/>
          <w:noProof/>
          <w:sz w:val="16"/>
          <w:szCs w:val="16"/>
          <w:lang w:eastAsia="ar-SA"/>
        </w:rPr>
        <w:t xml:space="preserve">following an in-depth analysis of the counterpart’s business and financial risk profile and its country risk operating context. Expert adjustments are made when necessary under the consideration of the legal entities’ parental or government support, and the final rating allows for overrides to reflect information (e.g. market pricing) not considered in the </w:t>
      </w:r>
      <w:r>
        <w:rPr>
          <w:rFonts w:ascii="Arial" w:hAnsi="Arial"/>
          <w:noProof/>
          <w:sz w:val="16"/>
          <w:szCs w:val="16"/>
          <w:lang w:eastAsia="ar-SA"/>
        </w:rPr>
        <w:t>model</w:t>
      </w:r>
      <w:r w:rsidRPr="0086659C">
        <w:rPr>
          <w:rFonts w:ascii="Arial" w:hAnsi="Arial"/>
          <w:noProof/>
          <w:sz w:val="16"/>
          <w:szCs w:val="16"/>
          <w:lang w:eastAsia="ar-SA"/>
        </w:rPr>
        <w:t>.</w:t>
      </w:r>
    </w:p>
    <w:p w14:paraId="758191E3" w14:textId="77777777" w:rsidR="00FD1E19" w:rsidRPr="0086659C"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14:paraId="06C6B6FE"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r w:rsidRPr="0086659C">
        <w:rPr>
          <w:rFonts w:ascii="Arial" w:hAnsi="Arial"/>
          <w:noProof/>
          <w:sz w:val="16"/>
          <w:szCs w:val="16"/>
          <w:lang w:eastAsia="ar-SA"/>
        </w:rPr>
        <w:t>The credit assessment of project finance and other structured limited recourse operations uses credit risk tools relevant for the sector, focused mainly on cash flow availability and debt service capacity. These tools include the analysis of projects’ contractual framework, counterpart’s analysis and cash flow simulations. Similarly to corporates and financial institutions, each project is assigned an internal risk rating. Finally, Non-EU sovereigns are rated by the Economics Department based on a statistical model.</w:t>
      </w:r>
    </w:p>
    <w:p w14:paraId="1066D5C4"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14:paraId="5423691D"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r>
        <w:rPr>
          <w:rFonts w:ascii="Arial" w:hAnsi="Arial"/>
          <w:noProof/>
          <w:sz w:val="16"/>
          <w:szCs w:val="16"/>
          <w:lang w:eastAsia="ar-SA"/>
        </w:rPr>
        <w:t xml:space="preserve">All Internal Ratings are monitored over loan life, and periodically updated. </w:t>
      </w:r>
    </w:p>
    <w:p w14:paraId="6D845E1E"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p>
    <w:p w14:paraId="0A1B83E9"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r w:rsidRPr="00BD1346">
        <w:rPr>
          <w:rFonts w:ascii="Arial" w:hAnsi="Arial" w:cs="Arial"/>
          <w:iCs/>
          <w:noProof/>
          <w:sz w:val="16"/>
          <w:szCs w:val="16"/>
        </w:rPr>
        <w:t xml:space="preserve">In order to mitigate credit risk the </w:t>
      </w:r>
      <w:r>
        <w:rPr>
          <w:rFonts w:ascii="Arial" w:hAnsi="Arial" w:cs="Arial"/>
          <w:iCs/>
          <w:noProof/>
          <w:sz w:val="16"/>
          <w:szCs w:val="16"/>
        </w:rPr>
        <w:t>EIB</w:t>
      </w:r>
      <w:r w:rsidRPr="00BD1346">
        <w:rPr>
          <w:rFonts w:ascii="Arial" w:hAnsi="Arial" w:cs="Arial"/>
          <w:iCs/>
          <w:noProof/>
          <w:sz w:val="16"/>
          <w:szCs w:val="16"/>
        </w:rPr>
        <w:t xml:space="preserve"> uses</w:t>
      </w:r>
      <w:r>
        <w:rPr>
          <w:rFonts w:ascii="Arial" w:hAnsi="Arial" w:cs="Arial"/>
          <w:iCs/>
          <w:noProof/>
          <w:sz w:val="16"/>
          <w:szCs w:val="16"/>
        </w:rPr>
        <w:t>, where appropriate and on a case by case basis,</w:t>
      </w:r>
      <w:r w:rsidRPr="00BD1346">
        <w:rPr>
          <w:rFonts w:ascii="Arial" w:hAnsi="Arial" w:cs="Arial"/>
          <w:iCs/>
          <w:noProof/>
          <w:sz w:val="16"/>
          <w:szCs w:val="16"/>
        </w:rPr>
        <w:t xml:space="preserve"> various credit enhancements</w:t>
      </w:r>
      <w:r>
        <w:rPr>
          <w:rFonts w:ascii="Arial" w:hAnsi="Arial" w:cs="Arial"/>
          <w:iCs/>
          <w:noProof/>
          <w:sz w:val="16"/>
          <w:szCs w:val="16"/>
        </w:rPr>
        <w:t xml:space="preserve"> </w:t>
      </w:r>
      <w:r>
        <w:rPr>
          <w:rFonts w:ascii="Arial" w:hAnsi="Arial" w:cs="Arial"/>
          <w:iCs/>
          <w:noProof/>
          <w:sz w:val="16"/>
          <w:szCs w:val="16"/>
          <w:bdr w:val="none" w:sz="0" w:space="0" w:color="auto" w:frame="1"/>
        </w:rPr>
        <w:t>including amongst others counterparty or project related securities, guarantees and contractual clauses depending of the nature of the borrower and type of operation.</w:t>
      </w:r>
    </w:p>
    <w:p w14:paraId="5CA04168"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cs="Arial"/>
          <w:iCs/>
          <w:noProof/>
          <w:sz w:val="16"/>
          <w:szCs w:val="16"/>
          <w:bdr w:val="nil"/>
        </w:rPr>
      </w:pPr>
    </w:p>
    <w:p w14:paraId="0AFA22BA" w14:textId="77777777" w:rsidR="00FD1E19" w:rsidRDefault="00FD1E19" w:rsidP="00FD1E19">
      <w:pPr>
        <w:pBdr>
          <w:top w:val="nil"/>
          <w:left w:val="nil"/>
          <w:bottom w:val="nil"/>
          <w:right w:val="nil"/>
          <w:between w:val="nil"/>
          <w:bar w:val="nil"/>
        </w:pBdr>
        <w:tabs>
          <w:tab w:val="left" w:pos="1065"/>
        </w:tabs>
        <w:suppressAutoHyphens/>
        <w:spacing w:before="60" w:after="60"/>
        <w:jc w:val="both"/>
        <w:rPr>
          <w:rFonts w:ascii="Arial" w:hAnsi="Arial" w:cs="Arial"/>
          <w:iCs/>
          <w:noProof/>
          <w:sz w:val="16"/>
          <w:szCs w:val="16"/>
          <w:bdr w:val="nil"/>
        </w:rPr>
      </w:pPr>
      <w:r w:rsidRPr="00BD1346">
        <w:rPr>
          <w:rFonts w:ascii="Arial" w:hAnsi="Arial" w:cs="Arial"/>
          <w:iCs/>
          <w:noProof/>
          <w:sz w:val="16"/>
          <w:szCs w:val="16"/>
        </w:rPr>
        <w:t>The Facility does not use any credit derivatives to mitigate credit risk.</w:t>
      </w:r>
    </w:p>
    <w:p w14:paraId="3912FB48" w14:textId="77777777" w:rsidR="00FD1E19" w:rsidRPr="0036714B" w:rsidRDefault="00FD1E19" w:rsidP="00FD1E19">
      <w:pPr>
        <w:pageBreakBefore/>
        <w:numPr>
          <w:ilvl w:val="2"/>
          <w:numId w:val="46"/>
        </w:numPr>
        <w:pBdr>
          <w:top w:val="nil"/>
          <w:left w:val="nil"/>
          <w:bottom w:val="nil"/>
          <w:right w:val="nil"/>
          <w:between w:val="nil"/>
          <w:bar w:val="nil"/>
        </w:pBdr>
        <w:tabs>
          <w:tab w:val="right" w:pos="-2700"/>
        </w:tabs>
        <w:suppressAutoHyphens/>
        <w:spacing w:before="240" w:after="0" w:line="240" w:lineRule="auto"/>
        <w:ind w:hanging="822"/>
        <w:jc w:val="both"/>
        <w:rPr>
          <w:rFonts w:ascii="Arial" w:hAnsi="Arial"/>
          <w:b/>
          <w:noProof/>
          <w:sz w:val="16"/>
          <w:szCs w:val="16"/>
          <w:bdr w:val="nil"/>
          <w:lang w:eastAsia="ar-SA"/>
        </w:rPr>
      </w:pPr>
      <w:bookmarkStart w:id="222" w:name="RG_MARKER_90103"/>
      <w:r w:rsidRPr="0036714B">
        <w:rPr>
          <w:rFonts w:ascii="Arial" w:hAnsi="Arial"/>
          <w:b/>
          <w:noProof/>
          <w:sz w:val="16"/>
          <w:szCs w:val="16"/>
          <w:lang w:eastAsia="ar-SA"/>
        </w:rPr>
        <w:t>Maximum exposure to credit risk without taking into account any collateral and other credit enhancements</w:t>
      </w:r>
      <w:bookmarkEnd w:id="222"/>
    </w:p>
    <w:p w14:paraId="283EDE76" w14:textId="77777777" w:rsidR="00FD1E19" w:rsidRPr="00BD1346" w:rsidRDefault="00FD1E19" w:rsidP="00FD1E19">
      <w:pPr>
        <w:pBdr>
          <w:top w:val="nil"/>
          <w:left w:val="nil"/>
          <w:bottom w:val="nil"/>
          <w:right w:val="nil"/>
          <w:between w:val="nil"/>
          <w:bar w:val="nil"/>
        </w:pBdr>
        <w:tabs>
          <w:tab w:val="right" w:pos="-2700"/>
        </w:tabs>
        <w:suppressAutoHyphens/>
        <w:spacing w:before="60" w:after="60"/>
        <w:ind w:left="431" w:hanging="431"/>
        <w:jc w:val="both"/>
        <w:rPr>
          <w:rFonts w:ascii="Arial" w:hAnsi="Arial"/>
          <w:b/>
          <w:noProof/>
          <w:sz w:val="16"/>
          <w:szCs w:val="16"/>
          <w:bdr w:val="nil"/>
          <w:lang w:eastAsia="ar-SA"/>
        </w:rPr>
      </w:pPr>
    </w:p>
    <w:p w14:paraId="0EE91E86" w14:textId="77777777" w:rsidR="00FD1E19" w:rsidRPr="00F97987"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iCs/>
          <w:noProof/>
          <w:sz w:val="16"/>
          <w:szCs w:val="16"/>
          <w:bdr w:val="nil"/>
          <w:lang w:eastAsia="ar-SA"/>
        </w:rPr>
      </w:pPr>
      <w:r w:rsidRPr="000602BC">
        <w:rPr>
          <w:rFonts w:ascii="Arial" w:hAnsi="Arial"/>
          <w:noProof/>
          <w:sz w:val="16"/>
          <w:szCs w:val="16"/>
          <w:lang w:eastAsia="ar-SA"/>
        </w:rPr>
        <w:t>The following table shows the maximum exposure to credit risk for the components of the statement of financial position, including derivatives. The maximum exposure is shown gross, before the effect of mitigatio</w:t>
      </w:r>
      <w:r>
        <w:rPr>
          <w:rFonts w:ascii="Arial" w:hAnsi="Arial"/>
          <w:noProof/>
          <w:sz w:val="16"/>
          <w:szCs w:val="16"/>
          <w:lang w:eastAsia="ar-SA"/>
        </w:rPr>
        <w:t>n through the use of collateral.</w:t>
      </w:r>
    </w:p>
    <w:tbl>
      <w:tblPr>
        <w:tblStyle w:val="CDMRange1"/>
        <w:tblW w:w="5000" w:type="pct"/>
        <w:tblLayout w:type="fixed"/>
        <w:tblLook w:val="0600" w:firstRow="0" w:lastRow="0" w:firstColumn="0" w:lastColumn="0" w:noHBand="1" w:noVBand="1"/>
      </w:tblPr>
      <w:tblGrid>
        <w:gridCol w:w="6818"/>
        <w:gridCol w:w="1450"/>
        <w:gridCol w:w="1450"/>
      </w:tblGrid>
      <w:tr w:rsidR="00FD1E19" w14:paraId="2FE88BC4" w14:textId="77777777" w:rsidTr="00BE7E4A">
        <w:trPr>
          <w:trHeight w:hRule="exact" w:val="250"/>
        </w:trPr>
        <w:tc>
          <w:tcPr>
            <w:tcW w:w="6990" w:type="dxa"/>
            <w:tcBorders>
              <w:top w:val="single" w:sz="4" w:space="0" w:color="000000"/>
              <w:left w:val="nil"/>
              <w:bottom w:val="single" w:sz="4" w:space="0" w:color="000000"/>
              <w:right w:val="nil"/>
              <w:tl2br w:val="nil"/>
              <w:tr2bl w:val="nil"/>
            </w:tcBorders>
            <w:noWrap/>
            <w:tcMar>
              <w:left w:w="40" w:type="dxa"/>
              <w:right w:w="40" w:type="dxa"/>
            </w:tcMar>
            <w:vAlign w:val="center"/>
          </w:tcPr>
          <w:p w14:paraId="2044C35D" w14:textId="77777777" w:rsidR="00FD1E19" w:rsidRDefault="00FD1E19" w:rsidP="00BE7E4A">
            <w:pPr>
              <w:suppressAutoHyphens/>
              <w:rPr>
                <w:rFonts w:ascii="Arial" w:eastAsia="Arial" w:hAnsi="Arial" w:cs="Arial"/>
                <w:b/>
                <w:noProof/>
                <w:color w:val="000000"/>
                <w:sz w:val="16"/>
                <w:lang w:eastAsia="ar-SA"/>
              </w:rPr>
            </w:pPr>
            <w:bookmarkStart w:id="223" w:name="RG_MARKER_90104"/>
            <w:r>
              <w:rPr>
                <w:rFonts w:ascii="Arial" w:eastAsia="Arial" w:hAnsi="Arial" w:cs="Arial"/>
                <w:b/>
                <w:noProof/>
                <w:color w:val="000000"/>
                <w:sz w:val="16"/>
                <w:lang w:eastAsia="ar-SA"/>
              </w:rPr>
              <w:t>Maximum exposure (in EUR’000)</w:t>
            </w:r>
            <w:bookmarkEnd w:id="223"/>
          </w:p>
        </w:tc>
        <w:tc>
          <w:tcPr>
            <w:tcW w:w="1485" w:type="dxa"/>
            <w:tcBorders>
              <w:top w:val="single" w:sz="4" w:space="0" w:color="000000"/>
              <w:left w:val="nil"/>
              <w:bottom w:val="single" w:sz="4" w:space="0" w:color="000000"/>
              <w:right w:val="nil"/>
              <w:tl2br w:val="nil"/>
              <w:tr2bl w:val="nil"/>
            </w:tcBorders>
            <w:noWrap/>
            <w:tcMar>
              <w:left w:w="40" w:type="dxa"/>
              <w:right w:w="40" w:type="dxa"/>
            </w:tcMar>
            <w:vAlign w:val="center"/>
          </w:tcPr>
          <w:p w14:paraId="0907819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485" w:type="dxa"/>
            <w:tcBorders>
              <w:top w:val="single" w:sz="4" w:space="0" w:color="000000"/>
              <w:left w:val="nil"/>
              <w:bottom w:val="single" w:sz="4" w:space="0" w:color="000000"/>
              <w:right w:val="nil"/>
              <w:tl2br w:val="nil"/>
              <w:tr2bl w:val="nil"/>
            </w:tcBorders>
            <w:noWrap/>
            <w:tcMar>
              <w:left w:w="40" w:type="dxa"/>
              <w:right w:w="40" w:type="dxa"/>
            </w:tcMar>
            <w:vAlign w:val="center"/>
          </w:tcPr>
          <w:p w14:paraId="0003E15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216448C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single" w:sz="4" w:space="0" w:color="000000"/>
              <w:left w:val="nil"/>
              <w:bottom w:val="nil"/>
              <w:right w:val="nil"/>
              <w:tl2br w:val="nil"/>
              <w:tr2bl w:val="nil"/>
            </w:tcBorders>
            <w:noWrap/>
            <w:tcMar>
              <w:left w:w="40" w:type="dxa"/>
              <w:right w:w="40" w:type="dxa"/>
            </w:tcMar>
            <w:vAlign w:val="center"/>
          </w:tcPr>
          <w:p w14:paraId="0746AAC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ASSETS</w:t>
            </w:r>
          </w:p>
        </w:tc>
        <w:tc>
          <w:tcPr>
            <w:tcW w:w="1485" w:type="dxa"/>
            <w:tcBorders>
              <w:top w:val="single" w:sz="4" w:space="0" w:color="000000"/>
              <w:left w:val="nil"/>
              <w:bottom w:val="nil"/>
              <w:right w:val="nil"/>
              <w:tl2br w:val="nil"/>
              <w:tr2bl w:val="nil"/>
            </w:tcBorders>
            <w:noWrap/>
            <w:tcMar>
              <w:left w:w="0" w:type="dxa"/>
              <w:right w:w="0" w:type="dxa"/>
            </w:tcMar>
            <w:vAlign w:val="center"/>
          </w:tcPr>
          <w:p w14:paraId="3D129462" w14:textId="77777777" w:rsidR="00FD1E19" w:rsidRDefault="00FD1E19" w:rsidP="00BE7E4A">
            <w:pPr>
              <w:suppressAutoHyphens/>
              <w:rPr>
                <w:rFonts w:ascii="Arial" w:eastAsia="Arial" w:hAnsi="Arial" w:cs="Arial"/>
                <w:noProof/>
                <w:color w:val="000000"/>
                <w:sz w:val="16"/>
                <w:lang w:eastAsia="ar-SA"/>
              </w:rPr>
            </w:pPr>
          </w:p>
        </w:tc>
        <w:tc>
          <w:tcPr>
            <w:tcW w:w="1485" w:type="dxa"/>
            <w:tcBorders>
              <w:top w:val="single" w:sz="4" w:space="0" w:color="000000"/>
              <w:left w:val="nil"/>
              <w:bottom w:val="nil"/>
              <w:right w:val="nil"/>
              <w:tl2br w:val="nil"/>
              <w:tr2bl w:val="nil"/>
            </w:tcBorders>
            <w:noWrap/>
            <w:tcMar>
              <w:left w:w="0" w:type="dxa"/>
              <w:right w:w="0" w:type="dxa"/>
            </w:tcMar>
            <w:vAlign w:val="center"/>
          </w:tcPr>
          <w:p w14:paraId="0CD34E02" w14:textId="77777777" w:rsidR="00FD1E19" w:rsidRDefault="00FD1E19" w:rsidP="00BE7E4A">
            <w:pPr>
              <w:suppressAutoHyphens/>
              <w:rPr>
                <w:rFonts w:ascii="Arial" w:eastAsia="Arial" w:hAnsi="Arial" w:cs="Arial"/>
                <w:noProof/>
                <w:color w:val="000000"/>
                <w:sz w:val="16"/>
                <w:lang w:eastAsia="ar-SA"/>
              </w:rPr>
            </w:pPr>
          </w:p>
        </w:tc>
      </w:tr>
      <w:tr w:rsidR="00FD1E19" w14:paraId="5FF7041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1F4951B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Cash and cash equivalents</w:t>
            </w:r>
          </w:p>
        </w:tc>
        <w:tc>
          <w:tcPr>
            <w:tcW w:w="1485" w:type="dxa"/>
            <w:tcBorders>
              <w:top w:val="nil"/>
              <w:left w:val="nil"/>
              <w:bottom w:val="nil"/>
              <w:right w:val="nil"/>
              <w:tl2br w:val="nil"/>
              <w:tr2bl w:val="nil"/>
            </w:tcBorders>
            <w:tcMar>
              <w:left w:w="40" w:type="dxa"/>
              <w:right w:w="40" w:type="dxa"/>
            </w:tcMar>
            <w:vAlign w:val="center"/>
          </w:tcPr>
          <w:p w14:paraId="5AD095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1,665,129</w:t>
            </w:r>
          </w:p>
        </w:tc>
        <w:tc>
          <w:tcPr>
            <w:tcW w:w="1485" w:type="dxa"/>
            <w:tcBorders>
              <w:top w:val="nil"/>
              <w:left w:val="nil"/>
              <w:bottom w:val="nil"/>
              <w:right w:val="nil"/>
              <w:tl2br w:val="nil"/>
              <w:tr2bl w:val="nil"/>
            </w:tcBorders>
            <w:tcMar>
              <w:left w:w="40" w:type="dxa"/>
              <w:right w:w="40" w:type="dxa"/>
            </w:tcMar>
            <w:vAlign w:val="center"/>
          </w:tcPr>
          <w:p w14:paraId="0EFB765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1,638,604</w:t>
            </w:r>
          </w:p>
        </w:tc>
      </w:tr>
      <w:tr w:rsidR="00FD1E19" w14:paraId="52002D5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22652AE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receivable from contributors</w:t>
            </w:r>
          </w:p>
        </w:tc>
        <w:tc>
          <w:tcPr>
            <w:tcW w:w="1485" w:type="dxa"/>
            <w:tcBorders>
              <w:top w:val="nil"/>
              <w:left w:val="nil"/>
              <w:bottom w:val="nil"/>
              <w:right w:val="nil"/>
              <w:tl2br w:val="nil"/>
              <w:tr2bl w:val="nil"/>
            </w:tcBorders>
            <w:tcMar>
              <w:left w:w="40" w:type="dxa"/>
              <w:right w:w="40" w:type="dxa"/>
            </w:tcMar>
            <w:vAlign w:val="center"/>
          </w:tcPr>
          <w:p w14:paraId="1E2B57A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 xml:space="preserve">- </w:t>
            </w:r>
          </w:p>
        </w:tc>
        <w:tc>
          <w:tcPr>
            <w:tcW w:w="1485" w:type="dxa"/>
            <w:tcBorders>
              <w:top w:val="nil"/>
              <w:left w:val="nil"/>
              <w:bottom w:val="nil"/>
              <w:right w:val="nil"/>
              <w:tl2br w:val="nil"/>
              <w:tr2bl w:val="nil"/>
            </w:tcBorders>
            <w:tcMar>
              <w:left w:w="40" w:type="dxa"/>
              <w:right w:w="40" w:type="dxa"/>
            </w:tcMar>
            <w:vAlign w:val="center"/>
          </w:tcPr>
          <w:p w14:paraId="7FCF626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7,482</w:t>
            </w:r>
          </w:p>
        </w:tc>
      </w:tr>
      <w:tr w:rsidR="00FD1E19" w14:paraId="65BB01B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6BD752F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Derivative financial instruments</w:t>
            </w:r>
          </w:p>
        </w:tc>
        <w:tc>
          <w:tcPr>
            <w:tcW w:w="1485" w:type="dxa"/>
            <w:tcBorders>
              <w:top w:val="nil"/>
              <w:left w:val="nil"/>
              <w:bottom w:val="nil"/>
              <w:right w:val="nil"/>
              <w:tl2br w:val="nil"/>
              <w:tr2bl w:val="nil"/>
            </w:tcBorders>
            <w:tcMar>
              <w:left w:w="40" w:type="dxa"/>
              <w:right w:w="40" w:type="dxa"/>
            </w:tcMar>
            <w:vAlign w:val="center"/>
          </w:tcPr>
          <w:p w14:paraId="3E96C61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7,819</w:t>
            </w:r>
          </w:p>
        </w:tc>
        <w:tc>
          <w:tcPr>
            <w:tcW w:w="1485" w:type="dxa"/>
            <w:tcBorders>
              <w:top w:val="nil"/>
              <w:left w:val="nil"/>
              <w:bottom w:val="nil"/>
              <w:right w:val="nil"/>
              <w:tl2br w:val="nil"/>
              <w:tr2bl w:val="nil"/>
            </w:tcBorders>
            <w:tcMar>
              <w:left w:w="40" w:type="dxa"/>
              <w:right w:w="40" w:type="dxa"/>
            </w:tcMar>
            <w:vAlign w:val="center"/>
          </w:tcPr>
          <w:p w14:paraId="3939493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783</w:t>
            </w:r>
          </w:p>
        </w:tc>
      </w:tr>
      <w:tr w:rsidR="00FD1E19" w14:paraId="56540A2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523EE7C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485" w:type="dxa"/>
            <w:tcBorders>
              <w:top w:val="nil"/>
              <w:left w:val="nil"/>
              <w:bottom w:val="nil"/>
              <w:right w:val="nil"/>
              <w:tl2br w:val="nil"/>
              <w:tr2bl w:val="nil"/>
            </w:tcBorders>
            <w:tcMar>
              <w:left w:w="40" w:type="dxa"/>
              <w:right w:w="40" w:type="dxa"/>
            </w:tcMar>
            <w:vAlign w:val="center"/>
          </w:tcPr>
          <w:p w14:paraId="524DE27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1,063,511</w:t>
            </w:r>
          </w:p>
        </w:tc>
        <w:tc>
          <w:tcPr>
            <w:tcW w:w="1485" w:type="dxa"/>
            <w:tcBorders>
              <w:top w:val="nil"/>
              <w:left w:val="nil"/>
              <w:bottom w:val="nil"/>
              <w:right w:val="nil"/>
              <w:tl2br w:val="nil"/>
              <w:tr2bl w:val="nil"/>
            </w:tcBorders>
            <w:tcMar>
              <w:left w:w="40" w:type="dxa"/>
              <w:right w:w="40" w:type="dxa"/>
            </w:tcMar>
            <w:vAlign w:val="center"/>
          </w:tcPr>
          <w:p w14:paraId="10F65CD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1,498,048</w:t>
            </w:r>
          </w:p>
        </w:tc>
      </w:tr>
      <w:tr w:rsidR="00FD1E19" w14:paraId="0087B62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7117666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assets</w:t>
            </w:r>
          </w:p>
        </w:tc>
        <w:tc>
          <w:tcPr>
            <w:tcW w:w="1485" w:type="dxa"/>
            <w:tcBorders>
              <w:top w:val="nil"/>
              <w:left w:val="nil"/>
              <w:bottom w:val="nil"/>
              <w:right w:val="nil"/>
              <w:tl2br w:val="nil"/>
              <w:tr2bl w:val="nil"/>
            </w:tcBorders>
            <w:tcMar>
              <w:left w:w="40" w:type="dxa"/>
              <w:right w:w="40" w:type="dxa"/>
            </w:tcMar>
            <w:vAlign w:val="center"/>
          </w:tcPr>
          <w:p w14:paraId="29C008C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c>
          <w:tcPr>
            <w:tcW w:w="1485" w:type="dxa"/>
            <w:tcBorders>
              <w:top w:val="nil"/>
              <w:left w:val="nil"/>
              <w:bottom w:val="nil"/>
              <w:right w:val="nil"/>
              <w:tl2br w:val="nil"/>
              <w:tr2bl w:val="nil"/>
            </w:tcBorders>
            <w:tcMar>
              <w:left w:w="40" w:type="dxa"/>
              <w:right w:w="40" w:type="dxa"/>
            </w:tcMar>
            <w:vAlign w:val="center"/>
          </w:tcPr>
          <w:p w14:paraId="471EB8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 xml:space="preserve">- </w:t>
            </w:r>
          </w:p>
        </w:tc>
      </w:tr>
      <w:tr w:rsidR="00FD1E19" w14:paraId="13A7F81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14:paraId="71647B97"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36E6463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2,773,292</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3B219D9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3,144,917</w:t>
            </w:r>
          </w:p>
        </w:tc>
      </w:tr>
      <w:tr w:rsidR="00FD1E19" w14:paraId="470DF51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0" w:type="dxa"/>
              <w:right w:w="0" w:type="dxa"/>
            </w:tcMar>
            <w:vAlign w:val="center"/>
          </w:tcPr>
          <w:p w14:paraId="2DE42C7F" w14:textId="77777777" w:rsidR="00FD1E19" w:rsidRDefault="00FD1E19" w:rsidP="00BE7E4A">
            <w:pPr>
              <w:suppressAutoHyphens/>
              <w:rPr>
                <w:rFonts w:ascii="Arial" w:eastAsia="Arial" w:hAnsi="Arial" w:cs="Arial"/>
                <w:b/>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14:paraId="258BBDD5" w14:textId="77777777" w:rsidR="00FD1E19" w:rsidRDefault="00FD1E19" w:rsidP="00BE7E4A">
            <w:pPr>
              <w:suppressAutoHyphens/>
              <w:jc w:val="right"/>
              <w:rPr>
                <w:rFonts w:ascii="Arial" w:eastAsia="Arial" w:hAnsi="Arial" w:cs="Arial"/>
                <w:b/>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14:paraId="7CFE68F8"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43F8932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14:paraId="7D7F7A7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Provisions for loan commitments</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1E8B348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-17,585</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5D69EEB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-18,320</w:t>
            </w:r>
          </w:p>
        </w:tc>
      </w:tr>
      <w:tr w:rsidR="00FD1E19" w14:paraId="68E6028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90" w:type="dxa"/>
            <w:tcBorders>
              <w:top w:val="nil"/>
              <w:left w:val="nil"/>
              <w:bottom w:val="nil"/>
              <w:right w:val="nil"/>
              <w:tl2br w:val="nil"/>
              <w:tr2bl w:val="nil"/>
            </w:tcBorders>
            <w:noWrap/>
            <w:tcMar>
              <w:left w:w="0" w:type="dxa"/>
              <w:right w:w="0" w:type="dxa"/>
            </w:tcMar>
            <w:vAlign w:val="center"/>
          </w:tcPr>
          <w:p w14:paraId="323194AF" w14:textId="77777777" w:rsidR="00FD1E19" w:rsidRDefault="00FD1E19" w:rsidP="00BE7E4A">
            <w:pPr>
              <w:suppressAutoHyphens/>
              <w:rPr>
                <w:rFonts w:ascii="Arial" w:eastAsia="Arial" w:hAnsi="Arial" w:cs="Arial"/>
                <w:noProof/>
                <w:color w:val="000000"/>
                <w:sz w:val="16"/>
                <w:lang w:eastAsia="ar-SA"/>
              </w:rPr>
            </w:pPr>
          </w:p>
        </w:tc>
        <w:tc>
          <w:tcPr>
            <w:tcW w:w="1485" w:type="dxa"/>
            <w:tcBorders>
              <w:top w:val="nil"/>
              <w:left w:val="nil"/>
              <w:bottom w:val="nil"/>
              <w:right w:val="nil"/>
              <w:tl2br w:val="nil"/>
              <w:tr2bl w:val="nil"/>
            </w:tcBorders>
            <w:noWrap/>
            <w:tcMar>
              <w:left w:w="0" w:type="dxa"/>
              <w:right w:w="0" w:type="dxa"/>
            </w:tcMar>
            <w:vAlign w:val="center"/>
          </w:tcPr>
          <w:p w14:paraId="3321D7CA" w14:textId="77777777" w:rsidR="00FD1E19" w:rsidRDefault="00FD1E19" w:rsidP="00BE7E4A">
            <w:pPr>
              <w:suppressAutoHyphens/>
              <w:rPr>
                <w:rFonts w:ascii="Arial" w:eastAsia="Arial" w:hAnsi="Arial" w:cs="Arial"/>
                <w:noProof/>
                <w:color w:val="000000"/>
                <w:sz w:val="16"/>
                <w:lang w:eastAsia="ar-SA"/>
              </w:rPr>
            </w:pPr>
          </w:p>
        </w:tc>
        <w:tc>
          <w:tcPr>
            <w:tcW w:w="1485" w:type="dxa"/>
            <w:tcBorders>
              <w:top w:val="nil"/>
              <w:left w:val="nil"/>
              <w:bottom w:val="nil"/>
              <w:right w:val="nil"/>
              <w:tl2br w:val="nil"/>
              <w:tr2bl w:val="nil"/>
            </w:tcBorders>
            <w:noWrap/>
            <w:tcMar>
              <w:left w:w="0" w:type="dxa"/>
              <w:right w:w="0" w:type="dxa"/>
            </w:tcMar>
            <w:vAlign w:val="center"/>
          </w:tcPr>
          <w:p w14:paraId="34602E89" w14:textId="77777777" w:rsidR="00FD1E19" w:rsidRDefault="00FD1E19" w:rsidP="00BE7E4A">
            <w:pPr>
              <w:suppressAutoHyphens/>
              <w:rPr>
                <w:rFonts w:ascii="Arial" w:eastAsia="Arial" w:hAnsi="Arial" w:cs="Arial"/>
                <w:noProof/>
                <w:color w:val="000000"/>
                <w:sz w:val="16"/>
                <w:lang w:eastAsia="ar-SA"/>
              </w:rPr>
            </w:pPr>
          </w:p>
        </w:tc>
      </w:tr>
      <w:tr w:rsidR="00FD1E19" w14:paraId="72A0F25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5AFCD1A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OFF BALANCE SHEET</w:t>
            </w:r>
          </w:p>
        </w:tc>
        <w:tc>
          <w:tcPr>
            <w:tcW w:w="1485" w:type="dxa"/>
            <w:tcBorders>
              <w:top w:val="nil"/>
              <w:left w:val="nil"/>
              <w:bottom w:val="nil"/>
              <w:right w:val="nil"/>
              <w:tl2br w:val="nil"/>
              <w:tr2bl w:val="nil"/>
            </w:tcBorders>
            <w:tcMar>
              <w:left w:w="0" w:type="dxa"/>
              <w:right w:w="0" w:type="dxa"/>
            </w:tcMar>
            <w:vAlign w:val="center"/>
          </w:tcPr>
          <w:p w14:paraId="30050715" w14:textId="77777777" w:rsidR="00FD1E19" w:rsidRDefault="00FD1E19" w:rsidP="00BE7E4A">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14:paraId="4BED88AB" w14:textId="77777777" w:rsidR="00FD1E19" w:rsidRDefault="00FD1E19" w:rsidP="00BE7E4A">
            <w:pPr>
              <w:suppressAutoHyphens/>
              <w:jc w:val="right"/>
              <w:rPr>
                <w:rFonts w:ascii="Arial" w:eastAsia="Arial" w:hAnsi="Arial" w:cs="Arial"/>
                <w:noProof/>
                <w:color w:val="000000"/>
                <w:sz w:val="16"/>
                <w:lang w:eastAsia="ar-SA"/>
              </w:rPr>
            </w:pPr>
          </w:p>
        </w:tc>
      </w:tr>
      <w:tr w:rsidR="00FD1E19" w14:paraId="54356A3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237EEFB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Contingent liabilities</w:t>
            </w:r>
          </w:p>
        </w:tc>
        <w:tc>
          <w:tcPr>
            <w:tcW w:w="1485" w:type="dxa"/>
            <w:tcBorders>
              <w:top w:val="nil"/>
              <w:left w:val="nil"/>
              <w:bottom w:val="nil"/>
              <w:right w:val="nil"/>
              <w:tl2br w:val="nil"/>
              <w:tr2bl w:val="nil"/>
            </w:tcBorders>
            <w:tcMar>
              <w:left w:w="0" w:type="dxa"/>
              <w:right w:w="0" w:type="dxa"/>
            </w:tcMar>
            <w:vAlign w:val="center"/>
          </w:tcPr>
          <w:p w14:paraId="57BF2B27" w14:textId="77777777" w:rsidR="00FD1E19" w:rsidRDefault="00FD1E19" w:rsidP="00BE7E4A">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14:paraId="5BE751AE" w14:textId="77777777" w:rsidR="00FD1E19" w:rsidRDefault="00FD1E19" w:rsidP="00BE7E4A">
            <w:pPr>
              <w:suppressAutoHyphens/>
              <w:jc w:val="right"/>
              <w:rPr>
                <w:rFonts w:ascii="Arial" w:eastAsia="Arial" w:hAnsi="Arial" w:cs="Arial"/>
                <w:noProof/>
                <w:color w:val="000000"/>
                <w:sz w:val="16"/>
                <w:lang w:eastAsia="ar-SA"/>
              </w:rPr>
            </w:pPr>
          </w:p>
        </w:tc>
      </w:tr>
      <w:tr w:rsidR="00FD1E19" w14:paraId="6EF3C60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20395A7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Issued Guarantees</w:t>
            </w:r>
          </w:p>
        </w:tc>
        <w:tc>
          <w:tcPr>
            <w:tcW w:w="1485" w:type="dxa"/>
            <w:tcBorders>
              <w:top w:val="nil"/>
              <w:left w:val="nil"/>
              <w:bottom w:val="nil"/>
              <w:right w:val="nil"/>
              <w:tl2br w:val="nil"/>
              <w:tr2bl w:val="nil"/>
            </w:tcBorders>
            <w:tcMar>
              <w:left w:w="40" w:type="dxa"/>
              <w:right w:w="40" w:type="dxa"/>
            </w:tcMar>
            <w:vAlign w:val="center"/>
          </w:tcPr>
          <w:p w14:paraId="535032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 xml:space="preserve">- </w:t>
            </w:r>
          </w:p>
        </w:tc>
        <w:tc>
          <w:tcPr>
            <w:tcW w:w="1485" w:type="dxa"/>
            <w:tcBorders>
              <w:top w:val="nil"/>
              <w:left w:val="nil"/>
              <w:bottom w:val="nil"/>
              <w:right w:val="nil"/>
              <w:tl2br w:val="nil"/>
              <w:tr2bl w:val="nil"/>
            </w:tcBorders>
            <w:tcMar>
              <w:left w:w="40" w:type="dxa"/>
              <w:right w:w="40" w:type="dxa"/>
            </w:tcMar>
            <w:vAlign w:val="center"/>
          </w:tcPr>
          <w:p w14:paraId="46ACD1A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 xml:space="preserve">- </w:t>
            </w:r>
          </w:p>
        </w:tc>
      </w:tr>
      <w:tr w:rsidR="00FD1E19" w14:paraId="340716B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190052D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Commitments</w:t>
            </w:r>
          </w:p>
        </w:tc>
        <w:tc>
          <w:tcPr>
            <w:tcW w:w="1485" w:type="dxa"/>
            <w:tcBorders>
              <w:top w:val="nil"/>
              <w:left w:val="nil"/>
              <w:bottom w:val="nil"/>
              <w:right w:val="nil"/>
              <w:tl2br w:val="nil"/>
              <w:tr2bl w:val="nil"/>
            </w:tcBorders>
            <w:tcMar>
              <w:left w:w="0" w:type="dxa"/>
              <w:right w:w="0" w:type="dxa"/>
            </w:tcMar>
            <w:vAlign w:val="center"/>
          </w:tcPr>
          <w:p w14:paraId="3C768507" w14:textId="77777777" w:rsidR="00FD1E19" w:rsidRDefault="00FD1E19" w:rsidP="00BE7E4A">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14:paraId="29DA3A9B" w14:textId="77777777" w:rsidR="00FD1E19" w:rsidRDefault="00FD1E19" w:rsidP="00BE7E4A">
            <w:pPr>
              <w:suppressAutoHyphens/>
              <w:jc w:val="right"/>
              <w:rPr>
                <w:rFonts w:ascii="Arial" w:eastAsia="Arial" w:hAnsi="Arial" w:cs="Arial"/>
                <w:noProof/>
                <w:color w:val="000000"/>
                <w:sz w:val="16"/>
                <w:lang w:eastAsia="ar-SA"/>
              </w:rPr>
            </w:pPr>
          </w:p>
        </w:tc>
      </w:tr>
      <w:tr w:rsidR="00FD1E19" w14:paraId="0CD66FD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0EFF2C1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Undisbursed loans</w:t>
            </w:r>
          </w:p>
        </w:tc>
        <w:tc>
          <w:tcPr>
            <w:tcW w:w="1485" w:type="dxa"/>
            <w:tcBorders>
              <w:top w:val="nil"/>
              <w:left w:val="nil"/>
              <w:bottom w:val="nil"/>
              <w:right w:val="nil"/>
              <w:tl2br w:val="nil"/>
              <w:tr2bl w:val="nil"/>
            </w:tcBorders>
            <w:tcMar>
              <w:left w:w="40" w:type="dxa"/>
              <w:right w:w="40" w:type="dxa"/>
            </w:tcMar>
            <w:vAlign w:val="center"/>
          </w:tcPr>
          <w:p w14:paraId="6E4C593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354,187</w:t>
            </w:r>
          </w:p>
        </w:tc>
        <w:tc>
          <w:tcPr>
            <w:tcW w:w="1485" w:type="dxa"/>
            <w:tcBorders>
              <w:top w:val="nil"/>
              <w:left w:val="nil"/>
              <w:bottom w:val="nil"/>
              <w:right w:val="nil"/>
              <w:tl2br w:val="nil"/>
              <w:tr2bl w:val="nil"/>
            </w:tcBorders>
            <w:tcMar>
              <w:left w:w="40" w:type="dxa"/>
              <w:right w:w="40" w:type="dxa"/>
            </w:tcMar>
            <w:vAlign w:val="center"/>
          </w:tcPr>
          <w:p w14:paraId="020820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676,229</w:t>
            </w:r>
          </w:p>
        </w:tc>
      </w:tr>
      <w:tr w:rsidR="00FD1E19" w14:paraId="2F1921E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40" w:type="dxa"/>
              <w:right w:w="40" w:type="dxa"/>
            </w:tcMar>
            <w:vAlign w:val="center"/>
          </w:tcPr>
          <w:p w14:paraId="198E173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Non-issued guarantees</w:t>
            </w:r>
          </w:p>
        </w:tc>
        <w:tc>
          <w:tcPr>
            <w:tcW w:w="1485" w:type="dxa"/>
            <w:tcBorders>
              <w:top w:val="nil"/>
              <w:left w:val="nil"/>
              <w:bottom w:val="nil"/>
              <w:right w:val="nil"/>
              <w:tl2br w:val="nil"/>
              <w:tr2bl w:val="nil"/>
            </w:tcBorders>
            <w:tcMar>
              <w:left w:w="40" w:type="dxa"/>
              <w:right w:w="40" w:type="dxa"/>
            </w:tcMar>
            <w:vAlign w:val="center"/>
          </w:tcPr>
          <w:p w14:paraId="7B1CECE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c>
          <w:tcPr>
            <w:tcW w:w="1485" w:type="dxa"/>
            <w:tcBorders>
              <w:top w:val="nil"/>
              <w:left w:val="nil"/>
              <w:bottom w:val="nil"/>
              <w:right w:val="nil"/>
              <w:tl2br w:val="nil"/>
              <w:tr2bl w:val="nil"/>
            </w:tcBorders>
            <w:tcMar>
              <w:left w:w="40" w:type="dxa"/>
              <w:right w:w="40" w:type="dxa"/>
            </w:tcMar>
            <w:vAlign w:val="center"/>
          </w:tcPr>
          <w:p w14:paraId="1FB99F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r>
      <w:tr w:rsidR="00FD1E19" w14:paraId="513C06A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14:paraId="7237628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off balance sheet</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51CACDC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356,687</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6C45EA5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678,729</w:t>
            </w:r>
          </w:p>
        </w:tc>
      </w:tr>
      <w:tr w:rsidR="00FD1E19" w14:paraId="21B8CFA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noWrap/>
            <w:tcMar>
              <w:left w:w="0" w:type="dxa"/>
              <w:right w:w="0" w:type="dxa"/>
            </w:tcMar>
            <w:vAlign w:val="center"/>
          </w:tcPr>
          <w:p w14:paraId="06D77EF3" w14:textId="77777777" w:rsidR="00FD1E19" w:rsidRDefault="00FD1E19" w:rsidP="00BE7E4A">
            <w:pPr>
              <w:suppressAutoHyphens/>
              <w:rPr>
                <w:rFonts w:ascii="Arial" w:eastAsia="Arial" w:hAnsi="Arial" w:cs="Arial"/>
                <w:noProof/>
                <w:color w:val="000000"/>
                <w:lang w:eastAsia="ar-SA"/>
              </w:rPr>
            </w:pPr>
          </w:p>
        </w:tc>
        <w:tc>
          <w:tcPr>
            <w:tcW w:w="1485" w:type="dxa"/>
            <w:tcBorders>
              <w:top w:val="nil"/>
              <w:left w:val="nil"/>
              <w:bottom w:val="nil"/>
              <w:right w:val="nil"/>
              <w:tl2br w:val="nil"/>
              <w:tr2bl w:val="nil"/>
            </w:tcBorders>
            <w:tcMar>
              <w:left w:w="0" w:type="dxa"/>
              <w:right w:w="0" w:type="dxa"/>
            </w:tcMar>
            <w:vAlign w:val="center"/>
          </w:tcPr>
          <w:p w14:paraId="142DDAB1" w14:textId="77777777" w:rsidR="00FD1E19" w:rsidRDefault="00FD1E19" w:rsidP="00BE7E4A">
            <w:pPr>
              <w:suppressAutoHyphens/>
              <w:jc w:val="right"/>
              <w:rPr>
                <w:rFonts w:ascii="Arial" w:eastAsia="Arial" w:hAnsi="Arial" w:cs="Arial"/>
                <w:noProof/>
                <w:color w:val="000000"/>
                <w:sz w:val="16"/>
                <w:lang w:eastAsia="ar-SA"/>
              </w:rPr>
            </w:pPr>
          </w:p>
        </w:tc>
        <w:tc>
          <w:tcPr>
            <w:tcW w:w="1485" w:type="dxa"/>
            <w:tcBorders>
              <w:top w:val="nil"/>
              <w:left w:val="nil"/>
              <w:bottom w:val="nil"/>
              <w:right w:val="nil"/>
              <w:tl2br w:val="nil"/>
              <w:tr2bl w:val="nil"/>
            </w:tcBorders>
            <w:tcMar>
              <w:left w:w="0" w:type="dxa"/>
              <w:right w:w="0" w:type="dxa"/>
            </w:tcMar>
            <w:vAlign w:val="center"/>
          </w:tcPr>
          <w:p w14:paraId="3E2B646F" w14:textId="77777777" w:rsidR="00FD1E19" w:rsidRDefault="00FD1E19" w:rsidP="00BE7E4A">
            <w:pPr>
              <w:suppressAutoHyphens/>
              <w:jc w:val="right"/>
              <w:rPr>
                <w:rFonts w:ascii="Arial" w:eastAsia="Arial" w:hAnsi="Arial" w:cs="Arial"/>
                <w:noProof/>
                <w:color w:val="000000"/>
                <w:sz w:val="16"/>
                <w:lang w:eastAsia="ar-SA"/>
              </w:rPr>
            </w:pPr>
          </w:p>
        </w:tc>
      </w:tr>
      <w:tr w:rsidR="00FD1E19" w14:paraId="5FD1436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90" w:type="dxa"/>
            <w:tcBorders>
              <w:top w:val="nil"/>
              <w:left w:val="nil"/>
              <w:bottom w:val="nil"/>
              <w:right w:val="nil"/>
              <w:tl2br w:val="nil"/>
              <w:tr2bl w:val="nil"/>
            </w:tcBorders>
            <w:shd w:val="clear" w:color="FFFFFF" w:fill="C0C0C0"/>
            <w:noWrap/>
            <w:tcMar>
              <w:left w:w="40" w:type="dxa"/>
              <w:right w:w="40" w:type="dxa"/>
            </w:tcMar>
            <w:vAlign w:val="center"/>
          </w:tcPr>
          <w:p w14:paraId="4A028DD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credit exposure</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5F081A9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3,112,394</w:t>
            </w:r>
          </w:p>
        </w:tc>
        <w:tc>
          <w:tcPr>
            <w:tcW w:w="1485" w:type="dxa"/>
            <w:tcBorders>
              <w:top w:val="nil"/>
              <w:left w:val="nil"/>
              <w:bottom w:val="nil"/>
              <w:right w:val="nil"/>
              <w:tl2br w:val="nil"/>
              <w:tr2bl w:val="nil"/>
            </w:tcBorders>
            <w:shd w:val="clear" w:color="FFFFFF" w:fill="C0C0C0"/>
            <w:tcMar>
              <w:left w:w="40" w:type="dxa"/>
              <w:right w:w="40" w:type="dxa"/>
            </w:tcMar>
            <w:vAlign w:val="center"/>
          </w:tcPr>
          <w:p w14:paraId="54F1EB0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3,805,326</w:t>
            </w:r>
          </w:p>
        </w:tc>
      </w:tr>
    </w:tbl>
    <w:p w14:paraId="7A13AF8A" w14:textId="77777777" w:rsidR="00FD1E19" w:rsidRPr="008609FA" w:rsidRDefault="00FD1E19" w:rsidP="00FD1E19">
      <w:pPr>
        <w:numPr>
          <w:ilvl w:val="2"/>
          <w:numId w:val="46"/>
        </w:numPr>
        <w:pBdr>
          <w:top w:val="nil"/>
          <w:left w:val="nil"/>
          <w:bottom w:val="nil"/>
          <w:right w:val="nil"/>
          <w:between w:val="nil"/>
          <w:bar w:val="nil"/>
        </w:pBdr>
        <w:tabs>
          <w:tab w:val="clear" w:pos="822"/>
          <w:tab w:val="right" w:pos="-2700"/>
          <w:tab w:val="num" w:pos="709"/>
        </w:tabs>
        <w:suppressAutoHyphens/>
        <w:spacing w:before="240" w:after="0" w:line="240" w:lineRule="auto"/>
        <w:ind w:hanging="822"/>
        <w:jc w:val="both"/>
        <w:rPr>
          <w:rFonts w:ascii="Arial" w:hAnsi="Arial"/>
          <w:b/>
          <w:noProof/>
          <w:sz w:val="16"/>
          <w:szCs w:val="16"/>
          <w:bdr w:val="nil"/>
          <w:lang w:eastAsia="ar-SA"/>
        </w:rPr>
      </w:pPr>
      <w:bookmarkStart w:id="224" w:name="RG_MARKER_90105"/>
      <w:r w:rsidRPr="008609FA">
        <w:rPr>
          <w:rFonts w:ascii="Arial" w:hAnsi="Arial"/>
          <w:b/>
          <w:noProof/>
          <w:sz w:val="16"/>
          <w:szCs w:val="16"/>
          <w:lang w:eastAsia="ar-SA"/>
        </w:rPr>
        <w:t>Cr</w:t>
      </w:r>
      <w:bookmarkEnd w:id="224"/>
      <w:r>
        <w:rPr>
          <w:rFonts w:ascii="Arial" w:hAnsi="Arial"/>
          <w:b/>
          <w:noProof/>
          <w:sz w:val="16"/>
          <w:szCs w:val="16"/>
          <w:lang w:eastAsia="ar-SA"/>
        </w:rPr>
        <w:t>edit risk on loans and advances</w:t>
      </w:r>
    </w:p>
    <w:p w14:paraId="60423B44" w14:textId="77777777" w:rsidR="00FD1E19" w:rsidRPr="008609FA"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b/>
          <w:bCs/>
          <w:noProof/>
          <w:sz w:val="16"/>
          <w:szCs w:val="16"/>
          <w:bdr w:val="nil"/>
          <w:lang w:eastAsia="ar-SA"/>
        </w:rPr>
      </w:pPr>
    </w:p>
    <w:p w14:paraId="67E87C8A" w14:textId="77777777" w:rsidR="00FD1E19" w:rsidRPr="008609FA" w:rsidRDefault="00FD1E19" w:rsidP="00FD1E19">
      <w:pPr>
        <w:numPr>
          <w:ilvl w:val="3"/>
          <w:numId w:val="47"/>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lang w:eastAsia="ar-SA"/>
        </w:rPr>
      </w:pPr>
      <w:r w:rsidRPr="008609FA">
        <w:rPr>
          <w:rFonts w:ascii="Arial" w:hAnsi="Arial"/>
          <w:b/>
          <w:bCs/>
          <w:noProof/>
          <w:sz w:val="16"/>
          <w:szCs w:val="16"/>
          <w:lang w:eastAsia="ar-SA"/>
        </w:rPr>
        <w:t>Credit risk mea</w:t>
      </w:r>
      <w:r>
        <w:rPr>
          <w:rFonts w:ascii="Arial" w:hAnsi="Arial"/>
          <w:b/>
          <w:bCs/>
          <w:noProof/>
          <w:sz w:val="16"/>
          <w:szCs w:val="16"/>
          <w:lang w:eastAsia="ar-SA"/>
        </w:rPr>
        <w:t>surement for loans and advances</w:t>
      </w:r>
    </w:p>
    <w:p w14:paraId="5CFE95FE"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2DCD25A3" w14:textId="77777777" w:rsidR="00FD1E19" w:rsidRPr="00BD1346" w:rsidRDefault="00FD1E19" w:rsidP="00FD1E19">
      <w:pPr>
        <w:pBdr>
          <w:top w:val="nil"/>
          <w:left w:val="nil"/>
          <w:bottom w:val="nil"/>
          <w:right w:val="nil"/>
          <w:between w:val="nil"/>
          <w:bar w:val="nil"/>
        </w:pBdr>
        <w:suppressAutoHyphens/>
        <w:jc w:val="both"/>
        <w:rPr>
          <w:rFonts w:ascii="Arial" w:hAnsi="Arial"/>
          <w:noProof/>
          <w:sz w:val="16"/>
          <w:szCs w:val="16"/>
          <w:bdr w:val="nil"/>
          <w:lang w:eastAsia="ar-SA"/>
        </w:rPr>
      </w:pPr>
      <w:r>
        <w:rPr>
          <w:rFonts w:ascii="Arial" w:hAnsi="Arial"/>
          <w:noProof/>
          <w:sz w:val="16"/>
          <w:szCs w:val="16"/>
          <w:lang w:eastAsia="ar-SA"/>
        </w:rPr>
        <w:t>L</w:t>
      </w:r>
      <w:r w:rsidRPr="00F24FEC">
        <w:rPr>
          <w:rFonts w:ascii="Arial" w:hAnsi="Arial"/>
          <w:noProof/>
          <w:sz w:val="16"/>
          <w:szCs w:val="16"/>
          <w:lang w:eastAsia="ar-SA"/>
        </w:rPr>
        <w:t>oan</w:t>
      </w:r>
      <w:r>
        <w:rPr>
          <w:rFonts w:ascii="Arial" w:hAnsi="Arial"/>
          <w:noProof/>
          <w:sz w:val="16"/>
          <w:szCs w:val="16"/>
          <w:lang w:eastAsia="ar-SA"/>
        </w:rPr>
        <w:t>s and advances</w:t>
      </w:r>
      <w:r w:rsidRPr="00F24FEC">
        <w:rPr>
          <w:rFonts w:ascii="Arial" w:hAnsi="Arial"/>
          <w:noProof/>
          <w:sz w:val="16"/>
          <w:szCs w:val="16"/>
          <w:lang w:eastAsia="ar-SA"/>
        </w:rPr>
        <w:t xml:space="preserve"> or guarantee</w:t>
      </w:r>
      <w:r>
        <w:rPr>
          <w:rFonts w:ascii="Arial" w:hAnsi="Arial"/>
          <w:noProof/>
          <w:sz w:val="16"/>
          <w:szCs w:val="16"/>
          <w:lang w:eastAsia="ar-SA"/>
        </w:rPr>
        <w:t>s</w:t>
      </w:r>
      <w:r w:rsidRPr="00F24FEC">
        <w:rPr>
          <w:rFonts w:ascii="Arial" w:hAnsi="Arial"/>
          <w:noProof/>
          <w:sz w:val="16"/>
          <w:szCs w:val="16"/>
          <w:lang w:eastAsia="ar-SA"/>
        </w:rPr>
        <w:t xml:space="preserve"> und</w:t>
      </w:r>
      <w:r>
        <w:rPr>
          <w:rFonts w:ascii="Arial" w:hAnsi="Arial"/>
          <w:noProof/>
          <w:sz w:val="16"/>
          <w:szCs w:val="16"/>
          <w:lang w:eastAsia="ar-SA"/>
        </w:rPr>
        <w:t>ertaken by the Facility benefit</w:t>
      </w:r>
      <w:r w:rsidRPr="00F24FEC">
        <w:rPr>
          <w:rFonts w:ascii="Arial" w:hAnsi="Arial"/>
          <w:noProof/>
          <w:sz w:val="16"/>
          <w:szCs w:val="16"/>
          <w:lang w:eastAsia="ar-SA"/>
        </w:rPr>
        <w:t xml:space="preserve"> from a comprehensive risk assessment and quantification of expected loss estimates that are reflected in a Loan Grading (“LG”</w:t>
      </w:r>
      <w:r>
        <w:rPr>
          <w:rFonts w:ascii="Arial" w:hAnsi="Arial"/>
          <w:noProof/>
          <w:sz w:val="16"/>
          <w:szCs w:val="16"/>
          <w:lang w:eastAsia="ar-SA"/>
        </w:rPr>
        <w:t xml:space="preserve">). Operations under the IFE (as described in Note </w:t>
      </w:r>
      <w:r w:rsidRPr="00E40D58">
        <w:rPr>
          <w:rFonts w:ascii="Arial" w:hAnsi="Arial"/>
          <w:noProof/>
          <w:sz w:val="16"/>
          <w:szCs w:val="16"/>
          <w:lang w:eastAsia="ar-SA"/>
        </w:rPr>
        <w:t>25</w:t>
      </w:r>
      <w:r>
        <w:rPr>
          <w:rFonts w:ascii="Arial" w:hAnsi="Arial"/>
          <w:noProof/>
          <w:sz w:val="16"/>
          <w:szCs w:val="16"/>
          <w:lang w:eastAsia="ar-SA"/>
        </w:rPr>
        <w:t>), with the exception of intermediated loans, are subject to the general Mandate Risk Principles as envisaged in the EIB credit and equity risk guidelines. L</w:t>
      </w:r>
      <w:r w:rsidRPr="00BD1346">
        <w:rPr>
          <w:rFonts w:ascii="Arial" w:hAnsi="Arial"/>
          <w:noProof/>
          <w:sz w:val="16"/>
          <w:szCs w:val="16"/>
          <w:lang w:eastAsia="ar-SA"/>
        </w:rPr>
        <w:t>Gs are established according to generally accepted criteria, based on the quality of the borrower, the maturity of the loan, the</w:t>
      </w:r>
      <w:r>
        <w:rPr>
          <w:rFonts w:ascii="Arial" w:hAnsi="Arial"/>
          <w:noProof/>
          <w:sz w:val="16"/>
          <w:szCs w:val="16"/>
          <w:lang w:eastAsia="ar-SA"/>
        </w:rPr>
        <w:t xml:space="preserve"> type of</w:t>
      </w:r>
      <w:r w:rsidRPr="00BD1346">
        <w:rPr>
          <w:rFonts w:ascii="Arial" w:hAnsi="Arial"/>
          <w:noProof/>
          <w:sz w:val="16"/>
          <w:szCs w:val="16"/>
          <w:lang w:eastAsia="ar-SA"/>
        </w:rPr>
        <w:t xml:space="preserve"> guarantee and, where appropriate, the guarantor.</w:t>
      </w:r>
    </w:p>
    <w:p w14:paraId="3229BB6D" w14:textId="77777777" w:rsidR="00FD1E19" w:rsidRPr="00BD1346"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14:paraId="06081CF1" w14:textId="77777777" w:rsidR="00FD1E19" w:rsidRPr="00BD1346"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r w:rsidRPr="00BD1346">
        <w:rPr>
          <w:rFonts w:ascii="Arial" w:hAnsi="Arial"/>
          <w:noProof/>
          <w:sz w:val="16"/>
          <w:szCs w:val="16"/>
          <w:lang w:eastAsia="ar-SA"/>
        </w:rPr>
        <w:t>The loan grading system comprises the methodologies, processes, databases and IT systems supporting the assessment of credit risk in lending operations and the quantification of expected loss estimates. It summarises a large amount of information with the purpose of offering a relative ranking of loans’ credit risks. LGs reflect the present value of the estimated level of the “expected loss”, this being the produ</w:t>
      </w:r>
      <w:r>
        <w:rPr>
          <w:rFonts w:ascii="Arial" w:hAnsi="Arial"/>
          <w:noProof/>
          <w:sz w:val="16"/>
          <w:szCs w:val="16"/>
          <w:lang w:eastAsia="ar-SA"/>
        </w:rPr>
        <w:t>ct of the Probability of Default</w:t>
      </w:r>
      <w:r w:rsidRPr="00BD1346">
        <w:rPr>
          <w:rFonts w:ascii="Arial" w:hAnsi="Arial"/>
          <w:noProof/>
          <w:sz w:val="16"/>
          <w:szCs w:val="16"/>
          <w:lang w:eastAsia="ar-SA"/>
        </w:rPr>
        <w:t xml:space="preserve"> of the main obligors, the </w:t>
      </w:r>
      <w:r>
        <w:rPr>
          <w:rFonts w:ascii="Arial" w:hAnsi="Arial"/>
          <w:noProof/>
          <w:sz w:val="16"/>
          <w:szCs w:val="16"/>
          <w:lang w:eastAsia="ar-SA"/>
        </w:rPr>
        <w:t xml:space="preserve">Exposure at Default </w:t>
      </w:r>
      <w:r w:rsidRPr="00BD1346">
        <w:rPr>
          <w:rFonts w:ascii="Arial" w:hAnsi="Arial"/>
          <w:noProof/>
          <w:sz w:val="16"/>
          <w:szCs w:val="16"/>
          <w:lang w:eastAsia="ar-SA"/>
        </w:rPr>
        <w:t>and the loss severity in the case of default. LGs are used for the following purposes:</w:t>
      </w:r>
    </w:p>
    <w:p w14:paraId="004B02F3" w14:textId="77777777" w:rsidR="00FD1E19" w:rsidRPr="00E760C2" w:rsidRDefault="00FD1E19" w:rsidP="00FD1E19">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lang w:eastAsia="ar-SA"/>
        </w:rPr>
      </w:pPr>
      <w:r w:rsidRPr="00E760C2">
        <w:rPr>
          <w:rFonts w:ascii="Arial" w:hAnsi="Arial" w:cs="Arial"/>
          <w:noProof/>
          <w:sz w:val="16"/>
          <w:szCs w:val="16"/>
          <w:lang w:eastAsia="ar-SA"/>
        </w:rPr>
        <w:t>as an aid to a finer and more quantitative assessment of lending risks;</w:t>
      </w:r>
    </w:p>
    <w:p w14:paraId="58BCDCFF" w14:textId="77777777" w:rsidR="00FD1E19" w:rsidRPr="00E760C2" w:rsidRDefault="00FD1E19" w:rsidP="00FD1E19">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lang w:eastAsia="ar-SA"/>
        </w:rPr>
      </w:pPr>
      <w:r w:rsidRPr="00E760C2">
        <w:rPr>
          <w:rFonts w:ascii="Arial" w:hAnsi="Arial" w:cs="Arial"/>
          <w:noProof/>
          <w:sz w:val="16"/>
          <w:szCs w:val="16"/>
          <w:lang w:eastAsia="ar-SA"/>
        </w:rPr>
        <w:t xml:space="preserve">as </w:t>
      </w:r>
      <w:r>
        <w:rPr>
          <w:rFonts w:ascii="Arial" w:hAnsi="Arial" w:cs="Arial"/>
          <w:noProof/>
          <w:sz w:val="16"/>
          <w:szCs w:val="16"/>
          <w:lang w:eastAsia="ar-SA"/>
        </w:rPr>
        <w:t xml:space="preserve">an </w:t>
      </w:r>
      <w:r w:rsidRPr="00E760C2">
        <w:rPr>
          <w:rFonts w:ascii="Arial" w:hAnsi="Arial" w:cs="Arial"/>
          <w:noProof/>
          <w:sz w:val="16"/>
          <w:szCs w:val="16"/>
          <w:lang w:eastAsia="ar-SA"/>
        </w:rPr>
        <w:t>indicator of credit risk variations for the purposes of prioritising monitoring efforts;</w:t>
      </w:r>
    </w:p>
    <w:p w14:paraId="60770FBB" w14:textId="77777777" w:rsidR="00FD1E19" w:rsidRPr="001E5856" w:rsidRDefault="00FD1E19" w:rsidP="00FD1E19">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lang w:eastAsia="ar-SA"/>
        </w:rPr>
      </w:pPr>
      <w:r w:rsidRPr="00E760C2">
        <w:rPr>
          <w:rFonts w:ascii="Arial" w:hAnsi="Arial" w:cs="Arial"/>
          <w:noProof/>
          <w:sz w:val="16"/>
          <w:szCs w:val="16"/>
          <w:lang w:eastAsia="ar-SA"/>
        </w:rPr>
        <w:t>as a description of the loan’s portfolio quality at any given date;</w:t>
      </w:r>
      <w:r>
        <w:rPr>
          <w:rFonts w:ascii="Arial" w:hAnsi="Arial" w:cs="Arial"/>
          <w:noProof/>
          <w:sz w:val="16"/>
          <w:szCs w:val="16"/>
          <w:lang w:eastAsia="ar-SA"/>
        </w:rPr>
        <w:t xml:space="preserve"> </w:t>
      </w:r>
      <w:r w:rsidRPr="001E5856">
        <w:rPr>
          <w:rFonts w:ascii="Arial" w:hAnsi="Arial" w:cs="Arial"/>
          <w:noProof/>
          <w:sz w:val="16"/>
          <w:szCs w:val="16"/>
          <w:lang w:eastAsia="ar-SA"/>
        </w:rPr>
        <w:t>and</w:t>
      </w:r>
    </w:p>
    <w:p w14:paraId="52A37324" w14:textId="77777777" w:rsidR="00FD1E19" w:rsidRPr="00E760C2" w:rsidRDefault="00FD1E19" w:rsidP="00FD1E19">
      <w:pPr>
        <w:numPr>
          <w:ilvl w:val="0"/>
          <w:numId w:val="48"/>
        </w:numPr>
        <w:pBdr>
          <w:top w:val="nil"/>
          <w:left w:val="nil"/>
          <w:bottom w:val="nil"/>
          <w:right w:val="nil"/>
          <w:between w:val="nil"/>
          <w:bar w:val="nil"/>
        </w:pBdr>
        <w:suppressAutoHyphens/>
        <w:autoSpaceDE w:val="0"/>
        <w:autoSpaceDN w:val="0"/>
        <w:adjustRightInd w:val="0"/>
        <w:spacing w:before="60" w:after="60" w:line="240" w:lineRule="auto"/>
        <w:jc w:val="both"/>
        <w:rPr>
          <w:rFonts w:ascii="Arial" w:hAnsi="Arial" w:cs="Arial"/>
          <w:noProof/>
          <w:sz w:val="16"/>
          <w:szCs w:val="16"/>
          <w:bdr w:val="nil"/>
          <w:lang w:eastAsia="ar-SA"/>
        </w:rPr>
      </w:pPr>
      <w:r w:rsidRPr="00E760C2">
        <w:rPr>
          <w:rFonts w:ascii="Arial" w:hAnsi="Arial" w:cs="Arial"/>
          <w:noProof/>
          <w:sz w:val="16"/>
          <w:szCs w:val="16"/>
          <w:lang w:eastAsia="ar-SA"/>
        </w:rPr>
        <w:t>as an input in risk-pricing decisions.</w:t>
      </w:r>
    </w:p>
    <w:p w14:paraId="63850FBB" w14:textId="77777777" w:rsidR="00FD1E19" w:rsidRPr="00E760C2" w:rsidRDefault="00FD1E19" w:rsidP="00FD1E19">
      <w:pPr>
        <w:pBdr>
          <w:top w:val="nil"/>
          <w:left w:val="nil"/>
          <w:bottom w:val="nil"/>
          <w:right w:val="nil"/>
          <w:between w:val="nil"/>
          <w:bar w:val="nil"/>
        </w:pBdr>
        <w:jc w:val="both"/>
        <w:rPr>
          <w:rFonts w:ascii="Arial" w:hAnsi="Arial" w:cs="Arial"/>
          <w:noProof/>
          <w:sz w:val="16"/>
          <w:szCs w:val="16"/>
          <w:bdr w:val="nil"/>
          <w:lang w:eastAsia="ar-SA"/>
        </w:rPr>
      </w:pPr>
      <w:r w:rsidRPr="00E760C2">
        <w:rPr>
          <w:rFonts w:ascii="Arial" w:hAnsi="Arial" w:cs="Arial"/>
          <w:noProof/>
          <w:sz w:val="16"/>
          <w:szCs w:val="16"/>
          <w:lang w:eastAsia="ar-SA"/>
        </w:rPr>
        <w:br w:type="page"/>
      </w:r>
    </w:p>
    <w:p w14:paraId="02B9691B" w14:textId="77777777" w:rsidR="00FD1E19" w:rsidRPr="00BD1346"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following factors </w:t>
      </w:r>
      <w:r>
        <w:rPr>
          <w:rFonts w:ascii="Arial" w:hAnsi="Arial"/>
          <w:noProof/>
          <w:sz w:val="16"/>
          <w:szCs w:val="16"/>
          <w:lang w:eastAsia="ar-SA"/>
        </w:rPr>
        <w:t>are used to determine an</w:t>
      </w:r>
      <w:r w:rsidRPr="00BD1346">
        <w:rPr>
          <w:rFonts w:ascii="Arial" w:hAnsi="Arial"/>
          <w:noProof/>
          <w:sz w:val="16"/>
          <w:szCs w:val="16"/>
          <w:lang w:eastAsia="ar-SA"/>
        </w:rPr>
        <w:t xml:space="preserve"> LG:</w:t>
      </w:r>
    </w:p>
    <w:p w14:paraId="1E01E111" w14:textId="77777777" w:rsidR="00FD1E19" w:rsidRPr="00E91ABE" w:rsidRDefault="00FD1E19" w:rsidP="00FD1E19">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lang w:eastAsia="ar-SA"/>
        </w:rPr>
      </w:pPr>
      <w:r w:rsidRPr="00E91ABE">
        <w:rPr>
          <w:rFonts w:ascii="Arial" w:hAnsi="Arial"/>
          <w:noProof/>
          <w:sz w:val="16"/>
          <w:szCs w:val="16"/>
          <w:lang w:eastAsia="ar-SA"/>
        </w:rPr>
        <w:t>The borrower’s creditworthiness: Risk Management independently reviews borrowers and assesses their creditworthiness based on internal methodologies and external data. In line with the Basel III Internal Ratings Based Approach chosen, the Bank has developed an internal rating methodology (IRM) to determine the internal ratings of borrowers and guarantors. This is based on a set of scoring sheets specific to defined counterparty types.</w:t>
      </w:r>
    </w:p>
    <w:p w14:paraId="4923FBC1" w14:textId="77777777" w:rsidR="00FD1E19" w:rsidRPr="00E91ABE" w:rsidRDefault="00FD1E19" w:rsidP="00FD1E19">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14:paraId="047DFCE6" w14:textId="77777777" w:rsidR="00FD1E19" w:rsidRPr="00E91ABE" w:rsidRDefault="00FD1E19" w:rsidP="00FD1E19">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lang w:eastAsia="ar-SA"/>
        </w:rPr>
      </w:pPr>
      <w:r w:rsidRPr="00E91ABE">
        <w:rPr>
          <w:rFonts w:ascii="Arial" w:hAnsi="Arial"/>
          <w:noProof/>
          <w:sz w:val="16"/>
          <w:szCs w:val="16"/>
          <w:lang w:eastAsia="ar-SA"/>
        </w:rPr>
        <w:t>The default correlation: it quantifies the chances of simultaneous financial difficulties arising for both the borrower and the guarantor. The higher the correlation between the borrower and the guarantor’s default probabilities, the lower the value of the guarantee and therefore the lower (worse) the LG.</w:t>
      </w:r>
    </w:p>
    <w:p w14:paraId="705BB89A" w14:textId="77777777" w:rsidR="00FD1E19" w:rsidRPr="00E91ABE" w:rsidRDefault="00FD1E19" w:rsidP="00FD1E19">
      <w:pPr>
        <w:keepNext/>
        <w:pBdr>
          <w:top w:val="nil"/>
          <w:left w:val="nil"/>
          <w:bottom w:val="nil"/>
          <w:right w:val="nil"/>
          <w:between w:val="nil"/>
          <w:bar w:val="nil"/>
        </w:pBdr>
        <w:autoSpaceDE w:val="0"/>
        <w:autoSpaceDN w:val="0"/>
        <w:adjustRightInd w:val="0"/>
        <w:spacing w:before="60" w:after="60" w:line="190" w:lineRule="atLeast"/>
        <w:ind w:left="1077"/>
        <w:jc w:val="both"/>
        <w:rPr>
          <w:rFonts w:ascii="Arial" w:hAnsi="Arial"/>
          <w:noProof/>
          <w:sz w:val="16"/>
          <w:szCs w:val="16"/>
          <w:bdr w:val="nil"/>
          <w:lang w:eastAsia="ar-SA"/>
        </w:rPr>
      </w:pPr>
    </w:p>
    <w:p w14:paraId="09C5DCDE" w14:textId="77777777" w:rsidR="00FD1E19" w:rsidRPr="00E91ABE" w:rsidRDefault="00FD1E19" w:rsidP="00FD1E19">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lang w:eastAsia="ar-SA"/>
        </w:rPr>
      </w:pPr>
      <w:r w:rsidRPr="00E91ABE">
        <w:rPr>
          <w:rFonts w:ascii="Arial" w:hAnsi="Arial"/>
          <w:noProof/>
          <w:sz w:val="16"/>
          <w:szCs w:val="16"/>
          <w:lang w:eastAsia="ar-SA"/>
        </w:rPr>
        <w:t>The value of guarantee instruments and of securities: this value is assessed on the basis of the combination of the issuer’s creditworthiness and the type of instrument used.</w:t>
      </w:r>
    </w:p>
    <w:p w14:paraId="06B6D9F0" w14:textId="77777777" w:rsidR="00FD1E19" w:rsidRPr="00E91ABE" w:rsidRDefault="00FD1E19" w:rsidP="00FD1E19">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14:paraId="2FD382E3" w14:textId="77777777" w:rsidR="00FD1E19" w:rsidRPr="00E91ABE" w:rsidRDefault="00FD1E19" w:rsidP="00FD1E19">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lang w:eastAsia="ar-SA"/>
        </w:rPr>
      </w:pPr>
      <w:r w:rsidRPr="00E91ABE">
        <w:rPr>
          <w:rFonts w:ascii="Arial" w:hAnsi="Arial"/>
          <w:noProof/>
          <w:sz w:val="16"/>
          <w:szCs w:val="16"/>
          <w:lang w:eastAsia="ar-SA"/>
        </w:rPr>
        <w:t>The applicable recovery rate: being the amount assumed to be recovered following a default by the relevant counterpart expressed as a percentage of the relevant loan exposure</w:t>
      </w:r>
      <w:r>
        <w:rPr>
          <w:rFonts w:ascii="Arial" w:hAnsi="Arial"/>
          <w:noProof/>
          <w:sz w:val="16"/>
          <w:szCs w:val="16"/>
          <w:lang w:eastAsia="ar-SA"/>
        </w:rPr>
        <w:t>.</w:t>
      </w:r>
    </w:p>
    <w:p w14:paraId="605108DE" w14:textId="77777777" w:rsidR="00FD1E19" w:rsidRPr="00BD1346" w:rsidRDefault="00FD1E19" w:rsidP="00FD1E19">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14:paraId="1FCE14A7" w14:textId="77777777" w:rsidR="00FD1E19" w:rsidRPr="00BD1346" w:rsidRDefault="00FD1E19" w:rsidP="00FD1E19">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lang w:eastAsia="ar-SA"/>
        </w:rPr>
      </w:pPr>
      <w:r w:rsidRPr="00BD1346">
        <w:rPr>
          <w:rFonts w:ascii="Arial" w:hAnsi="Arial"/>
          <w:noProof/>
          <w:sz w:val="16"/>
          <w:szCs w:val="16"/>
          <w:lang w:eastAsia="ar-SA"/>
        </w:rPr>
        <w:t xml:space="preserve">The contractual framework: a sound contractual framework will add to the loan’s quality </w:t>
      </w:r>
      <w:r>
        <w:rPr>
          <w:rFonts w:ascii="Arial" w:hAnsi="Arial"/>
          <w:noProof/>
          <w:sz w:val="16"/>
          <w:szCs w:val="16"/>
          <w:lang w:eastAsia="ar-SA"/>
        </w:rPr>
        <w:t>and enhance its LG</w:t>
      </w:r>
      <w:r w:rsidRPr="00BD1346">
        <w:rPr>
          <w:rFonts w:ascii="Arial" w:hAnsi="Arial"/>
          <w:noProof/>
          <w:sz w:val="16"/>
          <w:szCs w:val="16"/>
          <w:lang w:eastAsia="ar-SA"/>
        </w:rPr>
        <w:t>.</w:t>
      </w:r>
    </w:p>
    <w:p w14:paraId="3FFB02A4" w14:textId="77777777" w:rsidR="00FD1E19" w:rsidRPr="00BD1346" w:rsidRDefault="00FD1E19" w:rsidP="00FD1E19">
      <w:pPr>
        <w:keepNext/>
        <w:pBdr>
          <w:top w:val="nil"/>
          <w:left w:val="nil"/>
          <w:bottom w:val="nil"/>
          <w:right w:val="nil"/>
          <w:between w:val="nil"/>
          <w:bar w:val="nil"/>
        </w:pBdr>
        <w:autoSpaceDE w:val="0"/>
        <w:autoSpaceDN w:val="0"/>
        <w:adjustRightInd w:val="0"/>
        <w:spacing w:before="60" w:after="60" w:line="190" w:lineRule="atLeast"/>
        <w:ind w:left="1080"/>
        <w:jc w:val="both"/>
        <w:rPr>
          <w:rFonts w:ascii="Arial" w:hAnsi="Arial"/>
          <w:noProof/>
          <w:sz w:val="16"/>
          <w:szCs w:val="16"/>
          <w:bdr w:val="nil"/>
          <w:lang w:eastAsia="ar-SA"/>
        </w:rPr>
      </w:pPr>
    </w:p>
    <w:p w14:paraId="1BA11B5B" w14:textId="77777777" w:rsidR="00FD1E19" w:rsidRPr="00BD1346" w:rsidRDefault="00FD1E19" w:rsidP="00FD1E19">
      <w:pPr>
        <w:keepNext/>
        <w:numPr>
          <w:ilvl w:val="0"/>
          <w:numId w:val="50"/>
        </w:numPr>
        <w:pBdr>
          <w:top w:val="nil"/>
          <w:left w:val="nil"/>
          <w:bottom w:val="nil"/>
          <w:right w:val="nil"/>
          <w:between w:val="nil"/>
          <w:bar w:val="nil"/>
        </w:pBdr>
        <w:autoSpaceDE w:val="0"/>
        <w:autoSpaceDN w:val="0"/>
        <w:adjustRightInd w:val="0"/>
        <w:spacing w:before="60" w:after="60" w:line="190" w:lineRule="atLeast"/>
        <w:jc w:val="both"/>
        <w:rPr>
          <w:rFonts w:ascii="Arial" w:hAnsi="Arial"/>
          <w:noProof/>
          <w:sz w:val="16"/>
          <w:szCs w:val="16"/>
          <w:bdr w:val="nil"/>
          <w:lang w:eastAsia="ar-SA"/>
        </w:rPr>
      </w:pPr>
      <w:r>
        <w:rPr>
          <w:rFonts w:ascii="Arial" w:hAnsi="Arial"/>
          <w:noProof/>
          <w:sz w:val="16"/>
          <w:szCs w:val="16"/>
          <w:lang w:eastAsia="ar-SA"/>
        </w:rPr>
        <w:t xml:space="preserve">The </w:t>
      </w:r>
      <w:r w:rsidRPr="00BD1346">
        <w:rPr>
          <w:rFonts w:ascii="Arial" w:hAnsi="Arial"/>
          <w:noProof/>
          <w:sz w:val="16"/>
          <w:szCs w:val="16"/>
          <w:lang w:eastAsia="ar-SA"/>
        </w:rPr>
        <w:t>duration</w:t>
      </w:r>
      <w:r>
        <w:rPr>
          <w:rFonts w:ascii="Arial" w:hAnsi="Arial"/>
          <w:noProof/>
          <w:sz w:val="16"/>
          <w:szCs w:val="16"/>
          <w:lang w:eastAsia="ar-SA"/>
        </w:rPr>
        <w:t xml:space="preserve"> of the loan or, more generally, the cash-flows of the loan</w:t>
      </w:r>
      <w:r w:rsidRPr="00BD1346">
        <w:rPr>
          <w:rFonts w:ascii="Arial" w:hAnsi="Arial"/>
          <w:noProof/>
          <w:sz w:val="16"/>
          <w:szCs w:val="16"/>
          <w:lang w:eastAsia="ar-SA"/>
        </w:rPr>
        <w:t>: all else being equal, the longer the loan, the higher the risk of incurring difficulties in the servicing of the loan.</w:t>
      </w:r>
    </w:p>
    <w:p w14:paraId="0EA33A5E" w14:textId="77777777" w:rsidR="00FD1E19" w:rsidRPr="00BD1346"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14:paraId="2702E67E"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r>
        <w:rPr>
          <w:rFonts w:ascii="Arial" w:hAnsi="Arial"/>
          <w:noProof/>
          <w:sz w:val="16"/>
          <w:szCs w:val="16"/>
          <w:lang w:eastAsia="ar-SA"/>
        </w:rPr>
        <w:t>A loan’s expected loss is computed by combining the six elements above. Depending on the level of the expected loss, a loan is assigned to one of the following LG classes listed below:</w:t>
      </w:r>
    </w:p>
    <w:p w14:paraId="3551280C" w14:textId="77777777" w:rsidR="00FD1E19"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hAnsi="Arial"/>
          <w:noProof/>
          <w:sz w:val="16"/>
          <w:szCs w:val="16"/>
          <w:bdr w:val="nil"/>
          <w:lang w:eastAsia="ar-SA"/>
        </w:rPr>
      </w:pPr>
    </w:p>
    <w:p w14:paraId="057A17A6" w14:textId="77777777" w:rsidR="00FD1E19" w:rsidRDefault="00FD1E19" w:rsidP="00FD1E19">
      <w:pPr>
        <w:pBdr>
          <w:top w:val="nil"/>
          <w:left w:val="nil"/>
          <w:bottom w:val="nil"/>
          <w:right w:val="nil"/>
          <w:between w:val="nil"/>
          <w:bar w:val="nil"/>
        </w:pBdr>
        <w:tabs>
          <w:tab w:val="left" w:pos="360"/>
        </w:tabs>
        <w:spacing w:line="190" w:lineRule="atLeast"/>
        <w:jc w:val="both"/>
        <w:rPr>
          <w:rFonts w:ascii="Arial" w:hAnsi="Arial"/>
          <w:noProof/>
          <w:sz w:val="16"/>
          <w:szCs w:val="16"/>
          <w:bdr w:val="nil"/>
        </w:rPr>
      </w:pPr>
      <w:r w:rsidRPr="007561FF">
        <w:rPr>
          <w:rFonts w:ascii="Arial" w:hAnsi="Arial"/>
          <w:noProof/>
          <w:sz w:val="16"/>
          <w:szCs w:val="16"/>
        </w:rPr>
        <w:t>“A”   Prime quality loans</w:t>
      </w:r>
      <w:r>
        <w:rPr>
          <w:rFonts w:ascii="Arial" w:hAnsi="Arial"/>
          <w:noProof/>
          <w:sz w:val="16"/>
          <w:szCs w:val="16"/>
        </w:rPr>
        <w:t>:</w:t>
      </w:r>
    </w:p>
    <w:p w14:paraId="37E9F321" w14:textId="77777777" w:rsidR="00FD1E19" w:rsidRDefault="00FD1E19" w:rsidP="00FD1E19">
      <w:pPr>
        <w:pBdr>
          <w:top w:val="nil"/>
          <w:left w:val="nil"/>
          <w:bottom w:val="nil"/>
          <w:right w:val="nil"/>
          <w:between w:val="nil"/>
          <w:bar w:val="nil"/>
        </w:pBdr>
        <w:tabs>
          <w:tab w:val="left" w:pos="360"/>
        </w:tabs>
        <w:spacing w:line="190" w:lineRule="atLeast"/>
        <w:jc w:val="both"/>
        <w:rPr>
          <w:rFonts w:ascii="Arial" w:hAnsi="Arial"/>
          <w:noProof/>
          <w:sz w:val="16"/>
          <w:szCs w:val="16"/>
          <w:bdr w:val="nil"/>
        </w:rPr>
      </w:pPr>
    </w:p>
    <w:p w14:paraId="2520F8D4" w14:textId="77777777" w:rsidR="00FD1E19" w:rsidRDefault="00FD1E19" w:rsidP="00FD1E19">
      <w:pPr>
        <w:pBdr>
          <w:top w:val="nil"/>
          <w:left w:val="nil"/>
          <w:bottom w:val="nil"/>
          <w:right w:val="nil"/>
          <w:between w:val="nil"/>
          <w:bar w:val="nil"/>
        </w:pBdr>
        <w:tabs>
          <w:tab w:val="left" w:pos="360"/>
        </w:tabs>
        <w:spacing w:after="120" w:line="190" w:lineRule="atLeast"/>
        <w:ind w:left="357"/>
        <w:jc w:val="both"/>
        <w:rPr>
          <w:rFonts w:ascii="Arial" w:hAnsi="Arial"/>
          <w:noProof/>
          <w:sz w:val="16"/>
          <w:szCs w:val="16"/>
          <w:bdr w:val="nil"/>
        </w:rPr>
      </w:pPr>
      <w:r>
        <w:rPr>
          <w:rFonts w:ascii="Arial" w:hAnsi="Arial"/>
          <w:noProof/>
          <w:sz w:val="16"/>
          <w:szCs w:val="16"/>
        </w:rPr>
        <w:t xml:space="preserve">“A0” </w:t>
      </w:r>
      <w:r w:rsidRPr="00FC2A61">
        <w:rPr>
          <w:rFonts w:ascii="Arial" w:hAnsi="Arial"/>
          <w:noProof/>
          <w:sz w:val="16"/>
          <w:szCs w:val="16"/>
        </w:rPr>
        <w:t xml:space="preserve">comprising EU sovereign "risks” that is loans granted to, or fully, explicitly and unconditionally guaranteed by Member States where no repayment difficulties are expected, i.e. expected loss of 0% (based on the Bank’s preferred creditor status and statutory protection which are deemed to assure a full recovery of the Bank’s assets upon maturity) as well as loans with a comprehensive EU or MS guarantee. </w:t>
      </w:r>
    </w:p>
    <w:p w14:paraId="7CF6AD8F" w14:textId="77777777" w:rsidR="00FD1E19" w:rsidRDefault="00FD1E19" w:rsidP="00FD1E19">
      <w:pPr>
        <w:pBdr>
          <w:top w:val="nil"/>
          <w:left w:val="nil"/>
          <w:bottom w:val="nil"/>
          <w:right w:val="nil"/>
          <w:between w:val="nil"/>
          <w:bar w:val="nil"/>
        </w:pBdr>
        <w:tabs>
          <w:tab w:val="left" w:pos="360"/>
        </w:tabs>
        <w:spacing w:after="120" w:line="190" w:lineRule="atLeast"/>
        <w:ind w:left="357"/>
        <w:jc w:val="both"/>
        <w:rPr>
          <w:rFonts w:ascii="Arial" w:hAnsi="Arial"/>
          <w:noProof/>
          <w:sz w:val="16"/>
          <w:szCs w:val="16"/>
          <w:bdr w:val="nil"/>
        </w:rPr>
      </w:pPr>
      <w:r>
        <w:rPr>
          <w:rFonts w:ascii="Arial" w:hAnsi="Arial"/>
          <w:noProof/>
          <w:sz w:val="16"/>
          <w:szCs w:val="16"/>
        </w:rPr>
        <w:t>“A+” comprising loans granted to (or guaranteed by) entities other than EU Member States in respect of which there is no or only limited expectation of deterioration in quality over their term.</w:t>
      </w:r>
    </w:p>
    <w:p w14:paraId="1E6D5145" w14:textId="77777777" w:rsidR="00FD1E19" w:rsidRDefault="00FD1E19" w:rsidP="00FD1E19">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14:paraId="62D38387" w14:textId="77777777" w:rsidR="00FD1E19" w:rsidRDefault="00FD1E19" w:rsidP="00FD1E19">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r>
        <w:rPr>
          <w:rFonts w:ascii="Arial" w:hAnsi="Arial"/>
          <w:noProof/>
          <w:sz w:val="16"/>
          <w:szCs w:val="16"/>
          <w:lang w:eastAsia="ar-SA"/>
        </w:rPr>
        <w:t>“B”   High quality loans: these represent an asset class with which the Bank feels comfortable, although a minor deterioration is not ruled out in the future. B+ and B- are used to denote the relative likelihood of the possibility of such deterioration occurring.</w:t>
      </w:r>
    </w:p>
    <w:p w14:paraId="6769CC79" w14:textId="77777777" w:rsidR="00FD1E19" w:rsidRDefault="00FD1E19" w:rsidP="00FD1E19">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14:paraId="60D63684" w14:textId="77777777" w:rsidR="00FD1E19" w:rsidRDefault="00FD1E19" w:rsidP="00FD1E19">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r>
        <w:rPr>
          <w:rFonts w:ascii="Arial" w:hAnsi="Arial"/>
          <w:noProof/>
          <w:sz w:val="16"/>
          <w:szCs w:val="16"/>
          <w:lang w:eastAsia="ar-SA"/>
        </w:rPr>
        <w:t>“C”   Good quality loans: an example could be "single-signature" (unsecured) loans to solid corporates (e.g. equivalent internal rating of Baa1/BBB+), with a reasonable maturity and adequate protective clauses.</w:t>
      </w:r>
    </w:p>
    <w:p w14:paraId="14F649C3" w14:textId="77777777" w:rsidR="00FD1E19" w:rsidRDefault="00FD1E19" w:rsidP="00FD1E19">
      <w:pPr>
        <w:pBdr>
          <w:top w:val="nil"/>
          <w:left w:val="nil"/>
          <w:bottom w:val="nil"/>
          <w:right w:val="nil"/>
          <w:between w:val="nil"/>
          <w:bar w:val="nil"/>
        </w:pBdr>
        <w:tabs>
          <w:tab w:val="left" w:pos="360"/>
        </w:tabs>
        <w:suppressAutoHyphens/>
        <w:spacing w:before="60" w:after="60"/>
        <w:ind w:left="360" w:hanging="360"/>
        <w:rPr>
          <w:noProof/>
          <w:sz w:val="16"/>
          <w:szCs w:val="16"/>
          <w:bdr w:val="nil"/>
          <w:lang w:eastAsia="ar-SA"/>
        </w:rPr>
      </w:pPr>
    </w:p>
    <w:p w14:paraId="47786F38" w14:textId="77777777" w:rsidR="00FD1E19" w:rsidRDefault="00FD1E19" w:rsidP="00FD1E19">
      <w:pPr>
        <w:pBdr>
          <w:top w:val="nil"/>
          <w:left w:val="nil"/>
          <w:bottom w:val="nil"/>
          <w:right w:val="nil"/>
          <w:between w:val="nil"/>
          <w:bar w:val="nil"/>
        </w:pBdr>
        <w:tabs>
          <w:tab w:val="left" w:pos="360"/>
        </w:tabs>
        <w:suppressAutoHyphens/>
        <w:spacing w:before="60" w:after="60"/>
        <w:ind w:left="357" w:hanging="357"/>
        <w:jc w:val="both"/>
        <w:rPr>
          <w:rFonts w:ascii="Arial" w:hAnsi="Arial"/>
          <w:noProof/>
          <w:sz w:val="16"/>
          <w:szCs w:val="16"/>
          <w:bdr w:val="nil"/>
          <w:lang w:eastAsia="ar-SA"/>
        </w:rPr>
      </w:pPr>
      <w:r>
        <w:rPr>
          <w:rFonts w:ascii="Arial" w:hAnsi="Arial"/>
          <w:noProof/>
          <w:sz w:val="16"/>
          <w:szCs w:val="16"/>
          <w:lang w:eastAsia="ar-SA"/>
        </w:rPr>
        <w:t xml:space="preserve">“D”   </w:t>
      </w:r>
      <w:r w:rsidRPr="00FC2A61">
        <w:rPr>
          <w:rFonts w:ascii="Arial" w:hAnsi="Arial"/>
          <w:noProof/>
          <w:sz w:val="16"/>
          <w:szCs w:val="16"/>
          <w:lang w:eastAsia="ar-SA"/>
        </w:rPr>
        <w:t>This grading class represents (aside from loans initially approved at this level) the borderline exposure that have a risk profile generally accepted by the Bank. This watershed in loan grading is more precisely determined by the sub-classifications D+ and D-.</w:t>
      </w:r>
    </w:p>
    <w:p w14:paraId="724F85B7" w14:textId="77777777" w:rsidR="00FD1E19" w:rsidRDefault="00FD1E19" w:rsidP="00FD1E19">
      <w:pPr>
        <w:pBdr>
          <w:top w:val="nil"/>
          <w:left w:val="nil"/>
          <w:bottom w:val="nil"/>
          <w:right w:val="nil"/>
          <w:between w:val="nil"/>
          <w:bar w:val="nil"/>
        </w:pBdr>
        <w:tabs>
          <w:tab w:val="left" w:pos="360"/>
        </w:tabs>
        <w:suppressAutoHyphens/>
        <w:spacing w:before="60" w:after="60"/>
        <w:ind w:left="360" w:hanging="360"/>
        <w:jc w:val="both"/>
        <w:rPr>
          <w:rFonts w:ascii="Arial" w:hAnsi="Arial"/>
          <w:noProof/>
          <w:sz w:val="16"/>
          <w:szCs w:val="16"/>
          <w:bdr w:val="nil"/>
          <w:lang w:eastAsia="ar-SA"/>
        </w:rPr>
      </w:pPr>
    </w:p>
    <w:p w14:paraId="6FC9BD88" w14:textId="77777777" w:rsidR="00FD1E19" w:rsidRPr="006343F5" w:rsidRDefault="00FD1E19" w:rsidP="00FD1E19">
      <w:pPr>
        <w:pBdr>
          <w:top w:val="nil"/>
          <w:left w:val="nil"/>
          <w:bottom w:val="nil"/>
          <w:right w:val="nil"/>
          <w:between w:val="nil"/>
          <w:bar w:val="nil"/>
        </w:pBdr>
        <w:tabs>
          <w:tab w:val="left" w:pos="360"/>
        </w:tabs>
        <w:suppressAutoHyphens/>
        <w:spacing w:before="60" w:after="60"/>
        <w:ind w:left="357" w:hanging="357"/>
        <w:jc w:val="both"/>
        <w:rPr>
          <w:rFonts w:ascii="Arial" w:hAnsi="Arial" w:cs="Arial"/>
          <w:noProof/>
          <w:sz w:val="16"/>
          <w:szCs w:val="16"/>
          <w:bdr w:val="nil"/>
          <w:lang w:eastAsia="ar-SA"/>
        </w:rPr>
      </w:pPr>
      <w:r w:rsidRPr="007561FF">
        <w:rPr>
          <w:rFonts w:ascii="Arial" w:hAnsi="Arial"/>
          <w:noProof/>
          <w:sz w:val="16"/>
          <w:szCs w:val="16"/>
          <w:lang w:eastAsia="ar-SA"/>
        </w:rPr>
        <w:t>“E”   This LG category includes loans with a risk profile greater than generally accepted. It also includes loans which in the course of their lives have experienced severe problems and their sliding into a situation of loss cannot be excluded. For this reason, the loans are subject to close and high monitoring. The sub-classes E+ and E- differentiate the intensity of this special monitoring process, with those operations graded E- being in a position where there is a strong possibility that debt service cannot be maintained on a timely basis and therefore some form of debt restructuring is required, possib</w:t>
      </w:r>
      <w:r>
        <w:rPr>
          <w:rFonts w:ascii="Arial" w:hAnsi="Arial"/>
          <w:noProof/>
          <w:sz w:val="16"/>
          <w:szCs w:val="16"/>
          <w:lang w:eastAsia="ar-SA"/>
        </w:rPr>
        <w:t>ly leading to</w:t>
      </w:r>
      <w:r w:rsidRPr="006343F5">
        <w:rPr>
          <w:rFonts w:ascii="Arial" w:hAnsi="Arial" w:cs="Arial"/>
          <w:noProof/>
          <w:sz w:val="16"/>
          <w:szCs w:val="16"/>
          <w:lang w:eastAsia="ar-SA"/>
        </w:rPr>
        <w:t xml:space="preserve"> an impairment loss</w:t>
      </w:r>
      <w:r>
        <w:rPr>
          <w:rFonts w:ascii="Arial" w:hAnsi="Arial" w:cs="Arial"/>
          <w:noProof/>
          <w:sz w:val="16"/>
          <w:szCs w:val="16"/>
          <w:lang w:eastAsia="ar-SA"/>
        </w:rPr>
        <w:t>.</w:t>
      </w:r>
    </w:p>
    <w:p w14:paraId="2978F495" w14:textId="77777777" w:rsidR="00FD1E19" w:rsidRDefault="00FD1E19" w:rsidP="00FD1E19">
      <w:pPr>
        <w:pBdr>
          <w:top w:val="nil"/>
          <w:left w:val="nil"/>
          <w:bottom w:val="nil"/>
          <w:right w:val="nil"/>
          <w:between w:val="nil"/>
          <w:bar w:val="nil"/>
        </w:pBdr>
        <w:tabs>
          <w:tab w:val="left" w:pos="360"/>
        </w:tabs>
        <w:suppressAutoHyphens/>
        <w:spacing w:before="60" w:after="60"/>
        <w:ind w:left="357" w:hanging="357"/>
        <w:jc w:val="both"/>
        <w:rPr>
          <w:noProof/>
          <w:sz w:val="16"/>
          <w:szCs w:val="16"/>
          <w:bdr w:val="nil"/>
          <w:lang w:eastAsia="ar-SA"/>
        </w:rPr>
      </w:pPr>
    </w:p>
    <w:p w14:paraId="204BBA71" w14:textId="77777777" w:rsidR="00FD1E19" w:rsidRPr="00FC2A61" w:rsidRDefault="00FD1E19" w:rsidP="00FD1E19">
      <w:pPr>
        <w:pBdr>
          <w:top w:val="nil"/>
          <w:left w:val="nil"/>
          <w:bottom w:val="nil"/>
          <w:right w:val="nil"/>
          <w:between w:val="nil"/>
          <w:bar w:val="nil"/>
        </w:pBdr>
        <w:suppressAutoHyphens/>
        <w:ind w:left="360" w:hanging="360"/>
        <w:rPr>
          <w:rFonts w:ascii="Arial" w:hAnsi="Arial"/>
          <w:noProof/>
          <w:sz w:val="16"/>
          <w:szCs w:val="16"/>
          <w:bdr w:val="nil"/>
          <w:lang w:eastAsia="ar-SA"/>
        </w:rPr>
      </w:pPr>
      <w:r>
        <w:rPr>
          <w:rFonts w:ascii="Arial" w:hAnsi="Arial"/>
          <w:noProof/>
          <w:sz w:val="16"/>
          <w:szCs w:val="16"/>
          <w:lang w:eastAsia="ar-SA"/>
        </w:rPr>
        <w:t xml:space="preserve">“F”   </w:t>
      </w:r>
      <w:r w:rsidRPr="00F92DD2">
        <w:rPr>
          <w:rFonts w:ascii="Arial" w:hAnsi="Arial"/>
          <w:noProof/>
          <w:sz w:val="16"/>
          <w:szCs w:val="16"/>
          <w:lang w:eastAsia="ar-SA"/>
        </w:rPr>
        <w:t>F (fail) denotes loans representing unacceptable risks. F- graded loans can only arise out of outstanding transactions that have experienced unforeseen, exceptional and dramatic adverse circumstances after signature. All operations where there is a loss of principal to the Facility are graded F and a specific provision is applied.</w:t>
      </w:r>
    </w:p>
    <w:p w14:paraId="143C5160"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690A9EEC" w14:textId="77777777" w:rsidR="00FD1E19" w:rsidRPr="00744CA3"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table in section 3.2.3.3 shows the credit quality analysis of the Facility’s loan portfolio based on the various LG classes as described above.</w:t>
      </w:r>
    </w:p>
    <w:p w14:paraId="577FB5C6" w14:textId="77777777" w:rsidR="00FD1E19" w:rsidRPr="008A77B9" w:rsidRDefault="00FD1E19" w:rsidP="00FD1E19">
      <w:pPr>
        <w:pageBreakBefore/>
        <w:numPr>
          <w:ilvl w:val="3"/>
          <w:numId w:val="51"/>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lang w:eastAsia="ar-SA"/>
        </w:rPr>
      </w:pPr>
      <w:bookmarkStart w:id="225" w:name="RG_MARKER_90106"/>
      <w:r w:rsidRPr="008A77B9">
        <w:rPr>
          <w:rFonts w:ascii="Arial" w:hAnsi="Arial"/>
          <w:b/>
          <w:bCs/>
          <w:noProof/>
          <w:sz w:val="16"/>
          <w:szCs w:val="16"/>
          <w:lang w:eastAsia="ar-SA"/>
        </w:rPr>
        <w:t>Analysis of lending credit risk exposure</w:t>
      </w:r>
      <w:bookmarkEnd w:id="225"/>
    </w:p>
    <w:p w14:paraId="596D584D"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52E166FA"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following table shows the maximum exposure </w:t>
      </w:r>
      <w:r>
        <w:rPr>
          <w:rFonts w:ascii="Arial" w:hAnsi="Arial"/>
          <w:noProof/>
          <w:sz w:val="16"/>
          <w:szCs w:val="16"/>
          <w:lang w:eastAsia="ar-SA"/>
        </w:rPr>
        <w:t xml:space="preserve">(net carrying amount) </w:t>
      </w:r>
      <w:r w:rsidRPr="00BD1346">
        <w:rPr>
          <w:rFonts w:ascii="Arial" w:hAnsi="Arial"/>
          <w:noProof/>
          <w:sz w:val="16"/>
          <w:szCs w:val="16"/>
          <w:lang w:eastAsia="ar-SA"/>
        </w:rPr>
        <w:t>to credit risk on loans</w:t>
      </w:r>
      <w:r>
        <w:rPr>
          <w:rFonts w:ascii="Arial" w:hAnsi="Arial"/>
          <w:noProof/>
          <w:sz w:val="16"/>
          <w:szCs w:val="16"/>
          <w:lang w:eastAsia="ar-SA"/>
        </w:rPr>
        <w:t xml:space="preserve"> and advances signed</w:t>
      </w:r>
      <w:r w:rsidRPr="00BD1346">
        <w:rPr>
          <w:rFonts w:ascii="Arial" w:hAnsi="Arial"/>
          <w:noProof/>
          <w:sz w:val="16"/>
          <w:szCs w:val="16"/>
          <w:lang w:eastAsia="ar-SA"/>
        </w:rPr>
        <w:t xml:space="preserve"> </w:t>
      </w:r>
      <w:r>
        <w:rPr>
          <w:rFonts w:ascii="Arial" w:hAnsi="Arial"/>
          <w:noProof/>
          <w:sz w:val="16"/>
          <w:szCs w:val="16"/>
          <w:lang w:eastAsia="ar-SA"/>
        </w:rPr>
        <w:t>(disbursed and undisbursed)</w:t>
      </w:r>
      <w:r w:rsidRPr="00BD1346">
        <w:rPr>
          <w:rFonts w:ascii="Arial" w:hAnsi="Arial"/>
          <w:noProof/>
          <w:sz w:val="16"/>
          <w:szCs w:val="16"/>
          <w:lang w:eastAsia="ar-SA"/>
        </w:rPr>
        <w:t xml:space="preserve"> </w:t>
      </w:r>
      <w:r>
        <w:rPr>
          <w:rFonts w:ascii="Arial" w:hAnsi="Arial"/>
          <w:noProof/>
          <w:sz w:val="16"/>
          <w:szCs w:val="16"/>
          <w:lang w:eastAsia="ar-SA"/>
        </w:rPr>
        <w:t xml:space="preserve">by </w:t>
      </w:r>
      <w:r w:rsidRPr="00BD1346">
        <w:rPr>
          <w:rFonts w:ascii="Arial" w:hAnsi="Arial"/>
          <w:noProof/>
          <w:sz w:val="16"/>
          <w:szCs w:val="16"/>
          <w:lang w:eastAsia="ar-SA"/>
        </w:rPr>
        <w:t>nature of borrower taking into account gu</w:t>
      </w:r>
      <w:r>
        <w:rPr>
          <w:rFonts w:ascii="Arial" w:hAnsi="Arial"/>
          <w:noProof/>
          <w:sz w:val="16"/>
          <w:szCs w:val="16"/>
          <w:lang w:eastAsia="ar-SA"/>
        </w:rPr>
        <w:t>arantees provided by guarantors:</w:t>
      </w:r>
    </w:p>
    <w:tbl>
      <w:tblPr>
        <w:tblStyle w:val="CDMRange2"/>
        <w:tblW w:w="5000" w:type="pct"/>
        <w:tblLayout w:type="fixed"/>
        <w:tblLook w:val="0600" w:firstRow="0" w:lastRow="0" w:firstColumn="0" w:lastColumn="0" w:noHBand="1" w:noVBand="1"/>
      </w:tblPr>
      <w:tblGrid>
        <w:gridCol w:w="2410"/>
        <w:gridCol w:w="1827"/>
        <w:gridCol w:w="1827"/>
        <w:gridCol w:w="1827"/>
        <w:gridCol w:w="1827"/>
      </w:tblGrid>
      <w:tr w:rsidR="00FD1E19" w14:paraId="7491D692" w14:textId="77777777" w:rsidTr="00BE7E4A">
        <w:trPr>
          <w:trHeight w:hRule="exact" w:val="260"/>
        </w:trPr>
        <w:tc>
          <w:tcPr>
            <w:tcW w:w="2475" w:type="dxa"/>
            <w:tcBorders>
              <w:top w:val="single" w:sz="4" w:space="0" w:color="000000"/>
              <w:left w:val="nil"/>
              <w:bottom w:val="nil"/>
              <w:right w:val="nil"/>
              <w:tl2br w:val="nil"/>
              <w:tr2bl w:val="nil"/>
            </w:tcBorders>
            <w:tcMar>
              <w:left w:w="40" w:type="dxa"/>
              <w:right w:w="40" w:type="dxa"/>
            </w:tcMar>
            <w:vAlign w:val="center"/>
          </w:tcPr>
          <w:p w14:paraId="2C3858F7" w14:textId="77777777" w:rsidR="00FD1E19" w:rsidRDefault="00FD1E19" w:rsidP="00BE7E4A">
            <w:pPr>
              <w:suppressAutoHyphens/>
              <w:rPr>
                <w:rFonts w:ascii="Arial" w:eastAsia="Arial" w:hAnsi="Arial" w:cs="Arial"/>
                <w:b/>
                <w:noProof/>
                <w:color w:val="000000"/>
                <w:sz w:val="16"/>
                <w:lang w:eastAsia="ar-SA"/>
              </w:rPr>
            </w:pPr>
            <w:bookmarkStart w:id="226" w:name="RG_MARKER_90107"/>
            <w:r>
              <w:rPr>
                <w:rFonts w:ascii="Arial" w:eastAsia="Arial" w:hAnsi="Arial" w:cs="Arial"/>
                <w:b/>
                <w:noProof/>
                <w:color w:val="000000"/>
                <w:sz w:val="16"/>
                <w:lang w:eastAsia="ar-SA"/>
              </w:rPr>
              <w:t>At 31.12.2025</w:t>
            </w:r>
            <w:bookmarkEnd w:id="226"/>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08B9D4E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Guaranteed</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5C2934E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Not guaranteed</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33DE4D7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724FA5A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of Total disbursed</w:t>
            </w:r>
          </w:p>
        </w:tc>
      </w:tr>
      <w:tr w:rsidR="00FD1E19" w14:paraId="167189A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2475" w:type="dxa"/>
            <w:tcBorders>
              <w:top w:val="nil"/>
              <w:left w:val="nil"/>
              <w:bottom w:val="single" w:sz="4" w:space="0" w:color="000000"/>
              <w:right w:val="nil"/>
              <w:tl2br w:val="nil"/>
              <w:tr2bl w:val="nil"/>
            </w:tcBorders>
            <w:tcMar>
              <w:left w:w="40" w:type="dxa"/>
              <w:right w:w="40" w:type="dxa"/>
            </w:tcMar>
            <w:vAlign w:val="center"/>
          </w:tcPr>
          <w:p w14:paraId="19E18B2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875" w:type="dxa"/>
            <w:vMerge/>
            <w:tcBorders>
              <w:top w:val="nil"/>
              <w:left w:val="nil"/>
              <w:bottom w:val="single" w:sz="4" w:space="0" w:color="000000"/>
              <w:right w:val="nil"/>
              <w:tl2br w:val="nil"/>
              <w:tr2bl w:val="nil"/>
            </w:tcBorders>
            <w:tcMar>
              <w:left w:w="0" w:type="dxa"/>
              <w:right w:w="0" w:type="dxa"/>
            </w:tcMar>
            <w:vAlign w:val="center"/>
          </w:tcPr>
          <w:p w14:paraId="7CA481ED" w14:textId="77777777" w:rsidR="00FD1E19" w:rsidRDefault="00FD1E19" w:rsidP="00BE7E4A">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14:paraId="4E195FBA" w14:textId="77777777" w:rsidR="00FD1E19" w:rsidRDefault="00FD1E19" w:rsidP="00BE7E4A">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14:paraId="3E7A3B83" w14:textId="77777777" w:rsidR="00FD1E19" w:rsidRDefault="00FD1E19" w:rsidP="00BE7E4A">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14:paraId="7249DB5E"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76FD7C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14:paraId="1CB9AF4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institutions</w:t>
            </w:r>
          </w:p>
        </w:tc>
        <w:tc>
          <w:tcPr>
            <w:tcW w:w="1875" w:type="dxa"/>
            <w:tcBorders>
              <w:top w:val="single" w:sz="4" w:space="0" w:color="000000"/>
              <w:left w:val="nil"/>
              <w:bottom w:val="nil"/>
              <w:right w:val="nil"/>
              <w:tl2br w:val="nil"/>
              <w:tr2bl w:val="nil"/>
            </w:tcBorders>
            <w:tcMar>
              <w:left w:w="40" w:type="dxa"/>
              <w:right w:w="40" w:type="dxa"/>
            </w:tcMar>
            <w:vAlign w:val="center"/>
          </w:tcPr>
          <w:p w14:paraId="1A86A6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37,020</w:t>
            </w:r>
          </w:p>
        </w:tc>
        <w:tc>
          <w:tcPr>
            <w:tcW w:w="1875" w:type="dxa"/>
            <w:tcBorders>
              <w:top w:val="single" w:sz="4" w:space="0" w:color="000000"/>
              <w:left w:val="nil"/>
              <w:bottom w:val="nil"/>
              <w:right w:val="nil"/>
              <w:tl2br w:val="nil"/>
              <w:tr2bl w:val="nil"/>
            </w:tcBorders>
            <w:tcMar>
              <w:left w:w="40" w:type="dxa"/>
              <w:right w:w="40" w:type="dxa"/>
            </w:tcMar>
            <w:vAlign w:val="center"/>
          </w:tcPr>
          <w:p w14:paraId="3ABC453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590,941</w:t>
            </w:r>
          </w:p>
        </w:tc>
        <w:tc>
          <w:tcPr>
            <w:tcW w:w="1875" w:type="dxa"/>
            <w:tcBorders>
              <w:top w:val="single" w:sz="4" w:space="0" w:color="000000"/>
              <w:left w:val="nil"/>
              <w:bottom w:val="nil"/>
              <w:right w:val="nil"/>
              <w:tl2br w:val="nil"/>
              <w:tr2bl w:val="nil"/>
            </w:tcBorders>
            <w:tcMar>
              <w:left w:w="40" w:type="dxa"/>
              <w:right w:w="40" w:type="dxa"/>
            </w:tcMar>
            <w:vAlign w:val="center"/>
          </w:tcPr>
          <w:p w14:paraId="63B88CD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627,961</w:t>
            </w:r>
          </w:p>
        </w:tc>
        <w:tc>
          <w:tcPr>
            <w:tcW w:w="1875" w:type="dxa"/>
            <w:tcBorders>
              <w:top w:val="single" w:sz="4" w:space="0" w:color="000000"/>
              <w:left w:val="nil"/>
              <w:bottom w:val="nil"/>
              <w:right w:val="nil"/>
              <w:tl2br w:val="nil"/>
              <w:tr2bl w:val="nil"/>
            </w:tcBorders>
            <w:tcMar>
              <w:left w:w="40" w:type="dxa"/>
              <w:right w:w="40" w:type="dxa"/>
            </w:tcMar>
            <w:vAlign w:val="center"/>
          </w:tcPr>
          <w:p w14:paraId="3A00455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59%</w:t>
            </w:r>
          </w:p>
        </w:tc>
      </w:tr>
      <w:tr w:rsidR="00FD1E19" w14:paraId="32C1FCA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14:paraId="58B6566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Corporates</w:t>
            </w:r>
          </w:p>
        </w:tc>
        <w:tc>
          <w:tcPr>
            <w:tcW w:w="1875" w:type="dxa"/>
            <w:tcBorders>
              <w:top w:val="nil"/>
              <w:left w:val="nil"/>
              <w:bottom w:val="nil"/>
              <w:right w:val="nil"/>
              <w:tl2br w:val="nil"/>
              <w:tr2bl w:val="nil"/>
            </w:tcBorders>
            <w:tcMar>
              <w:left w:w="40" w:type="dxa"/>
              <w:right w:w="40" w:type="dxa"/>
            </w:tcMar>
            <w:vAlign w:val="center"/>
          </w:tcPr>
          <w:p w14:paraId="661D3DC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117,547</w:t>
            </w:r>
          </w:p>
        </w:tc>
        <w:tc>
          <w:tcPr>
            <w:tcW w:w="1875" w:type="dxa"/>
            <w:tcBorders>
              <w:top w:val="nil"/>
              <w:left w:val="nil"/>
              <w:bottom w:val="nil"/>
              <w:right w:val="nil"/>
              <w:tl2br w:val="nil"/>
              <w:tr2bl w:val="nil"/>
            </w:tcBorders>
            <w:tcMar>
              <w:left w:w="40" w:type="dxa"/>
              <w:right w:w="40" w:type="dxa"/>
            </w:tcMar>
            <w:vAlign w:val="center"/>
          </w:tcPr>
          <w:p w14:paraId="0AD6DF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125,812</w:t>
            </w:r>
          </w:p>
        </w:tc>
        <w:tc>
          <w:tcPr>
            <w:tcW w:w="1875" w:type="dxa"/>
            <w:tcBorders>
              <w:top w:val="nil"/>
              <w:left w:val="nil"/>
              <w:bottom w:val="nil"/>
              <w:right w:val="nil"/>
              <w:tl2br w:val="nil"/>
              <w:tr2bl w:val="nil"/>
            </w:tcBorders>
            <w:tcMar>
              <w:left w:w="40" w:type="dxa"/>
              <w:right w:w="40" w:type="dxa"/>
            </w:tcMar>
            <w:vAlign w:val="center"/>
          </w:tcPr>
          <w:p w14:paraId="7049B2F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243,359</w:t>
            </w:r>
          </w:p>
        </w:tc>
        <w:tc>
          <w:tcPr>
            <w:tcW w:w="1875" w:type="dxa"/>
            <w:tcBorders>
              <w:top w:val="nil"/>
              <w:left w:val="nil"/>
              <w:bottom w:val="nil"/>
              <w:right w:val="nil"/>
              <w:tl2br w:val="nil"/>
              <w:tr2bl w:val="nil"/>
            </w:tcBorders>
            <w:tcMar>
              <w:left w:w="40" w:type="dxa"/>
              <w:right w:w="40" w:type="dxa"/>
            </w:tcMar>
            <w:vAlign w:val="center"/>
          </w:tcPr>
          <w:p w14:paraId="566318F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23%</w:t>
            </w:r>
          </w:p>
        </w:tc>
      </w:tr>
      <w:tr w:rsidR="00FD1E19" w14:paraId="06A4180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14:paraId="570721C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Public authorities</w:t>
            </w:r>
          </w:p>
        </w:tc>
        <w:tc>
          <w:tcPr>
            <w:tcW w:w="1875" w:type="dxa"/>
            <w:tcBorders>
              <w:top w:val="nil"/>
              <w:left w:val="nil"/>
              <w:bottom w:val="nil"/>
              <w:right w:val="nil"/>
              <w:tl2br w:val="nil"/>
              <w:tr2bl w:val="nil"/>
            </w:tcBorders>
            <w:tcMar>
              <w:left w:w="40" w:type="dxa"/>
              <w:right w:w="40" w:type="dxa"/>
            </w:tcMar>
            <w:vAlign w:val="center"/>
          </w:tcPr>
          <w:p w14:paraId="47A6F00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75" w:type="dxa"/>
            <w:tcBorders>
              <w:top w:val="nil"/>
              <w:left w:val="nil"/>
              <w:bottom w:val="nil"/>
              <w:right w:val="nil"/>
              <w:tl2br w:val="nil"/>
              <w:tr2bl w:val="nil"/>
            </w:tcBorders>
            <w:tcMar>
              <w:left w:w="40" w:type="dxa"/>
              <w:right w:w="40" w:type="dxa"/>
            </w:tcMar>
            <w:vAlign w:val="center"/>
          </w:tcPr>
          <w:p w14:paraId="6A544E7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75" w:type="dxa"/>
            <w:tcBorders>
              <w:top w:val="nil"/>
              <w:left w:val="nil"/>
              <w:bottom w:val="nil"/>
              <w:right w:val="nil"/>
              <w:tl2br w:val="nil"/>
              <w:tr2bl w:val="nil"/>
            </w:tcBorders>
            <w:tcMar>
              <w:left w:w="40" w:type="dxa"/>
              <w:right w:w="40" w:type="dxa"/>
            </w:tcMar>
            <w:vAlign w:val="center"/>
          </w:tcPr>
          <w:p w14:paraId="3F52C4A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875" w:type="dxa"/>
            <w:tcBorders>
              <w:top w:val="nil"/>
              <w:left w:val="nil"/>
              <w:bottom w:val="nil"/>
              <w:right w:val="nil"/>
              <w:tl2br w:val="nil"/>
              <w:tr2bl w:val="nil"/>
            </w:tcBorders>
            <w:tcMar>
              <w:left w:w="40" w:type="dxa"/>
              <w:right w:w="40" w:type="dxa"/>
            </w:tcMar>
            <w:vAlign w:val="center"/>
          </w:tcPr>
          <w:p w14:paraId="654E446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0%</w:t>
            </w:r>
          </w:p>
        </w:tc>
      </w:tr>
      <w:tr w:rsidR="00FD1E19" w14:paraId="66B62A9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14:paraId="603AF69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States</w:t>
            </w:r>
          </w:p>
        </w:tc>
        <w:tc>
          <w:tcPr>
            <w:tcW w:w="1875" w:type="dxa"/>
            <w:tcBorders>
              <w:top w:val="nil"/>
              <w:left w:val="nil"/>
              <w:bottom w:val="single" w:sz="4" w:space="0" w:color="000000"/>
              <w:right w:val="nil"/>
              <w:tl2br w:val="nil"/>
              <w:tr2bl w:val="nil"/>
            </w:tcBorders>
            <w:tcMar>
              <w:left w:w="40" w:type="dxa"/>
              <w:right w:w="40" w:type="dxa"/>
            </w:tcMar>
            <w:vAlign w:val="center"/>
          </w:tcPr>
          <w:p w14:paraId="51122F0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75" w:type="dxa"/>
            <w:tcBorders>
              <w:top w:val="nil"/>
              <w:left w:val="nil"/>
              <w:bottom w:val="single" w:sz="4" w:space="0" w:color="000000"/>
              <w:right w:val="nil"/>
              <w:tl2br w:val="nil"/>
              <w:tr2bl w:val="nil"/>
            </w:tcBorders>
            <w:tcMar>
              <w:left w:w="40" w:type="dxa"/>
              <w:right w:w="40" w:type="dxa"/>
            </w:tcMar>
            <w:vAlign w:val="center"/>
          </w:tcPr>
          <w:p w14:paraId="41A41B2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192,191</w:t>
            </w:r>
          </w:p>
        </w:tc>
        <w:tc>
          <w:tcPr>
            <w:tcW w:w="1875" w:type="dxa"/>
            <w:tcBorders>
              <w:top w:val="nil"/>
              <w:left w:val="nil"/>
              <w:bottom w:val="single" w:sz="4" w:space="0" w:color="000000"/>
              <w:right w:val="nil"/>
              <w:tl2br w:val="nil"/>
              <w:tr2bl w:val="nil"/>
            </w:tcBorders>
            <w:tcMar>
              <w:left w:w="40" w:type="dxa"/>
              <w:right w:w="40" w:type="dxa"/>
            </w:tcMar>
            <w:vAlign w:val="center"/>
          </w:tcPr>
          <w:p w14:paraId="4FB1A22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192,191</w:t>
            </w:r>
          </w:p>
        </w:tc>
        <w:tc>
          <w:tcPr>
            <w:tcW w:w="1875" w:type="dxa"/>
            <w:tcBorders>
              <w:top w:val="nil"/>
              <w:left w:val="nil"/>
              <w:bottom w:val="single" w:sz="4" w:space="0" w:color="000000"/>
              <w:right w:val="nil"/>
              <w:tl2br w:val="nil"/>
              <w:tr2bl w:val="nil"/>
            </w:tcBorders>
            <w:tcMar>
              <w:left w:w="40" w:type="dxa"/>
              <w:right w:w="40" w:type="dxa"/>
            </w:tcMar>
            <w:vAlign w:val="center"/>
          </w:tcPr>
          <w:p w14:paraId="6CA73C0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w:t>
            </w:r>
          </w:p>
        </w:tc>
      </w:tr>
      <w:tr w:rsidR="00FD1E19" w14:paraId="09A2DF4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shd w:val="clear" w:color="FFFFFF" w:fill="C4C4C4"/>
            <w:tcMar>
              <w:left w:w="40" w:type="dxa"/>
              <w:right w:w="40" w:type="dxa"/>
            </w:tcMar>
            <w:vAlign w:val="center"/>
          </w:tcPr>
          <w:p w14:paraId="758D95A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disbursed</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14:paraId="53B453C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154,567</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14:paraId="4800022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908,944</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14:paraId="435F060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1,063,511</w:t>
            </w:r>
          </w:p>
        </w:tc>
        <w:tc>
          <w:tcPr>
            <w:tcW w:w="1875" w:type="dxa"/>
            <w:tcBorders>
              <w:top w:val="single" w:sz="4" w:space="0" w:color="000000"/>
              <w:left w:val="nil"/>
              <w:bottom w:val="nil"/>
              <w:right w:val="nil"/>
              <w:tl2br w:val="nil"/>
              <w:tr2bl w:val="nil"/>
            </w:tcBorders>
            <w:shd w:val="clear" w:color="FFFFFF" w:fill="C4C4C4"/>
            <w:tcMar>
              <w:left w:w="40" w:type="dxa"/>
              <w:right w:w="40" w:type="dxa"/>
            </w:tcMar>
            <w:vAlign w:val="center"/>
          </w:tcPr>
          <w:p w14:paraId="2F772A6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w:t>
            </w:r>
          </w:p>
        </w:tc>
      </w:tr>
      <w:tr w:rsidR="00FD1E19" w14:paraId="034618B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14:paraId="485B83A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Undisbursed</w:t>
            </w:r>
          </w:p>
        </w:tc>
        <w:tc>
          <w:tcPr>
            <w:tcW w:w="1875" w:type="dxa"/>
            <w:tcBorders>
              <w:top w:val="nil"/>
              <w:left w:val="nil"/>
              <w:bottom w:val="nil"/>
              <w:right w:val="nil"/>
              <w:tl2br w:val="nil"/>
              <w:tr2bl w:val="nil"/>
            </w:tcBorders>
            <w:tcMar>
              <w:left w:w="40" w:type="dxa"/>
              <w:right w:w="40" w:type="dxa"/>
            </w:tcMar>
            <w:vAlign w:val="center"/>
          </w:tcPr>
          <w:p w14:paraId="79D74D2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19,023</w:t>
            </w:r>
          </w:p>
        </w:tc>
        <w:tc>
          <w:tcPr>
            <w:tcW w:w="1875" w:type="dxa"/>
            <w:tcBorders>
              <w:top w:val="nil"/>
              <w:left w:val="nil"/>
              <w:bottom w:val="nil"/>
              <w:right w:val="nil"/>
              <w:tl2br w:val="nil"/>
              <w:tr2bl w:val="nil"/>
            </w:tcBorders>
            <w:tcMar>
              <w:left w:w="40" w:type="dxa"/>
              <w:right w:w="40" w:type="dxa"/>
            </w:tcMar>
            <w:vAlign w:val="center"/>
          </w:tcPr>
          <w:p w14:paraId="53B6B73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317,579</w:t>
            </w:r>
          </w:p>
        </w:tc>
        <w:tc>
          <w:tcPr>
            <w:tcW w:w="1875" w:type="dxa"/>
            <w:tcBorders>
              <w:top w:val="nil"/>
              <w:left w:val="nil"/>
              <w:bottom w:val="nil"/>
              <w:right w:val="nil"/>
              <w:tl2br w:val="nil"/>
              <w:tr2bl w:val="nil"/>
            </w:tcBorders>
            <w:tcMar>
              <w:left w:w="40" w:type="dxa"/>
              <w:right w:w="40" w:type="dxa"/>
            </w:tcMar>
            <w:vAlign w:val="center"/>
          </w:tcPr>
          <w:p w14:paraId="239EA24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336,602</w:t>
            </w:r>
          </w:p>
        </w:tc>
        <w:tc>
          <w:tcPr>
            <w:tcW w:w="1875" w:type="dxa"/>
            <w:tcBorders>
              <w:top w:val="nil"/>
              <w:left w:val="nil"/>
              <w:bottom w:val="nil"/>
              <w:right w:val="nil"/>
              <w:tl2br w:val="nil"/>
              <w:tr2bl w:val="nil"/>
            </w:tcBorders>
            <w:tcMar>
              <w:left w:w="0" w:type="dxa"/>
              <w:right w:w="0" w:type="dxa"/>
            </w:tcMar>
            <w:vAlign w:val="center"/>
          </w:tcPr>
          <w:p w14:paraId="17C5331A"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69F405B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475" w:type="dxa"/>
            <w:tcBorders>
              <w:top w:val="nil"/>
              <w:left w:val="nil"/>
              <w:bottom w:val="nil"/>
              <w:right w:val="nil"/>
              <w:tl2br w:val="nil"/>
              <w:tr2bl w:val="nil"/>
            </w:tcBorders>
            <w:shd w:val="clear" w:color="FFFFFF" w:fill="BFBFBF"/>
            <w:tcMar>
              <w:left w:w="40" w:type="dxa"/>
              <w:right w:w="40" w:type="dxa"/>
            </w:tcMar>
            <w:vAlign w:val="center"/>
          </w:tcPr>
          <w:p w14:paraId="332F7ED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disbursed and undisbursed</w:t>
            </w:r>
          </w:p>
        </w:tc>
        <w:tc>
          <w:tcPr>
            <w:tcW w:w="1875" w:type="dxa"/>
            <w:tcBorders>
              <w:top w:val="nil"/>
              <w:left w:val="nil"/>
              <w:bottom w:val="nil"/>
              <w:right w:val="nil"/>
              <w:tl2br w:val="nil"/>
              <w:tr2bl w:val="nil"/>
            </w:tcBorders>
            <w:shd w:val="clear" w:color="FFFFFF" w:fill="BFBFBF"/>
            <w:tcMar>
              <w:left w:w="40" w:type="dxa"/>
              <w:right w:w="40" w:type="dxa"/>
            </w:tcMar>
            <w:vAlign w:val="center"/>
          </w:tcPr>
          <w:p w14:paraId="402123A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173,590</w:t>
            </w:r>
          </w:p>
        </w:tc>
        <w:tc>
          <w:tcPr>
            <w:tcW w:w="1875" w:type="dxa"/>
            <w:tcBorders>
              <w:top w:val="nil"/>
              <w:left w:val="nil"/>
              <w:bottom w:val="nil"/>
              <w:right w:val="nil"/>
              <w:tl2br w:val="nil"/>
              <w:tr2bl w:val="nil"/>
            </w:tcBorders>
            <w:shd w:val="clear" w:color="FFFFFF" w:fill="BFBFBF"/>
            <w:tcMar>
              <w:left w:w="40" w:type="dxa"/>
              <w:right w:w="40" w:type="dxa"/>
            </w:tcMar>
            <w:vAlign w:val="center"/>
          </w:tcPr>
          <w:p w14:paraId="52623EB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1,226,523</w:t>
            </w:r>
          </w:p>
        </w:tc>
        <w:tc>
          <w:tcPr>
            <w:tcW w:w="1875" w:type="dxa"/>
            <w:tcBorders>
              <w:top w:val="nil"/>
              <w:left w:val="nil"/>
              <w:bottom w:val="nil"/>
              <w:right w:val="nil"/>
              <w:tl2br w:val="nil"/>
              <w:tr2bl w:val="nil"/>
            </w:tcBorders>
            <w:shd w:val="clear" w:color="FFFFFF" w:fill="BFBFBF"/>
            <w:tcMar>
              <w:left w:w="40" w:type="dxa"/>
              <w:right w:w="40" w:type="dxa"/>
            </w:tcMar>
            <w:vAlign w:val="center"/>
          </w:tcPr>
          <w:p w14:paraId="1E0E073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1,400,113</w:t>
            </w:r>
          </w:p>
        </w:tc>
        <w:tc>
          <w:tcPr>
            <w:tcW w:w="1875" w:type="dxa"/>
            <w:tcBorders>
              <w:top w:val="nil"/>
              <w:left w:val="nil"/>
              <w:bottom w:val="nil"/>
              <w:right w:val="nil"/>
              <w:tl2br w:val="nil"/>
              <w:tr2bl w:val="nil"/>
            </w:tcBorders>
            <w:shd w:val="clear" w:color="FFFFFF" w:fill="BFBFBF"/>
            <w:tcMar>
              <w:left w:w="0" w:type="dxa"/>
              <w:right w:w="0" w:type="dxa"/>
            </w:tcMar>
            <w:vAlign w:val="center"/>
          </w:tcPr>
          <w:p w14:paraId="1B38B7E8"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142F444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noWrap/>
            <w:tcMar>
              <w:left w:w="0" w:type="dxa"/>
              <w:right w:w="0" w:type="dxa"/>
            </w:tcMar>
            <w:vAlign w:val="bottom"/>
          </w:tcPr>
          <w:p w14:paraId="518C0D6E" w14:textId="77777777" w:rsidR="00FD1E19" w:rsidRDefault="00FD1E19" w:rsidP="00BE7E4A">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14:paraId="04EC0789" w14:textId="77777777" w:rsidR="00FD1E19" w:rsidRDefault="00FD1E19" w:rsidP="00BE7E4A">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14:paraId="6DE9CCB0" w14:textId="77777777" w:rsidR="00FD1E19" w:rsidRDefault="00FD1E19" w:rsidP="00BE7E4A">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14:paraId="3D5E6570" w14:textId="77777777" w:rsidR="00FD1E19" w:rsidRDefault="00FD1E19" w:rsidP="00BE7E4A">
            <w:pPr>
              <w:suppressAutoHyphens/>
              <w:rPr>
                <w:rFonts w:ascii="Arial" w:eastAsia="Arial" w:hAnsi="Arial" w:cs="Arial"/>
                <w:noProof/>
                <w:color w:val="000000"/>
                <w:lang w:eastAsia="ar-SA"/>
              </w:rPr>
            </w:pPr>
          </w:p>
        </w:tc>
        <w:tc>
          <w:tcPr>
            <w:tcW w:w="1875" w:type="dxa"/>
            <w:tcBorders>
              <w:top w:val="nil"/>
              <w:left w:val="nil"/>
              <w:bottom w:val="single" w:sz="4" w:space="0" w:color="000000"/>
              <w:right w:val="nil"/>
              <w:tl2br w:val="nil"/>
              <w:tr2bl w:val="nil"/>
            </w:tcBorders>
            <w:noWrap/>
            <w:tcMar>
              <w:left w:w="0" w:type="dxa"/>
              <w:right w:w="0" w:type="dxa"/>
            </w:tcMar>
            <w:vAlign w:val="bottom"/>
          </w:tcPr>
          <w:p w14:paraId="696649EF" w14:textId="77777777" w:rsidR="00FD1E19" w:rsidRDefault="00FD1E19" w:rsidP="00BE7E4A">
            <w:pPr>
              <w:suppressAutoHyphens/>
              <w:rPr>
                <w:rFonts w:ascii="Arial" w:eastAsia="Arial" w:hAnsi="Arial" w:cs="Arial"/>
                <w:noProof/>
                <w:color w:val="000000"/>
                <w:lang w:eastAsia="ar-SA"/>
              </w:rPr>
            </w:pPr>
          </w:p>
        </w:tc>
      </w:tr>
      <w:tr w:rsidR="00FD1E19" w14:paraId="6DC53A6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14:paraId="745ADAD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At 31.12.2024</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5C8B3B4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Guaranteed</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646E21A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Not guaranteed</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700EF8F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875" w:type="dxa"/>
            <w:vMerge w:val="restart"/>
            <w:tcBorders>
              <w:top w:val="single" w:sz="4" w:space="0" w:color="000000"/>
              <w:left w:val="nil"/>
              <w:bottom w:val="nil"/>
              <w:right w:val="nil"/>
              <w:tl2br w:val="nil"/>
              <w:tr2bl w:val="nil"/>
            </w:tcBorders>
            <w:tcMar>
              <w:left w:w="40" w:type="dxa"/>
              <w:right w:w="40" w:type="dxa"/>
            </w:tcMar>
            <w:vAlign w:val="center"/>
          </w:tcPr>
          <w:p w14:paraId="0971CCA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of Total disbursed</w:t>
            </w:r>
          </w:p>
        </w:tc>
      </w:tr>
      <w:tr w:rsidR="00FD1E19" w14:paraId="59B7508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14:paraId="425E2E1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875" w:type="dxa"/>
            <w:vMerge/>
            <w:tcBorders>
              <w:top w:val="nil"/>
              <w:left w:val="nil"/>
              <w:bottom w:val="single" w:sz="4" w:space="0" w:color="000000"/>
              <w:right w:val="nil"/>
              <w:tl2br w:val="nil"/>
              <w:tr2bl w:val="nil"/>
            </w:tcBorders>
            <w:tcMar>
              <w:left w:w="0" w:type="dxa"/>
              <w:right w:w="0" w:type="dxa"/>
            </w:tcMar>
            <w:vAlign w:val="center"/>
          </w:tcPr>
          <w:p w14:paraId="321A72A2" w14:textId="77777777" w:rsidR="00FD1E19" w:rsidRDefault="00FD1E19" w:rsidP="00BE7E4A">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14:paraId="3BAC81A0" w14:textId="77777777" w:rsidR="00FD1E19" w:rsidRDefault="00FD1E19" w:rsidP="00BE7E4A">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14:paraId="63F5A99F" w14:textId="77777777" w:rsidR="00FD1E19" w:rsidRDefault="00FD1E19" w:rsidP="00BE7E4A">
            <w:pPr>
              <w:suppressAutoHyphens/>
              <w:jc w:val="right"/>
              <w:rPr>
                <w:rFonts w:ascii="Arial" w:eastAsia="Arial" w:hAnsi="Arial" w:cs="Arial"/>
                <w:b/>
                <w:noProof/>
                <w:color w:val="000000"/>
                <w:sz w:val="16"/>
                <w:lang w:eastAsia="ar-SA"/>
              </w:rPr>
            </w:pPr>
          </w:p>
        </w:tc>
        <w:tc>
          <w:tcPr>
            <w:tcW w:w="1875" w:type="dxa"/>
            <w:vMerge/>
            <w:tcBorders>
              <w:top w:val="nil"/>
              <w:left w:val="nil"/>
              <w:bottom w:val="single" w:sz="4" w:space="0" w:color="000000"/>
              <w:right w:val="nil"/>
              <w:tl2br w:val="nil"/>
              <w:tr2bl w:val="nil"/>
            </w:tcBorders>
            <w:tcMar>
              <w:left w:w="0" w:type="dxa"/>
              <w:right w:w="0" w:type="dxa"/>
            </w:tcMar>
            <w:vAlign w:val="center"/>
          </w:tcPr>
          <w:p w14:paraId="62791213"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42E7F9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tcMar>
              <w:left w:w="40" w:type="dxa"/>
              <w:right w:w="40" w:type="dxa"/>
            </w:tcMar>
            <w:vAlign w:val="center"/>
          </w:tcPr>
          <w:p w14:paraId="6898F48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institutions</w:t>
            </w:r>
          </w:p>
        </w:tc>
        <w:tc>
          <w:tcPr>
            <w:tcW w:w="1875" w:type="dxa"/>
            <w:tcBorders>
              <w:top w:val="single" w:sz="4" w:space="0" w:color="000000"/>
              <w:left w:val="nil"/>
              <w:bottom w:val="nil"/>
              <w:right w:val="nil"/>
              <w:tl2br w:val="nil"/>
              <w:tr2bl w:val="nil"/>
            </w:tcBorders>
            <w:tcMar>
              <w:left w:w="40" w:type="dxa"/>
              <w:right w:w="40" w:type="dxa"/>
            </w:tcMar>
            <w:vAlign w:val="center"/>
          </w:tcPr>
          <w:p w14:paraId="4EEAB73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45,015</w:t>
            </w:r>
          </w:p>
        </w:tc>
        <w:tc>
          <w:tcPr>
            <w:tcW w:w="1875" w:type="dxa"/>
            <w:tcBorders>
              <w:top w:val="single" w:sz="4" w:space="0" w:color="000000"/>
              <w:left w:val="nil"/>
              <w:bottom w:val="nil"/>
              <w:right w:val="nil"/>
              <w:tl2br w:val="nil"/>
              <w:tr2bl w:val="nil"/>
            </w:tcBorders>
            <w:tcMar>
              <w:left w:w="40" w:type="dxa"/>
              <w:right w:w="40" w:type="dxa"/>
            </w:tcMar>
            <w:vAlign w:val="center"/>
          </w:tcPr>
          <w:p w14:paraId="1D8290D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879,963</w:t>
            </w:r>
          </w:p>
        </w:tc>
        <w:tc>
          <w:tcPr>
            <w:tcW w:w="1875" w:type="dxa"/>
            <w:tcBorders>
              <w:top w:val="single" w:sz="4" w:space="0" w:color="000000"/>
              <w:left w:val="nil"/>
              <w:bottom w:val="nil"/>
              <w:right w:val="nil"/>
              <w:tl2br w:val="nil"/>
              <w:tr2bl w:val="nil"/>
            </w:tcBorders>
            <w:tcMar>
              <w:left w:w="40" w:type="dxa"/>
              <w:right w:w="40" w:type="dxa"/>
            </w:tcMar>
            <w:vAlign w:val="center"/>
          </w:tcPr>
          <w:p w14:paraId="34FB713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924,978</w:t>
            </w:r>
          </w:p>
        </w:tc>
        <w:tc>
          <w:tcPr>
            <w:tcW w:w="1875" w:type="dxa"/>
            <w:tcBorders>
              <w:top w:val="single" w:sz="4" w:space="0" w:color="000000"/>
              <w:left w:val="nil"/>
              <w:bottom w:val="nil"/>
              <w:right w:val="nil"/>
              <w:tl2br w:val="nil"/>
              <w:tr2bl w:val="nil"/>
            </w:tcBorders>
            <w:tcMar>
              <w:left w:w="40" w:type="dxa"/>
              <w:right w:w="40" w:type="dxa"/>
            </w:tcMar>
            <w:vAlign w:val="center"/>
          </w:tcPr>
          <w:p w14:paraId="2D33B83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62%</w:t>
            </w:r>
          </w:p>
        </w:tc>
      </w:tr>
      <w:tr w:rsidR="00FD1E19" w14:paraId="233CFC9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14:paraId="76E11EB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Corporates</w:t>
            </w:r>
          </w:p>
        </w:tc>
        <w:tc>
          <w:tcPr>
            <w:tcW w:w="1875" w:type="dxa"/>
            <w:tcBorders>
              <w:top w:val="nil"/>
              <w:left w:val="nil"/>
              <w:bottom w:val="nil"/>
              <w:right w:val="nil"/>
              <w:tl2br w:val="nil"/>
              <w:tr2bl w:val="nil"/>
            </w:tcBorders>
            <w:tcMar>
              <w:left w:w="40" w:type="dxa"/>
              <w:right w:w="40" w:type="dxa"/>
            </w:tcMar>
            <w:vAlign w:val="center"/>
          </w:tcPr>
          <w:p w14:paraId="356342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164,680</w:t>
            </w:r>
          </w:p>
        </w:tc>
        <w:tc>
          <w:tcPr>
            <w:tcW w:w="1875" w:type="dxa"/>
            <w:tcBorders>
              <w:top w:val="nil"/>
              <w:left w:val="nil"/>
              <w:bottom w:val="nil"/>
              <w:right w:val="nil"/>
              <w:tl2br w:val="nil"/>
              <w:tr2bl w:val="nil"/>
            </w:tcBorders>
            <w:tcMar>
              <w:left w:w="40" w:type="dxa"/>
              <w:right w:w="40" w:type="dxa"/>
            </w:tcMar>
            <w:vAlign w:val="center"/>
          </w:tcPr>
          <w:p w14:paraId="3BFCAB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193,836</w:t>
            </w:r>
          </w:p>
        </w:tc>
        <w:tc>
          <w:tcPr>
            <w:tcW w:w="1875" w:type="dxa"/>
            <w:tcBorders>
              <w:top w:val="nil"/>
              <w:left w:val="nil"/>
              <w:bottom w:val="nil"/>
              <w:right w:val="nil"/>
              <w:tl2br w:val="nil"/>
              <w:tr2bl w:val="nil"/>
            </w:tcBorders>
            <w:tcMar>
              <w:left w:w="40" w:type="dxa"/>
              <w:right w:w="40" w:type="dxa"/>
            </w:tcMar>
            <w:vAlign w:val="center"/>
          </w:tcPr>
          <w:p w14:paraId="673A384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358,516</w:t>
            </w:r>
          </w:p>
        </w:tc>
        <w:tc>
          <w:tcPr>
            <w:tcW w:w="1875" w:type="dxa"/>
            <w:tcBorders>
              <w:top w:val="nil"/>
              <w:left w:val="nil"/>
              <w:bottom w:val="nil"/>
              <w:right w:val="nil"/>
              <w:tl2br w:val="nil"/>
              <w:tr2bl w:val="nil"/>
            </w:tcBorders>
            <w:tcMar>
              <w:left w:w="40" w:type="dxa"/>
              <w:right w:w="40" w:type="dxa"/>
            </w:tcMar>
            <w:vAlign w:val="center"/>
          </w:tcPr>
          <w:p w14:paraId="3F8D1A7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w:t>
            </w:r>
          </w:p>
        </w:tc>
      </w:tr>
      <w:tr w:rsidR="00FD1E19" w14:paraId="3022F83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14:paraId="75B2A03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Public authorities</w:t>
            </w:r>
          </w:p>
        </w:tc>
        <w:tc>
          <w:tcPr>
            <w:tcW w:w="1875" w:type="dxa"/>
            <w:tcBorders>
              <w:top w:val="nil"/>
              <w:left w:val="nil"/>
              <w:bottom w:val="nil"/>
              <w:right w:val="nil"/>
              <w:tl2br w:val="nil"/>
              <w:tr2bl w:val="nil"/>
            </w:tcBorders>
            <w:tcMar>
              <w:left w:w="40" w:type="dxa"/>
              <w:right w:w="40" w:type="dxa"/>
            </w:tcMar>
            <w:vAlign w:val="center"/>
          </w:tcPr>
          <w:p w14:paraId="60B85D4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75" w:type="dxa"/>
            <w:tcBorders>
              <w:top w:val="nil"/>
              <w:left w:val="nil"/>
              <w:bottom w:val="nil"/>
              <w:right w:val="nil"/>
              <w:tl2br w:val="nil"/>
              <w:tr2bl w:val="nil"/>
            </w:tcBorders>
            <w:tcMar>
              <w:left w:w="40" w:type="dxa"/>
              <w:right w:w="40" w:type="dxa"/>
            </w:tcMar>
            <w:vAlign w:val="center"/>
          </w:tcPr>
          <w:p w14:paraId="1BDE5E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75" w:type="dxa"/>
            <w:tcBorders>
              <w:top w:val="nil"/>
              <w:left w:val="nil"/>
              <w:bottom w:val="nil"/>
              <w:right w:val="nil"/>
              <w:tl2br w:val="nil"/>
              <w:tr2bl w:val="nil"/>
            </w:tcBorders>
            <w:tcMar>
              <w:left w:w="40" w:type="dxa"/>
              <w:right w:w="40" w:type="dxa"/>
            </w:tcMar>
            <w:vAlign w:val="center"/>
          </w:tcPr>
          <w:p w14:paraId="3CD6976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875" w:type="dxa"/>
            <w:tcBorders>
              <w:top w:val="nil"/>
              <w:left w:val="nil"/>
              <w:bottom w:val="nil"/>
              <w:right w:val="nil"/>
              <w:tl2br w:val="nil"/>
              <w:tr2bl w:val="nil"/>
            </w:tcBorders>
            <w:tcMar>
              <w:left w:w="40" w:type="dxa"/>
              <w:right w:w="40" w:type="dxa"/>
            </w:tcMar>
            <w:vAlign w:val="center"/>
          </w:tcPr>
          <w:p w14:paraId="0F7C570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0%</w:t>
            </w:r>
          </w:p>
        </w:tc>
      </w:tr>
      <w:tr w:rsidR="00FD1E19" w14:paraId="36E9F00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single" w:sz="4" w:space="0" w:color="000000"/>
              <w:right w:val="nil"/>
              <w:tl2br w:val="nil"/>
              <w:tr2bl w:val="nil"/>
            </w:tcBorders>
            <w:tcMar>
              <w:left w:w="40" w:type="dxa"/>
              <w:right w:w="40" w:type="dxa"/>
            </w:tcMar>
            <w:vAlign w:val="center"/>
          </w:tcPr>
          <w:p w14:paraId="48982B1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States</w:t>
            </w:r>
          </w:p>
        </w:tc>
        <w:tc>
          <w:tcPr>
            <w:tcW w:w="1875" w:type="dxa"/>
            <w:tcBorders>
              <w:top w:val="nil"/>
              <w:left w:val="nil"/>
              <w:bottom w:val="single" w:sz="4" w:space="0" w:color="000000"/>
              <w:right w:val="nil"/>
              <w:tl2br w:val="nil"/>
              <w:tr2bl w:val="nil"/>
            </w:tcBorders>
            <w:tcMar>
              <w:left w:w="40" w:type="dxa"/>
              <w:right w:w="40" w:type="dxa"/>
            </w:tcMar>
            <w:vAlign w:val="center"/>
          </w:tcPr>
          <w:p w14:paraId="10B91F0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75" w:type="dxa"/>
            <w:tcBorders>
              <w:top w:val="nil"/>
              <w:left w:val="nil"/>
              <w:bottom w:val="single" w:sz="4" w:space="0" w:color="000000"/>
              <w:right w:val="nil"/>
              <w:tl2br w:val="nil"/>
              <w:tr2bl w:val="nil"/>
            </w:tcBorders>
            <w:tcMar>
              <w:left w:w="40" w:type="dxa"/>
              <w:right w:w="40" w:type="dxa"/>
            </w:tcMar>
            <w:vAlign w:val="center"/>
          </w:tcPr>
          <w:p w14:paraId="28E7AF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214,554</w:t>
            </w:r>
          </w:p>
        </w:tc>
        <w:tc>
          <w:tcPr>
            <w:tcW w:w="1875" w:type="dxa"/>
            <w:tcBorders>
              <w:top w:val="nil"/>
              <w:left w:val="nil"/>
              <w:bottom w:val="single" w:sz="4" w:space="0" w:color="000000"/>
              <w:right w:val="nil"/>
              <w:tl2br w:val="nil"/>
              <w:tr2bl w:val="nil"/>
            </w:tcBorders>
            <w:tcMar>
              <w:left w:w="40" w:type="dxa"/>
              <w:right w:w="40" w:type="dxa"/>
            </w:tcMar>
            <w:vAlign w:val="center"/>
          </w:tcPr>
          <w:p w14:paraId="5B3AF91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214,554</w:t>
            </w:r>
          </w:p>
        </w:tc>
        <w:tc>
          <w:tcPr>
            <w:tcW w:w="1875" w:type="dxa"/>
            <w:tcBorders>
              <w:top w:val="nil"/>
              <w:left w:val="nil"/>
              <w:bottom w:val="single" w:sz="4" w:space="0" w:color="000000"/>
              <w:right w:val="nil"/>
              <w:tl2br w:val="nil"/>
              <w:tr2bl w:val="nil"/>
            </w:tcBorders>
            <w:tcMar>
              <w:left w:w="40" w:type="dxa"/>
              <w:right w:w="40" w:type="dxa"/>
            </w:tcMar>
            <w:vAlign w:val="center"/>
          </w:tcPr>
          <w:p w14:paraId="00722B0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w:t>
            </w:r>
          </w:p>
        </w:tc>
      </w:tr>
      <w:tr w:rsidR="00FD1E19" w14:paraId="4763821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single" w:sz="4" w:space="0" w:color="000000"/>
              <w:left w:val="nil"/>
              <w:bottom w:val="nil"/>
              <w:right w:val="nil"/>
              <w:tl2br w:val="nil"/>
              <w:tr2bl w:val="nil"/>
            </w:tcBorders>
            <w:shd w:val="clear" w:color="FFFFFF" w:fill="BFBFBF"/>
            <w:tcMar>
              <w:left w:w="40" w:type="dxa"/>
              <w:right w:w="40" w:type="dxa"/>
            </w:tcMar>
            <w:vAlign w:val="center"/>
          </w:tcPr>
          <w:p w14:paraId="47A93A3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disbursed</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14:paraId="422C46B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209,695</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14:paraId="37A1034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1,288,353</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14:paraId="3707110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1,498,048</w:t>
            </w:r>
          </w:p>
        </w:tc>
        <w:tc>
          <w:tcPr>
            <w:tcW w:w="1875" w:type="dxa"/>
            <w:tcBorders>
              <w:top w:val="single" w:sz="4" w:space="0" w:color="000000"/>
              <w:left w:val="nil"/>
              <w:bottom w:val="nil"/>
              <w:right w:val="nil"/>
              <w:tl2br w:val="nil"/>
              <w:tr2bl w:val="nil"/>
            </w:tcBorders>
            <w:shd w:val="clear" w:color="FFFFFF" w:fill="BFBFBF"/>
            <w:tcMar>
              <w:left w:w="40" w:type="dxa"/>
              <w:right w:w="40" w:type="dxa"/>
            </w:tcMar>
            <w:vAlign w:val="center"/>
          </w:tcPr>
          <w:p w14:paraId="25263F9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w:t>
            </w:r>
          </w:p>
        </w:tc>
      </w:tr>
      <w:tr w:rsidR="00FD1E19" w14:paraId="1C54893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tcMar>
              <w:left w:w="40" w:type="dxa"/>
              <w:right w:w="40" w:type="dxa"/>
            </w:tcMar>
            <w:vAlign w:val="center"/>
          </w:tcPr>
          <w:p w14:paraId="4F818EB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Undisbursed</w:t>
            </w:r>
          </w:p>
        </w:tc>
        <w:tc>
          <w:tcPr>
            <w:tcW w:w="1875" w:type="dxa"/>
            <w:tcBorders>
              <w:top w:val="nil"/>
              <w:left w:val="nil"/>
              <w:bottom w:val="nil"/>
              <w:right w:val="nil"/>
              <w:tl2br w:val="nil"/>
              <w:tr2bl w:val="nil"/>
            </w:tcBorders>
            <w:tcMar>
              <w:left w:w="40" w:type="dxa"/>
              <w:right w:w="40" w:type="dxa"/>
            </w:tcMar>
            <w:vAlign w:val="center"/>
          </w:tcPr>
          <w:p w14:paraId="384C890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42,259</w:t>
            </w:r>
          </w:p>
        </w:tc>
        <w:tc>
          <w:tcPr>
            <w:tcW w:w="1875" w:type="dxa"/>
            <w:tcBorders>
              <w:top w:val="nil"/>
              <w:left w:val="nil"/>
              <w:bottom w:val="nil"/>
              <w:right w:val="nil"/>
              <w:tl2br w:val="nil"/>
              <w:tr2bl w:val="nil"/>
            </w:tcBorders>
            <w:tcMar>
              <w:left w:w="40" w:type="dxa"/>
              <w:right w:w="40" w:type="dxa"/>
            </w:tcMar>
            <w:vAlign w:val="center"/>
          </w:tcPr>
          <w:p w14:paraId="6B30974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615,650</w:t>
            </w:r>
          </w:p>
        </w:tc>
        <w:tc>
          <w:tcPr>
            <w:tcW w:w="1875" w:type="dxa"/>
            <w:tcBorders>
              <w:top w:val="nil"/>
              <w:left w:val="nil"/>
              <w:bottom w:val="nil"/>
              <w:right w:val="nil"/>
              <w:tl2br w:val="nil"/>
              <w:tr2bl w:val="nil"/>
            </w:tcBorders>
            <w:tcMar>
              <w:left w:w="40" w:type="dxa"/>
              <w:right w:w="40" w:type="dxa"/>
            </w:tcMar>
            <w:vAlign w:val="center"/>
          </w:tcPr>
          <w:p w14:paraId="42281C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657,909</w:t>
            </w:r>
          </w:p>
        </w:tc>
        <w:tc>
          <w:tcPr>
            <w:tcW w:w="1875" w:type="dxa"/>
            <w:tcBorders>
              <w:top w:val="nil"/>
              <w:left w:val="nil"/>
              <w:bottom w:val="nil"/>
              <w:right w:val="nil"/>
              <w:tl2br w:val="nil"/>
              <w:tr2bl w:val="nil"/>
            </w:tcBorders>
            <w:tcMar>
              <w:left w:w="0" w:type="dxa"/>
              <w:right w:w="0" w:type="dxa"/>
            </w:tcMar>
            <w:vAlign w:val="center"/>
          </w:tcPr>
          <w:p w14:paraId="17E737CE"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629EECB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475" w:type="dxa"/>
            <w:tcBorders>
              <w:top w:val="nil"/>
              <w:left w:val="nil"/>
              <w:bottom w:val="nil"/>
              <w:right w:val="nil"/>
              <w:tl2br w:val="nil"/>
              <w:tr2bl w:val="nil"/>
            </w:tcBorders>
            <w:shd w:val="clear" w:color="FFFFFF" w:fill="BFBFBF"/>
            <w:tcMar>
              <w:left w:w="40" w:type="dxa"/>
              <w:right w:w="40" w:type="dxa"/>
            </w:tcMar>
            <w:vAlign w:val="center"/>
          </w:tcPr>
          <w:p w14:paraId="721FEED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disbursed and undisbursed</w:t>
            </w:r>
          </w:p>
        </w:tc>
        <w:tc>
          <w:tcPr>
            <w:tcW w:w="1875" w:type="dxa"/>
            <w:tcBorders>
              <w:top w:val="nil"/>
              <w:left w:val="nil"/>
              <w:bottom w:val="nil"/>
              <w:right w:val="nil"/>
              <w:tl2br w:val="nil"/>
              <w:tr2bl w:val="nil"/>
            </w:tcBorders>
            <w:shd w:val="clear" w:color="FFFFFF" w:fill="BFBFBF"/>
            <w:tcMar>
              <w:left w:w="40" w:type="dxa"/>
              <w:right w:w="40" w:type="dxa"/>
            </w:tcMar>
            <w:vAlign w:val="center"/>
          </w:tcPr>
          <w:p w14:paraId="4E1AD0B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251,954</w:t>
            </w:r>
          </w:p>
        </w:tc>
        <w:tc>
          <w:tcPr>
            <w:tcW w:w="1875" w:type="dxa"/>
            <w:tcBorders>
              <w:top w:val="nil"/>
              <w:left w:val="nil"/>
              <w:bottom w:val="nil"/>
              <w:right w:val="nil"/>
              <w:tl2br w:val="nil"/>
              <w:tr2bl w:val="nil"/>
            </w:tcBorders>
            <w:shd w:val="clear" w:color="FFFFFF" w:fill="BFBFBF"/>
            <w:tcMar>
              <w:left w:w="40" w:type="dxa"/>
              <w:right w:w="40" w:type="dxa"/>
            </w:tcMar>
            <w:vAlign w:val="center"/>
          </w:tcPr>
          <w:p w14:paraId="75C5432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1,904,003</w:t>
            </w:r>
          </w:p>
        </w:tc>
        <w:tc>
          <w:tcPr>
            <w:tcW w:w="1875" w:type="dxa"/>
            <w:tcBorders>
              <w:top w:val="nil"/>
              <w:left w:val="nil"/>
              <w:bottom w:val="nil"/>
              <w:right w:val="nil"/>
              <w:tl2br w:val="nil"/>
              <w:tr2bl w:val="nil"/>
            </w:tcBorders>
            <w:shd w:val="clear" w:color="FFFFFF" w:fill="BFBFBF"/>
            <w:tcMar>
              <w:left w:w="40" w:type="dxa"/>
              <w:right w:w="40" w:type="dxa"/>
            </w:tcMar>
            <w:vAlign w:val="center"/>
          </w:tcPr>
          <w:p w14:paraId="2BAE577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2,155,957</w:t>
            </w:r>
          </w:p>
        </w:tc>
        <w:tc>
          <w:tcPr>
            <w:tcW w:w="1875" w:type="dxa"/>
            <w:tcBorders>
              <w:top w:val="nil"/>
              <w:left w:val="nil"/>
              <w:bottom w:val="nil"/>
              <w:right w:val="nil"/>
              <w:tl2br w:val="nil"/>
              <w:tr2bl w:val="nil"/>
            </w:tcBorders>
            <w:shd w:val="clear" w:color="FFFFFF" w:fill="BFBFBF"/>
            <w:tcMar>
              <w:left w:w="0" w:type="dxa"/>
              <w:right w:w="0" w:type="dxa"/>
            </w:tcMar>
            <w:vAlign w:val="center"/>
          </w:tcPr>
          <w:p w14:paraId="5A5DFC25"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7D94ED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475" w:type="dxa"/>
            <w:tcBorders>
              <w:top w:val="nil"/>
              <w:left w:val="nil"/>
              <w:bottom w:val="nil"/>
              <w:right w:val="nil"/>
              <w:tl2br w:val="nil"/>
              <w:tr2bl w:val="nil"/>
            </w:tcBorders>
            <w:noWrap/>
            <w:tcMar>
              <w:left w:w="0" w:type="dxa"/>
              <w:right w:w="0" w:type="dxa"/>
            </w:tcMar>
            <w:vAlign w:val="bottom"/>
          </w:tcPr>
          <w:p w14:paraId="05EBD0B9" w14:textId="77777777" w:rsidR="00FD1E19" w:rsidRDefault="00FD1E19" w:rsidP="00BE7E4A">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14:paraId="42B2EB13" w14:textId="77777777" w:rsidR="00FD1E19" w:rsidRDefault="00FD1E19" w:rsidP="00BE7E4A">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14:paraId="64F115A3" w14:textId="77777777" w:rsidR="00FD1E19" w:rsidRDefault="00FD1E19" w:rsidP="00BE7E4A">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14:paraId="0FD7F0F9" w14:textId="77777777" w:rsidR="00FD1E19" w:rsidRDefault="00FD1E19" w:rsidP="00BE7E4A">
            <w:pPr>
              <w:suppressAutoHyphens/>
              <w:rPr>
                <w:rFonts w:ascii="Calibri" w:eastAsia="Calibri" w:hAnsi="Calibri" w:cs="Calibri"/>
                <w:noProof/>
                <w:color w:val="000000"/>
                <w:sz w:val="22"/>
                <w:lang w:eastAsia="ar-SA"/>
              </w:rPr>
            </w:pPr>
          </w:p>
        </w:tc>
        <w:tc>
          <w:tcPr>
            <w:tcW w:w="1875" w:type="dxa"/>
            <w:tcBorders>
              <w:top w:val="nil"/>
              <w:left w:val="nil"/>
              <w:bottom w:val="nil"/>
              <w:right w:val="nil"/>
              <w:tl2br w:val="nil"/>
              <w:tr2bl w:val="nil"/>
            </w:tcBorders>
            <w:noWrap/>
            <w:tcMar>
              <w:left w:w="0" w:type="dxa"/>
              <w:right w:w="0" w:type="dxa"/>
            </w:tcMar>
            <w:vAlign w:val="bottom"/>
          </w:tcPr>
          <w:p w14:paraId="6A44435E" w14:textId="77777777" w:rsidR="00FD1E19" w:rsidRDefault="00FD1E19" w:rsidP="00BE7E4A">
            <w:pPr>
              <w:suppressAutoHyphens/>
              <w:rPr>
                <w:rFonts w:ascii="Calibri" w:eastAsia="Calibri" w:hAnsi="Calibri" w:cs="Calibri"/>
                <w:noProof/>
                <w:color w:val="000000"/>
                <w:sz w:val="22"/>
                <w:lang w:eastAsia="ar-SA"/>
              </w:rPr>
            </w:pPr>
          </w:p>
        </w:tc>
      </w:tr>
    </w:tbl>
    <w:p w14:paraId="46B2FC01" w14:textId="77777777" w:rsidR="00FD1E19" w:rsidRPr="00DB6D1C" w:rsidRDefault="00FD1E19" w:rsidP="00FD1E19">
      <w:pPr>
        <w:pBdr>
          <w:top w:val="nil"/>
          <w:left w:val="nil"/>
          <w:bottom w:val="nil"/>
          <w:right w:val="nil"/>
          <w:between w:val="nil"/>
          <w:bar w:val="nil"/>
        </w:pBdr>
        <w:suppressAutoHyphens/>
        <w:autoSpaceDE w:val="0"/>
        <w:autoSpaceDN w:val="0"/>
        <w:adjustRightInd w:val="0"/>
        <w:spacing w:before="60" w:after="60"/>
        <w:jc w:val="both"/>
        <w:rPr>
          <w:rFonts w:ascii="Arial" w:eastAsia="Calibri" w:hAnsi="Arial" w:cs="Arial"/>
          <w:noProof/>
          <w:color w:val="000000"/>
          <w:sz w:val="16"/>
          <w:szCs w:val="16"/>
          <w:bdr w:val="nil"/>
        </w:rPr>
      </w:pPr>
      <w:bookmarkStart w:id="227" w:name="RG_MARKER_90108"/>
      <w:r>
        <w:rPr>
          <w:rFonts w:ascii="Arial" w:eastAsia="Calibri" w:hAnsi="Arial" w:cs="Arial"/>
          <w:noProof/>
          <w:color w:val="000000"/>
          <w:sz w:val="16"/>
          <w:szCs w:val="16"/>
        </w:rPr>
        <w:t>Portfolio Management and Monitoring</w:t>
      </w:r>
      <w:bookmarkEnd w:id="227"/>
      <w:r w:rsidRPr="00DB6D1C">
        <w:rPr>
          <w:rFonts w:ascii="Arial" w:eastAsia="Calibri" w:hAnsi="Arial" w:cs="Arial"/>
          <w:noProof/>
          <w:color w:val="000000"/>
          <w:sz w:val="16"/>
          <w:szCs w:val="16"/>
        </w:rPr>
        <w:t xml:space="preserve"> Directorate is tasked with the responsibility of performing borrower and guarantor monitoring, as well as project-related financial and contractual monitoring. Thus, the creditworthiness of the Facility’s loans, borrowers and guarantors are continually monitored, at least annually but more frequently on an as-needed basis and as a function of credit events taking place. In particular, </w:t>
      </w:r>
      <w:r>
        <w:rPr>
          <w:rFonts w:ascii="Arial" w:eastAsia="Calibri" w:hAnsi="Arial" w:cs="Arial"/>
          <w:noProof/>
          <w:color w:val="000000"/>
          <w:sz w:val="16"/>
          <w:szCs w:val="16"/>
        </w:rPr>
        <w:t>Portfolio Management and Monitoring</w:t>
      </w:r>
      <w:r w:rsidRPr="00DB6D1C">
        <w:rPr>
          <w:rFonts w:ascii="Arial" w:eastAsia="Calibri" w:hAnsi="Arial" w:cs="Arial"/>
          <w:noProof/>
          <w:color w:val="000000"/>
          <w:sz w:val="16"/>
          <w:szCs w:val="16"/>
        </w:rPr>
        <w:t xml:space="preserve"> Directorate reviews if contractual rights are met and, in case of a rating deterioration and/or contractual default, remedy action is taken. Mitigation measures are pursued, whenever necessary in accordance with the credit risk guidelines. Also, in case of renewals of bank guarantees received for its loans, it is ensured that these are replaced or action is taken in a timely manner.</w:t>
      </w:r>
    </w:p>
    <w:p w14:paraId="5B7A8109" w14:textId="77777777" w:rsidR="00FD1E19" w:rsidRPr="00594E45" w:rsidRDefault="00FD1E19" w:rsidP="00FD1E19">
      <w:pPr>
        <w:pBdr>
          <w:top w:val="nil"/>
          <w:left w:val="nil"/>
          <w:bottom w:val="nil"/>
          <w:right w:val="nil"/>
          <w:between w:val="nil"/>
          <w:bar w:val="nil"/>
        </w:pBdr>
        <w:autoSpaceDE w:val="0"/>
        <w:autoSpaceDN w:val="0"/>
        <w:adjustRightInd w:val="0"/>
        <w:spacing w:before="60" w:after="60"/>
        <w:ind w:left="357" w:hanging="357"/>
        <w:jc w:val="both"/>
        <w:rPr>
          <w:rFonts w:ascii="Arial" w:eastAsia="Calibri" w:hAnsi="Arial" w:cs="Arial"/>
          <w:noProof/>
          <w:color w:val="000000"/>
          <w:sz w:val="16"/>
          <w:szCs w:val="16"/>
          <w:bdr w:val="nil"/>
        </w:rPr>
      </w:pPr>
    </w:p>
    <w:p w14:paraId="05B52BD6" w14:textId="77777777" w:rsidR="00FD1E19" w:rsidRPr="001D6F32" w:rsidRDefault="00FD1E19" w:rsidP="00FD1E19">
      <w:pPr>
        <w:pageBreakBefore/>
        <w:numPr>
          <w:ilvl w:val="3"/>
          <w:numId w:val="52"/>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lang w:eastAsia="ar-SA"/>
        </w:rPr>
      </w:pPr>
      <w:bookmarkStart w:id="228" w:name="RG_MARKER_90109"/>
      <w:r w:rsidRPr="001D6F32">
        <w:rPr>
          <w:rFonts w:ascii="Arial" w:hAnsi="Arial"/>
          <w:b/>
          <w:noProof/>
          <w:sz w:val="16"/>
          <w:szCs w:val="16"/>
          <w:lang w:eastAsia="ar-SA"/>
        </w:rPr>
        <w:t>Credit quality analysis per type of borrower</w:t>
      </w:r>
      <w:bookmarkEnd w:id="228"/>
    </w:p>
    <w:p w14:paraId="125F63FF"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bCs/>
          <w:noProof/>
          <w:sz w:val="16"/>
          <w:szCs w:val="16"/>
          <w:bdr w:val="nil"/>
          <w:lang w:eastAsia="ar-SA"/>
        </w:rPr>
      </w:pPr>
    </w:p>
    <w:p w14:paraId="708BEA67"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tables below show the credit quality analysis of the Facility</w:t>
      </w:r>
      <w:r>
        <w:rPr>
          <w:rFonts w:ascii="Arial" w:hAnsi="Arial"/>
          <w:noProof/>
          <w:sz w:val="16"/>
          <w:szCs w:val="16"/>
          <w:lang w:eastAsia="ar-SA"/>
        </w:rPr>
        <w:t>’</w:t>
      </w:r>
      <w:r w:rsidRPr="00BD1346">
        <w:rPr>
          <w:rFonts w:ascii="Arial" w:hAnsi="Arial"/>
          <w:noProof/>
          <w:sz w:val="16"/>
          <w:szCs w:val="16"/>
          <w:lang w:eastAsia="ar-SA"/>
        </w:rPr>
        <w:t xml:space="preserve">s loan portfolio as at 31 December </w:t>
      </w:r>
      <w:r w:rsidRPr="00627E2A">
        <w:rPr>
          <w:rFonts w:ascii="Arial" w:hAnsi="Arial"/>
          <w:noProof/>
          <w:sz w:val="16"/>
          <w:szCs w:val="16"/>
          <w:lang w:eastAsia="ar-SA"/>
        </w:rPr>
        <w:t>2025</w:t>
      </w:r>
      <w:r>
        <w:rPr>
          <w:rFonts w:ascii="Arial" w:hAnsi="Arial"/>
          <w:noProof/>
          <w:sz w:val="16"/>
          <w:szCs w:val="16"/>
          <w:lang w:eastAsia="ar-SA"/>
        </w:rPr>
        <w:t xml:space="preserve"> </w:t>
      </w:r>
      <w:r w:rsidRPr="00BD1346">
        <w:rPr>
          <w:rFonts w:ascii="Arial" w:hAnsi="Arial"/>
          <w:noProof/>
          <w:sz w:val="16"/>
          <w:szCs w:val="16"/>
          <w:lang w:eastAsia="ar-SA"/>
        </w:rPr>
        <w:t xml:space="preserve">and 31 December </w:t>
      </w:r>
      <w:r w:rsidRPr="00627E2A">
        <w:rPr>
          <w:rFonts w:ascii="Arial" w:hAnsi="Arial"/>
          <w:noProof/>
          <w:sz w:val="16"/>
          <w:szCs w:val="16"/>
          <w:lang w:eastAsia="ar-SA"/>
        </w:rPr>
        <w:t>2024</w:t>
      </w:r>
      <w:r>
        <w:rPr>
          <w:rFonts w:ascii="Arial" w:hAnsi="Arial"/>
          <w:noProof/>
          <w:sz w:val="16"/>
          <w:szCs w:val="16"/>
          <w:lang w:eastAsia="ar-SA"/>
        </w:rPr>
        <w:t xml:space="preserve"> </w:t>
      </w:r>
      <w:r w:rsidRPr="00BD1346">
        <w:rPr>
          <w:rFonts w:ascii="Arial" w:hAnsi="Arial"/>
          <w:noProof/>
          <w:sz w:val="16"/>
          <w:szCs w:val="16"/>
          <w:lang w:eastAsia="ar-SA"/>
        </w:rPr>
        <w:t xml:space="preserve">by the Loan Grading applications, based on the </w:t>
      </w:r>
      <w:r>
        <w:rPr>
          <w:rFonts w:ascii="Arial" w:hAnsi="Arial"/>
          <w:noProof/>
          <w:sz w:val="16"/>
          <w:szCs w:val="16"/>
          <w:lang w:eastAsia="ar-SA"/>
        </w:rPr>
        <w:t>exposure signed (disbursed and undisbursed):</w:t>
      </w:r>
    </w:p>
    <w:p w14:paraId="42AC572C"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1208"/>
        <w:gridCol w:w="1524"/>
        <w:gridCol w:w="1008"/>
        <w:gridCol w:w="994"/>
        <w:gridCol w:w="994"/>
        <w:gridCol w:w="994"/>
        <w:gridCol w:w="994"/>
        <w:gridCol w:w="994"/>
        <w:gridCol w:w="1008"/>
      </w:tblGrid>
      <w:tr w:rsidR="00FD1E19" w14:paraId="3E89AFD6" w14:textId="77777777" w:rsidTr="00BE7E4A">
        <w:trPr>
          <w:trHeight w:hRule="exact" w:val="300"/>
        </w:trPr>
        <w:tc>
          <w:tcPr>
            <w:tcW w:w="1260" w:type="dxa"/>
            <w:tcBorders>
              <w:top w:val="single" w:sz="4" w:space="0" w:color="000000"/>
              <w:left w:val="nil"/>
              <w:bottom w:val="nil"/>
              <w:right w:val="nil"/>
              <w:tl2br w:val="nil"/>
              <w:tr2bl w:val="nil"/>
            </w:tcBorders>
            <w:noWrap/>
            <w:tcMar>
              <w:left w:w="40" w:type="dxa"/>
              <w:right w:w="40" w:type="dxa"/>
            </w:tcMar>
            <w:vAlign w:val="center"/>
          </w:tcPr>
          <w:p w14:paraId="6899003C" w14:textId="77777777" w:rsidR="00FD1E19" w:rsidRDefault="00FD1E19" w:rsidP="00BE7E4A">
            <w:pPr>
              <w:suppressAutoHyphens/>
              <w:rPr>
                <w:rFonts w:ascii="Arial" w:eastAsia="Arial" w:hAnsi="Arial" w:cs="Arial"/>
                <w:b/>
                <w:noProof/>
                <w:color w:val="000000"/>
                <w:sz w:val="16"/>
                <w:lang w:eastAsia="ar-SA"/>
              </w:rPr>
            </w:pPr>
            <w:bookmarkStart w:id="229" w:name="RG_MARKER_90110"/>
            <w:r>
              <w:rPr>
                <w:rFonts w:ascii="Arial" w:eastAsia="Arial" w:hAnsi="Arial" w:cs="Arial"/>
                <w:b/>
                <w:noProof/>
                <w:color w:val="000000"/>
                <w:sz w:val="16"/>
                <w:lang w:eastAsia="ar-SA"/>
              </w:rPr>
              <w:t>At 31.12.2025</w:t>
            </w:r>
            <w:bookmarkEnd w:id="229"/>
          </w:p>
        </w:tc>
        <w:tc>
          <w:tcPr>
            <w:tcW w:w="1590" w:type="dxa"/>
            <w:vMerge w:val="restart"/>
            <w:tcBorders>
              <w:top w:val="single" w:sz="4" w:space="0" w:color="000000"/>
              <w:left w:val="nil"/>
              <w:bottom w:val="nil"/>
              <w:right w:val="nil"/>
              <w:tl2br w:val="nil"/>
              <w:tr2bl w:val="nil"/>
            </w:tcBorders>
            <w:noWrap/>
            <w:tcMar>
              <w:left w:w="0" w:type="dxa"/>
              <w:right w:w="0" w:type="dxa"/>
            </w:tcMar>
            <w:vAlign w:val="center"/>
          </w:tcPr>
          <w:p w14:paraId="50AAE20D" w14:textId="77777777" w:rsidR="00FD1E19" w:rsidRDefault="00FD1E19" w:rsidP="00BE7E4A">
            <w:pPr>
              <w:suppressAutoHyphens/>
              <w:jc w:val="center"/>
              <w:rPr>
                <w:rFonts w:ascii="Arial" w:eastAsia="Arial" w:hAnsi="Arial" w:cs="Arial"/>
                <w:noProof/>
                <w:color w:val="000000"/>
                <w:sz w:val="16"/>
                <w:lang w:eastAsia="ar-SA"/>
              </w:rPr>
            </w:pP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14:paraId="46AEE7E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High Grade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3F03B1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Standard Grade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0BC355F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Min. Accept. Risk</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5FC5E01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High Risk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45319EE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No grading*</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1BA9DCA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14:paraId="5E820F1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of Total</w:t>
            </w:r>
          </w:p>
        </w:tc>
      </w:tr>
      <w:tr w:rsidR="00FD1E19" w14:paraId="6D4FA07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noWrap/>
            <w:tcMar>
              <w:left w:w="40" w:type="dxa"/>
              <w:right w:w="40" w:type="dxa"/>
            </w:tcMar>
            <w:vAlign w:val="center"/>
          </w:tcPr>
          <w:p w14:paraId="432B6D5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90" w:type="dxa"/>
            <w:vMerge/>
            <w:tcBorders>
              <w:top w:val="nil"/>
              <w:left w:val="nil"/>
              <w:bottom w:val="nil"/>
              <w:right w:val="nil"/>
              <w:tl2br w:val="nil"/>
              <w:tr2bl w:val="nil"/>
            </w:tcBorders>
            <w:noWrap/>
            <w:tcMar>
              <w:left w:w="0" w:type="dxa"/>
              <w:right w:w="0" w:type="dxa"/>
            </w:tcMar>
            <w:vAlign w:val="center"/>
          </w:tcPr>
          <w:p w14:paraId="740EC98B" w14:textId="77777777" w:rsidR="00FD1E19" w:rsidRDefault="00FD1E19" w:rsidP="00BE7E4A">
            <w:pPr>
              <w:suppressAutoHyphens/>
              <w:jc w:val="center"/>
              <w:rPr>
                <w:rFonts w:ascii="Arial" w:eastAsia="Arial" w:hAnsi="Arial" w:cs="Arial"/>
                <w:noProof/>
                <w:color w:val="000000"/>
                <w:sz w:val="16"/>
                <w:lang w:eastAsia="ar-SA"/>
              </w:rPr>
            </w:pPr>
          </w:p>
        </w:tc>
        <w:tc>
          <w:tcPr>
            <w:tcW w:w="1050" w:type="dxa"/>
            <w:vMerge/>
            <w:tcBorders>
              <w:top w:val="nil"/>
              <w:left w:val="nil"/>
              <w:bottom w:val="single" w:sz="4" w:space="0" w:color="000000"/>
              <w:right w:val="nil"/>
              <w:tl2br w:val="nil"/>
              <w:tr2bl w:val="nil"/>
            </w:tcBorders>
            <w:tcMar>
              <w:left w:w="0" w:type="dxa"/>
              <w:right w:w="0" w:type="dxa"/>
            </w:tcMar>
            <w:vAlign w:val="center"/>
          </w:tcPr>
          <w:p w14:paraId="7656CE02"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7B2A0DF2"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1765FA6C"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3E44BE4D"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6E456B3C"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nil"/>
              <w:right w:val="nil"/>
              <w:tl2br w:val="nil"/>
              <w:tr2bl w:val="nil"/>
            </w:tcBorders>
            <w:tcMar>
              <w:left w:w="0" w:type="dxa"/>
              <w:right w:w="0" w:type="dxa"/>
            </w:tcMar>
            <w:vAlign w:val="center"/>
          </w:tcPr>
          <w:p w14:paraId="782FBFC6" w14:textId="77777777" w:rsidR="00FD1E19" w:rsidRDefault="00FD1E19" w:rsidP="00BE7E4A">
            <w:pPr>
              <w:suppressAutoHyphens/>
              <w:jc w:val="right"/>
              <w:rPr>
                <w:rFonts w:ascii="Arial" w:eastAsia="Arial" w:hAnsi="Arial" w:cs="Arial"/>
                <w:b/>
                <w:noProof/>
                <w:color w:val="000000"/>
                <w:sz w:val="16"/>
                <w:lang w:eastAsia="ar-SA"/>
              </w:rPr>
            </w:pPr>
          </w:p>
        </w:tc>
        <w:tc>
          <w:tcPr>
            <w:tcW w:w="1050" w:type="dxa"/>
            <w:vMerge/>
            <w:tcBorders>
              <w:top w:val="nil"/>
              <w:left w:val="nil"/>
              <w:bottom w:val="nil"/>
              <w:right w:val="nil"/>
              <w:tl2br w:val="nil"/>
              <w:tr2bl w:val="nil"/>
            </w:tcBorders>
            <w:tcMar>
              <w:left w:w="0" w:type="dxa"/>
              <w:right w:w="0" w:type="dxa"/>
            </w:tcMar>
            <w:vAlign w:val="center"/>
          </w:tcPr>
          <w:p w14:paraId="5ADD0D2F"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791B80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1260" w:type="dxa"/>
            <w:tcBorders>
              <w:top w:val="nil"/>
              <w:left w:val="nil"/>
              <w:bottom w:val="single" w:sz="4" w:space="0" w:color="000000"/>
              <w:right w:val="nil"/>
              <w:tl2br w:val="nil"/>
              <w:tr2bl w:val="nil"/>
            </w:tcBorders>
            <w:noWrap/>
            <w:tcMar>
              <w:left w:w="0" w:type="dxa"/>
              <w:right w:w="0" w:type="dxa"/>
            </w:tcMar>
            <w:vAlign w:val="center"/>
          </w:tcPr>
          <w:p w14:paraId="22CBA749"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center"/>
          </w:tcPr>
          <w:p w14:paraId="79DD5BE1"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3C1AC81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A to B-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14:paraId="6A79FB6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C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14:paraId="64AFA13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D+ </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14:paraId="40C7ED2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D- and below</w:t>
            </w:r>
          </w:p>
        </w:tc>
        <w:tc>
          <w:tcPr>
            <w:tcW w:w="1035" w:type="dxa"/>
            <w:tcBorders>
              <w:top w:val="single" w:sz="4" w:space="0" w:color="000000"/>
              <w:left w:val="nil"/>
              <w:bottom w:val="single" w:sz="4" w:space="0" w:color="000000"/>
              <w:right w:val="nil"/>
              <w:tl2br w:val="nil"/>
              <w:tr2bl w:val="nil"/>
            </w:tcBorders>
            <w:noWrap/>
            <w:tcMar>
              <w:left w:w="0" w:type="dxa"/>
              <w:right w:w="0" w:type="dxa"/>
            </w:tcMar>
            <w:vAlign w:val="center"/>
          </w:tcPr>
          <w:p w14:paraId="50E0EF64"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center"/>
          </w:tcPr>
          <w:p w14:paraId="604CB873"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14:paraId="7A4D0DE8" w14:textId="77777777" w:rsidR="00FD1E19" w:rsidRDefault="00FD1E19" w:rsidP="00BE7E4A">
            <w:pPr>
              <w:suppressAutoHyphens/>
              <w:rPr>
                <w:rFonts w:ascii="Arial" w:eastAsia="Arial" w:hAnsi="Arial" w:cs="Arial"/>
                <w:noProof/>
                <w:color w:val="000000"/>
                <w:sz w:val="16"/>
                <w:lang w:eastAsia="ar-SA"/>
              </w:rPr>
            </w:pPr>
          </w:p>
        </w:tc>
      </w:tr>
      <w:tr w:rsidR="00FD1E19" w14:paraId="547E5F3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single" w:sz="4" w:space="0" w:color="000000"/>
              <w:left w:val="nil"/>
              <w:bottom w:val="nil"/>
              <w:right w:val="nil"/>
              <w:tl2br w:val="nil"/>
              <w:tr2bl w:val="nil"/>
            </w:tcBorders>
            <w:tcMar>
              <w:left w:w="40" w:type="dxa"/>
              <w:right w:w="40" w:type="dxa"/>
            </w:tcMar>
            <w:vAlign w:val="center"/>
          </w:tcPr>
          <w:p w14:paraId="2F170AE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Borrower</w:t>
            </w:r>
          </w:p>
        </w:tc>
        <w:tc>
          <w:tcPr>
            <w:tcW w:w="1590" w:type="dxa"/>
            <w:tcBorders>
              <w:top w:val="single" w:sz="4" w:space="0" w:color="000000"/>
              <w:left w:val="nil"/>
              <w:bottom w:val="nil"/>
              <w:right w:val="nil"/>
              <w:tl2br w:val="nil"/>
              <w:tr2bl w:val="nil"/>
            </w:tcBorders>
            <w:noWrap/>
            <w:tcMar>
              <w:left w:w="40" w:type="dxa"/>
              <w:right w:w="40" w:type="dxa"/>
            </w:tcMar>
            <w:vAlign w:val="center"/>
          </w:tcPr>
          <w:p w14:paraId="2209370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institutions</w:t>
            </w:r>
          </w:p>
        </w:tc>
        <w:tc>
          <w:tcPr>
            <w:tcW w:w="1050" w:type="dxa"/>
            <w:tcBorders>
              <w:top w:val="single" w:sz="4" w:space="0" w:color="000000"/>
              <w:left w:val="nil"/>
              <w:bottom w:val="nil"/>
              <w:right w:val="nil"/>
              <w:tl2br w:val="nil"/>
              <w:tr2bl w:val="nil"/>
            </w:tcBorders>
            <w:tcMar>
              <w:left w:w="40" w:type="dxa"/>
              <w:right w:w="40" w:type="dxa"/>
            </w:tcMar>
            <w:vAlign w:val="center"/>
          </w:tcPr>
          <w:p w14:paraId="5690C0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327,807</w:t>
            </w:r>
          </w:p>
        </w:tc>
        <w:tc>
          <w:tcPr>
            <w:tcW w:w="1035" w:type="dxa"/>
            <w:tcBorders>
              <w:top w:val="single" w:sz="4" w:space="0" w:color="000000"/>
              <w:left w:val="nil"/>
              <w:bottom w:val="nil"/>
              <w:right w:val="nil"/>
              <w:tl2br w:val="nil"/>
              <w:tr2bl w:val="nil"/>
            </w:tcBorders>
            <w:tcMar>
              <w:left w:w="40" w:type="dxa"/>
              <w:right w:w="40" w:type="dxa"/>
            </w:tcMar>
            <w:vAlign w:val="center"/>
          </w:tcPr>
          <w:p w14:paraId="0A3557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10,542</w:t>
            </w:r>
          </w:p>
        </w:tc>
        <w:tc>
          <w:tcPr>
            <w:tcW w:w="1035" w:type="dxa"/>
            <w:tcBorders>
              <w:top w:val="single" w:sz="4" w:space="0" w:color="000000"/>
              <w:left w:val="nil"/>
              <w:bottom w:val="nil"/>
              <w:right w:val="nil"/>
              <w:tl2br w:val="nil"/>
              <w:tr2bl w:val="nil"/>
            </w:tcBorders>
            <w:tcMar>
              <w:left w:w="40" w:type="dxa"/>
              <w:right w:w="40" w:type="dxa"/>
            </w:tcMar>
            <w:vAlign w:val="center"/>
          </w:tcPr>
          <w:p w14:paraId="3B5946D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90,260</w:t>
            </w:r>
          </w:p>
        </w:tc>
        <w:tc>
          <w:tcPr>
            <w:tcW w:w="1035" w:type="dxa"/>
            <w:tcBorders>
              <w:top w:val="single" w:sz="4" w:space="0" w:color="000000"/>
              <w:left w:val="nil"/>
              <w:bottom w:val="nil"/>
              <w:right w:val="nil"/>
              <w:tl2br w:val="nil"/>
              <w:tr2bl w:val="nil"/>
            </w:tcBorders>
            <w:tcMar>
              <w:left w:w="40" w:type="dxa"/>
              <w:right w:w="40" w:type="dxa"/>
            </w:tcMar>
            <w:vAlign w:val="center"/>
          </w:tcPr>
          <w:p w14:paraId="6AFEA9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250,875</w:t>
            </w:r>
          </w:p>
        </w:tc>
        <w:tc>
          <w:tcPr>
            <w:tcW w:w="1035" w:type="dxa"/>
            <w:tcBorders>
              <w:top w:val="single" w:sz="4" w:space="0" w:color="000000"/>
              <w:left w:val="nil"/>
              <w:bottom w:val="nil"/>
              <w:right w:val="nil"/>
              <w:tl2br w:val="nil"/>
              <w:tr2bl w:val="nil"/>
            </w:tcBorders>
            <w:tcMar>
              <w:left w:w="40" w:type="dxa"/>
              <w:right w:w="40" w:type="dxa"/>
            </w:tcMar>
            <w:vAlign w:val="center"/>
          </w:tcPr>
          <w:p w14:paraId="46B96A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single" w:sz="4" w:space="0" w:color="000000"/>
              <w:left w:val="nil"/>
              <w:bottom w:val="nil"/>
              <w:right w:val="nil"/>
              <w:tl2br w:val="nil"/>
              <w:tr2bl w:val="nil"/>
            </w:tcBorders>
            <w:tcMar>
              <w:left w:w="40" w:type="dxa"/>
              <w:right w:w="40" w:type="dxa"/>
            </w:tcMar>
            <w:vAlign w:val="center"/>
          </w:tcPr>
          <w:p w14:paraId="523FD8C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679,484</w:t>
            </w:r>
          </w:p>
        </w:tc>
        <w:tc>
          <w:tcPr>
            <w:tcW w:w="1050" w:type="dxa"/>
            <w:tcBorders>
              <w:top w:val="single" w:sz="4" w:space="0" w:color="000000"/>
              <w:left w:val="nil"/>
              <w:bottom w:val="nil"/>
              <w:right w:val="nil"/>
              <w:tl2br w:val="nil"/>
              <w:tr2bl w:val="nil"/>
            </w:tcBorders>
            <w:tcMar>
              <w:left w:w="40" w:type="dxa"/>
              <w:right w:w="40" w:type="dxa"/>
            </w:tcMar>
            <w:vAlign w:val="center"/>
          </w:tcPr>
          <w:p w14:paraId="766D27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48%</w:t>
            </w:r>
          </w:p>
        </w:tc>
      </w:tr>
      <w:tr w:rsidR="00FD1E19" w14:paraId="1420FBB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14:paraId="0F1721E3"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14:paraId="057BCCB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Corporates</w:t>
            </w:r>
          </w:p>
        </w:tc>
        <w:tc>
          <w:tcPr>
            <w:tcW w:w="1050" w:type="dxa"/>
            <w:tcBorders>
              <w:top w:val="nil"/>
              <w:left w:val="nil"/>
              <w:bottom w:val="nil"/>
              <w:right w:val="nil"/>
              <w:tl2br w:val="nil"/>
              <w:tr2bl w:val="nil"/>
            </w:tcBorders>
            <w:tcMar>
              <w:left w:w="40" w:type="dxa"/>
              <w:right w:w="40" w:type="dxa"/>
            </w:tcMar>
            <w:vAlign w:val="center"/>
          </w:tcPr>
          <w:p w14:paraId="79688A3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32,538</w:t>
            </w:r>
          </w:p>
        </w:tc>
        <w:tc>
          <w:tcPr>
            <w:tcW w:w="1035" w:type="dxa"/>
            <w:tcBorders>
              <w:top w:val="nil"/>
              <w:left w:val="nil"/>
              <w:bottom w:val="nil"/>
              <w:right w:val="nil"/>
              <w:tl2br w:val="nil"/>
              <w:tr2bl w:val="nil"/>
            </w:tcBorders>
            <w:tcMar>
              <w:left w:w="40" w:type="dxa"/>
              <w:right w:w="40" w:type="dxa"/>
            </w:tcMar>
            <w:vAlign w:val="center"/>
          </w:tcPr>
          <w:p w14:paraId="3A8BAA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1,696</w:t>
            </w:r>
          </w:p>
        </w:tc>
        <w:tc>
          <w:tcPr>
            <w:tcW w:w="1035" w:type="dxa"/>
            <w:tcBorders>
              <w:top w:val="nil"/>
              <w:left w:val="nil"/>
              <w:bottom w:val="nil"/>
              <w:right w:val="nil"/>
              <w:tl2br w:val="nil"/>
              <w:tr2bl w:val="nil"/>
            </w:tcBorders>
            <w:tcMar>
              <w:left w:w="40" w:type="dxa"/>
              <w:right w:w="40" w:type="dxa"/>
            </w:tcMar>
            <w:vAlign w:val="center"/>
          </w:tcPr>
          <w:p w14:paraId="1B165C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43F06E2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131,661</w:t>
            </w:r>
          </w:p>
        </w:tc>
        <w:tc>
          <w:tcPr>
            <w:tcW w:w="1035" w:type="dxa"/>
            <w:tcBorders>
              <w:top w:val="nil"/>
              <w:left w:val="nil"/>
              <w:bottom w:val="nil"/>
              <w:right w:val="nil"/>
              <w:tl2br w:val="nil"/>
              <w:tr2bl w:val="nil"/>
            </w:tcBorders>
            <w:tcMar>
              <w:left w:w="40" w:type="dxa"/>
              <w:right w:w="40" w:type="dxa"/>
            </w:tcMar>
            <w:vAlign w:val="center"/>
          </w:tcPr>
          <w:p w14:paraId="79BF213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109,628</w:t>
            </w:r>
          </w:p>
        </w:tc>
        <w:tc>
          <w:tcPr>
            <w:tcW w:w="1035" w:type="dxa"/>
            <w:tcBorders>
              <w:top w:val="nil"/>
              <w:left w:val="nil"/>
              <w:bottom w:val="nil"/>
              <w:right w:val="nil"/>
              <w:tl2br w:val="nil"/>
              <w:tr2bl w:val="nil"/>
            </w:tcBorders>
            <w:tcMar>
              <w:left w:w="40" w:type="dxa"/>
              <w:right w:w="40" w:type="dxa"/>
            </w:tcMar>
            <w:vAlign w:val="center"/>
          </w:tcPr>
          <w:p w14:paraId="346B152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275,523</w:t>
            </w:r>
          </w:p>
        </w:tc>
        <w:tc>
          <w:tcPr>
            <w:tcW w:w="1050" w:type="dxa"/>
            <w:tcBorders>
              <w:top w:val="nil"/>
              <w:left w:val="nil"/>
              <w:bottom w:val="nil"/>
              <w:right w:val="nil"/>
              <w:tl2br w:val="nil"/>
              <w:tr2bl w:val="nil"/>
            </w:tcBorders>
            <w:tcMar>
              <w:left w:w="40" w:type="dxa"/>
              <w:right w:w="40" w:type="dxa"/>
            </w:tcMar>
            <w:vAlign w:val="center"/>
          </w:tcPr>
          <w:p w14:paraId="0B17338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w:t>
            </w:r>
          </w:p>
        </w:tc>
      </w:tr>
      <w:tr w:rsidR="00FD1E19" w14:paraId="07B46F6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14:paraId="5065795D"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14:paraId="5FEDD57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Public authorities</w:t>
            </w:r>
          </w:p>
        </w:tc>
        <w:tc>
          <w:tcPr>
            <w:tcW w:w="1050" w:type="dxa"/>
            <w:tcBorders>
              <w:top w:val="nil"/>
              <w:left w:val="nil"/>
              <w:bottom w:val="nil"/>
              <w:right w:val="nil"/>
              <w:tl2br w:val="nil"/>
              <w:tr2bl w:val="nil"/>
            </w:tcBorders>
            <w:tcMar>
              <w:left w:w="40" w:type="dxa"/>
              <w:right w:w="40" w:type="dxa"/>
            </w:tcMar>
            <w:vAlign w:val="center"/>
          </w:tcPr>
          <w:p w14:paraId="42238A5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687F812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7E8A829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22BFE6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3708A59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61C594F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73F1361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0%</w:t>
            </w:r>
          </w:p>
        </w:tc>
      </w:tr>
      <w:tr w:rsidR="00FD1E19" w14:paraId="005C602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14:paraId="302205CD"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14:paraId="2445655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States</w:t>
            </w:r>
          </w:p>
        </w:tc>
        <w:tc>
          <w:tcPr>
            <w:tcW w:w="1050" w:type="dxa"/>
            <w:tcBorders>
              <w:top w:val="nil"/>
              <w:left w:val="nil"/>
              <w:bottom w:val="nil"/>
              <w:right w:val="nil"/>
              <w:tl2br w:val="nil"/>
              <w:tr2bl w:val="nil"/>
            </w:tcBorders>
            <w:tcMar>
              <w:left w:w="40" w:type="dxa"/>
              <w:right w:w="40" w:type="dxa"/>
            </w:tcMar>
            <w:vAlign w:val="center"/>
          </w:tcPr>
          <w:p w14:paraId="154D623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54BEC1B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948</w:t>
            </w:r>
          </w:p>
        </w:tc>
        <w:tc>
          <w:tcPr>
            <w:tcW w:w="1035" w:type="dxa"/>
            <w:tcBorders>
              <w:top w:val="nil"/>
              <w:left w:val="nil"/>
              <w:bottom w:val="nil"/>
              <w:right w:val="nil"/>
              <w:tl2br w:val="nil"/>
              <w:tr2bl w:val="nil"/>
            </w:tcBorders>
            <w:tcMar>
              <w:left w:w="40" w:type="dxa"/>
              <w:right w:w="40" w:type="dxa"/>
            </w:tcMar>
            <w:vAlign w:val="center"/>
          </w:tcPr>
          <w:p w14:paraId="351B21A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14,223</w:t>
            </w:r>
          </w:p>
        </w:tc>
        <w:tc>
          <w:tcPr>
            <w:tcW w:w="1035" w:type="dxa"/>
            <w:tcBorders>
              <w:top w:val="nil"/>
              <w:left w:val="nil"/>
              <w:bottom w:val="nil"/>
              <w:right w:val="nil"/>
              <w:tl2br w:val="nil"/>
              <w:tr2bl w:val="nil"/>
            </w:tcBorders>
            <w:tcMar>
              <w:left w:w="40" w:type="dxa"/>
              <w:right w:w="40" w:type="dxa"/>
            </w:tcMar>
            <w:vAlign w:val="center"/>
          </w:tcPr>
          <w:p w14:paraId="6CE649F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429,935</w:t>
            </w:r>
          </w:p>
        </w:tc>
        <w:tc>
          <w:tcPr>
            <w:tcW w:w="1035" w:type="dxa"/>
            <w:tcBorders>
              <w:top w:val="nil"/>
              <w:left w:val="nil"/>
              <w:bottom w:val="nil"/>
              <w:right w:val="nil"/>
              <w:tl2br w:val="nil"/>
              <w:tr2bl w:val="nil"/>
            </w:tcBorders>
            <w:tcMar>
              <w:left w:w="40" w:type="dxa"/>
              <w:right w:w="40" w:type="dxa"/>
            </w:tcMar>
            <w:vAlign w:val="center"/>
          </w:tcPr>
          <w:p w14:paraId="59B0B48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6B0AFF4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445,106</w:t>
            </w:r>
          </w:p>
        </w:tc>
        <w:tc>
          <w:tcPr>
            <w:tcW w:w="1050" w:type="dxa"/>
            <w:tcBorders>
              <w:top w:val="nil"/>
              <w:left w:val="nil"/>
              <w:bottom w:val="nil"/>
              <w:right w:val="nil"/>
              <w:tl2br w:val="nil"/>
              <w:tr2bl w:val="nil"/>
            </w:tcBorders>
            <w:tcMar>
              <w:left w:w="40" w:type="dxa"/>
              <w:right w:w="40" w:type="dxa"/>
            </w:tcMar>
            <w:vAlign w:val="center"/>
          </w:tcPr>
          <w:p w14:paraId="1FF11FC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32%</w:t>
            </w:r>
          </w:p>
        </w:tc>
      </w:tr>
      <w:tr w:rsidR="00FD1E19" w14:paraId="6B21646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shd w:val="clear" w:color="FFFFFF" w:fill="BFBFBF"/>
            <w:noWrap/>
            <w:tcMar>
              <w:left w:w="40" w:type="dxa"/>
              <w:right w:w="40" w:type="dxa"/>
            </w:tcMar>
            <w:vAlign w:val="center"/>
          </w:tcPr>
          <w:p w14:paraId="72E233C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90" w:type="dxa"/>
            <w:tcBorders>
              <w:top w:val="nil"/>
              <w:left w:val="nil"/>
              <w:bottom w:val="nil"/>
              <w:right w:val="nil"/>
              <w:tl2br w:val="nil"/>
              <w:tr2bl w:val="nil"/>
            </w:tcBorders>
            <w:shd w:val="clear" w:color="FFFFFF" w:fill="BFBFBF"/>
            <w:noWrap/>
            <w:tcMar>
              <w:left w:w="0" w:type="dxa"/>
              <w:right w:w="0" w:type="dxa"/>
            </w:tcMar>
            <w:vAlign w:val="center"/>
          </w:tcPr>
          <w:p w14:paraId="6AE9312F" w14:textId="77777777" w:rsidR="00FD1E19" w:rsidRDefault="00FD1E19" w:rsidP="00BE7E4A">
            <w:pPr>
              <w:suppressAutoHyphens/>
              <w:rPr>
                <w:rFonts w:ascii="Arial" w:eastAsia="Arial" w:hAnsi="Arial" w:cs="Arial"/>
                <w:b/>
                <w:noProof/>
                <w:color w:val="000000"/>
                <w:sz w:val="14"/>
                <w:lang w:eastAsia="ar-SA"/>
              </w:rPr>
            </w:pPr>
          </w:p>
        </w:tc>
        <w:tc>
          <w:tcPr>
            <w:tcW w:w="1050" w:type="dxa"/>
            <w:tcBorders>
              <w:top w:val="nil"/>
              <w:left w:val="nil"/>
              <w:bottom w:val="nil"/>
              <w:right w:val="nil"/>
              <w:tl2br w:val="nil"/>
              <w:tr2bl w:val="nil"/>
            </w:tcBorders>
            <w:shd w:val="clear" w:color="FFFFFF" w:fill="BFBFBF"/>
            <w:tcMar>
              <w:left w:w="40" w:type="dxa"/>
              <w:right w:w="40" w:type="dxa"/>
            </w:tcMar>
            <w:vAlign w:val="center"/>
          </w:tcPr>
          <w:p w14:paraId="0F10C2D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360,345</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110FD28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13,186</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270C5AC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104,483</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2002BCE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812,471</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2415265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109,628</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5A6C6AD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1,400,113</w:t>
            </w:r>
          </w:p>
        </w:tc>
        <w:tc>
          <w:tcPr>
            <w:tcW w:w="1050" w:type="dxa"/>
            <w:tcBorders>
              <w:top w:val="nil"/>
              <w:left w:val="nil"/>
              <w:bottom w:val="nil"/>
              <w:right w:val="nil"/>
              <w:tl2br w:val="nil"/>
              <w:tr2bl w:val="nil"/>
            </w:tcBorders>
            <w:shd w:val="clear" w:color="FFFFFF" w:fill="BFBFBF"/>
            <w:tcMar>
              <w:left w:w="40" w:type="dxa"/>
              <w:right w:w="40" w:type="dxa"/>
            </w:tcMar>
            <w:vAlign w:val="center"/>
          </w:tcPr>
          <w:p w14:paraId="0C4C6DE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w:t>
            </w:r>
          </w:p>
        </w:tc>
      </w:tr>
      <w:tr w:rsidR="00FD1E19" w14:paraId="78F5881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2"/>
        </w:trPr>
        <w:tc>
          <w:tcPr>
            <w:tcW w:w="3900" w:type="dxa"/>
            <w:gridSpan w:val="3"/>
            <w:tcBorders>
              <w:top w:val="nil"/>
              <w:left w:val="nil"/>
              <w:bottom w:val="nil"/>
              <w:right w:val="nil"/>
              <w:tl2br w:val="nil"/>
              <w:tr2bl w:val="nil"/>
            </w:tcBorders>
            <w:tcMar>
              <w:left w:w="40" w:type="dxa"/>
              <w:right w:w="40" w:type="dxa"/>
            </w:tcMar>
            <w:vAlign w:val="bottom"/>
          </w:tcPr>
          <w:p w14:paraId="7B14A3D1" w14:textId="77777777" w:rsidR="00FD1E19" w:rsidRDefault="00FD1E19" w:rsidP="00BE7E4A">
            <w:pPr>
              <w:suppressAutoHyphens/>
              <w:rPr>
                <w:rFonts w:ascii="Arial" w:eastAsia="Arial" w:hAnsi="Arial" w:cs="Arial"/>
                <w:noProof/>
                <w:color w:val="000000"/>
                <w:sz w:val="14"/>
                <w:lang w:eastAsia="ar-SA"/>
              </w:rPr>
            </w:pPr>
            <w:r>
              <w:rPr>
                <w:rFonts w:ascii="Arial" w:eastAsia="Arial" w:hAnsi="Arial" w:cs="Arial"/>
                <w:noProof/>
                <w:color w:val="000000"/>
                <w:sz w:val="14"/>
                <w:lang w:eastAsia="ar-SA"/>
              </w:rPr>
              <w:t>*Loan operations measured at FVTPL.</w:t>
            </w:r>
          </w:p>
        </w:tc>
        <w:tc>
          <w:tcPr>
            <w:tcW w:w="1035" w:type="dxa"/>
            <w:tcBorders>
              <w:top w:val="nil"/>
              <w:left w:val="nil"/>
              <w:bottom w:val="nil"/>
              <w:right w:val="nil"/>
              <w:tl2br w:val="nil"/>
              <w:tr2bl w:val="nil"/>
            </w:tcBorders>
            <w:noWrap/>
            <w:tcMar>
              <w:left w:w="0" w:type="dxa"/>
              <w:right w:w="0" w:type="dxa"/>
            </w:tcMar>
            <w:vAlign w:val="bottom"/>
          </w:tcPr>
          <w:p w14:paraId="61DD8D53" w14:textId="77777777" w:rsidR="00FD1E19" w:rsidRDefault="00FD1E19" w:rsidP="00BE7E4A">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0B83817F" w14:textId="77777777" w:rsidR="00FD1E19" w:rsidRDefault="00FD1E19" w:rsidP="00BE7E4A">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4F0B9E88" w14:textId="77777777" w:rsidR="00FD1E19" w:rsidRDefault="00FD1E19" w:rsidP="00BE7E4A">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0BCDA67E" w14:textId="77777777" w:rsidR="00FD1E19" w:rsidRDefault="00FD1E19" w:rsidP="00BE7E4A">
            <w:pPr>
              <w:suppressAutoHyphens/>
              <w:rPr>
                <w:rFonts w:ascii="Arial" w:eastAsia="Arial" w:hAnsi="Arial" w:cs="Arial"/>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6B78F681" w14:textId="77777777" w:rsidR="00FD1E19" w:rsidRDefault="00FD1E19" w:rsidP="00BE7E4A">
            <w:pPr>
              <w:suppressAutoHyphens/>
              <w:rPr>
                <w:rFonts w:ascii="Arial" w:eastAsia="Arial" w:hAnsi="Arial" w:cs="Arial"/>
                <w:noProof/>
                <w:color w:val="000000"/>
                <w:sz w:val="14"/>
                <w:lang w:eastAsia="ar-SA"/>
              </w:rPr>
            </w:pPr>
          </w:p>
        </w:tc>
        <w:tc>
          <w:tcPr>
            <w:tcW w:w="1050" w:type="dxa"/>
            <w:tcBorders>
              <w:top w:val="nil"/>
              <w:left w:val="nil"/>
              <w:bottom w:val="nil"/>
              <w:right w:val="nil"/>
              <w:tl2br w:val="nil"/>
              <w:tr2bl w:val="nil"/>
            </w:tcBorders>
            <w:noWrap/>
            <w:tcMar>
              <w:left w:w="0" w:type="dxa"/>
              <w:right w:w="0" w:type="dxa"/>
            </w:tcMar>
            <w:vAlign w:val="bottom"/>
          </w:tcPr>
          <w:p w14:paraId="1A959EB0" w14:textId="77777777" w:rsidR="00FD1E19" w:rsidRDefault="00FD1E19" w:rsidP="00BE7E4A">
            <w:pPr>
              <w:suppressAutoHyphens/>
              <w:rPr>
                <w:rFonts w:ascii="Arial" w:eastAsia="Arial" w:hAnsi="Arial" w:cs="Arial"/>
                <w:noProof/>
                <w:color w:val="000000"/>
                <w:sz w:val="14"/>
                <w:lang w:eastAsia="ar-SA"/>
              </w:rPr>
            </w:pPr>
          </w:p>
        </w:tc>
      </w:tr>
      <w:tr w:rsidR="00FD1E19" w14:paraId="579B530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2"/>
        </w:trPr>
        <w:tc>
          <w:tcPr>
            <w:tcW w:w="1260" w:type="dxa"/>
            <w:tcBorders>
              <w:top w:val="nil"/>
              <w:left w:val="nil"/>
              <w:bottom w:val="single" w:sz="4" w:space="0" w:color="000000"/>
              <w:right w:val="nil"/>
              <w:tl2br w:val="nil"/>
              <w:tr2bl w:val="nil"/>
            </w:tcBorders>
            <w:tcMar>
              <w:left w:w="0" w:type="dxa"/>
              <w:right w:w="0" w:type="dxa"/>
            </w:tcMar>
            <w:vAlign w:val="bottom"/>
          </w:tcPr>
          <w:p w14:paraId="7E730FD4"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tcMar>
              <w:left w:w="0" w:type="dxa"/>
              <w:right w:w="0" w:type="dxa"/>
            </w:tcMar>
            <w:vAlign w:val="bottom"/>
          </w:tcPr>
          <w:p w14:paraId="1F3335D3" w14:textId="77777777" w:rsidR="00FD1E19" w:rsidRDefault="00FD1E19" w:rsidP="00BE7E4A">
            <w:pPr>
              <w:suppressAutoHyphens/>
              <w:rPr>
                <w:rFonts w:ascii="Calibri" w:eastAsia="Calibri" w:hAnsi="Calibri" w:cs="Calibri"/>
                <w:noProof/>
                <w:color w:val="000000"/>
                <w:sz w:val="22"/>
                <w:lang w:eastAsia="ar-SA"/>
              </w:rPr>
            </w:pPr>
          </w:p>
        </w:tc>
        <w:tc>
          <w:tcPr>
            <w:tcW w:w="1050" w:type="dxa"/>
            <w:tcBorders>
              <w:top w:val="nil"/>
              <w:left w:val="nil"/>
              <w:bottom w:val="single" w:sz="4" w:space="0" w:color="000000"/>
              <w:right w:val="nil"/>
              <w:tl2br w:val="nil"/>
              <w:tr2bl w:val="nil"/>
            </w:tcBorders>
            <w:tcMar>
              <w:left w:w="0" w:type="dxa"/>
              <w:right w:w="0" w:type="dxa"/>
            </w:tcMar>
            <w:vAlign w:val="bottom"/>
          </w:tcPr>
          <w:p w14:paraId="0AA4923C" w14:textId="77777777" w:rsidR="00FD1E19" w:rsidRDefault="00FD1E19" w:rsidP="00BE7E4A">
            <w:pPr>
              <w:suppressAutoHyphens/>
              <w:rPr>
                <w:rFonts w:ascii="Calibri" w:eastAsia="Calibri" w:hAnsi="Calibri" w:cs="Calibri"/>
                <w:noProof/>
                <w:color w:val="000000"/>
                <w:sz w:val="22"/>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14:paraId="668AAC36" w14:textId="77777777" w:rsidR="00FD1E19" w:rsidRDefault="00FD1E19" w:rsidP="00BE7E4A">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14:paraId="70FD7818" w14:textId="77777777" w:rsidR="00FD1E19" w:rsidRDefault="00FD1E19" w:rsidP="00BE7E4A">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14:paraId="46F520D0" w14:textId="77777777" w:rsidR="00FD1E19" w:rsidRDefault="00FD1E19" w:rsidP="00BE7E4A">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14:paraId="44F89B36" w14:textId="77777777" w:rsidR="00FD1E19" w:rsidRDefault="00FD1E19" w:rsidP="00BE7E4A">
            <w:pPr>
              <w:suppressAutoHyphens/>
              <w:rPr>
                <w:rFonts w:ascii="Arial" w:eastAsia="Arial" w:hAnsi="Arial" w:cs="Arial"/>
                <w:noProof/>
                <w:color w:val="000000"/>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bottom"/>
          </w:tcPr>
          <w:p w14:paraId="106743AE" w14:textId="77777777" w:rsidR="00FD1E19" w:rsidRDefault="00FD1E19" w:rsidP="00BE7E4A">
            <w:pPr>
              <w:suppressAutoHyphens/>
              <w:rPr>
                <w:rFonts w:ascii="Arial" w:eastAsia="Arial" w:hAnsi="Arial" w:cs="Arial"/>
                <w:noProof/>
                <w:color w:val="000000"/>
                <w:lang w:eastAsia="ar-SA"/>
              </w:rPr>
            </w:pPr>
          </w:p>
        </w:tc>
        <w:tc>
          <w:tcPr>
            <w:tcW w:w="1050" w:type="dxa"/>
            <w:tcBorders>
              <w:top w:val="nil"/>
              <w:left w:val="nil"/>
              <w:bottom w:val="single" w:sz="4" w:space="0" w:color="000000"/>
              <w:right w:val="nil"/>
              <w:tl2br w:val="nil"/>
              <w:tr2bl w:val="nil"/>
            </w:tcBorders>
            <w:noWrap/>
            <w:tcMar>
              <w:left w:w="0" w:type="dxa"/>
              <w:right w:w="0" w:type="dxa"/>
            </w:tcMar>
            <w:vAlign w:val="bottom"/>
          </w:tcPr>
          <w:p w14:paraId="649C349D" w14:textId="77777777" w:rsidR="00FD1E19" w:rsidRDefault="00FD1E19" w:rsidP="00BE7E4A">
            <w:pPr>
              <w:suppressAutoHyphens/>
              <w:rPr>
                <w:rFonts w:ascii="Arial" w:eastAsia="Arial" w:hAnsi="Arial" w:cs="Arial"/>
                <w:noProof/>
                <w:color w:val="000000"/>
                <w:lang w:eastAsia="ar-SA"/>
              </w:rPr>
            </w:pPr>
          </w:p>
        </w:tc>
      </w:tr>
      <w:tr w:rsidR="00FD1E19" w14:paraId="2662B4F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9"/>
        </w:trPr>
        <w:tc>
          <w:tcPr>
            <w:tcW w:w="1260" w:type="dxa"/>
            <w:tcBorders>
              <w:top w:val="single" w:sz="4" w:space="0" w:color="000000"/>
              <w:left w:val="nil"/>
              <w:bottom w:val="nil"/>
              <w:right w:val="nil"/>
              <w:tl2br w:val="nil"/>
              <w:tr2bl w:val="nil"/>
            </w:tcBorders>
            <w:noWrap/>
            <w:tcMar>
              <w:left w:w="40" w:type="dxa"/>
              <w:right w:w="40" w:type="dxa"/>
            </w:tcMar>
            <w:vAlign w:val="center"/>
          </w:tcPr>
          <w:p w14:paraId="7CCD5E9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At 31.12.2024</w:t>
            </w:r>
          </w:p>
        </w:tc>
        <w:tc>
          <w:tcPr>
            <w:tcW w:w="1590" w:type="dxa"/>
            <w:vMerge w:val="restart"/>
            <w:tcBorders>
              <w:top w:val="single" w:sz="4" w:space="0" w:color="000000"/>
              <w:left w:val="nil"/>
              <w:bottom w:val="nil"/>
              <w:right w:val="nil"/>
              <w:tl2br w:val="nil"/>
              <w:tr2bl w:val="nil"/>
            </w:tcBorders>
            <w:noWrap/>
            <w:tcMar>
              <w:left w:w="0" w:type="dxa"/>
              <w:right w:w="0" w:type="dxa"/>
            </w:tcMar>
            <w:vAlign w:val="center"/>
          </w:tcPr>
          <w:p w14:paraId="6DB32E15" w14:textId="77777777" w:rsidR="00FD1E19" w:rsidRDefault="00FD1E19" w:rsidP="00BE7E4A">
            <w:pPr>
              <w:suppressAutoHyphens/>
              <w:jc w:val="center"/>
              <w:rPr>
                <w:rFonts w:ascii="Arial" w:eastAsia="Arial" w:hAnsi="Arial" w:cs="Arial"/>
                <w:noProof/>
                <w:color w:val="000000"/>
                <w:sz w:val="16"/>
                <w:lang w:eastAsia="ar-SA"/>
              </w:rPr>
            </w:pP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14:paraId="0DFBCA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High Grade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0F926A2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Standard Grade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7EFE515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Min. Accept. Risk</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7D83A99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High Risk </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3F0E9D4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No grading*</w:t>
            </w:r>
          </w:p>
        </w:tc>
        <w:tc>
          <w:tcPr>
            <w:tcW w:w="1035" w:type="dxa"/>
            <w:vMerge w:val="restart"/>
            <w:tcBorders>
              <w:top w:val="single" w:sz="4" w:space="0" w:color="000000"/>
              <w:left w:val="nil"/>
              <w:bottom w:val="nil"/>
              <w:right w:val="nil"/>
              <w:tl2br w:val="nil"/>
              <w:tr2bl w:val="nil"/>
            </w:tcBorders>
            <w:tcMar>
              <w:left w:w="40" w:type="dxa"/>
              <w:right w:w="40" w:type="dxa"/>
            </w:tcMar>
            <w:vAlign w:val="center"/>
          </w:tcPr>
          <w:p w14:paraId="2EB3FA3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1050" w:type="dxa"/>
            <w:vMerge w:val="restart"/>
            <w:tcBorders>
              <w:top w:val="single" w:sz="4" w:space="0" w:color="000000"/>
              <w:left w:val="nil"/>
              <w:bottom w:val="nil"/>
              <w:right w:val="nil"/>
              <w:tl2br w:val="nil"/>
              <w:tr2bl w:val="nil"/>
            </w:tcBorders>
            <w:tcMar>
              <w:left w:w="40" w:type="dxa"/>
              <w:right w:w="40" w:type="dxa"/>
            </w:tcMar>
            <w:vAlign w:val="center"/>
          </w:tcPr>
          <w:p w14:paraId="4992F8E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of Total</w:t>
            </w:r>
          </w:p>
        </w:tc>
      </w:tr>
      <w:tr w:rsidR="00FD1E19" w14:paraId="11B0F33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noWrap/>
            <w:tcMar>
              <w:left w:w="40" w:type="dxa"/>
              <w:right w:w="40" w:type="dxa"/>
            </w:tcMar>
            <w:vAlign w:val="center"/>
          </w:tcPr>
          <w:p w14:paraId="33C550C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90" w:type="dxa"/>
            <w:vMerge/>
            <w:tcBorders>
              <w:top w:val="nil"/>
              <w:left w:val="nil"/>
              <w:bottom w:val="nil"/>
              <w:right w:val="nil"/>
              <w:tl2br w:val="nil"/>
              <w:tr2bl w:val="nil"/>
            </w:tcBorders>
            <w:noWrap/>
            <w:tcMar>
              <w:left w:w="0" w:type="dxa"/>
              <w:right w:w="0" w:type="dxa"/>
            </w:tcMar>
            <w:vAlign w:val="center"/>
          </w:tcPr>
          <w:p w14:paraId="33B8D575" w14:textId="77777777" w:rsidR="00FD1E19" w:rsidRDefault="00FD1E19" w:rsidP="00BE7E4A">
            <w:pPr>
              <w:suppressAutoHyphens/>
              <w:jc w:val="center"/>
              <w:rPr>
                <w:rFonts w:ascii="Arial" w:eastAsia="Arial" w:hAnsi="Arial" w:cs="Arial"/>
                <w:noProof/>
                <w:color w:val="000000"/>
                <w:sz w:val="16"/>
                <w:lang w:eastAsia="ar-SA"/>
              </w:rPr>
            </w:pPr>
          </w:p>
        </w:tc>
        <w:tc>
          <w:tcPr>
            <w:tcW w:w="1050" w:type="dxa"/>
            <w:vMerge/>
            <w:tcBorders>
              <w:top w:val="nil"/>
              <w:left w:val="nil"/>
              <w:bottom w:val="single" w:sz="4" w:space="0" w:color="000000"/>
              <w:right w:val="nil"/>
              <w:tl2br w:val="nil"/>
              <w:tr2bl w:val="nil"/>
            </w:tcBorders>
            <w:tcMar>
              <w:left w:w="0" w:type="dxa"/>
              <w:right w:w="0" w:type="dxa"/>
            </w:tcMar>
            <w:vAlign w:val="center"/>
          </w:tcPr>
          <w:p w14:paraId="54E1CA4F"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751B2C9C"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2E8B5CCD"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3373EF54"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single" w:sz="4" w:space="0" w:color="000000"/>
              <w:right w:val="nil"/>
              <w:tl2br w:val="nil"/>
              <w:tr2bl w:val="nil"/>
            </w:tcBorders>
            <w:tcMar>
              <w:left w:w="0" w:type="dxa"/>
              <w:right w:w="0" w:type="dxa"/>
            </w:tcMar>
            <w:vAlign w:val="center"/>
          </w:tcPr>
          <w:p w14:paraId="01B12E9B"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vMerge/>
            <w:tcBorders>
              <w:top w:val="nil"/>
              <w:left w:val="nil"/>
              <w:bottom w:val="nil"/>
              <w:right w:val="nil"/>
              <w:tl2br w:val="nil"/>
              <w:tr2bl w:val="nil"/>
            </w:tcBorders>
            <w:tcMar>
              <w:left w:w="0" w:type="dxa"/>
              <w:right w:w="0" w:type="dxa"/>
            </w:tcMar>
            <w:vAlign w:val="center"/>
          </w:tcPr>
          <w:p w14:paraId="05558F8F" w14:textId="77777777" w:rsidR="00FD1E19" w:rsidRDefault="00FD1E19" w:rsidP="00BE7E4A">
            <w:pPr>
              <w:suppressAutoHyphens/>
              <w:jc w:val="right"/>
              <w:rPr>
                <w:rFonts w:ascii="Arial" w:eastAsia="Arial" w:hAnsi="Arial" w:cs="Arial"/>
                <w:b/>
                <w:noProof/>
                <w:color w:val="000000"/>
                <w:sz w:val="16"/>
                <w:lang w:eastAsia="ar-SA"/>
              </w:rPr>
            </w:pPr>
          </w:p>
        </w:tc>
        <w:tc>
          <w:tcPr>
            <w:tcW w:w="1050" w:type="dxa"/>
            <w:vMerge/>
            <w:tcBorders>
              <w:top w:val="nil"/>
              <w:left w:val="nil"/>
              <w:bottom w:val="nil"/>
              <w:right w:val="nil"/>
              <w:tl2br w:val="nil"/>
              <w:tr2bl w:val="nil"/>
            </w:tcBorders>
            <w:tcMar>
              <w:left w:w="0" w:type="dxa"/>
              <w:right w:w="0" w:type="dxa"/>
            </w:tcMar>
            <w:vAlign w:val="center"/>
          </w:tcPr>
          <w:p w14:paraId="3E710A9D"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63FA00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1260" w:type="dxa"/>
            <w:tcBorders>
              <w:top w:val="nil"/>
              <w:left w:val="nil"/>
              <w:bottom w:val="single" w:sz="4" w:space="0" w:color="000000"/>
              <w:right w:val="nil"/>
              <w:tl2br w:val="nil"/>
              <w:tr2bl w:val="nil"/>
            </w:tcBorders>
            <w:noWrap/>
            <w:tcMar>
              <w:left w:w="0" w:type="dxa"/>
              <w:right w:w="0" w:type="dxa"/>
            </w:tcMar>
            <w:vAlign w:val="center"/>
          </w:tcPr>
          <w:p w14:paraId="4C6EFC10"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center"/>
          </w:tcPr>
          <w:p w14:paraId="58C8DA69"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40" w:type="dxa"/>
              <w:right w:w="40" w:type="dxa"/>
            </w:tcMar>
            <w:vAlign w:val="center"/>
          </w:tcPr>
          <w:p w14:paraId="2C6FDDD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A to B-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14:paraId="5A9F3A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C </w:t>
            </w:r>
          </w:p>
        </w:tc>
        <w:tc>
          <w:tcPr>
            <w:tcW w:w="1035" w:type="dxa"/>
            <w:tcBorders>
              <w:top w:val="single" w:sz="4" w:space="0" w:color="000000"/>
              <w:left w:val="nil"/>
              <w:bottom w:val="single" w:sz="4" w:space="0" w:color="000000"/>
              <w:right w:val="nil"/>
              <w:tl2br w:val="nil"/>
              <w:tr2bl w:val="nil"/>
            </w:tcBorders>
            <w:noWrap/>
            <w:tcMar>
              <w:left w:w="40" w:type="dxa"/>
              <w:right w:w="40" w:type="dxa"/>
            </w:tcMar>
            <w:vAlign w:val="center"/>
          </w:tcPr>
          <w:p w14:paraId="299265C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D+ </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14:paraId="70587EB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D- and below</w:t>
            </w:r>
          </w:p>
        </w:tc>
        <w:tc>
          <w:tcPr>
            <w:tcW w:w="1035" w:type="dxa"/>
            <w:tcBorders>
              <w:top w:val="single" w:sz="4" w:space="0" w:color="000000"/>
              <w:left w:val="nil"/>
              <w:bottom w:val="single" w:sz="4" w:space="0" w:color="000000"/>
              <w:right w:val="nil"/>
              <w:tl2br w:val="nil"/>
              <w:tr2bl w:val="nil"/>
            </w:tcBorders>
            <w:noWrap/>
            <w:tcMar>
              <w:left w:w="0" w:type="dxa"/>
              <w:right w:w="0" w:type="dxa"/>
            </w:tcMar>
            <w:vAlign w:val="center"/>
          </w:tcPr>
          <w:p w14:paraId="0E029F2F" w14:textId="77777777" w:rsidR="00FD1E19" w:rsidRDefault="00FD1E19" w:rsidP="00BE7E4A">
            <w:pPr>
              <w:suppressAutoHyphens/>
              <w:jc w:val="right"/>
              <w:rPr>
                <w:rFonts w:ascii="Arial" w:eastAsia="Arial" w:hAnsi="Arial" w:cs="Arial"/>
                <w:b/>
                <w:noProof/>
                <w:color w:val="000000"/>
                <w:sz w:val="16"/>
                <w:lang w:eastAsia="ar-SA"/>
              </w:rPr>
            </w:pPr>
          </w:p>
        </w:tc>
        <w:tc>
          <w:tcPr>
            <w:tcW w:w="1035" w:type="dxa"/>
            <w:tcBorders>
              <w:top w:val="nil"/>
              <w:left w:val="nil"/>
              <w:bottom w:val="single" w:sz="4" w:space="0" w:color="000000"/>
              <w:right w:val="nil"/>
              <w:tl2br w:val="nil"/>
              <w:tr2bl w:val="nil"/>
            </w:tcBorders>
            <w:noWrap/>
            <w:tcMar>
              <w:left w:w="0" w:type="dxa"/>
              <w:right w:w="0" w:type="dxa"/>
            </w:tcMar>
            <w:vAlign w:val="center"/>
          </w:tcPr>
          <w:p w14:paraId="15A17A0F" w14:textId="77777777" w:rsidR="00FD1E19" w:rsidRDefault="00FD1E19" w:rsidP="00BE7E4A">
            <w:pPr>
              <w:suppressAutoHyphens/>
              <w:rPr>
                <w:rFonts w:ascii="Arial" w:eastAsia="Arial" w:hAnsi="Arial" w:cs="Arial"/>
                <w:noProof/>
                <w:color w:val="000000"/>
                <w:sz w:val="16"/>
                <w:lang w:eastAsia="ar-SA"/>
              </w:rPr>
            </w:pPr>
          </w:p>
        </w:tc>
        <w:tc>
          <w:tcPr>
            <w:tcW w:w="1050" w:type="dxa"/>
            <w:tcBorders>
              <w:top w:val="nil"/>
              <w:left w:val="nil"/>
              <w:bottom w:val="single" w:sz="4" w:space="0" w:color="000000"/>
              <w:right w:val="nil"/>
              <w:tl2br w:val="nil"/>
              <w:tr2bl w:val="nil"/>
            </w:tcBorders>
            <w:tcMar>
              <w:left w:w="0" w:type="dxa"/>
              <w:right w:w="0" w:type="dxa"/>
            </w:tcMar>
            <w:vAlign w:val="center"/>
          </w:tcPr>
          <w:p w14:paraId="6ED45CD3" w14:textId="77777777" w:rsidR="00FD1E19" w:rsidRDefault="00FD1E19" w:rsidP="00BE7E4A">
            <w:pPr>
              <w:suppressAutoHyphens/>
              <w:rPr>
                <w:rFonts w:ascii="Arial" w:eastAsia="Arial" w:hAnsi="Arial" w:cs="Arial"/>
                <w:noProof/>
                <w:color w:val="000000"/>
                <w:sz w:val="16"/>
                <w:lang w:eastAsia="ar-SA"/>
              </w:rPr>
            </w:pPr>
          </w:p>
        </w:tc>
      </w:tr>
      <w:tr w:rsidR="00FD1E19" w14:paraId="3056F83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single" w:sz="4" w:space="0" w:color="000000"/>
              <w:left w:val="nil"/>
              <w:bottom w:val="nil"/>
              <w:right w:val="nil"/>
              <w:tl2br w:val="nil"/>
              <w:tr2bl w:val="nil"/>
            </w:tcBorders>
            <w:tcMar>
              <w:left w:w="40" w:type="dxa"/>
              <w:right w:w="40" w:type="dxa"/>
            </w:tcMar>
            <w:vAlign w:val="center"/>
          </w:tcPr>
          <w:p w14:paraId="08F2972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Borrower</w:t>
            </w:r>
          </w:p>
        </w:tc>
        <w:tc>
          <w:tcPr>
            <w:tcW w:w="1590" w:type="dxa"/>
            <w:tcBorders>
              <w:top w:val="single" w:sz="4" w:space="0" w:color="000000"/>
              <w:left w:val="nil"/>
              <w:bottom w:val="nil"/>
              <w:right w:val="nil"/>
              <w:tl2br w:val="nil"/>
              <w:tr2bl w:val="nil"/>
            </w:tcBorders>
            <w:noWrap/>
            <w:tcMar>
              <w:left w:w="40" w:type="dxa"/>
              <w:right w:w="40" w:type="dxa"/>
            </w:tcMar>
            <w:vAlign w:val="center"/>
          </w:tcPr>
          <w:p w14:paraId="5D9D8CC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institutions</w:t>
            </w:r>
          </w:p>
        </w:tc>
        <w:tc>
          <w:tcPr>
            <w:tcW w:w="1050" w:type="dxa"/>
            <w:tcBorders>
              <w:top w:val="single" w:sz="4" w:space="0" w:color="000000"/>
              <w:left w:val="nil"/>
              <w:bottom w:val="nil"/>
              <w:right w:val="nil"/>
              <w:tl2br w:val="nil"/>
              <w:tr2bl w:val="nil"/>
            </w:tcBorders>
            <w:tcMar>
              <w:left w:w="40" w:type="dxa"/>
              <w:right w:w="40" w:type="dxa"/>
            </w:tcMar>
            <w:vAlign w:val="center"/>
          </w:tcPr>
          <w:p w14:paraId="002EB7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234,681</w:t>
            </w:r>
          </w:p>
        </w:tc>
        <w:tc>
          <w:tcPr>
            <w:tcW w:w="1035" w:type="dxa"/>
            <w:tcBorders>
              <w:top w:val="single" w:sz="4" w:space="0" w:color="000000"/>
              <w:left w:val="nil"/>
              <w:bottom w:val="nil"/>
              <w:right w:val="nil"/>
              <w:tl2br w:val="nil"/>
              <w:tr2bl w:val="nil"/>
            </w:tcBorders>
            <w:tcMar>
              <w:left w:w="40" w:type="dxa"/>
              <w:right w:w="40" w:type="dxa"/>
            </w:tcMar>
            <w:vAlign w:val="center"/>
          </w:tcPr>
          <w:p w14:paraId="1B4D7FC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299,526</w:t>
            </w:r>
          </w:p>
        </w:tc>
        <w:tc>
          <w:tcPr>
            <w:tcW w:w="1035" w:type="dxa"/>
            <w:tcBorders>
              <w:top w:val="single" w:sz="4" w:space="0" w:color="000000"/>
              <w:left w:val="nil"/>
              <w:bottom w:val="nil"/>
              <w:right w:val="nil"/>
              <w:tl2br w:val="nil"/>
              <w:tr2bl w:val="nil"/>
            </w:tcBorders>
            <w:tcMar>
              <w:left w:w="40" w:type="dxa"/>
              <w:right w:w="40" w:type="dxa"/>
            </w:tcMar>
            <w:vAlign w:val="center"/>
          </w:tcPr>
          <w:p w14:paraId="072B9C0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218,172</w:t>
            </w:r>
          </w:p>
        </w:tc>
        <w:tc>
          <w:tcPr>
            <w:tcW w:w="1035" w:type="dxa"/>
            <w:tcBorders>
              <w:top w:val="single" w:sz="4" w:space="0" w:color="000000"/>
              <w:left w:val="nil"/>
              <w:bottom w:val="nil"/>
              <w:right w:val="nil"/>
              <w:tl2br w:val="nil"/>
              <w:tr2bl w:val="nil"/>
            </w:tcBorders>
            <w:tcMar>
              <w:left w:w="40" w:type="dxa"/>
              <w:right w:w="40" w:type="dxa"/>
            </w:tcMar>
            <w:vAlign w:val="center"/>
          </w:tcPr>
          <w:p w14:paraId="2F0DC39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387,621</w:t>
            </w:r>
          </w:p>
        </w:tc>
        <w:tc>
          <w:tcPr>
            <w:tcW w:w="1035" w:type="dxa"/>
            <w:tcBorders>
              <w:top w:val="single" w:sz="4" w:space="0" w:color="000000"/>
              <w:left w:val="nil"/>
              <w:bottom w:val="nil"/>
              <w:right w:val="nil"/>
              <w:tl2br w:val="nil"/>
              <w:tr2bl w:val="nil"/>
            </w:tcBorders>
            <w:tcMar>
              <w:left w:w="40" w:type="dxa"/>
              <w:right w:w="40" w:type="dxa"/>
            </w:tcMar>
            <w:vAlign w:val="center"/>
          </w:tcPr>
          <w:p w14:paraId="3E16164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single" w:sz="4" w:space="0" w:color="000000"/>
              <w:left w:val="nil"/>
              <w:bottom w:val="nil"/>
              <w:right w:val="nil"/>
              <w:tl2br w:val="nil"/>
              <w:tr2bl w:val="nil"/>
            </w:tcBorders>
            <w:tcMar>
              <w:left w:w="40" w:type="dxa"/>
              <w:right w:w="40" w:type="dxa"/>
            </w:tcMar>
            <w:vAlign w:val="center"/>
          </w:tcPr>
          <w:p w14:paraId="706297F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1,140,000</w:t>
            </w:r>
          </w:p>
        </w:tc>
        <w:tc>
          <w:tcPr>
            <w:tcW w:w="1050" w:type="dxa"/>
            <w:tcBorders>
              <w:top w:val="single" w:sz="4" w:space="0" w:color="000000"/>
              <w:left w:val="nil"/>
              <w:bottom w:val="nil"/>
              <w:right w:val="nil"/>
              <w:tl2br w:val="nil"/>
              <w:tr2bl w:val="nil"/>
            </w:tcBorders>
            <w:tcMar>
              <w:left w:w="40" w:type="dxa"/>
              <w:right w:w="40" w:type="dxa"/>
            </w:tcMar>
            <w:vAlign w:val="center"/>
          </w:tcPr>
          <w:p w14:paraId="116D7CB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53%</w:t>
            </w:r>
          </w:p>
        </w:tc>
      </w:tr>
      <w:tr w:rsidR="00FD1E19" w14:paraId="6D58EB0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14:paraId="137D0723"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14:paraId="3E87832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Corporates</w:t>
            </w:r>
          </w:p>
        </w:tc>
        <w:tc>
          <w:tcPr>
            <w:tcW w:w="1050" w:type="dxa"/>
            <w:tcBorders>
              <w:top w:val="nil"/>
              <w:left w:val="nil"/>
              <w:bottom w:val="nil"/>
              <w:right w:val="nil"/>
              <w:tl2br w:val="nil"/>
              <w:tr2bl w:val="nil"/>
            </w:tcBorders>
            <w:tcMar>
              <w:left w:w="40" w:type="dxa"/>
              <w:right w:w="40" w:type="dxa"/>
            </w:tcMar>
            <w:vAlign w:val="center"/>
          </w:tcPr>
          <w:p w14:paraId="6FC0882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41,934</w:t>
            </w:r>
          </w:p>
        </w:tc>
        <w:tc>
          <w:tcPr>
            <w:tcW w:w="1035" w:type="dxa"/>
            <w:tcBorders>
              <w:top w:val="nil"/>
              <w:left w:val="nil"/>
              <w:bottom w:val="nil"/>
              <w:right w:val="nil"/>
              <w:tl2br w:val="nil"/>
              <w:tr2bl w:val="nil"/>
            </w:tcBorders>
            <w:tcMar>
              <w:left w:w="40" w:type="dxa"/>
              <w:right w:w="40" w:type="dxa"/>
            </w:tcMar>
            <w:vAlign w:val="center"/>
          </w:tcPr>
          <w:p w14:paraId="48331C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3,318</w:t>
            </w:r>
          </w:p>
        </w:tc>
        <w:tc>
          <w:tcPr>
            <w:tcW w:w="1035" w:type="dxa"/>
            <w:tcBorders>
              <w:top w:val="nil"/>
              <w:left w:val="nil"/>
              <w:bottom w:val="nil"/>
              <w:right w:val="nil"/>
              <w:tl2br w:val="nil"/>
              <w:tr2bl w:val="nil"/>
            </w:tcBorders>
            <w:tcMar>
              <w:left w:w="40" w:type="dxa"/>
              <w:right w:w="40" w:type="dxa"/>
            </w:tcMar>
            <w:vAlign w:val="center"/>
          </w:tcPr>
          <w:p w14:paraId="6BDD05D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193668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189,403</w:t>
            </w:r>
          </w:p>
        </w:tc>
        <w:tc>
          <w:tcPr>
            <w:tcW w:w="1035" w:type="dxa"/>
            <w:tcBorders>
              <w:top w:val="nil"/>
              <w:left w:val="nil"/>
              <w:bottom w:val="nil"/>
              <w:right w:val="nil"/>
              <w:tl2br w:val="nil"/>
              <w:tr2bl w:val="nil"/>
            </w:tcBorders>
            <w:tcMar>
              <w:left w:w="40" w:type="dxa"/>
              <w:right w:w="40" w:type="dxa"/>
            </w:tcMar>
            <w:vAlign w:val="center"/>
          </w:tcPr>
          <w:p w14:paraId="574429C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195,031</w:t>
            </w:r>
          </w:p>
        </w:tc>
        <w:tc>
          <w:tcPr>
            <w:tcW w:w="1035" w:type="dxa"/>
            <w:tcBorders>
              <w:top w:val="nil"/>
              <w:left w:val="nil"/>
              <w:bottom w:val="nil"/>
              <w:right w:val="nil"/>
              <w:tl2br w:val="nil"/>
              <w:tr2bl w:val="nil"/>
            </w:tcBorders>
            <w:tcMar>
              <w:left w:w="40" w:type="dxa"/>
              <w:right w:w="40" w:type="dxa"/>
            </w:tcMar>
            <w:vAlign w:val="center"/>
          </w:tcPr>
          <w:p w14:paraId="6D036E9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429,686</w:t>
            </w:r>
          </w:p>
        </w:tc>
        <w:tc>
          <w:tcPr>
            <w:tcW w:w="1050" w:type="dxa"/>
            <w:tcBorders>
              <w:top w:val="nil"/>
              <w:left w:val="nil"/>
              <w:bottom w:val="nil"/>
              <w:right w:val="nil"/>
              <w:tl2br w:val="nil"/>
              <w:tr2bl w:val="nil"/>
            </w:tcBorders>
            <w:tcMar>
              <w:left w:w="40" w:type="dxa"/>
              <w:right w:w="40" w:type="dxa"/>
            </w:tcMar>
            <w:vAlign w:val="center"/>
          </w:tcPr>
          <w:p w14:paraId="37B672A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w:t>
            </w:r>
          </w:p>
        </w:tc>
      </w:tr>
      <w:tr w:rsidR="00FD1E19" w14:paraId="03CFAE9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14:paraId="073E13AA"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14:paraId="73850E3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Public institutions</w:t>
            </w:r>
          </w:p>
        </w:tc>
        <w:tc>
          <w:tcPr>
            <w:tcW w:w="1050" w:type="dxa"/>
            <w:tcBorders>
              <w:top w:val="nil"/>
              <w:left w:val="nil"/>
              <w:bottom w:val="nil"/>
              <w:right w:val="nil"/>
              <w:tl2br w:val="nil"/>
              <w:tr2bl w:val="nil"/>
            </w:tcBorders>
            <w:tcMar>
              <w:left w:w="40" w:type="dxa"/>
              <w:right w:w="40" w:type="dxa"/>
            </w:tcMar>
            <w:vAlign w:val="center"/>
          </w:tcPr>
          <w:p w14:paraId="52801DD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1804A4E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053630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0AE77DF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6DD778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7E34647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3AFFD65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0%</w:t>
            </w:r>
          </w:p>
        </w:tc>
      </w:tr>
      <w:tr w:rsidR="00FD1E19" w14:paraId="7F0D456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tcMar>
              <w:left w:w="0" w:type="dxa"/>
              <w:right w:w="0" w:type="dxa"/>
            </w:tcMar>
            <w:vAlign w:val="center"/>
          </w:tcPr>
          <w:p w14:paraId="5169938C"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40" w:type="dxa"/>
              <w:right w:w="40" w:type="dxa"/>
            </w:tcMar>
            <w:vAlign w:val="center"/>
          </w:tcPr>
          <w:p w14:paraId="5A4E40A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States</w:t>
            </w:r>
          </w:p>
        </w:tc>
        <w:tc>
          <w:tcPr>
            <w:tcW w:w="1050" w:type="dxa"/>
            <w:tcBorders>
              <w:top w:val="nil"/>
              <w:left w:val="nil"/>
              <w:bottom w:val="nil"/>
              <w:right w:val="nil"/>
              <w:tl2br w:val="nil"/>
              <w:tr2bl w:val="nil"/>
            </w:tcBorders>
            <w:tcMar>
              <w:left w:w="40" w:type="dxa"/>
              <w:right w:w="40" w:type="dxa"/>
            </w:tcMar>
            <w:vAlign w:val="center"/>
          </w:tcPr>
          <w:p w14:paraId="0712CB2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51,820</w:t>
            </w:r>
          </w:p>
        </w:tc>
        <w:tc>
          <w:tcPr>
            <w:tcW w:w="1035" w:type="dxa"/>
            <w:tcBorders>
              <w:top w:val="nil"/>
              <w:left w:val="nil"/>
              <w:bottom w:val="nil"/>
              <w:right w:val="nil"/>
              <w:tl2br w:val="nil"/>
              <w:tr2bl w:val="nil"/>
            </w:tcBorders>
            <w:tcMar>
              <w:left w:w="40" w:type="dxa"/>
              <w:right w:w="40" w:type="dxa"/>
            </w:tcMar>
            <w:vAlign w:val="center"/>
          </w:tcPr>
          <w:p w14:paraId="7708E03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2,929</w:t>
            </w:r>
          </w:p>
        </w:tc>
        <w:tc>
          <w:tcPr>
            <w:tcW w:w="1035" w:type="dxa"/>
            <w:tcBorders>
              <w:top w:val="nil"/>
              <w:left w:val="nil"/>
              <w:bottom w:val="nil"/>
              <w:right w:val="nil"/>
              <w:tl2br w:val="nil"/>
              <w:tr2bl w:val="nil"/>
            </w:tcBorders>
            <w:tcMar>
              <w:left w:w="40" w:type="dxa"/>
              <w:right w:w="40" w:type="dxa"/>
            </w:tcMar>
            <w:vAlign w:val="center"/>
          </w:tcPr>
          <w:p w14:paraId="2A8DEB7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22,375</w:t>
            </w:r>
          </w:p>
        </w:tc>
        <w:tc>
          <w:tcPr>
            <w:tcW w:w="1035" w:type="dxa"/>
            <w:tcBorders>
              <w:top w:val="nil"/>
              <w:left w:val="nil"/>
              <w:bottom w:val="nil"/>
              <w:right w:val="nil"/>
              <w:tl2br w:val="nil"/>
              <w:tr2bl w:val="nil"/>
            </w:tcBorders>
            <w:tcMar>
              <w:left w:w="40" w:type="dxa"/>
              <w:right w:w="40" w:type="dxa"/>
            </w:tcMar>
            <w:vAlign w:val="center"/>
          </w:tcPr>
          <w:p w14:paraId="218F975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509,147</w:t>
            </w:r>
          </w:p>
        </w:tc>
        <w:tc>
          <w:tcPr>
            <w:tcW w:w="1035" w:type="dxa"/>
            <w:tcBorders>
              <w:top w:val="nil"/>
              <w:left w:val="nil"/>
              <w:bottom w:val="nil"/>
              <w:right w:val="nil"/>
              <w:tl2br w:val="nil"/>
              <w:tr2bl w:val="nil"/>
            </w:tcBorders>
            <w:tcMar>
              <w:left w:w="40" w:type="dxa"/>
              <w:right w:w="40" w:type="dxa"/>
            </w:tcMar>
            <w:vAlign w:val="center"/>
          </w:tcPr>
          <w:p w14:paraId="1CADAD4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tcMar>
              <w:left w:w="40" w:type="dxa"/>
              <w:right w:w="40" w:type="dxa"/>
            </w:tcMar>
            <w:vAlign w:val="center"/>
          </w:tcPr>
          <w:p w14:paraId="4DDDAAB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586,271</w:t>
            </w:r>
          </w:p>
        </w:tc>
        <w:tc>
          <w:tcPr>
            <w:tcW w:w="1050" w:type="dxa"/>
            <w:tcBorders>
              <w:top w:val="nil"/>
              <w:left w:val="nil"/>
              <w:bottom w:val="nil"/>
              <w:right w:val="nil"/>
              <w:tl2br w:val="nil"/>
              <w:tr2bl w:val="nil"/>
            </w:tcBorders>
            <w:tcMar>
              <w:left w:w="40" w:type="dxa"/>
              <w:right w:w="40" w:type="dxa"/>
            </w:tcMar>
            <w:vAlign w:val="center"/>
          </w:tcPr>
          <w:p w14:paraId="4BEA856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27%</w:t>
            </w:r>
          </w:p>
        </w:tc>
      </w:tr>
      <w:tr w:rsidR="00FD1E19" w14:paraId="23431B8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260" w:type="dxa"/>
            <w:tcBorders>
              <w:top w:val="nil"/>
              <w:left w:val="nil"/>
              <w:bottom w:val="nil"/>
              <w:right w:val="nil"/>
              <w:tl2br w:val="nil"/>
              <w:tr2bl w:val="nil"/>
            </w:tcBorders>
            <w:shd w:val="clear" w:color="FFFFFF" w:fill="BFBFBF"/>
            <w:noWrap/>
            <w:tcMar>
              <w:left w:w="40" w:type="dxa"/>
              <w:right w:w="40" w:type="dxa"/>
            </w:tcMar>
            <w:vAlign w:val="center"/>
          </w:tcPr>
          <w:p w14:paraId="3B2C004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90" w:type="dxa"/>
            <w:tcBorders>
              <w:top w:val="nil"/>
              <w:left w:val="nil"/>
              <w:bottom w:val="nil"/>
              <w:right w:val="nil"/>
              <w:tl2br w:val="nil"/>
              <w:tr2bl w:val="nil"/>
            </w:tcBorders>
            <w:shd w:val="clear" w:color="FFFFFF" w:fill="BFBFBF"/>
            <w:noWrap/>
            <w:tcMar>
              <w:left w:w="0" w:type="dxa"/>
              <w:right w:w="0" w:type="dxa"/>
            </w:tcMar>
            <w:vAlign w:val="center"/>
          </w:tcPr>
          <w:p w14:paraId="2213231F" w14:textId="77777777" w:rsidR="00FD1E19" w:rsidRDefault="00FD1E19" w:rsidP="00BE7E4A">
            <w:pPr>
              <w:suppressAutoHyphens/>
              <w:rPr>
                <w:rFonts w:ascii="Arial" w:eastAsia="Arial" w:hAnsi="Arial" w:cs="Arial"/>
                <w:b/>
                <w:noProof/>
                <w:color w:val="000000"/>
                <w:sz w:val="14"/>
                <w:lang w:eastAsia="ar-SA"/>
              </w:rPr>
            </w:pPr>
          </w:p>
        </w:tc>
        <w:tc>
          <w:tcPr>
            <w:tcW w:w="1050" w:type="dxa"/>
            <w:tcBorders>
              <w:top w:val="nil"/>
              <w:left w:val="nil"/>
              <w:bottom w:val="nil"/>
              <w:right w:val="nil"/>
              <w:tl2br w:val="nil"/>
              <w:tr2bl w:val="nil"/>
            </w:tcBorders>
            <w:shd w:val="clear" w:color="FFFFFF" w:fill="BFBFBF"/>
            <w:tcMar>
              <w:left w:w="40" w:type="dxa"/>
              <w:right w:w="40" w:type="dxa"/>
            </w:tcMar>
            <w:vAlign w:val="center"/>
          </w:tcPr>
          <w:p w14:paraId="53371DC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328,435</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047D1F2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305,773</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4F20CAD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240,547</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3811C83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1,086,171</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1D3A850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195,031</w:t>
            </w:r>
          </w:p>
        </w:tc>
        <w:tc>
          <w:tcPr>
            <w:tcW w:w="1035" w:type="dxa"/>
            <w:tcBorders>
              <w:top w:val="nil"/>
              <w:left w:val="nil"/>
              <w:bottom w:val="nil"/>
              <w:right w:val="nil"/>
              <w:tl2br w:val="nil"/>
              <w:tr2bl w:val="nil"/>
            </w:tcBorders>
            <w:shd w:val="clear" w:color="FFFFFF" w:fill="BFBFBF"/>
            <w:tcMar>
              <w:left w:w="40" w:type="dxa"/>
              <w:right w:w="40" w:type="dxa"/>
            </w:tcMar>
            <w:vAlign w:val="center"/>
          </w:tcPr>
          <w:p w14:paraId="690D327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2,155,957</w:t>
            </w:r>
          </w:p>
        </w:tc>
        <w:tc>
          <w:tcPr>
            <w:tcW w:w="1050" w:type="dxa"/>
            <w:tcBorders>
              <w:top w:val="nil"/>
              <w:left w:val="nil"/>
              <w:bottom w:val="nil"/>
              <w:right w:val="nil"/>
              <w:tl2br w:val="nil"/>
              <w:tr2bl w:val="nil"/>
            </w:tcBorders>
            <w:shd w:val="clear" w:color="FFFFFF" w:fill="BFBFBF"/>
            <w:tcMar>
              <w:left w:w="40" w:type="dxa"/>
              <w:right w:w="40" w:type="dxa"/>
            </w:tcMar>
            <w:vAlign w:val="center"/>
          </w:tcPr>
          <w:p w14:paraId="3A567E9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w:t>
            </w:r>
          </w:p>
        </w:tc>
      </w:tr>
      <w:tr w:rsidR="00FD1E19" w14:paraId="31D168A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9"/>
        </w:trPr>
        <w:tc>
          <w:tcPr>
            <w:tcW w:w="3900" w:type="dxa"/>
            <w:gridSpan w:val="3"/>
            <w:tcBorders>
              <w:top w:val="nil"/>
              <w:left w:val="nil"/>
              <w:bottom w:val="nil"/>
              <w:right w:val="nil"/>
              <w:tl2br w:val="nil"/>
              <w:tr2bl w:val="nil"/>
            </w:tcBorders>
            <w:tcMar>
              <w:left w:w="40" w:type="dxa"/>
              <w:right w:w="40" w:type="dxa"/>
            </w:tcMar>
            <w:vAlign w:val="bottom"/>
          </w:tcPr>
          <w:p w14:paraId="6083FE7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 operations measured at FVTPL.</w:t>
            </w:r>
          </w:p>
        </w:tc>
        <w:tc>
          <w:tcPr>
            <w:tcW w:w="1035" w:type="dxa"/>
            <w:tcBorders>
              <w:top w:val="nil"/>
              <w:left w:val="nil"/>
              <w:bottom w:val="nil"/>
              <w:right w:val="nil"/>
              <w:tl2br w:val="nil"/>
              <w:tr2bl w:val="nil"/>
            </w:tcBorders>
            <w:noWrap/>
            <w:tcMar>
              <w:left w:w="0" w:type="dxa"/>
              <w:right w:w="0" w:type="dxa"/>
            </w:tcMar>
            <w:vAlign w:val="bottom"/>
          </w:tcPr>
          <w:p w14:paraId="42C698DD" w14:textId="77777777" w:rsidR="00FD1E19" w:rsidRDefault="00FD1E19" w:rsidP="00BE7E4A">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57E32A81" w14:textId="77777777" w:rsidR="00FD1E19" w:rsidRDefault="00FD1E19" w:rsidP="00BE7E4A">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40E276FF" w14:textId="77777777" w:rsidR="00FD1E19" w:rsidRDefault="00FD1E19" w:rsidP="00BE7E4A">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4AFBF033" w14:textId="77777777" w:rsidR="00FD1E19" w:rsidRDefault="00FD1E19" w:rsidP="00BE7E4A">
            <w:pPr>
              <w:suppressAutoHyphens/>
              <w:rPr>
                <w:rFonts w:ascii="Calibri" w:eastAsia="Calibri" w:hAnsi="Calibri" w:cs="Calibri"/>
                <w:noProof/>
                <w:color w:val="000000"/>
                <w:sz w:val="14"/>
                <w:lang w:eastAsia="ar-SA"/>
              </w:rPr>
            </w:pPr>
          </w:p>
        </w:tc>
        <w:tc>
          <w:tcPr>
            <w:tcW w:w="1035" w:type="dxa"/>
            <w:tcBorders>
              <w:top w:val="nil"/>
              <w:left w:val="nil"/>
              <w:bottom w:val="nil"/>
              <w:right w:val="nil"/>
              <w:tl2br w:val="nil"/>
              <w:tr2bl w:val="nil"/>
            </w:tcBorders>
            <w:noWrap/>
            <w:tcMar>
              <w:left w:w="0" w:type="dxa"/>
              <w:right w:w="0" w:type="dxa"/>
            </w:tcMar>
            <w:vAlign w:val="bottom"/>
          </w:tcPr>
          <w:p w14:paraId="3E3AAD05" w14:textId="77777777" w:rsidR="00FD1E19" w:rsidRDefault="00FD1E19" w:rsidP="00BE7E4A">
            <w:pPr>
              <w:suppressAutoHyphens/>
              <w:rPr>
                <w:rFonts w:ascii="Calibri" w:eastAsia="Calibri" w:hAnsi="Calibri" w:cs="Calibri"/>
                <w:noProof/>
                <w:color w:val="000000"/>
                <w:sz w:val="14"/>
                <w:lang w:eastAsia="ar-SA"/>
              </w:rPr>
            </w:pPr>
          </w:p>
        </w:tc>
        <w:tc>
          <w:tcPr>
            <w:tcW w:w="1050" w:type="dxa"/>
            <w:tcBorders>
              <w:top w:val="nil"/>
              <w:left w:val="nil"/>
              <w:bottom w:val="nil"/>
              <w:right w:val="nil"/>
              <w:tl2br w:val="nil"/>
              <w:tr2bl w:val="nil"/>
            </w:tcBorders>
            <w:noWrap/>
            <w:tcMar>
              <w:left w:w="0" w:type="dxa"/>
              <w:right w:w="0" w:type="dxa"/>
            </w:tcMar>
            <w:vAlign w:val="bottom"/>
          </w:tcPr>
          <w:p w14:paraId="6C0C6025" w14:textId="77777777" w:rsidR="00FD1E19" w:rsidRDefault="00FD1E19" w:rsidP="00BE7E4A">
            <w:pPr>
              <w:suppressAutoHyphens/>
              <w:rPr>
                <w:rFonts w:ascii="Calibri" w:eastAsia="Calibri" w:hAnsi="Calibri" w:cs="Calibri"/>
                <w:noProof/>
                <w:color w:val="000000"/>
                <w:sz w:val="14"/>
                <w:lang w:eastAsia="ar-SA"/>
              </w:rPr>
            </w:pPr>
          </w:p>
        </w:tc>
      </w:tr>
    </w:tbl>
    <w:p w14:paraId="49A86FDC" w14:textId="77777777" w:rsidR="00FD1E19" w:rsidRPr="00D5685E" w:rsidRDefault="00FD1E19" w:rsidP="00FD1E19">
      <w:pPr>
        <w:pageBreakBefore/>
        <w:numPr>
          <w:ilvl w:val="3"/>
          <w:numId w:val="53"/>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lang w:eastAsia="ar-SA"/>
        </w:rPr>
      </w:pPr>
      <w:bookmarkStart w:id="230" w:name="RG_MARKER_90111"/>
      <w:r w:rsidRPr="00D5685E">
        <w:rPr>
          <w:rFonts w:ascii="Arial" w:hAnsi="Arial"/>
          <w:b/>
          <w:noProof/>
          <w:sz w:val="16"/>
          <w:szCs w:val="16"/>
          <w:lang w:eastAsia="ar-SA"/>
        </w:rPr>
        <w:t>Risk conce</w:t>
      </w:r>
      <w:bookmarkEnd w:id="230"/>
      <w:r>
        <w:rPr>
          <w:rFonts w:ascii="Arial" w:hAnsi="Arial"/>
          <w:b/>
          <w:noProof/>
          <w:sz w:val="16"/>
          <w:szCs w:val="16"/>
          <w:lang w:eastAsia="ar-SA"/>
        </w:rPr>
        <w:t>ntrations of loans and advances</w:t>
      </w:r>
    </w:p>
    <w:p w14:paraId="5DD836AB" w14:textId="77777777" w:rsidR="00FD1E19" w:rsidRPr="00D5685E"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b/>
          <w:bCs/>
          <w:noProof/>
          <w:sz w:val="16"/>
          <w:szCs w:val="16"/>
          <w:bdr w:val="nil"/>
          <w:lang w:eastAsia="ar-SA"/>
        </w:rPr>
      </w:pPr>
    </w:p>
    <w:p w14:paraId="4AB61F9A" w14:textId="77777777" w:rsidR="00FD1E19" w:rsidRPr="00D5685E" w:rsidRDefault="00FD1E19" w:rsidP="00FD1E19">
      <w:pPr>
        <w:numPr>
          <w:ilvl w:val="4"/>
          <w:numId w:val="53"/>
        </w:numPr>
        <w:pBdr>
          <w:top w:val="nil"/>
          <w:left w:val="nil"/>
          <w:bottom w:val="nil"/>
          <w:right w:val="nil"/>
          <w:between w:val="nil"/>
          <w:bar w:val="nil"/>
        </w:pBdr>
        <w:tabs>
          <w:tab w:val="right" w:pos="-2700"/>
          <w:tab w:val="left" w:pos="993"/>
        </w:tabs>
        <w:suppressAutoHyphens/>
        <w:spacing w:before="60" w:after="60" w:line="240" w:lineRule="auto"/>
        <w:jc w:val="both"/>
        <w:rPr>
          <w:rFonts w:ascii="Arial" w:hAnsi="Arial"/>
          <w:b/>
          <w:noProof/>
          <w:sz w:val="16"/>
          <w:szCs w:val="16"/>
          <w:bdr w:val="nil"/>
          <w:lang w:eastAsia="ar-SA"/>
        </w:rPr>
      </w:pPr>
      <w:r w:rsidRPr="00D5685E">
        <w:rPr>
          <w:rFonts w:ascii="Arial" w:hAnsi="Arial"/>
          <w:b/>
          <w:noProof/>
          <w:sz w:val="16"/>
          <w:szCs w:val="16"/>
          <w:lang w:eastAsia="ar-SA"/>
        </w:rPr>
        <w:t>Geographical analysis</w:t>
      </w:r>
    </w:p>
    <w:p w14:paraId="47E73CD9" w14:textId="77777777" w:rsidR="00FD1E19" w:rsidRPr="00BD134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0D162BE0" w14:textId="77777777" w:rsidR="00FD1E19" w:rsidRPr="00BD134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Based on the country of borrower, the Facility</w:t>
      </w:r>
      <w:r>
        <w:rPr>
          <w:rFonts w:ascii="Arial" w:hAnsi="Arial"/>
          <w:noProof/>
          <w:sz w:val="16"/>
          <w:szCs w:val="16"/>
          <w:lang w:eastAsia="ar-SA"/>
        </w:rPr>
        <w:t>’</w:t>
      </w:r>
      <w:r w:rsidRPr="00BD1346">
        <w:rPr>
          <w:rFonts w:ascii="Arial" w:hAnsi="Arial"/>
          <w:noProof/>
          <w:sz w:val="16"/>
          <w:szCs w:val="16"/>
          <w:lang w:eastAsia="ar-SA"/>
        </w:rPr>
        <w:t>s loan portfolio can be analysed by the following geographical regions (in EUR‘000):</w:t>
      </w:r>
    </w:p>
    <w:tbl>
      <w:tblPr>
        <w:tblStyle w:val="CDMRange2"/>
        <w:tblW w:w="5000" w:type="pct"/>
        <w:tblLayout w:type="fixed"/>
        <w:tblLook w:val="0600" w:firstRow="0" w:lastRow="0" w:firstColumn="0" w:lastColumn="0" w:noHBand="1" w:noVBand="1"/>
      </w:tblPr>
      <w:tblGrid>
        <w:gridCol w:w="6792"/>
        <w:gridCol w:w="1463"/>
        <w:gridCol w:w="1463"/>
      </w:tblGrid>
      <w:tr w:rsidR="00FD1E19" w14:paraId="7025CF05" w14:textId="77777777" w:rsidTr="00BE7E4A">
        <w:trPr>
          <w:trHeight w:hRule="exact" w:val="30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269DD817" w14:textId="77777777" w:rsidR="00FD1E19" w:rsidRDefault="00FD1E19" w:rsidP="00BE7E4A">
            <w:pPr>
              <w:suppressAutoHyphens/>
              <w:rPr>
                <w:rFonts w:ascii="Arial" w:eastAsia="Arial" w:hAnsi="Arial" w:cs="Arial"/>
                <w:b/>
                <w:noProof/>
                <w:color w:val="000000"/>
                <w:sz w:val="16"/>
                <w:lang w:eastAsia="ar-SA"/>
              </w:rPr>
            </w:pPr>
            <w:bookmarkStart w:id="231" w:name="RG_MARKER_90112"/>
            <w:r>
              <w:rPr>
                <w:rFonts w:ascii="Arial" w:eastAsia="Arial" w:hAnsi="Arial" w:cs="Arial"/>
                <w:b/>
                <w:noProof/>
                <w:color w:val="000000"/>
                <w:sz w:val="16"/>
                <w:lang w:eastAsia="ar-SA"/>
              </w:rPr>
              <w:t>Country of borrower</w:t>
            </w:r>
            <w:bookmarkEnd w:id="231"/>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1077A82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597B743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6926CB0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single" w:sz="4" w:space="0" w:color="000000"/>
              <w:left w:val="nil"/>
              <w:bottom w:val="nil"/>
              <w:right w:val="nil"/>
              <w:tl2br w:val="nil"/>
              <w:tr2bl w:val="nil"/>
            </w:tcBorders>
            <w:tcMar>
              <w:left w:w="40" w:type="dxa"/>
              <w:right w:w="40" w:type="dxa"/>
            </w:tcMar>
            <w:vAlign w:val="center"/>
          </w:tcPr>
          <w:p w14:paraId="7583F4B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Kenya</w:t>
            </w:r>
          </w:p>
        </w:tc>
        <w:tc>
          <w:tcPr>
            <w:tcW w:w="1500" w:type="dxa"/>
            <w:tcBorders>
              <w:top w:val="single" w:sz="4" w:space="0" w:color="000000"/>
              <w:left w:val="nil"/>
              <w:bottom w:val="nil"/>
              <w:right w:val="nil"/>
              <w:tl2br w:val="nil"/>
              <w:tr2bl w:val="nil"/>
            </w:tcBorders>
            <w:tcMar>
              <w:left w:w="40" w:type="dxa"/>
              <w:right w:w="40" w:type="dxa"/>
            </w:tcMar>
            <w:vAlign w:val="center"/>
          </w:tcPr>
          <w:p w14:paraId="6250F5A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170,406</w:t>
            </w:r>
          </w:p>
        </w:tc>
        <w:tc>
          <w:tcPr>
            <w:tcW w:w="1500" w:type="dxa"/>
            <w:tcBorders>
              <w:top w:val="single" w:sz="4" w:space="0" w:color="000000"/>
              <w:left w:val="nil"/>
              <w:bottom w:val="nil"/>
              <w:right w:val="nil"/>
              <w:tl2br w:val="nil"/>
              <w:tr2bl w:val="nil"/>
            </w:tcBorders>
            <w:tcMar>
              <w:left w:w="40" w:type="dxa"/>
              <w:right w:w="40" w:type="dxa"/>
            </w:tcMar>
            <w:vAlign w:val="center"/>
          </w:tcPr>
          <w:p w14:paraId="56ED501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246,455</w:t>
            </w:r>
          </w:p>
        </w:tc>
      </w:tr>
      <w:tr w:rsidR="00FD1E19" w14:paraId="0239F44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10471C9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Egypt</w:t>
            </w:r>
          </w:p>
        </w:tc>
        <w:tc>
          <w:tcPr>
            <w:tcW w:w="1500" w:type="dxa"/>
            <w:tcBorders>
              <w:top w:val="nil"/>
              <w:left w:val="nil"/>
              <w:bottom w:val="nil"/>
              <w:right w:val="nil"/>
              <w:tl2br w:val="nil"/>
              <w:tr2bl w:val="nil"/>
            </w:tcBorders>
            <w:tcMar>
              <w:left w:w="40" w:type="dxa"/>
              <w:right w:w="40" w:type="dxa"/>
            </w:tcMar>
            <w:vAlign w:val="center"/>
          </w:tcPr>
          <w:p w14:paraId="131F9E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146,658</w:t>
            </w:r>
          </w:p>
        </w:tc>
        <w:tc>
          <w:tcPr>
            <w:tcW w:w="1500" w:type="dxa"/>
            <w:tcBorders>
              <w:top w:val="nil"/>
              <w:left w:val="nil"/>
              <w:bottom w:val="nil"/>
              <w:right w:val="nil"/>
              <w:tl2br w:val="nil"/>
              <w:tr2bl w:val="nil"/>
            </w:tcBorders>
            <w:tcMar>
              <w:left w:w="40" w:type="dxa"/>
              <w:right w:w="40" w:type="dxa"/>
            </w:tcMar>
            <w:vAlign w:val="center"/>
          </w:tcPr>
          <w:p w14:paraId="3F0D747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224,074</w:t>
            </w:r>
          </w:p>
        </w:tc>
      </w:tr>
      <w:tr w:rsidR="00FD1E19" w14:paraId="4C7CAB4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045C91E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Barbados</w:t>
            </w:r>
          </w:p>
        </w:tc>
        <w:tc>
          <w:tcPr>
            <w:tcW w:w="1500" w:type="dxa"/>
            <w:tcBorders>
              <w:top w:val="nil"/>
              <w:left w:val="nil"/>
              <w:bottom w:val="nil"/>
              <w:right w:val="nil"/>
              <w:tl2br w:val="nil"/>
              <w:tr2bl w:val="nil"/>
            </w:tcBorders>
            <w:tcMar>
              <w:left w:w="40" w:type="dxa"/>
              <w:right w:w="40" w:type="dxa"/>
            </w:tcMar>
            <w:vAlign w:val="center"/>
          </w:tcPr>
          <w:p w14:paraId="6E56CD9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111,951</w:t>
            </w:r>
          </w:p>
        </w:tc>
        <w:tc>
          <w:tcPr>
            <w:tcW w:w="1500" w:type="dxa"/>
            <w:tcBorders>
              <w:top w:val="nil"/>
              <w:left w:val="nil"/>
              <w:bottom w:val="nil"/>
              <w:right w:val="nil"/>
              <w:tl2br w:val="nil"/>
              <w:tr2bl w:val="nil"/>
            </w:tcBorders>
            <w:tcMar>
              <w:left w:w="40" w:type="dxa"/>
              <w:right w:w="40" w:type="dxa"/>
            </w:tcMar>
            <w:vAlign w:val="center"/>
          </w:tcPr>
          <w:p w14:paraId="13194BC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67,426</w:t>
            </w:r>
          </w:p>
        </w:tc>
      </w:tr>
      <w:tr w:rsidR="00FD1E19" w14:paraId="6ADE2D1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5C4373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Ethiopia</w:t>
            </w:r>
          </w:p>
        </w:tc>
        <w:tc>
          <w:tcPr>
            <w:tcW w:w="1500" w:type="dxa"/>
            <w:tcBorders>
              <w:top w:val="nil"/>
              <w:left w:val="nil"/>
              <w:bottom w:val="nil"/>
              <w:right w:val="nil"/>
              <w:tl2br w:val="nil"/>
              <w:tr2bl w:val="nil"/>
            </w:tcBorders>
            <w:tcMar>
              <w:left w:w="40" w:type="dxa"/>
              <w:right w:w="40" w:type="dxa"/>
            </w:tcMar>
            <w:vAlign w:val="center"/>
          </w:tcPr>
          <w:p w14:paraId="3386D9B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109,593</w:t>
            </w:r>
          </w:p>
        </w:tc>
        <w:tc>
          <w:tcPr>
            <w:tcW w:w="1500" w:type="dxa"/>
            <w:tcBorders>
              <w:top w:val="nil"/>
              <w:left w:val="nil"/>
              <w:bottom w:val="nil"/>
              <w:right w:val="nil"/>
              <w:tl2br w:val="nil"/>
              <w:tr2bl w:val="nil"/>
            </w:tcBorders>
            <w:tcMar>
              <w:left w:w="40" w:type="dxa"/>
              <w:right w:w="40" w:type="dxa"/>
            </w:tcMar>
            <w:vAlign w:val="center"/>
          </w:tcPr>
          <w:p w14:paraId="575B768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117,954</w:t>
            </w:r>
          </w:p>
        </w:tc>
      </w:tr>
      <w:tr w:rsidR="00FD1E19" w14:paraId="13315CD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873EF3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Zambia</w:t>
            </w:r>
          </w:p>
        </w:tc>
        <w:tc>
          <w:tcPr>
            <w:tcW w:w="1500" w:type="dxa"/>
            <w:tcBorders>
              <w:top w:val="nil"/>
              <w:left w:val="nil"/>
              <w:bottom w:val="nil"/>
              <w:right w:val="nil"/>
              <w:tl2br w:val="nil"/>
              <w:tr2bl w:val="nil"/>
            </w:tcBorders>
            <w:tcMar>
              <w:left w:w="40" w:type="dxa"/>
              <w:right w:w="40" w:type="dxa"/>
            </w:tcMar>
            <w:vAlign w:val="center"/>
          </w:tcPr>
          <w:p w14:paraId="42AC1B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76,553</w:t>
            </w:r>
          </w:p>
        </w:tc>
        <w:tc>
          <w:tcPr>
            <w:tcW w:w="1500" w:type="dxa"/>
            <w:tcBorders>
              <w:top w:val="nil"/>
              <w:left w:val="nil"/>
              <w:bottom w:val="nil"/>
              <w:right w:val="nil"/>
              <w:tl2br w:val="nil"/>
              <w:tr2bl w:val="nil"/>
            </w:tcBorders>
            <w:tcMar>
              <w:left w:w="40" w:type="dxa"/>
              <w:right w:w="40" w:type="dxa"/>
            </w:tcMar>
            <w:vAlign w:val="center"/>
          </w:tcPr>
          <w:p w14:paraId="5F99327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84,336</w:t>
            </w:r>
          </w:p>
        </w:tc>
      </w:tr>
      <w:tr w:rsidR="00FD1E19" w14:paraId="47E9EA9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7C36FA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Nigeria</w:t>
            </w:r>
          </w:p>
        </w:tc>
        <w:tc>
          <w:tcPr>
            <w:tcW w:w="1500" w:type="dxa"/>
            <w:tcBorders>
              <w:top w:val="nil"/>
              <w:left w:val="nil"/>
              <w:bottom w:val="nil"/>
              <w:right w:val="nil"/>
              <w:tl2br w:val="nil"/>
              <w:tr2bl w:val="nil"/>
            </w:tcBorders>
            <w:tcMar>
              <w:left w:w="40" w:type="dxa"/>
              <w:right w:w="40" w:type="dxa"/>
            </w:tcMar>
            <w:vAlign w:val="center"/>
          </w:tcPr>
          <w:p w14:paraId="4F9E774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70,645</w:t>
            </w:r>
          </w:p>
        </w:tc>
        <w:tc>
          <w:tcPr>
            <w:tcW w:w="1500" w:type="dxa"/>
            <w:tcBorders>
              <w:top w:val="nil"/>
              <w:left w:val="nil"/>
              <w:bottom w:val="nil"/>
              <w:right w:val="nil"/>
              <w:tl2br w:val="nil"/>
              <w:tr2bl w:val="nil"/>
            </w:tcBorders>
            <w:tcMar>
              <w:left w:w="40" w:type="dxa"/>
              <w:right w:w="40" w:type="dxa"/>
            </w:tcMar>
            <w:vAlign w:val="center"/>
          </w:tcPr>
          <w:p w14:paraId="0D5318C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119,847</w:t>
            </w:r>
          </w:p>
        </w:tc>
      </w:tr>
      <w:tr w:rsidR="00FD1E19" w14:paraId="6B280BD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73D9CFC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Mauritius</w:t>
            </w:r>
          </w:p>
        </w:tc>
        <w:tc>
          <w:tcPr>
            <w:tcW w:w="1500" w:type="dxa"/>
            <w:tcBorders>
              <w:top w:val="nil"/>
              <w:left w:val="nil"/>
              <w:bottom w:val="nil"/>
              <w:right w:val="nil"/>
              <w:tl2br w:val="nil"/>
              <w:tr2bl w:val="nil"/>
            </w:tcBorders>
            <w:tcMar>
              <w:left w:w="40" w:type="dxa"/>
              <w:right w:w="40" w:type="dxa"/>
            </w:tcMar>
            <w:vAlign w:val="center"/>
          </w:tcPr>
          <w:p w14:paraId="06055A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62,459</w:t>
            </w:r>
          </w:p>
        </w:tc>
        <w:tc>
          <w:tcPr>
            <w:tcW w:w="1500" w:type="dxa"/>
            <w:tcBorders>
              <w:top w:val="nil"/>
              <w:left w:val="nil"/>
              <w:bottom w:val="nil"/>
              <w:right w:val="nil"/>
              <w:tl2br w:val="nil"/>
              <w:tr2bl w:val="nil"/>
            </w:tcBorders>
            <w:tcMar>
              <w:left w:w="40" w:type="dxa"/>
              <w:right w:w="40" w:type="dxa"/>
            </w:tcMar>
            <w:vAlign w:val="center"/>
          </w:tcPr>
          <w:p w14:paraId="167D977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86,850</w:t>
            </w:r>
          </w:p>
        </w:tc>
      </w:tr>
      <w:tr w:rsidR="00FD1E19" w14:paraId="34D9FE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7A5A201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Cameroon</w:t>
            </w:r>
          </w:p>
        </w:tc>
        <w:tc>
          <w:tcPr>
            <w:tcW w:w="1500" w:type="dxa"/>
            <w:tcBorders>
              <w:top w:val="nil"/>
              <w:left w:val="nil"/>
              <w:bottom w:val="nil"/>
              <w:right w:val="nil"/>
              <w:tl2br w:val="nil"/>
              <w:tr2bl w:val="nil"/>
            </w:tcBorders>
            <w:tcMar>
              <w:left w:w="40" w:type="dxa"/>
              <w:right w:w="40" w:type="dxa"/>
            </w:tcMar>
            <w:vAlign w:val="center"/>
          </w:tcPr>
          <w:p w14:paraId="6E8F455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48,915</w:t>
            </w:r>
          </w:p>
        </w:tc>
        <w:tc>
          <w:tcPr>
            <w:tcW w:w="1500" w:type="dxa"/>
            <w:tcBorders>
              <w:top w:val="nil"/>
              <w:left w:val="nil"/>
              <w:bottom w:val="nil"/>
              <w:right w:val="nil"/>
              <w:tl2br w:val="nil"/>
              <w:tr2bl w:val="nil"/>
            </w:tcBorders>
            <w:tcMar>
              <w:left w:w="40" w:type="dxa"/>
              <w:right w:w="40" w:type="dxa"/>
            </w:tcMar>
            <w:vAlign w:val="center"/>
          </w:tcPr>
          <w:p w14:paraId="0962F83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58,577</w:t>
            </w:r>
          </w:p>
        </w:tc>
      </w:tr>
      <w:tr w:rsidR="00FD1E19" w14:paraId="23F21AF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2A04384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Rwanda</w:t>
            </w:r>
          </w:p>
        </w:tc>
        <w:tc>
          <w:tcPr>
            <w:tcW w:w="1500" w:type="dxa"/>
            <w:tcBorders>
              <w:top w:val="nil"/>
              <w:left w:val="nil"/>
              <w:bottom w:val="nil"/>
              <w:right w:val="nil"/>
              <w:tl2br w:val="nil"/>
              <w:tr2bl w:val="nil"/>
            </w:tcBorders>
            <w:tcMar>
              <w:left w:w="40" w:type="dxa"/>
              <w:right w:w="40" w:type="dxa"/>
            </w:tcMar>
            <w:vAlign w:val="center"/>
          </w:tcPr>
          <w:p w14:paraId="7EEFF13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43,013</w:t>
            </w:r>
          </w:p>
        </w:tc>
        <w:tc>
          <w:tcPr>
            <w:tcW w:w="1500" w:type="dxa"/>
            <w:tcBorders>
              <w:top w:val="nil"/>
              <w:left w:val="nil"/>
              <w:bottom w:val="nil"/>
              <w:right w:val="nil"/>
              <w:tl2br w:val="nil"/>
              <w:tr2bl w:val="nil"/>
            </w:tcBorders>
            <w:tcMar>
              <w:left w:w="40" w:type="dxa"/>
              <w:right w:w="40" w:type="dxa"/>
            </w:tcMar>
            <w:vAlign w:val="center"/>
          </w:tcPr>
          <w:p w14:paraId="560549E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67,061</w:t>
            </w:r>
          </w:p>
        </w:tc>
      </w:tr>
      <w:tr w:rsidR="00FD1E19" w14:paraId="7F126CA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1A02022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Uganda</w:t>
            </w:r>
          </w:p>
        </w:tc>
        <w:tc>
          <w:tcPr>
            <w:tcW w:w="1500" w:type="dxa"/>
            <w:tcBorders>
              <w:top w:val="nil"/>
              <w:left w:val="nil"/>
              <w:bottom w:val="nil"/>
              <w:right w:val="nil"/>
              <w:tl2br w:val="nil"/>
              <w:tr2bl w:val="nil"/>
            </w:tcBorders>
            <w:tcMar>
              <w:left w:w="40" w:type="dxa"/>
              <w:right w:w="40" w:type="dxa"/>
            </w:tcMar>
            <w:vAlign w:val="center"/>
          </w:tcPr>
          <w:p w14:paraId="5A18518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28,936</w:t>
            </w:r>
          </w:p>
        </w:tc>
        <w:tc>
          <w:tcPr>
            <w:tcW w:w="1500" w:type="dxa"/>
            <w:tcBorders>
              <w:top w:val="nil"/>
              <w:left w:val="nil"/>
              <w:bottom w:val="nil"/>
              <w:right w:val="nil"/>
              <w:tl2br w:val="nil"/>
              <w:tr2bl w:val="nil"/>
            </w:tcBorders>
            <w:tcMar>
              <w:left w:w="40" w:type="dxa"/>
              <w:right w:w="40" w:type="dxa"/>
            </w:tcMar>
            <w:vAlign w:val="center"/>
          </w:tcPr>
          <w:p w14:paraId="71FC81F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37,062</w:t>
            </w:r>
          </w:p>
        </w:tc>
      </w:tr>
      <w:tr w:rsidR="00FD1E19" w14:paraId="371733C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00DECB4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Zimbabwe</w:t>
            </w:r>
          </w:p>
        </w:tc>
        <w:tc>
          <w:tcPr>
            <w:tcW w:w="1500" w:type="dxa"/>
            <w:tcBorders>
              <w:top w:val="nil"/>
              <w:left w:val="nil"/>
              <w:bottom w:val="nil"/>
              <w:right w:val="nil"/>
              <w:tl2br w:val="nil"/>
              <w:tr2bl w:val="nil"/>
            </w:tcBorders>
            <w:tcMar>
              <w:left w:w="40" w:type="dxa"/>
              <w:right w:w="40" w:type="dxa"/>
            </w:tcMar>
            <w:vAlign w:val="center"/>
          </w:tcPr>
          <w:p w14:paraId="7E29852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24,124</w:t>
            </w:r>
          </w:p>
        </w:tc>
        <w:tc>
          <w:tcPr>
            <w:tcW w:w="1500" w:type="dxa"/>
            <w:tcBorders>
              <w:top w:val="nil"/>
              <w:left w:val="nil"/>
              <w:bottom w:val="nil"/>
              <w:right w:val="nil"/>
              <w:tl2br w:val="nil"/>
              <w:tr2bl w:val="nil"/>
            </w:tcBorders>
            <w:tcMar>
              <w:left w:w="40" w:type="dxa"/>
              <w:right w:w="40" w:type="dxa"/>
            </w:tcMar>
            <w:vAlign w:val="center"/>
          </w:tcPr>
          <w:p w14:paraId="19E6675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35,885</w:t>
            </w:r>
          </w:p>
        </w:tc>
      </w:tr>
      <w:tr w:rsidR="00FD1E19" w14:paraId="7A7FB86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1029EB2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Regional-ACP</w:t>
            </w:r>
          </w:p>
        </w:tc>
        <w:tc>
          <w:tcPr>
            <w:tcW w:w="1500" w:type="dxa"/>
            <w:tcBorders>
              <w:top w:val="nil"/>
              <w:left w:val="nil"/>
              <w:bottom w:val="nil"/>
              <w:right w:val="nil"/>
              <w:tl2br w:val="nil"/>
              <w:tr2bl w:val="nil"/>
            </w:tcBorders>
            <w:tcMar>
              <w:left w:w="40" w:type="dxa"/>
              <w:right w:w="40" w:type="dxa"/>
            </w:tcMar>
            <w:vAlign w:val="center"/>
          </w:tcPr>
          <w:p w14:paraId="332E0D4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24,317</w:t>
            </w:r>
          </w:p>
        </w:tc>
        <w:tc>
          <w:tcPr>
            <w:tcW w:w="1500" w:type="dxa"/>
            <w:tcBorders>
              <w:top w:val="nil"/>
              <w:left w:val="nil"/>
              <w:bottom w:val="nil"/>
              <w:right w:val="nil"/>
              <w:tl2br w:val="nil"/>
              <w:tr2bl w:val="nil"/>
            </w:tcBorders>
            <w:tcMar>
              <w:left w:w="40" w:type="dxa"/>
              <w:right w:w="40" w:type="dxa"/>
            </w:tcMar>
            <w:vAlign w:val="center"/>
          </w:tcPr>
          <w:p w14:paraId="08C14BA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75,060</w:t>
            </w:r>
          </w:p>
        </w:tc>
      </w:tr>
      <w:tr w:rsidR="00FD1E19" w14:paraId="4CE28E0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10D241D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Togo</w:t>
            </w:r>
          </w:p>
        </w:tc>
        <w:tc>
          <w:tcPr>
            <w:tcW w:w="1500" w:type="dxa"/>
            <w:tcBorders>
              <w:top w:val="nil"/>
              <w:left w:val="nil"/>
              <w:bottom w:val="nil"/>
              <w:right w:val="nil"/>
              <w:tl2br w:val="nil"/>
              <w:tr2bl w:val="nil"/>
            </w:tcBorders>
            <w:tcMar>
              <w:left w:w="40" w:type="dxa"/>
              <w:right w:w="40" w:type="dxa"/>
            </w:tcMar>
            <w:vAlign w:val="center"/>
          </w:tcPr>
          <w:p w14:paraId="6D351A8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22,566</w:t>
            </w:r>
          </w:p>
        </w:tc>
        <w:tc>
          <w:tcPr>
            <w:tcW w:w="1500" w:type="dxa"/>
            <w:tcBorders>
              <w:top w:val="nil"/>
              <w:left w:val="nil"/>
              <w:bottom w:val="nil"/>
              <w:right w:val="nil"/>
              <w:tl2br w:val="nil"/>
              <w:tr2bl w:val="nil"/>
            </w:tcBorders>
            <w:tcMar>
              <w:left w:w="40" w:type="dxa"/>
              <w:right w:w="40" w:type="dxa"/>
            </w:tcMar>
            <w:vAlign w:val="center"/>
          </w:tcPr>
          <w:p w14:paraId="294811E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91,324</w:t>
            </w:r>
          </w:p>
        </w:tc>
      </w:tr>
      <w:tr w:rsidR="00FD1E19" w14:paraId="557E4A6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2A6F593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Senegal</w:t>
            </w:r>
          </w:p>
        </w:tc>
        <w:tc>
          <w:tcPr>
            <w:tcW w:w="1500" w:type="dxa"/>
            <w:tcBorders>
              <w:top w:val="nil"/>
              <w:left w:val="nil"/>
              <w:bottom w:val="nil"/>
              <w:right w:val="nil"/>
              <w:tl2br w:val="nil"/>
              <w:tr2bl w:val="nil"/>
            </w:tcBorders>
            <w:tcMar>
              <w:left w:w="40" w:type="dxa"/>
              <w:right w:w="40" w:type="dxa"/>
            </w:tcMar>
            <w:vAlign w:val="center"/>
          </w:tcPr>
          <w:p w14:paraId="0CBF69E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17,710</w:t>
            </w:r>
          </w:p>
        </w:tc>
        <w:tc>
          <w:tcPr>
            <w:tcW w:w="1500" w:type="dxa"/>
            <w:tcBorders>
              <w:top w:val="nil"/>
              <w:left w:val="nil"/>
              <w:bottom w:val="nil"/>
              <w:right w:val="nil"/>
              <w:tl2br w:val="nil"/>
              <w:tr2bl w:val="nil"/>
            </w:tcBorders>
            <w:tcMar>
              <w:left w:w="40" w:type="dxa"/>
              <w:right w:w="40" w:type="dxa"/>
            </w:tcMar>
            <w:vAlign w:val="center"/>
          </w:tcPr>
          <w:p w14:paraId="264F911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18,052</w:t>
            </w:r>
          </w:p>
        </w:tc>
      </w:tr>
      <w:tr w:rsidR="00FD1E19" w14:paraId="1BBFD2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8F9B8A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Congo (Democratic Republic)</w:t>
            </w:r>
          </w:p>
        </w:tc>
        <w:tc>
          <w:tcPr>
            <w:tcW w:w="1500" w:type="dxa"/>
            <w:tcBorders>
              <w:top w:val="nil"/>
              <w:left w:val="nil"/>
              <w:bottom w:val="nil"/>
              <w:right w:val="nil"/>
              <w:tl2br w:val="nil"/>
              <w:tr2bl w:val="nil"/>
            </w:tcBorders>
            <w:tcMar>
              <w:left w:w="40" w:type="dxa"/>
              <w:right w:w="40" w:type="dxa"/>
            </w:tcMar>
            <w:vAlign w:val="center"/>
          </w:tcPr>
          <w:p w14:paraId="4F2D809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16,513</w:t>
            </w:r>
          </w:p>
        </w:tc>
        <w:tc>
          <w:tcPr>
            <w:tcW w:w="1500" w:type="dxa"/>
            <w:tcBorders>
              <w:top w:val="nil"/>
              <w:left w:val="nil"/>
              <w:bottom w:val="nil"/>
              <w:right w:val="nil"/>
              <w:tl2br w:val="nil"/>
              <w:tr2bl w:val="nil"/>
            </w:tcBorders>
            <w:tcMar>
              <w:left w:w="40" w:type="dxa"/>
              <w:right w:w="40" w:type="dxa"/>
            </w:tcMar>
            <w:vAlign w:val="center"/>
          </w:tcPr>
          <w:p w14:paraId="1FABC56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23,820</w:t>
            </w:r>
          </w:p>
        </w:tc>
      </w:tr>
      <w:tr w:rsidR="00FD1E19" w14:paraId="5645B9B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28FBAEE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New Caledonia</w:t>
            </w:r>
          </w:p>
        </w:tc>
        <w:tc>
          <w:tcPr>
            <w:tcW w:w="1500" w:type="dxa"/>
            <w:tcBorders>
              <w:top w:val="nil"/>
              <w:left w:val="nil"/>
              <w:bottom w:val="nil"/>
              <w:right w:val="nil"/>
              <w:tl2br w:val="nil"/>
              <w:tr2bl w:val="nil"/>
            </w:tcBorders>
            <w:tcMar>
              <w:left w:w="40" w:type="dxa"/>
              <w:right w:w="40" w:type="dxa"/>
            </w:tcMar>
            <w:vAlign w:val="center"/>
          </w:tcPr>
          <w:p w14:paraId="5A70A58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15,760</w:t>
            </w:r>
          </w:p>
        </w:tc>
        <w:tc>
          <w:tcPr>
            <w:tcW w:w="1500" w:type="dxa"/>
            <w:tcBorders>
              <w:top w:val="nil"/>
              <w:left w:val="nil"/>
              <w:bottom w:val="nil"/>
              <w:right w:val="nil"/>
              <w:tl2br w:val="nil"/>
              <w:tr2bl w:val="nil"/>
            </w:tcBorders>
            <w:tcMar>
              <w:left w:w="40" w:type="dxa"/>
              <w:right w:w="40" w:type="dxa"/>
            </w:tcMar>
            <w:vAlign w:val="center"/>
          </w:tcPr>
          <w:p w14:paraId="2E8C45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21,166</w:t>
            </w:r>
          </w:p>
        </w:tc>
      </w:tr>
      <w:tr w:rsidR="00FD1E19" w14:paraId="7C15FF9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4BF2856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Tanzania</w:t>
            </w:r>
          </w:p>
        </w:tc>
        <w:tc>
          <w:tcPr>
            <w:tcW w:w="1500" w:type="dxa"/>
            <w:tcBorders>
              <w:top w:val="nil"/>
              <w:left w:val="nil"/>
              <w:bottom w:val="nil"/>
              <w:right w:val="nil"/>
              <w:tl2br w:val="nil"/>
              <w:tr2bl w:val="nil"/>
            </w:tcBorders>
            <w:tcMar>
              <w:left w:w="40" w:type="dxa"/>
              <w:right w:w="40" w:type="dxa"/>
            </w:tcMar>
            <w:vAlign w:val="center"/>
          </w:tcPr>
          <w:p w14:paraId="31F5D90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9,462</w:t>
            </w:r>
          </w:p>
        </w:tc>
        <w:tc>
          <w:tcPr>
            <w:tcW w:w="1500" w:type="dxa"/>
            <w:tcBorders>
              <w:top w:val="nil"/>
              <w:left w:val="nil"/>
              <w:bottom w:val="nil"/>
              <w:right w:val="nil"/>
              <w:tl2br w:val="nil"/>
              <w:tr2bl w:val="nil"/>
            </w:tcBorders>
            <w:tcMar>
              <w:left w:w="40" w:type="dxa"/>
              <w:right w:w="40" w:type="dxa"/>
            </w:tcMar>
            <w:vAlign w:val="center"/>
          </w:tcPr>
          <w:p w14:paraId="3F92C1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16,233</w:t>
            </w:r>
          </w:p>
        </w:tc>
      </w:tr>
      <w:tr w:rsidR="00FD1E19" w14:paraId="25B67D6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72FA8D7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Benin</w:t>
            </w:r>
          </w:p>
        </w:tc>
        <w:tc>
          <w:tcPr>
            <w:tcW w:w="1500" w:type="dxa"/>
            <w:tcBorders>
              <w:top w:val="nil"/>
              <w:left w:val="nil"/>
              <w:bottom w:val="nil"/>
              <w:right w:val="nil"/>
              <w:tl2br w:val="nil"/>
              <w:tr2bl w:val="nil"/>
            </w:tcBorders>
            <w:tcMar>
              <w:left w:w="40" w:type="dxa"/>
              <w:right w:w="40" w:type="dxa"/>
            </w:tcMar>
            <w:vAlign w:val="center"/>
          </w:tcPr>
          <w:p w14:paraId="1111A07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8,702</w:t>
            </w:r>
          </w:p>
        </w:tc>
        <w:tc>
          <w:tcPr>
            <w:tcW w:w="1500" w:type="dxa"/>
            <w:tcBorders>
              <w:top w:val="nil"/>
              <w:left w:val="nil"/>
              <w:bottom w:val="nil"/>
              <w:right w:val="nil"/>
              <w:tl2br w:val="nil"/>
              <w:tr2bl w:val="nil"/>
            </w:tcBorders>
            <w:tcMar>
              <w:left w:w="40" w:type="dxa"/>
              <w:right w:w="40" w:type="dxa"/>
            </w:tcMar>
            <w:vAlign w:val="center"/>
          </w:tcPr>
          <w:p w14:paraId="6C44C7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16,208</w:t>
            </w:r>
          </w:p>
        </w:tc>
      </w:tr>
      <w:tr w:rsidR="00FD1E19" w14:paraId="79FCA1A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4F5BC2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Mauritania</w:t>
            </w:r>
          </w:p>
        </w:tc>
        <w:tc>
          <w:tcPr>
            <w:tcW w:w="1500" w:type="dxa"/>
            <w:tcBorders>
              <w:top w:val="nil"/>
              <w:left w:val="nil"/>
              <w:bottom w:val="nil"/>
              <w:right w:val="nil"/>
              <w:tl2br w:val="nil"/>
              <w:tr2bl w:val="nil"/>
            </w:tcBorders>
            <w:tcMar>
              <w:left w:w="40" w:type="dxa"/>
              <w:right w:w="40" w:type="dxa"/>
            </w:tcMar>
            <w:vAlign w:val="center"/>
          </w:tcPr>
          <w:p w14:paraId="423FCE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6,123</w:t>
            </w:r>
          </w:p>
        </w:tc>
        <w:tc>
          <w:tcPr>
            <w:tcW w:w="1500" w:type="dxa"/>
            <w:tcBorders>
              <w:top w:val="nil"/>
              <w:left w:val="nil"/>
              <w:bottom w:val="nil"/>
              <w:right w:val="nil"/>
              <w:tl2br w:val="nil"/>
              <w:tr2bl w:val="nil"/>
            </w:tcBorders>
            <w:tcMar>
              <w:left w:w="40" w:type="dxa"/>
              <w:right w:w="40" w:type="dxa"/>
            </w:tcMar>
            <w:vAlign w:val="center"/>
          </w:tcPr>
          <w:p w14:paraId="24E4D64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8,717</w:t>
            </w:r>
          </w:p>
        </w:tc>
      </w:tr>
      <w:tr w:rsidR="00FD1E19" w14:paraId="49789E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BD2714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Guinea</w:t>
            </w:r>
          </w:p>
        </w:tc>
        <w:tc>
          <w:tcPr>
            <w:tcW w:w="1500" w:type="dxa"/>
            <w:tcBorders>
              <w:top w:val="nil"/>
              <w:left w:val="nil"/>
              <w:bottom w:val="nil"/>
              <w:right w:val="nil"/>
              <w:tl2br w:val="nil"/>
              <w:tr2bl w:val="nil"/>
            </w:tcBorders>
            <w:tcMar>
              <w:left w:w="40" w:type="dxa"/>
              <w:right w:w="40" w:type="dxa"/>
            </w:tcMar>
            <w:vAlign w:val="center"/>
          </w:tcPr>
          <w:p w14:paraId="0350F3D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6,076</w:t>
            </w:r>
          </w:p>
        </w:tc>
        <w:tc>
          <w:tcPr>
            <w:tcW w:w="1500" w:type="dxa"/>
            <w:tcBorders>
              <w:top w:val="nil"/>
              <w:left w:val="nil"/>
              <w:bottom w:val="nil"/>
              <w:right w:val="nil"/>
              <w:tl2br w:val="nil"/>
              <w:tr2bl w:val="nil"/>
            </w:tcBorders>
            <w:tcMar>
              <w:left w:w="40" w:type="dxa"/>
              <w:right w:w="40" w:type="dxa"/>
            </w:tcMar>
            <w:vAlign w:val="center"/>
          </w:tcPr>
          <w:p w14:paraId="53A7050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10,337</w:t>
            </w:r>
          </w:p>
        </w:tc>
      </w:tr>
      <w:tr w:rsidR="00FD1E19" w14:paraId="50367C3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3362DE5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Ivory Coast</w:t>
            </w:r>
          </w:p>
        </w:tc>
        <w:tc>
          <w:tcPr>
            <w:tcW w:w="1500" w:type="dxa"/>
            <w:tcBorders>
              <w:top w:val="nil"/>
              <w:left w:val="nil"/>
              <w:bottom w:val="nil"/>
              <w:right w:val="nil"/>
              <w:tl2br w:val="nil"/>
              <w:tr2bl w:val="nil"/>
            </w:tcBorders>
            <w:tcMar>
              <w:left w:w="40" w:type="dxa"/>
              <w:right w:w="40" w:type="dxa"/>
            </w:tcMar>
            <w:vAlign w:val="center"/>
          </w:tcPr>
          <w:p w14:paraId="72F89D8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4,934</w:t>
            </w:r>
          </w:p>
        </w:tc>
        <w:tc>
          <w:tcPr>
            <w:tcW w:w="1500" w:type="dxa"/>
            <w:tcBorders>
              <w:top w:val="nil"/>
              <w:left w:val="nil"/>
              <w:bottom w:val="nil"/>
              <w:right w:val="nil"/>
              <w:tl2br w:val="nil"/>
              <w:tr2bl w:val="nil"/>
            </w:tcBorders>
            <w:tcMar>
              <w:left w:w="40" w:type="dxa"/>
              <w:right w:w="40" w:type="dxa"/>
            </w:tcMar>
            <w:vAlign w:val="center"/>
          </w:tcPr>
          <w:p w14:paraId="46C009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7,440</w:t>
            </w:r>
          </w:p>
        </w:tc>
      </w:tr>
      <w:tr w:rsidR="00FD1E19" w14:paraId="7CF9EC8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5548B0E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Dominican Republic</w:t>
            </w:r>
          </w:p>
        </w:tc>
        <w:tc>
          <w:tcPr>
            <w:tcW w:w="1500" w:type="dxa"/>
            <w:tcBorders>
              <w:top w:val="nil"/>
              <w:left w:val="nil"/>
              <w:bottom w:val="nil"/>
              <w:right w:val="nil"/>
              <w:tl2br w:val="nil"/>
              <w:tr2bl w:val="nil"/>
            </w:tcBorders>
            <w:tcMar>
              <w:left w:w="40" w:type="dxa"/>
              <w:right w:w="40" w:type="dxa"/>
            </w:tcMar>
            <w:vAlign w:val="center"/>
          </w:tcPr>
          <w:p w14:paraId="60B7AD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4,850</w:t>
            </w:r>
          </w:p>
        </w:tc>
        <w:tc>
          <w:tcPr>
            <w:tcW w:w="1500" w:type="dxa"/>
            <w:tcBorders>
              <w:top w:val="nil"/>
              <w:left w:val="nil"/>
              <w:bottom w:val="nil"/>
              <w:right w:val="nil"/>
              <w:tl2br w:val="nil"/>
              <w:tr2bl w:val="nil"/>
            </w:tcBorders>
            <w:tcMar>
              <w:left w:w="40" w:type="dxa"/>
              <w:right w:w="40" w:type="dxa"/>
            </w:tcMar>
            <w:vAlign w:val="center"/>
          </w:tcPr>
          <w:p w14:paraId="018596E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11,006</w:t>
            </w:r>
          </w:p>
        </w:tc>
      </w:tr>
      <w:tr w:rsidR="00FD1E19" w14:paraId="19918D2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1AF32EF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Madagascar</w:t>
            </w:r>
          </w:p>
        </w:tc>
        <w:tc>
          <w:tcPr>
            <w:tcW w:w="1500" w:type="dxa"/>
            <w:tcBorders>
              <w:top w:val="nil"/>
              <w:left w:val="nil"/>
              <w:bottom w:val="nil"/>
              <w:right w:val="nil"/>
              <w:tl2br w:val="nil"/>
              <w:tr2bl w:val="nil"/>
            </w:tcBorders>
            <w:tcMar>
              <w:left w:w="40" w:type="dxa"/>
              <w:right w:w="40" w:type="dxa"/>
            </w:tcMar>
            <w:vAlign w:val="center"/>
          </w:tcPr>
          <w:p w14:paraId="7E5D82C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4,815</w:t>
            </w:r>
          </w:p>
        </w:tc>
        <w:tc>
          <w:tcPr>
            <w:tcW w:w="1500" w:type="dxa"/>
            <w:tcBorders>
              <w:top w:val="nil"/>
              <w:left w:val="nil"/>
              <w:bottom w:val="nil"/>
              <w:right w:val="nil"/>
              <w:tl2br w:val="nil"/>
              <w:tr2bl w:val="nil"/>
            </w:tcBorders>
            <w:tcMar>
              <w:left w:w="40" w:type="dxa"/>
              <w:right w:w="40" w:type="dxa"/>
            </w:tcMar>
            <w:vAlign w:val="center"/>
          </w:tcPr>
          <w:p w14:paraId="646F36A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9,122</w:t>
            </w:r>
          </w:p>
        </w:tc>
      </w:tr>
      <w:tr w:rsidR="00FD1E19" w14:paraId="68D37D9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7FE0BFC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Seychelles</w:t>
            </w:r>
          </w:p>
        </w:tc>
        <w:tc>
          <w:tcPr>
            <w:tcW w:w="1500" w:type="dxa"/>
            <w:tcBorders>
              <w:top w:val="nil"/>
              <w:left w:val="nil"/>
              <w:bottom w:val="nil"/>
              <w:right w:val="nil"/>
              <w:tl2br w:val="nil"/>
              <w:tr2bl w:val="nil"/>
            </w:tcBorders>
            <w:tcMar>
              <w:left w:w="40" w:type="dxa"/>
              <w:right w:w="40" w:type="dxa"/>
            </w:tcMar>
            <w:vAlign w:val="center"/>
          </w:tcPr>
          <w:p w14:paraId="6C29E80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4,731</w:t>
            </w:r>
          </w:p>
        </w:tc>
        <w:tc>
          <w:tcPr>
            <w:tcW w:w="1500" w:type="dxa"/>
            <w:tcBorders>
              <w:top w:val="nil"/>
              <w:left w:val="nil"/>
              <w:bottom w:val="nil"/>
              <w:right w:val="nil"/>
              <w:tl2br w:val="nil"/>
              <w:tr2bl w:val="nil"/>
            </w:tcBorders>
            <w:tcMar>
              <w:left w:w="40" w:type="dxa"/>
              <w:right w:w="40" w:type="dxa"/>
            </w:tcMar>
            <w:vAlign w:val="center"/>
          </w:tcPr>
          <w:p w14:paraId="1EB6E09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5,018</w:t>
            </w:r>
          </w:p>
        </w:tc>
      </w:tr>
      <w:tr w:rsidR="00FD1E19" w14:paraId="339B6C5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1485D72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Eswatini</w:t>
            </w:r>
          </w:p>
        </w:tc>
        <w:tc>
          <w:tcPr>
            <w:tcW w:w="1500" w:type="dxa"/>
            <w:tcBorders>
              <w:top w:val="nil"/>
              <w:left w:val="nil"/>
              <w:bottom w:val="nil"/>
              <w:right w:val="nil"/>
              <w:tl2br w:val="nil"/>
              <w:tr2bl w:val="nil"/>
            </w:tcBorders>
            <w:tcMar>
              <w:left w:w="40" w:type="dxa"/>
              <w:right w:w="40" w:type="dxa"/>
            </w:tcMar>
            <w:vAlign w:val="center"/>
          </w:tcPr>
          <w:p w14:paraId="6D9CEAE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4,660</w:t>
            </w:r>
          </w:p>
        </w:tc>
        <w:tc>
          <w:tcPr>
            <w:tcW w:w="1500" w:type="dxa"/>
            <w:tcBorders>
              <w:top w:val="nil"/>
              <w:left w:val="nil"/>
              <w:bottom w:val="nil"/>
              <w:right w:val="nil"/>
              <w:tl2br w:val="nil"/>
              <w:tr2bl w:val="nil"/>
            </w:tcBorders>
            <w:tcMar>
              <w:left w:w="40" w:type="dxa"/>
              <w:right w:w="40" w:type="dxa"/>
            </w:tcMar>
            <w:vAlign w:val="center"/>
          </w:tcPr>
          <w:p w14:paraId="37EDA9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5,673</w:t>
            </w:r>
          </w:p>
        </w:tc>
      </w:tr>
      <w:tr w:rsidR="00FD1E19" w14:paraId="4B3A897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C99122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Saint Lucia</w:t>
            </w:r>
          </w:p>
        </w:tc>
        <w:tc>
          <w:tcPr>
            <w:tcW w:w="1500" w:type="dxa"/>
            <w:tcBorders>
              <w:top w:val="nil"/>
              <w:left w:val="nil"/>
              <w:bottom w:val="nil"/>
              <w:right w:val="nil"/>
              <w:tl2br w:val="nil"/>
              <w:tr2bl w:val="nil"/>
            </w:tcBorders>
            <w:tcMar>
              <w:left w:w="40" w:type="dxa"/>
              <w:right w:w="40" w:type="dxa"/>
            </w:tcMar>
            <w:vAlign w:val="center"/>
          </w:tcPr>
          <w:p w14:paraId="4759A73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4,253</w:t>
            </w:r>
          </w:p>
        </w:tc>
        <w:tc>
          <w:tcPr>
            <w:tcW w:w="1500" w:type="dxa"/>
            <w:tcBorders>
              <w:top w:val="nil"/>
              <w:left w:val="nil"/>
              <w:bottom w:val="nil"/>
              <w:right w:val="nil"/>
              <w:tl2br w:val="nil"/>
              <w:tr2bl w:val="nil"/>
            </w:tcBorders>
            <w:tcMar>
              <w:left w:w="40" w:type="dxa"/>
              <w:right w:w="40" w:type="dxa"/>
            </w:tcMar>
            <w:vAlign w:val="center"/>
          </w:tcPr>
          <w:p w14:paraId="55702B5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4,864</w:t>
            </w:r>
          </w:p>
        </w:tc>
      </w:tr>
      <w:tr w:rsidR="00FD1E19" w14:paraId="2ADA14A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1FB82ED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Mali</w:t>
            </w:r>
          </w:p>
        </w:tc>
        <w:tc>
          <w:tcPr>
            <w:tcW w:w="1500" w:type="dxa"/>
            <w:tcBorders>
              <w:top w:val="nil"/>
              <w:left w:val="nil"/>
              <w:bottom w:val="nil"/>
              <w:right w:val="nil"/>
              <w:tl2br w:val="nil"/>
              <w:tr2bl w:val="nil"/>
            </w:tcBorders>
            <w:tcMar>
              <w:left w:w="40" w:type="dxa"/>
              <w:right w:w="40" w:type="dxa"/>
            </w:tcMar>
            <w:vAlign w:val="center"/>
          </w:tcPr>
          <w:p w14:paraId="77E99FB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3,730</w:t>
            </w:r>
          </w:p>
        </w:tc>
        <w:tc>
          <w:tcPr>
            <w:tcW w:w="1500" w:type="dxa"/>
            <w:tcBorders>
              <w:top w:val="nil"/>
              <w:left w:val="nil"/>
              <w:bottom w:val="nil"/>
              <w:right w:val="nil"/>
              <w:tl2br w:val="nil"/>
              <w:tr2bl w:val="nil"/>
            </w:tcBorders>
            <w:tcMar>
              <w:left w:w="40" w:type="dxa"/>
              <w:right w:w="40" w:type="dxa"/>
            </w:tcMar>
            <w:vAlign w:val="center"/>
          </w:tcPr>
          <w:p w14:paraId="58A0C6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5,707</w:t>
            </w:r>
          </w:p>
        </w:tc>
      </w:tr>
      <w:tr w:rsidR="00FD1E19" w14:paraId="64EFF34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0B57D65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Cayman Islands</w:t>
            </w:r>
          </w:p>
        </w:tc>
        <w:tc>
          <w:tcPr>
            <w:tcW w:w="1500" w:type="dxa"/>
            <w:tcBorders>
              <w:top w:val="nil"/>
              <w:left w:val="nil"/>
              <w:bottom w:val="nil"/>
              <w:right w:val="nil"/>
              <w:tl2br w:val="nil"/>
              <w:tr2bl w:val="nil"/>
            </w:tcBorders>
            <w:tcMar>
              <w:left w:w="40" w:type="dxa"/>
              <w:right w:w="40" w:type="dxa"/>
            </w:tcMar>
            <w:vAlign w:val="center"/>
          </w:tcPr>
          <w:p w14:paraId="43C58E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2,983</w:t>
            </w:r>
          </w:p>
        </w:tc>
        <w:tc>
          <w:tcPr>
            <w:tcW w:w="1500" w:type="dxa"/>
            <w:tcBorders>
              <w:top w:val="nil"/>
              <w:left w:val="nil"/>
              <w:bottom w:val="nil"/>
              <w:right w:val="nil"/>
              <w:tl2br w:val="nil"/>
              <w:tr2bl w:val="nil"/>
            </w:tcBorders>
            <w:tcMar>
              <w:left w:w="40" w:type="dxa"/>
              <w:right w:w="40" w:type="dxa"/>
            </w:tcMar>
            <w:vAlign w:val="center"/>
          </w:tcPr>
          <w:p w14:paraId="0CE5BF7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5,588</w:t>
            </w:r>
          </w:p>
        </w:tc>
      </w:tr>
      <w:tr w:rsidR="00FD1E19" w14:paraId="07A8349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455C97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Malawi</w:t>
            </w:r>
          </w:p>
        </w:tc>
        <w:tc>
          <w:tcPr>
            <w:tcW w:w="1500" w:type="dxa"/>
            <w:tcBorders>
              <w:top w:val="nil"/>
              <w:left w:val="nil"/>
              <w:bottom w:val="nil"/>
              <w:right w:val="nil"/>
              <w:tl2br w:val="nil"/>
              <w:tr2bl w:val="nil"/>
            </w:tcBorders>
            <w:tcMar>
              <w:left w:w="40" w:type="dxa"/>
              <w:right w:w="40" w:type="dxa"/>
            </w:tcMar>
            <w:vAlign w:val="center"/>
          </w:tcPr>
          <w:p w14:paraId="4A1E6A5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2,255</w:t>
            </w:r>
          </w:p>
        </w:tc>
        <w:tc>
          <w:tcPr>
            <w:tcW w:w="1500" w:type="dxa"/>
            <w:tcBorders>
              <w:top w:val="nil"/>
              <w:left w:val="nil"/>
              <w:bottom w:val="nil"/>
              <w:right w:val="nil"/>
              <w:tl2br w:val="nil"/>
              <w:tr2bl w:val="nil"/>
            </w:tcBorders>
            <w:tcMar>
              <w:left w:w="40" w:type="dxa"/>
              <w:right w:w="40" w:type="dxa"/>
            </w:tcMar>
            <w:vAlign w:val="center"/>
          </w:tcPr>
          <w:p w14:paraId="0BE2677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3,586</w:t>
            </w:r>
          </w:p>
        </w:tc>
      </w:tr>
      <w:tr w:rsidR="00FD1E19" w14:paraId="28B8A60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5AF6886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Cape Verde</w:t>
            </w:r>
          </w:p>
        </w:tc>
        <w:tc>
          <w:tcPr>
            <w:tcW w:w="1500" w:type="dxa"/>
            <w:tcBorders>
              <w:top w:val="nil"/>
              <w:left w:val="nil"/>
              <w:bottom w:val="nil"/>
              <w:right w:val="nil"/>
              <w:tl2br w:val="nil"/>
              <w:tr2bl w:val="nil"/>
            </w:tcBorders>
            <w:tcMar>
              <w:left w:w="40" w:type="dxa"/>
              <w:right w:w="40" w:type="dxa"/>
            </w:tcMar>
            <w:vAlign w:val="center"/>
          </w:tcPr>
          <w:p w14:paraId="3EDCBC4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1,696</w:t>
            </w:r>
          </w:p>
        </w:tc>
        <w:tc>
          <w:tcPr>
            <w:tcW w:w="1500" w:type="dxa"/>
            <w:tcBorders>
              <w:top w:val="nil"/>
              <w:left w:val="nil"/>
              <w:bottom w:val="nil"/>
              <w:right w:val="nil"/>
              <w:tl2br w:val="nil"/>
              <w:tr2bl w:val="nil"/>
            </w:tcBorders>
            <w:tcMar>
              <w:left w:w="40" w:type="dxa"/>
              <w:right w:w="40" w:type="dxa"/>
            </w:tcMar>
            <w:vAlign w:val="center"/>
          </w:tcPr>
          <w:p w14:paraId="3530B5B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3,318</w:t>
            </w:r>
          </w:p>
        </w:tc>
      </w:tr>
      <w:tr w:rsidR="00FD1E19" w14:paraId="037A1E2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4EC5D48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Micronesia</w:t>
            </w:r>
          </w:p>
        </w:tc>
        <w:tc>
          <w:tcPr>
            <w:tcW w:w="1500" w:type="dxa"/>
            <w:tcBorders>
              <w:top w:val="nil"/>
              <w:left w:val="nil"/>
              <w:bottom w:val="nil"/>
              <w:right w:val="nil"/>
              <w:tl2br w:val="nil"/>
              <w:tr2bl w:val="nil"/>
            </w:tcBorders>
            <w:tcMar>
              <w:left w:w="40" w:type="dxa"/>
              <w:right w:w="40" w:type="dxa"/>
            </w:tcMar>
            <w:vAlign w:val="center"/>
          </w:tcPr>
          <w:p w14:paraId="1677EA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1,536</w:t>
            </w:r>
          </w:p>
        </w:tc>
        <w:tc>
          <w:tcPr>
            <w:tcW w:w="1500" w:type="dxa"/>
            <w:tcBorders>
              <w:top w:val="nil"/>
              <w:left w:val="nil"/>
              <w:bottom w:val="nil"/>
              <w:right w:val="nil"/>
              <w:tl2br w:val="nil"/>
              <w:tr2bl w:val="nil"/>
            </w:tcBorders>
            <w:tcMar>
              <w:left w:w="40" w:type="dxa"/>
              <w:right w:w="40" w:type="dxa"/>
            </w:tcMar>
            <w:vAlign w:val="center"/>
          </w:tcPr>
          <w:p w14:paraId="1172FD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2,062</w:t>
            </w:r>
          </w:p>
        </w:tc>
      </w:tr>
      <w:tr w:rsidR="00FD1E19" w14:paraId="5A0EA6A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7EE47FC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Mozambique</w:t>
            </w:r>
          </w:p>
        </w:tc>
        <w:tc>
          <w:tcPr>
            <w:tcW w:w="1500" w:type="dxa"/>
            <w:tcBorders>
              <w:top w:val="nil"/>
              <w:left w:val="nil"/>
              <w:bottom w:val="nil"/>
              <w:right w:val="nil"/>
              <w:tl2br w:val="nil"/>
              <w:tr2bl w:val="nil"/>
            </w:tcBorders>
            <w:tcMar>
              <w:left w:w="40" w:type="dxa"/>
              <w:right w:w="40" w:type="dxa"/>
            </w:tcMar>
            <w:vAlign w:val="center"/>
          </w:tcPr>
          <w:p w14:paraId="1F06266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1,048</w:t>
            </w:r>
          </w:p>
        </w:tc>
        <w:tc>
          <w:tcPr>
            <w:tcW w:w="1500" w:type="dxa"/>
            <w:tcBorders>
              <w:top w:val="nil"/>
              <w:left w:val="nil"/>
              <w:bottom w:val="nil"/>
              <w:right w:val="nil"/>
              <w:tl2br w:val="nil"/>
              <w:tr2bl w:val="nil"/>
            </w:tcBorders>
            <w:tcMar>
              <w:left w:w="40" w:type="dxa"/>
              <w:right w:w="40" w:type="dxa"/>
            </w:tcMar>
            <w:vAlign w:val="center"/>
          </w:tcPr>
          <w:p w14:paraId="49FBC05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3,126</w:t>
            </w:r>
          </w:p>
        </w:tc>
      </w:tr>
      <w:tr w:rsidR="00FD1E19" w14:paraId="7E4EC9A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7F1CB88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Burkina Faso</w:t>
            </w:r>
          </w:p>
        </w:tc>
        <w:tc>
          <w:tcPr>
            <w:tcW w:w="1500" w:type="dxa"/>
            <w:tcBorders>
              <w:top w:val="nil"/>
              <w:left w:val="nil"/>
              <w:bottom w:val="nil"/>
              <w:right w:val="nil"/>
              <w:tl2br w:val="nil"/>
              <w:tr2bl w:val="nil"/>
            </w:tcBorders>
            <w:tcMar>
              <w:left w:w="40" w:type="dxa"/>
              <w:right w:w="40" w:type="dxa"/>
            </w:tcMar>
            <w:vAlign w:val="center"/>
          </w:tcPr>
          <w:p w14:paraId="0BDFD4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887</w:t>
            </w:r>
          </w:p>
        </w:tc>
        <w:tc>
          <w:tcPr>
            <w:tcW w:w="1500" w:type="dxa"/>
            <w:tcBorders>
              <w:top w:val="nil"/>
              <w:left w:val="nil"/>
              <w:bottom w:val="nil"/>
              <w:right w:val="nil"/>
              <w:tl2br w:val="nil"/>
              <w:tr2bl w:val="nil"/>
            </w:tcBorders>
            <w:tcMar>
              <w:left w:w="40" w:type="dxa"/>
              <w:right w:w="40" w:type="dxa"/>
            </w:tcMar>
            <w:vAlign w:val="center"/>
          </w:tcPr>
          <w:p w14:paraId="24EEF58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2,348</w:t>
            </w:r>
          </w:p>
        </w:tc>
      </w:tr>
      <w:tr w:rsidR="00FD1E19" w14:paraId="11AAC25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2F9A3A8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French Polynesia</w:t>
            </w:r>
          </w:p>
        </w:tc>
        <w:tc>
          <w:tcPr>
            <w:tcW w:w="1500" w:type="dxa"/>
            <w:tcBorders>
              <w:top w:val="nil"/>
              <w:left w:val="nil"/>
              <w:bottom w:val="nil"/>
              <w:right w:val="nil"/>
              <w:tl2br w:val="nil"/>
              <w:tr2bl w:val="nil"/>
            </w:tcBorders>
            <w:tcMar>
              <w:left w:w="40" w:type="dxa"/>
              <w:right w:w="40" w:type="dxa"/>
            </w:tcMar>
            <w:vAlign w:val="center"/>
          </w:tcPr>
          <w:p w14:paraId="4AC3E5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590</w:t>
            </w:r>
          </w:p>
        </w:tc>
        <w:tc>
          <w:tcPr>
            <w:tcW w:w="1500" w:type="dxa"/>
            <w:tcBorders>
              <w:top w:val="nil"/>
              <w:left w:val="nil"/>
              <w:bottom w:val="nil"/>
              <w:right w:val="nil"/>
              <w:tl2br w:val="nil"/>
              <w:tr2bl w:val="nil"/>
            </w:tcBorders>
            <w:tcMar>
              <w:left w:w="40" w:type="dxa"/>
              <w:right w:w="40" w:type="dxa"/>
            </w:tcMar>
            <w:vAlign w:val="center"/>
          </w:tcPr>
          <w:p w14:paraId="5838AF5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1,193</w:t>
            </w:r>
          </w:p>
        </w:tc>
      </w:tr>
      <w:tr w:rsidR="00FD1E19" w14:paraId="02D16CB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5EED7BF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Samoa</w:t>
            </w:r>
          </w:p>
        </w:tc>
        <w:tc>
          <w:tcPr>
            <w:tcW w:w="1500" w:type="dxa"/>
            <w:tcBorders>
              <w:top w:val="nil"/>
              <w:left w:val="nil"/>
              <w:bottom w:val="nil"/>
              <w:right w:val="nil"/>
              <w:tl2br w:val="nil"/>
              <w:tr2bl w:val="nil"/>
            </w:tcBorders>
            <w:tcMar>
              <w:left w:w="40" w:type="dxa"/>
              <w:right w:w="40" w:type="dxa"/>
            </w:tcMar>
            <w:vAlign w:val="center"/>
          </w:tcPr>
          <w:p w14:paraId="57BA553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61</w:t>
            </w:r>
          </w:p>
        </w:tc>
        <w:tc>
          <w:tcPr>
            <w:tcW w:w="1500" w:type="dxa"/>
            <w:tcBorders>
              <w:top w:val="nil"/>
              <w:left w:val="nil"/>
              <w:bottom w:val="nil"/>
              <w:right w:val="nil"/>
              <w:tl2br w:val="nil"/>
              <w:tr2bl w:val="nil"/>
            </w:tcBorders>
            <w:tcMar>
              <w:left w:w="40" w:type="dxa"/>
              <w:right w:w="40" w:type="dxa"/>
            </w:tcMar>
            <w:vAlign w:val="center"/>
          </w:tcPr>
          <w:p w14:paraId="2264746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198</w:t>
            </w:r>
          </w:p>
        </w:tc>
      </w:tr>
      <w:tr w:rsidR="00FD1E19" w14:paraId="6D86F8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3744097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Ghana</w:t>
            </w:r>
          </w:p>
        </w:tc>
        <w:tc>
          <w:tcPr>
            <w:tcW w:w="1500" w:type="dxa"/>
            <w:tcBorders>
              <w:top w:val="nil"/>
              <w:left w:val="nil"/>
              <w:bottom w:val="nil"/>
              <w:right w:val="nil"/>
              <w:tl2br w:val="nil"/>
              <w:tr2bl w:val="nil"/>
            </w:tcBorders>
            <w:tcMar>
              <w:left w:w="40" w:type="dxa"/>
              <w:right w:w="40" w:type="dxa"/>
            </w:tcMar>
            <w:vAlign w:val="center"/>
          </w:tcPr>
          <w:p w14:paraId="482BC61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525A4E9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1,304</w:t>
            </w:r>
          </w:p>
        </w:tc>
      </w:tr>
      <w:tr w:rsidR="00FD1E19" w14:paraId="20ED253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6975" w:type="dxa"/>
            <w:tcBorders>
              <w:top w:val="nil"/>
              <w:left w:val="nil"/>
              <w:bottom w:val="nil"/>
              <w:right w:val="nil"/>
              <w:tl2br w:val="nil"/>
              <w:tr2bl w:val="nil"/>
            </w:tcBorders>
            <w:tcMar>
              <w:left w:w="40" w:type="dxa"/>
              <w:right w:w="40" w:type="dxa"/>
            </w:tcMar>
            <w:vAlign w:val="center"/>
          </w:tcPr>
          <w:p w14:paraId="6DF5AFE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Haiti</w:t>
            </w:r>
          </w:p>
        </w:tc>
        <w:tc>
          <w:tcPr>
            <w:tcW w:w="1500" w:type="dxa"/>
            <w:tcBorders>
              <w:top w:val="nil"/>
              <w:left w:val="nil"/>
              <w:bottom w:val="nil"/>
              <w:right w:val="nil"/>
              <w:tl2br w:val="nil"/>
              <w:tr2bl w:val="nil"/>
            </w:tcBorders>
            <w:tcMar>
              <w:left w:w="40" w:type="dxa"/>
              <w:right w:w="40" w:type="dxa"/>
            </w:tcMar>
            <w:vAlign w:val="center"/>
          </w:tcPr>
          <w:p w14:paraId="056971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3926CF5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w:t>
            </w:r>
          </w:p>
        </w:tc>
      </w:tr>
      <w:tr w:rsidR="00FD1E19" w14:paraId="36F13B7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BFBFBF"/>
            <w:tcMar>
              <w:left w:w="40" w:type="dxa"/>
              <w:right w:w="40" w:type="dxa"/>
            </w:tcMar>
            <w:vAlign w:val="center"/>
          </w:tcPr>
          <w:p w14:paraId="44B92B9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14:paraId="0ECAD2D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1,063,511</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14:paraId="160773C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1,498,048</w:t>
            </w:r>
          </w:p>
        </w:tc>
      </w:tr>
    </w:tbl>
    <w:p w14:paraId="5F82F11C" w14:textId="77777777" w:rsidR="00FD1E19" w:rsidRPr="00F261F1" w:rsidRDefault="00FD1E19" w:rsidP="00FD1E19">
      <w:pPr>
        <w:pageBreakBefore/>
        <w:numPr>
          <w:ilvl w:val="4"/>
          <w:numId w:val="54"/>
        </w:numPr>
        <w:pBdr>
          <w:top w:val="nil"/>
          <w:left w:val="nil"/>
          <w:bottom w:val="nil"/>
          <w:right w:val="nil"/>
          <w:between w:val="nil"/>
          <w:bar w:val="nil"/>
        </w:pBdr>
        <w:tabs>
          <w:tab w:val="right" w:pos="-2700"/>
          <w:tab w:val="left" w:pos="993"/>
        </w:tabs>
        <w:suppressAutoHyphens/>
        <w:spacing w:before="60" w:after="60" w:line="240" w:lineRule="auto"/>
        <w:jc w:val="both"/>
        <w:rPr>
          <w:rFonts w:ascii="Arial" w:hAnsi="Arial"/>
          <w:b/>
          <w:noProof/>
          <w:sz w:val="16"/>
          <w:szCs w:val="16"/>
          <w:bdr w:val="nil"/>
          <w:lang w:eastAsia="ar-SA"/>
        </w:rPr>
      </w:pPr>
      <w:bookmarkStart w:id="232" w:name="RG_MARKER_90113"/>
      <w:r w:rsidRPr="00F261F1">
        <w:rPr>
          <w:rFonts w:ascii="Arial" w:hAnsi="Arial"/>
          <w:b/>
          <w:noProof/>
          <w:sz w:val="16"/>
          <w:szCs w:val="16"/>
          <w:lang w:eastAsia="ar-SA"/>
        </w:rPr>
        <w:t>Industry sector analysis</w:t>
      </w:r>
      <w:bookmarkEnd w:id="232"/>
    </w:p>
    <w:p w14:paraId="3D68B7CF" w14:textId="77777777" w:rsidR="00FD1E19" w:rsidRDefault="00FD1E19" w:rsidP="00FD1E19">
      <w:pPr>
        <w:pBdr>
          <w:top w:val="nil"/>
          <w:left w:val="nil"/>
          <w:bottom w:val="nil"/>
          <w:right w:val="nil"/>
          <w:between w:val="nil"/>
          <w:bar w:val="nil"/>
        </w:pBdr>
        <w:tabs>
          <w:tab w:val="right" w:pos="-2700"/>
          <w:tab w:val="left" w:pos="993"/>
        </w:tabs>
        <w:suppressAutoHyphens/>
        <w:spacing w:before="60" w:after="60"/>
        <w:jc w:val="both"/>
        <w:rPr>
          <w:rFonts w:ascii="Arial" w:hAnsi="Arial"/>
          <w:noProof/>
          <w:sz w:val="16"/>
          <w:szCs w:val="16"/>
          <w:bdr w:val="nil"/>
          <w:lang w:eastAsia="ar-SA"/>
        </w:rPr>
      </w:pPr>
    </w:p>
    <w:p w14:paraId="7560449B"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The table below analyses the Facility</w:t>
      </w:r>
      <w:r>
        <w:rPr>
          <w:rFonts w:ascii="Arial" w:hAnsi="Arial"/>
          <w:noProof/>
          <w:sz w:val="16"/>
          <w:szCs w:val="16"/>
          <w:lang w:eastAsia="ar-SA"/>
        </w:rPr>
        <w:t>’</w:t>
      </w:r>
      <w:r w:rsidRPr="00BD1346">
        <w:rPr>
          <w:rFonts w:ascii="Arial" w:hAnsi="Arial"/>
          <w:noProof/>
          <w:sz w:val="16"/>
          <w:szCs w:val="16"/>
          <w:lang w:eastAsia="ar-SA"/>
        </w:rPr>
        <w:t xml:space="preserve">s loan portfolio by industry sector of the borrower. Operations which are first disbursed to a financial intermediary before being disbursed to the final beneficiary are reported </w:t>
      </w:r>
      <w:r>
        <w:rPr>
          <w:rFonts w:ascii="Arial" w:hAnsi="Arial"/>
          <w:noProof/>
          <w:sz w:val="16"/>
          <w:szCs w:val="16"/>
          <w:lang w:eastAsia="ar-SA"/>
        </w:rPr>
        <w:t>under ”Tertiary and other” (in EUR’000):</w:t>
      </w:r>
    </w:p>
    <w:tbl>
      <w:tblPr>
        <w:tblStyle w:val="CDMRange1"/>
        <w:tblW w:w="5000" w:type="pct"/>
        <w:tblLayout w:type="fixed"/>
        <w:tblLook w:val="0600" w:firstRow="0" w:lastRow="0" w:firstColumn="0" w:lastColumn="0" w:noHBand="1" w:noVBand="1"/>
      </w:tblPr>
      <w:tblGrid>
        <w:gridCol w:w="6792"/>
        <w:gridCol w:w="1463"/>
        <w:gridCol w:w="1463"/>
      </w:tblGrid>
      <w:tr w:rsidR="00FD1E19" w14:paraId="06C73B55" w14:textId="77777777" w:rsidTr="00BE7E4A">
        <w:trPr>
          <w:trHeight w:hRule="exact" w:val="30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0934E84C" w14:textId="77777777" w:rsidR="00FD1E19" w:rsidRDefault="00FD1E19" w:rsidP="00BE7E4A">
            <w:pPr>
              <w:suppressAutoHyphens/>
              <w:rPr>
                <w:rFonts w:ascii="Arial" w:eastAsia="Arial" w:hAnsi="Arial" w:cs="Arial"/>
                <w:b/>
                <w:noProof/>
                <w:color w:val="000000"/>
                <w:sz w:val="16"/>
                <w:lang w:eastAsia="ar-SA"/>
              </w:rPr>
            </w:pPr>
            <w:bookmarkStart w:id="233" w:name="RG_MARKER_90114"/>
            <w:r>
              <w:rPr>
                <w:rFonts w:ascii="Arial" w:eastAsia="Arial" w:hAnsi="Arial" w:cs="Arial"/>
                <w:b/>
                <w:noProof/>
                <w:color w:val="000000"/>
                <w:sz w:val="16"/>
                <w:lang w:eastAsia="ar-SA"/>
              </w:rPr>
              <w:t>Industry sector of borrower</w:t>
            </w:r>
            <w:bookmarkEnd w:id="233"/>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4DC053F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66333C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574D1A8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single" w:sz="4" w:space="0" w:color="000000"/>
              <w:left w:val="nil"/>
              <w:bottom w:val="nil"/>
              <w:right w:val="nil"/>
              <w:tl2br w:val="nil"/>
              <w:tr2bl w:val="nil"/>
            </w:tcBorders>
            <w:tcMar>
              <w:left w:w="40" w:type="dxa"/>
              <w:right w:w="40" w:type="dxa"/>
            </w:tcMar>
            <w:vAlign w:val="center"/>
          </w:tcPr>
          <w:p w14:paraId="243BE90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Services</w:t>
            </w:r>
          </w:p>
        </w:tc>
        <w:tc>
          <w:tcPr>
            <w:tcW w:w="1500" w:type="dxa"/>
            <w:tcBorders>
              <w:top w:val="single" w:sz="4" w:space="0" w:color="000000"/>
              <w:left w:val="nil"/>
              <w:bottom w:val="nil"/>
              <w:right w:val="nil"/>
              <w:tl2br w:val="nil"/>
              <w:tr2bl w:val="nil"/>
            </w:tcBorders>
            <w:tcMar>
              <w:left w:w="40" w:type="dxa"/>
              <w:right w:w="40" w:type="dxa"/>
            </w:tcMar>
            <w:vAlign w:val="center"/>
          </w:tcPr>
          <w:p w14:paraId="296747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627,960</w:t>
            </w:r>
          </w:p>
        </w:tc>
        <w:tc>
          <w:tcPr>
            <w:tcW w:w="1500" w:type="dxa"/>
            <w:tcBorders>
              <w:top w:val="single" w:sz="4" w:space="0" w:color="000000"/>
              <w:left w:val="nil"/>
              <w:bottom w:val="nil"/>
              <w:right w:val="nil"/>
              <w:tl2br w:val="nil"/>
              <w:tr2bl w:val="nil"/>
            </w:tcBorders>
            <w:tcMar>
              <w:left w:w="40" w:type="dxa"/>
              <w:right w:w="40" w:type="dxa"/>
            </w:tcMar>
            <w:vAlign w:val="center"/>
          </w:tcPr>
          <w:p w14:paraId="7A1D763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924,947</w:t>
            </w:r>
          </w:p>
        </w:tc>
      </w:tr>
      <w:tr w:rsidR="00FD1E19" w14:paraId="6379082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43FFCBA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Public Administration</w:t>
            </w:r>
          </w:p>
        </w:tc>
        <w:tc>
          <w:tcPr>
            <w:tcW w:w="1500" w:type="dxa"/>
            <w:tcBorders>
              <w:top w:val="nil"/>
              <w:left w:val="nil"/>
              <w:bottom w:val="nil"/>
              <w:right w:val="nil"/>
              <w:tl2br w:val="nil"/>
              <w:tr2bl w:val="nil"/>
            </w:tcBorders>
            <w:tcMar>
              <w:left w:w="40" w:type="dxa"/>
              <w:right w:w="40" w:type="dxa"/>
            </w:tcMar>
            <w:vAlign w:val="center"/>
          </w:tcPr>
          <w:p w14:paraId="473527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192,191</w:t>
            </w:r>
          </w:p>
        </w:tc>
        <w:tc>
          <w:tcPr>
            <w:tcW w:w="1500" w:type="dxa"/>
            <w:tcBorders>
              <w:top w:val="nil"/>
              <w:left w:val="nil"/>
              <w:bottom w:val="nil"/>
              <w:right w:val="nil"/>
              <w:tl2br w:val="nil"/>
              <w:tr2bl w:val="nil"/>
            </w:tcBorders>
            <w:tcMar>
              <w:left w:w="40" w:type="dxa"/>
              <w:right w:w="40" w:type="dxa"/>
            </w:tcMar>
            <w:vAlign w:val="center"/>
          </w:tcPr>
          <w:p w14:paraId="5D2805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214,554</w:t>
            </w:r>
          </w:p>
        </w:tc>
      </w:tr>
      <w:tr w:rsidR="00FD1E19" w14:paraId="15BC135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353AA7F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Electricity</w:t>
            </w:r>
          </w:p>
        </w:tc>
        <w:tc>
          <w:tcPr>
            <w:tcW w:w="1500" w:type="dxa"/>
            <w:tcBorders>
              <w:top w:val="nil"/>
              <w:left w:val="nil"/>
              <w:bottom w:val="nil"/>
              <w:right w:val="nil"/>
              <w:tl2br w:val="nil"/>
              <w:tr2bl w:val="nil"/>
            </w:tcBorders>
            <w:tcMar>
              <w:left w:w="40" w:type="dxa"/>
              <w:right w:w="40" w:type="dxa"/>
            </w:tcMar>
            <w:vAlign w:val="center"/>
          </w:tcPr>
          <w:p w14:paraId="2649B85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137,746</w:t>
            </w:r>
          </w:p>
        </w:tc>
        <w:tc>
          <w:tcPr>
            <w:tcW w:w="1500" w:type="dxa"/>
            <w:tcBorders>
              <w:top w:val="nil"/>
              <w:left w:val="nil"/>
              <w:bottom w:val="nil"/>
              <w:right w:val="nil"/>
              <w:tl2br w:val="nil"/>
              <w:tr2bl w:val="nil"/>
            </w:tcBorders>
            <w:tcMar>
              <w:left w:w="40" w:type="dxa"/>
              <w:right w:w="40" w:type="dxa"/>
            </w:tcMar>
            <w:vAlign w:val="center"/>
          </w:tcPr>
          <w:p w14:paraId="7531E21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170,632</w:t>
            </w:r>
          </w:p>
        </w:tc>
      </w:tr>
      <w:tr w:rsidR="00FD1E19" w14:paraId="3047717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6B3F531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Chemicals</w:t>
            </w:r>
          </w:p>
        </w:tc>
        <w:tc>
          <w:tcPr>
            <w:tcW w:w="1500" w:type="dxa"/>
            <w:tcBorders>
              <w:top w:val="nil"/>
              <w:left w:val="nil"/>
              <w:bottom w:val="nil"/>
              <w:right w:val="nil"/>
              <w:tl2br w:val="nil"/>
              <w:tr2bl w:val="nil"/>
            </w:tcBorders>
            <w:tcMar>
              <w:left w:w="40" w:type="dxa"/>
              <w:right w:w="40" w:type="dxa"/>
            </w:tcMar>
            <w:vAlign w:val="center"/>
          </w:tcPr>
          <w:p w14:paraId="77645D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54,806</w:t>
            </w:r>
          </w:p>
        </w:tc>
        <w:tc>
          <w:tcPr>
            <w:tcW w:w="1500" w:type="dxa"/>
            <w:tcBorders>
              <w:top w:val="nil"/>
              <w:left w:val="nil"/>
              <w:bottom w:val="nil"/>
              <w:right w:val="nil"/>
              <w:tl2br w:val="nil"/>
              <w:tr2bl w:val="nil"/>
            </w:tcBorders>
            <w:tcMar>
              <w:left w:w="40" w:type="dxa"/>
              <w:right w:w="40" w:type="dxa"/>
            </w:tcMar>
            <w:vAlign w:val="center"/>
          </w:tcPr>
          <w:p w14:paraId="6058231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81,046</w:t>
            </w:r>
          </w:p>
        </w:tc>
      </w:tr>
      <w:tr w:rsidR="00FD1E19" w14:paraId="68AD67A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3FD9A87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Regulated Networks</w:t>
            </w:r>
          </w:p>
        </w:tc>
        <w:tc>
          <w:tcPr>
            <w:tcW w:w="1500" w:type="dxa"/>
            <w:tcBorders>
              <w:top w:val="nil"/>
              <w:left w:val="nil"/>
              <w:bottom w:val="nil"/>
              <w:right w:val="nil"/>
              <w:tl2br w:val="nil"/>
              <w:tr2bl w:val="nil"/>
            </w:tcBorders>
            <w:tcMar>
              <w:left w:w="40" w:type="dxa"/>
              <w:right w:w="40" w:type="dxa"/>
            </w:tcMar>
            <w:vAlign w:val="center"/>
          </w:tcPr>
          <w:p w14:paraId="1C20D8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14,571</w:t>
            </w:r>
          </w:p>
        </w:tc>
        <w:tc>
          <w:tcPr>
            <w:tcW w:w="1500" w:type="dxa"/>
            <w:tcBorders>
              <w:top w:val="nil"/>
              <w:left w:val="nil"/>
              <w:bottom w:val="nil"/>
              <w:right w:val="nil"/>
              <w:tl2br w:val="nil"/>
              <w:tr2bl w:val="nil"/>
            </w:tcBorders>
            <w:tcMar>
              <w:left w:w="40" w:type="dxa"/>
              <w:right w:w="40" w:type="dxa"/>
            </w:tcMar>
            <w:vAlign w:val="center"/>
          </w:tcPr>
          <w:p w14:paraId="331286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5,441</w:t>
            </w:r>
          </w:p>
        </w:tc>
      </w:tr>
      <w:tr w:rsidR="00FD1E19" w14:paraId="75F14D4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5F6F589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Business Services, IT and Media</w:t>
            </w:r>
          </w:p>
        </w:tc>
        <w:tc>
          <w:tcPr>
            <w:tcW w:w="1500" w:type="dxa"/>
            <w:tcBorders>
              <w:top w:val="nil"/>
              <w:left w:val="nil"/>
              <w:bottom w:val="nil"/>
              <w:right w:val="nil"/>
              <w:tl2br w:val="nil"/>
              <w:tr2bl w:val="nil"/>
            </w:tcBorders>
            <w:tcMar>
              <w:left w:w="40" w:type="dxa"/>
              <w:right w:w="40" w:type="dxa"/>
            </w:tcMar>
            <w:vAlign w:val="center"/>
          </w:tcPr>
          <w:p w14:paraId="4DA5DB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10,920</w:t>
            </w:r>
          </w:p>
        </w:tc>
        <w:tc>
          <w:tcPr>
            <w:tcW w:w="1500" w:type="dxa"/>
            <w:tcBorders>
              <w:top w:val="nil"/>
              <w:left w:val="nil"/>
              <w:bottom w:val="nil"/>
              <w:right w:val="nil"/>
              <w:tl2br w:val="nil"/>
              <w:tr2bl w:val="nil"/>
            </w:tcBorders>
            <w:tcMar>
              <w:left w:w="40" w:type="dxa"/>
              <w:right w:w="40" w:type="dxa"/>
            </w:tcMar>
            <w:vAlign w:val="center"/>
          </w:tcPr>
          <w:p w14:paraId="6EE22D5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33,926</w:t>
            </w:r>
          </w:p>
        </w:tc>
      </w:tr>
      <w:tr w:rsidR="00FD1E19" w14:paraId="24BEDE0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452E4FF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Pharmaceuticals and Medical Equipment</w:t>
            </w:r>
          </w:p>
        </w:tc>
        <w:tc>
          <w:tcPr>
            <w:tcW w:w="1500" w:type="dxa"/>
            <w:tcBorders>
              <w:top w:val="nil"/>
              <w:left w:val="nil"/>
              <w:bottom w:val="nil"/>
              <w:right w:val="nil"/>
              <w:tl2br w:val="nil"/>
              <w:tr2bl w:val="nil"/>
            </w:tcBorders>
            <w:tcMar>
              <w:left w:w="40" w:type="dxa"/>
              <w:right w:w="40" w:type="dxa"/>
            </w:tcMar>
            <w:vAlign w:val="center"/>
          </w:tcPr>
          <w:p w14:paraId="1CBEB95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8,305</w:t>
            </w:r>
          </w:p>
        </w:tc>
        <w:tc>
          <w:tcPr>
            <w:tcW w:w="1500" w:type="dxa"/>
            <w:tcBorders>
              <w:top w:val="nil"/>
              <w:left w:val="nil"/>
              <w:bottom w:val="nil"/>
              <w:right w:val="nil"/>
              <w:tl2br w:val="nil"/>
              <w:tr2bl w:val="nil"/>
            </w:tcBorders>
            <w:tcMar>
              <w:left w:w="40" w:type="dxa"/>
              <w:right w:w="40" w:type="dxa"/>
            </w:tcMar>
            <w:vAlign w:val="center"/>
          </w:tcPr>
          <w:p w14:paraId="5BD8BC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13,227</w:t>
            </w:r>
          </w:p>
        </w:tc>
      </w:tr>
      <w:tr w:rsidR="00FD1E19" w14:paraId="4FD81A8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49588CC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Investment Goods</w:t>
            </w:r>
          </w:p>
        </w:tc>
        <w:tc>
          <w:tcPr>
            <w:tcW w:w="1500" w:type="dxa"/>
            <w:tcBorders>
              <w:top w:val="nil"/>
              <w:left w:val="nil"/>
              <w:bottom w:val="nil"/>
              <w:right w:val="nil"/>
              <w:tl2br w:val="nil"/>
              <w:tr2bl w:val="nil"/>
            </w:tcBorders>
            <w:tcMar>
              <w:left w:w="40" w:type="dxa"/>
              <w:right w:w="40" w:type="dxa"/>
            </w:tcMar>
            <w:vAlign w:val="center"/>
          </w:tcPr>
          <w:p w14:paraId="651CBCA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6,057</w:t>
            </w:r>
          </w:p>
        </w:tc>
        <w:tc>
          <w:tcPr>
            <w:tcW w:w="1500" w:type="dxa"/>
            <w:tcBorders>
              <w:top w:val="nil"/>
              <w:left w:val="nil"/>
              <w:bottom w:val="nil"/>
              <w:right w:val="nil"/>
              <w:tl2br w:val="nil"/>
              <w:tr2bl w:val="nil"/>
            </w:tcBorders>
            <w:tcMar>
              <w:left w:w="40" w:type="dxa"/>
              <w:right w:w="40" w:type="dxa"/>
            </w:tcMar>
            <w:vAlign w:val="center"/>
          </w:tcPr>
          <w:p w14:paraId="1A7D31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7,244</w:t>
            </w:r>
          </w:p>
        </w:tc>
      </w:tr>
      <w:tr w:rsidR="00FD1E19" w14:paraId="0BD4501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307E8D8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Metals and Mining</w:t>
            </w:r>
          </w:p>
        </w:tc>
        <w:tc>
          <w:tcPr>
            <w:tcW w:w="1500" w:type="dxa"/>
            <w:tcBorders>
              <w:top w:val="nil"/>
              <w:left w:val="nil"/>
              <w:bottom w:val="nil"/>
              <w:right w:val="nil"/>
              <w:tl2br w:val="nil"/>
              <w:tr2bl w:val="nil"/>
            </w:tcBorders>
            <w:tcMar>
              <w:left w:w="40" w:type="dxa"/>
              <w:right w:w="40" w:type="dxa"/>
            </w:tcMar>
            <w:vAlign w:val="center"/>
          </w:tcPr>
          <w:p w14:paraId="0209324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5,175</w:t>
            </w:r>
          </w:p>
        </w:tc>
        <w:tc>
          <w:tcPr>
            <w:tcW w:w="1500" w:type="dxa"/>
            <w:tcBorders>
              <w:top w:val="nil"/>
              <w:left w:val="nil"/>
              <w:bottom w:val="nil"/>
              <w:right w:val="nil"/>
              <w:tl2br w:val="nil"/>
              <w:tr2bl w:val="nil"/>
            </w:tcBorders>
            <w:tcMar>
              <w:left w:w="40" w:type="dxa"/>
              <w:right w:w="40" w:type="dxa"/>
            </w:tcMar>
            <w:vAlign w:val="center"/>
          </w:tcPr>
          <w:p w14:paraId="35DA1E9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7,157</w:t>
            </w:r>
          </w:p>
        </w:tc>
      </w:tr>
      <w:tr w:rsidR="00FD1E19" w14:paraId="0FEE082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6B10520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Consumer Goods and Retail</w:t>
            </w:r>
          </w:p>
        </w:tc>
        <w:tc>
          <w:tcPr>
            <w:tcW w:w="1500" w:type="dxa"/>
            <w:tcBorders>
              <w:top w:val="nil"/>
              <w:left w:val="nil"/>
              <w:bottom w:val="nil"/>
              <w:right w:val="nil"/>
              <w:tl2br w:val="nil"/>
              <w:tr2bl w:val="nil"/>
            </w:tcBorders>
            <w:tcMar>
              <w:left w:w="40" w:type="dxa"/>
              <w:right w:w="40" w:type="dxa"/>
            </w:tcMar>
            <w:vAlign w:val="center"/>
          </w:tcPr>
          <w:p w14:paraId="6C28873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3,499</w:t>
            </w:r>
          </w:p>
        </w:tc>
        <w:tc>
          <w:tcPr>
            <w:tcW w:w="1500" w:type="dxa"/>
            <w:tcBorders>
              <w:top w:val="nil"/>
              <w:left w:val="nil"/>
              <w:bottom w:val="nil"/>
              <w:right w:val="nil"/>
              <w:tl2br w:val="nil"/>
              <w:tr2bl w:val="nil"/>
            </w:tcBorders>
            <w:tcMar>
              <w:left w:w="40" w:type="dxa"/>
              <w:right w:w="40" w:type="dxa"/>
            </w:tcMar>
            <w:vAlign w:val="center"/>
          </w:tcPr>
          <w:p w14:paraId="69D79EA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6BE39D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39BC268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Waste Recuperation and Recycling</w:t>
            </w:r>
          </w:p>
        </w:tc>
        <w:tc>
          <w:tcPr>
            <w:tcW w:w="1500" w:type="dxa"/>
            <w:tcBorders>
              <w:top w:val="nil"/>
              <w:left w:val="nil"/>
              <w:bottom w:val="nil"/>
              <w:right w:val="nil"/>
              <w:tl2br w:val="nil"/>
              <w:tr2bl w:val="nil"/>
            </w:tcBorders>
            <w:tcMar>
              <w:left w:w="40" w:type="dxa"/>
              <w:right w:w="40" w:type="dxa"/>
            </w:tcMar>
            <w:vAlign w:val="center"/>
          </w:tcPr>
          <w:p w14:paraId="021DBD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2,281</w:t>
            </w:r>
          </w:p>
        </w:tc>
        <w:tc>
          <w:tcPr>
            <w:tcW w:w="1500" w:type="dxa"/>
            <w:tcBorders>
              <w:top w:val="nil"/>
              <w:left w:val="nil"/>
              <w:bottom w:val="nil"/>
              <w:right w:val="nil"/>
              <w:tl2br w:val="nil"/>
              <w:tr2bl w:val="nil"/>
            </w:tcBorders>
            <w:tcMar>
              <w:left w:w="40" w:type="dxa"/>
              <w:right w:w="40" w:type="dxa"/>
            </w:tcMar>
            <w:vAlign w:val="center"/>
          </w:tcPr>
          <w:p w14:paraId="4A0B83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3,041</w:t>
            </w:r>
          </w:p>
        </w:tc>
      </w:tr>
      <w:tr w:rsidR="00FD1E19" w14:paraId="062E22A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3ABD583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Healthcare</w:t>
            </w:r>
          </w:p>
        </w:tc>
        <w:tc>
          <w:tcPr>
            <w:tcW w:w="1500" w:type="dxa"/>
            <w:tcBorders>
              <w:top w:val="nil"/>
              <w:left w:val="nil"/>
              <w:bottom w:val="nil"/>
              <w:right w:val="nil"/>
              <w:tl2br w:val="nil"/>
              <w:tr2bl w:val="nil"/>
            </w:tcBorders>
            <w:tcMar>
              <w:left w:w="40" w:type="dxa"/>
              <w:right w:w="40" w:type="dxa"/>
            </w:tcMar>
            <w:vAlign w:val="center"/>
          </w:tcPr>
          <w:p w14:paraId="0CED82B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0EBD107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r>
      <w:tr w:rsidR="00FD1E19" w14:paraId="1A65D0E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shd w:val="clear" w:color="FFFFFF" w:fill="BFBFBF"/>
            <w:tcMar>
              <w:left w:w="40" w:type="dxa"/>
              <w:right w:w="40" w:type="dxa"/>
            </w:tcMar>
            <w:vAlign w:val="center"/>
          </w:tcPr>
          <w:p w14:paraId="32F3ACE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00" w:type="dxa"/>
            <w:tcBorders>
              <w:top w:val="nil"/>
              <w:left w:val="nil"/>
              <w:bottom w:val="nil"/>
              <w:right w:val="nil"/>
              <w:tl2br w:val="nil"/>
              <w:tr2bl w:val="nil"/>
            </w:tcBorders>
            <w:shd w:val="clear" w:color="FFFFFF" w:fill="BFBFBF"/>
            <w:tcMar>
              <w:left w:w="40" w:type="dxa"/>
              <w:right w:w="40" w:type="dxa"/>
            </w:tcMar>
            <w:vAlign w:val="center"/>
          </w:tcPr>
          <w:p w14:paraId="493C935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1,063,511</w:t>
            </w:r>
          </w:p>
        </w:tc>
        <w:tc>
          <w:tcPr>
            <w:tcW w:w="1500" w:type="dxa"/>
            <w:tcBorders>
              <w:top w:val="nil"/>
              <w:left w:val="nil"/>
              <w:bottom w:val="nil"/>
              <w:right w:val="nil"/>
              <w:tl2br w:val="nil"/>
              <w:tr2bl w:val="nil"/>
            </w:tcBorders>
            <w:shd w:val="clear" w:color="FFFFFF" w:fill="BFBFBF"/>
            <w:tcMar>
              <w:left w:w="40" w:type="dxa"/>
              <w:right w:w="40" w:type="dxa"/>
            </w:tcMar>
            <w:vAlign w:val="center"/>
          </w:tcPr>
          <w:p w14:paraId="33ECB19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1,498,048</w:t>
            </w:r>
          </w:p>
        </w:tc>
      </w:tr>
    </w:tbl>
    <w:p w14:paraId="4F0C596E" w14:textId="77777777" w:rsidR="00FD1E19" w:rsidRDefault="00FD1E19" w:rsidP="00FD1E19">
      <w:pPr>
        <w:pageBreakBefore/>
        <w:numPr>
          <w:ilvl w:val="3"/>
          <w:numId w:val="55"/>
        </w:numPr>
        <w:pBdr>
          <w:top w:val="nil"/>
          <w:left w:val="nil"/>
          <w:bottom w:val="nil"/>
          <w:right w:val="nil"/>
          <w:between w:val="nil"/>
          <w:bar w:val="nil"/>
        </w:pBdr>
        <w:tabs>
          <w:tab w:val="right" w:pos="-2700"/>
          <w:tab w:val="right" w:pos="720"/>
          <w:tab w:val="center" w:pos="4320"/>
          <w:tab w:val="right" w:pos="8640"/>
        </w:tabs>
        <w:suppressAutoHyphens/>
        <w:spacing w:before="60" w:after="60" w:line="240" w:lineRule="auto"/>
        <w:ind w:left="794" w:hanging="794"/>
        <w:jc w:val="both"/>
        <w:rPr>
          <w:rFonts w:ascii="Arial" w:hAnsi="Arial" w:cs="Arial"/>
          <w:bCs/>
          <w:noProof/>
          <w:sz w:val="16"/>
          <w:szCs w:val="16"/>
          <w:bdr w:val="nil"/>
          <w:lang w:val="en-US" w:eastAsia="ar-SA"/>
        </w:rPr>
      </w:pPr>
      <w:bookmarkStart w:id="234" w:name="RG_MARKER_90115"/>
      <w:r>
        <w:rPr>
          <w:rFonts w:ascii="Arial" w:hAnsi="Arial" w:cs="Arial"/>
          <w:b/>
          <w:bCs/>
          <w:noProof/>
          <w:sz w:val="16"/>
          <w:szCs w:val="16"/>
          <w:lang w:eastAsia="ar-SA"/>
        </w:rPr>
        <w:t>Credit risk exposure for each internal risk rating</w:t>
      </w:r>
      <w:bookmarkEnd w:id="234"/>
    </w:p>
    <w:p w14:paraId="27CFA22F" w14:textId="77777777" w:rsidR="00FD1E19" w:rsidRDefault="00FD1E19" w:rsidP="00FD1E19">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lang w:val="en-US"/>
        </w:rPr>
      </w:pPr>
    </w:p>
    <w:p w14:paraId="638DBB04" w14:textId="77777777" w:rsidR="00FD1E19" w:rsidRPr="00231CE8" w:rsidRDefault="00FD1E19" w:rsidP="00FD1E19">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lang w:val="en-US"/>
        </w:rPr>
      </w:pPr>
      <w:r w:rsidRPr="00231CE8">
        <w:rPr>
          <w:rFonts w:ascii="Arial" w:eastAsia="Calibri" w:hAnsi="Arial" w:cs="Arial"/>
          <w:noProof/>
          <w:sz w:val="16"/>
          <w:szCs w:val="16"/>
          <w:bdr w:val="none" w:sz="0" w:space="0" w:color="auto" w:frame="1"/>
          <w:lang w:val="en-US"/>
        </w:rPr>
        <w:t>The EIB uses an internal rating methodology in line with the Internal ratings based approach under Basel III. The majority of the Facility’s counterparties have been assigned an internal rating according to this methodology. The table below shows a breakdown of the Facility’s loan portfolio by the better of the borrower’s or guarantor’s internal ratings, where available. In cases where an internal rating is not available, the external rating has been used for this analysis.</w:t>
      </w:r>
    </w:p>
    <w:p w14:paraId="4F4C6F67" w14:textId="77777777" w:rsidR="00FD1E19" w:rsidRPr="00231CE8" w:rsidRDefault="00FD1E19" w:rsidP="00FD1E19">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lang w:val="en-US"/>
        </w:rPr>
      </w:pPr>
    </w:p>
    <w:p w14:paraId="425AB249" w14:textId="77777777" w:rsidR="00FD1E19" w:rsidRDefault="00FD1E19" w:rsidP="00FD1E19">
      <w:pPr>
        <w:pBdr>
          <w:top w:val="nil"/>
          <w:left w:val="nil"/>
          <w:bottom w:val="nil"/>
          <w:right w:val="nil"/>
          <w:between w:val="nil"/>
          <w:bar w:val="nil"/>
        </w:pBdr>
        <w:spacing w:before="60" w:after="60" w:line="276" w:lineRule="auto"/>
        <w:contextualSpacing/>
        <w:jc w:val="both"/>
        <w:rPr>
          <w:rFonts w:ascii="Arial" w:eastAsia="Calibri" w:hAnsi="Arial" w:cs="Arial"/>
          <w:noProof/>
          <w:sz w:val="16"/>
          <w:szCs w:val="16"/>
          <w:bdr w:val="nil"/>
          <w:lang w:val="en-US"/>
        </w:rPr>
      </w:pPr>
      <w:r w:rsidRPr="00231CE8">
        <w:rPr>
          <w:rFonts w:ascii="Arial" w:eastAsia="Calibri" w:hAnsi="Arial" w:cs="Arial"/>
          <w:noProof/>
          <w:sz w:val="16"/>
          <w:szCs w:val="16"/>
          <w:bdr w:val="none" w:sz="0" w:space="0" w:color="auto" w:frame="1"/>
          <w:lang w:val="en-US"/>
        </w:rPr>
        <w:t>The table shows both the exposures signed (disbursed and undisbursed) and the risk-weighted exposures, based on an internal methodology that the Fac</w:t>
      </w:r>
      <w:r>
        <w:rPr>
          <w:rFonts w:ascii="Arial" w:eastAsia="Calibri" w:hAnsi="Arial" w:cs="Arial"/>
          <w:noProof/>
          <w:sz w:val="16"/>
          <w:szCs w:val="16"/>
          <w:bdr w:val="none" w:sz="0" w:space="0" w:color="auto" w:frame="1"/>
          <w:lang w:val="en-US"/>
        </w:rPr>
        <w:t>ility uses for limit management.</w:t>
      </w:r>
    </w:p>
    <w:tbl>
      <w:tblPr>
        <w:tblStyle w:val="CDMRange2"/>
        <w:tblW w:w="5000" w:type="pct"/>
        <w:tblLayout w:type="fixed"/>
        <w:tblLook w:val="0600" w:firstRow="0" w:lastRow="0" w:firstColumn="0" w:lastColumn="0" w:noHBand="1" w:noVBand="1"/>
      </w:tblPr>
      <w:tblGrid>
        <w:gridCol w:w="3708"/>
        <w:gridCol w:w="995"/>
        <w:gridCol w:w="995"/>
        <w:gridCol w:w="995"/>
        <w:gridCol w:w="995"/>
        <w:gridCol w:w="995"/>
        <w:gridCol w:w="995"/>
      </w:tblGrid>
      <w:tr w:rsidR="00FD1E19" w14:paraId="3723C511" w14:textId="77777777" w:rsidTr="00BE7E4A">
        <w:trPr>
          <w:trHeight w:hRule="exact" w:val="300"/>
        </w:trPr>
        <w:tc>
          <w:tcPr>
            <w:tcW w:w="37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2C767BA1" w14:textId="77777777" w:rsidR="00FD1E19" w:rsidRDefault="00FD1E19" w:rsidP="00BE7E4A">
            <w:pPr>
              <w:suppressAutoHyphens/>
              <w:rPr>
                <w:rFonts w:ascii="Arial" w:eastAsia="Arial" w:hAnsi="Arial" w:cs="Arial"/>
                <w:noProof/>
                <w:color w:val="000000"/>
                <w:sz w:val="16"/>
                <w:lang w:eastAsia="ar-SA"/>
              </w:rPr>
            </w:pPr>
            <w:bookmarkStart w:id="235" w:name="RG_MARKER_90117"/>
            <w:bookmarkEnd w:id="235"/>
          </w:p>
        </w:tc>
        <w:tc>
          <w:tcPr>
            <w:tcW w:w="10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5871928C" w14:textId="77777777" w:rsidR="00FD1E19" w:rsidRDefault="00FD1E19" w:rsidP="00BE7E4A">
            <w:pPr>
              <w:suppressAutoHyphens/>
              <w:rPr>
                <w:rFonts w:ascii="Arial" w:eastAsia="Arial" w:hAnsi="Arial" w:cs="Arial"/>
                <w:noProof/>
                <w:color w:val="000000"/>
                <w:sz w:val="16"/>
                <w:lang w:eastAsia="ar-SA"/>
              </w:rPr>
            </w:pPr>
          </w:p>
        </w:tc>
        <w:tc>
          <w:tcPr>
            <w:tcW w:w="5025" w:type="dxa"/>
            <w:gridSpan w:val="5"/>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180FF481"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2025</w:t>
            </w:r>
          </w:p>
        </w:tc>
      </w:tr>
      <w:tr w:rsidR="00FD1E19" w14:paraId="58490B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0"/>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24BEC9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5C0981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Moody’s equiv. grade</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897F44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12-month ECL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883825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not credit-impaired</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82D0E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credit-impaired</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3948FE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FVTPL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561E98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2EEA83B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0544783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AC</w:t>
            </w:r>
          </w:p>
        </w:tc>
        <w:tc>
          <w:tcPr>
            <w:tcW w:w="1005" w:type="dxa"/>
            <w:tcBorders>
              <w:top w:val="single" w:sz="4" w:space="0" w:color="000000"/>
              <w:left w:val="nil"/>
              <w:bottom w:val="nil"/>
              <w:right w:val="nil"/>
              <w:tl2br w:val="nil"/>
              <w:tr2bl w:val="nil"/>
            </w:tcBorders>
            <w:shd w:val="clear" w:color="FFFFFF" w:fill="FFFFFF"/>
            <w:tcMar>
              <w:left w:w="0" w:type="dxa"/>
              <w:right w:w="0" w:type="dxa"/>
            </w:tcMar>
            <w:vAlign w:val="bottom"/>
          </w:tcPr>
          <w:p w14:paraId="2EC3F879"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F1FF96C"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8B0784D"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5041A89"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297AB74A"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3D64A3A" w14:textId="77777777" w:rsidR="00FD1E19" w:rsidRDefault="00FD1E19" w:rsidP="00BE7E4A">
            <w:pPr>
              <w:suppressAutoHyphens/>
              <w:jc w:val="right"/>
              <w:rPr>
                <w:rFonts w:ascii="Arial" w:eastAsia="Arial" w:hAnsi="Arial" w:cs="Arial"/>
                <w:noProof/>
                <w:color w:val="000000"/>
                <w:sz w:val="16"/>
                <w:lang w:eastAsia="ar-SA"/>
              </w:rPr>
            </w:pPr>
          </w:p>
        </w:tc>
      </w:tr>
      <w:tr w:rsidR="00FD1E19" w14:paraId="0FAFE8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14:paraId="75CAD10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1 -  minimal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0C0D39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Aaa</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081A1D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82B97F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30,258</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B71CD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7EB9F5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54B956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30,258</w:t>
            </w:r>
          </w:p>
        </w:tc>
      </w:tr>
      <w:tr w:rsidR="00FD1E19" w14:paraId="364F71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14:paraId="6A708E0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2 - very low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B06A5B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910FC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111,954</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BA0A2F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C99513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0CEC4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753D64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111,954</w:t>
            </w:r>
          </w:p>
        </w:tc>
      </w:tr>
      <w:tr w:rsidR="00FD1E19" w14:paraId="2E5B4F2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14:paraId="20BB64B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3 - low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013284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A1 - 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9FD12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8,704</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CB3B3A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5007A9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E6BDA0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A98435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8,704</w:t>
            </w:r>
          </w:p>
        </w:tc>
      </w:tr>
      <w:tr w:rsidR="00FD1E19" w14:paraId="6A37C5B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14:paraId="7FF90F2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4 - moderate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0C7C9B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B91B33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163,126</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F9520F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71F8C3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2,281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052C8A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2E8DB7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165,407</w:t>
            </w:r>
          </w:p>
        </w:tc>
      </w:tr>
      <w:tr w:rsidR="00FD1E19" w14:paraId="66510B6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14:paraId="78A999F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5 - financially weak counterpart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D85267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821C63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42,793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2BD6EF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4,794</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857BF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95282D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D72C08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47,587</w:t>
            </w:r>
          </w:p>
        </w:tc>
      </w:tr>
      <w:tr w:rsidR="00FD1E19" w14:paraId="6E54400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14:paraId="4E3055B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6 - high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F548C9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9A2718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319,758</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7E9CE0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54,209</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F921D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38225A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2EBE24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373,967</w:t>
            </w:r>
          </w:p>
        </w:tc>
      </w:tr>
      <w:tr w:rsidR="00FD1E19" w14:paraId="416037C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center"/>
          </w:tcPr>
          <w:p w14:paraId="3129AAB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7 - very high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686AAF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759649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38,565</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B753B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216,042</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B78188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952D9E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A7D3B7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254,607</w:t>
            </w:r>
          </w:p>
        </w:tc>
      </w:tr>
      <w:tr w:rsidR="00FD1E19" w14:paraId="463955C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34983F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8 - counterpart in default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657B7E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 but in default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E36DC5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9B054D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CB2B3F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15,553</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EAEBCA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0876BA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15,553</w:t>
            </w:r>
          </w:p>
        </w:tc>
      </w:tr>
      <w:tr w:rsidR="00FD1E19" w14:paraId="5C1D507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09CC66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FVTPL</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tcPr>
          <w:p w14:paraId="39734038"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5737B0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A43E8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A2EF35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63B420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148,669</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A5FE69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148,669</w:t>
            </w:r>
          </w:p>
        </w:tc>
      </w:tr>
      <w:tr w:rsidR="00FD1E19" w14:paraId="5B3841B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BA4045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Loss allowance and FV adjustment</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tcPr>
          <w:p w14:paraId="0E47A97F"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E3E149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-7,186</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EAA0D6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-13,764</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CD0E2C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-2,471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49925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-69,774</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252529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-93,195</w:t>
            </w:r>
          </w:p>
        </w:tc>
      </w:tr>
      <w:tr w:rsidR="00FD1E19" w14:paraId="3F1883A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183E5D9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of loans and advances</w:t>
            </w:r>
          </w:p>
        </w:tc>
        <w:tc>
          <w:tcPr>
            <w:tcW w:w="1005" w:type="dxa"/>
            <w:tcBorders>
              <w:top w:val="single" w:sz="4" w:space="0" w:color="000000"/>
              <w:left w:val="nil"/>
              <w:bottom w:val="nil"/>
              <w:right w:val="nil"/>
              <w:tl2br w:val="nil"/>
              <w:tr2bl w:val="nil"/>
            </w:tcBorders>
            <w:shd w:val="clear" w:color="FFFFFF" w:fill="C0C0C0"/>
            <w:tcMar>
              <w:left w:w="0" w:type="dxa"/>
              <w:right w:w="0" w:type="dxa"/>
            </w:tcMar>
          </w:tcPr>
          <w:p w14:paraId="2B99BF67"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44509FD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677,714</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6410071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291,539</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55EDDCD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15,363</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213E273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78,895</w:t>
            </w:r>
          </w:p>
        </w:tc>
        <w:tc>
          <w:tcPr>
            <w:tcW w:w="1005"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14:paraId="6873D75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1,063,511</w:t>
            </w:r>
          </w:p>
        </w:tc>
      </w:tr>
      <w:tr w:rsidR="00FD1E19" w14:paraId="6A9B053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0" w:type="dxa"/>
              <w:right w:w="0" w:type="dxa"/>
            </w:tcMar>
            <w:vAlign w:val="bottom"/>
          </w:tcPr>
          <w:p w14:paraId="2A7EE10D"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tcMar>
              <w:left w:w="0" w:type="dxa"/>
              <w:right w:w="0" w:type="dxa"/>
            </w:tcMar>
            <w:vAlign w:val="bottom"/>
          </w:tcPr>
          <w:p w14:paraId="608C8B95"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0AD3C77F"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799909FB"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7F20E0E2"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2B60444D"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2728FDBD" w14:textId="77777777" w:rsidR="00FD1E19" w:rsidRDefault="00FD1E19" w:rsidP="00BE7E4A">
            <w:pPr>
              <w:suppressAutoHyphens/>
              <w:jc w:val="right"/>
              <w:rPr>
                <w:rFonts w:ascii="Arial" w:eastAsia="Arial" w:hAnsi="Arial" w:cs="Arial"/>
                <w:noProof/>
                <w:color w:val="000000"/>
                <w:sz w:val="16"/>
                <w:lang w:eastAsia="ar-SA"/>
              </w:rPr>
            </w:pPr>
          </w:p>
        </w:tc>
      </w:tr>
      <w:tr w:rsidR="00FD1E19" w14:paraId="0E8DC91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14:paraId="5824DD3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 commitments</w:t>
            </w:r>
          </w:p>
        </w:tc>
        <w:tc>
          <w:tcPr>
            <w:tcW w:w="1005" w:type="dxa"/>
            <w:tcBorders>
              <w:top w:val="nil"/>
              <w:left w:val="nil"/>
              <w:bottom w:val="nil"/>
              <w:right w:val="nil"/>
              <w:tl2br w:val="nil"/>
              <w:tr2bl w:val="nil"/>
            </w:tcBorders>
            <w:shd w:val="clear" w:color="FFFFFF" w:fill="FFFFFF"/>
            <w:tcMar>
              <w:left w:w="0" w:type="dxa"/>
              <w:right w:w="0" w:type="dxa"/>
            </w:tcMar>
            <w:vAlign w:val="bottom"/>
          </w:tcPr>
          <w:p w14:paraId="19482C1A"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00D0AB1B"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6040CD20"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310A25CF"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6D594BB1"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15B9A8CF" w14:textId="77777777" w:rsidR="00FD1E19" w:rsidRDefault="00FD1E19" w:rsidP="00BE7E4A">
            <w:pPr>
              <w:suppressAutoHyphens/>
              <w:jc w:val="right"/>
              <w:rPr>
                <w:rFonts w:ascii="Arial" w:eastAsia="Arial" w:hAnsi="Arial" w:cs="Arial"/>
                <w:noProof/>
                <w:color w:val="000000"/>
                <w:sz w:val="16"/>
                <w:lang w:eastAsia="ar-SA"/>
              </w:rPr>
            </w:pPr>
          </w:p>
        </w:tc>
      </w:tr>
      <w:tr w:rsidR="00FD1E19" w14:paraId="0FF8753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14:paraId="7067700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2 - very low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B41E17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9733DC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24,971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515502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DB0109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678CAA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302DD8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24,971</w:t>
            </w:r>
          </w:p>
        </w:tc>
      </w:tr>
      <w:tr w:rsidR="00FD1E19" w14:paraId="5C1BDEC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14:paraId="49B62A5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4 - moderate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C82C6C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011DB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81BB18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97736A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D797D9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8D2DAA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4D18153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14:paraId="343DB65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5 - financially weak counterpart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E89A0E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0EE30E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CD610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B4C02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E019BF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ECA2C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0C643F1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14:paraId="2FF2A5D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6 - high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AD1E2A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0F20D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11,397</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0F9A46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254,999</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424D7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477281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A49CDA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266,396</w:t>
            </w:r>
          </w:p>
        </w:tc>
      </w:tr>
      <w:tr w:rsidR="00FD1E19" w14:paraId="488266A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center"/>
          </w:tcPr>
          <w:p w14:paraId="7CD515A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7 - very high credit risk</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5AC2EF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991787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CC8424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19,582</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9A47D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6728F6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3F426D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32,082</w:t>
            </w:r>
          </w:p>
        </w:tc>
      </w:tr>
      <w:tr w:rsidR="00FD1E19" w14:paraId="0AEE80F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nil"/>
              <w:right w:val="nil"/>
              <w:tl2br w:val="nil"/>
              <w:tr2bl w:val="nil"/>
            </w:tcBorders>
            <w:shd w:val="clear" w:color="FFFFFF" w:fill="FFFFFF"/>
            <w:tcMar>
              <w:left w:w="40" w:type="dxa"/>
              <w:right w:w="40" w:type="dxa"/>
            </w:tcMar>
            <w:vAlign w:val="center"/>
          </w:tcPr>
          <w:p w14:paraId="4DA849F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8 - counterpart in default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C2A5EE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 but in default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08773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75576D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4BDDE8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30E4CC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6A59FC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1C693F5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AD5382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No internal rating*</w:t>
            </w:r>
          </w:p>
        </w:tc>
        <w:tc>
          <w:tcPr>
            <w:tcW w:w="1005" w:type="dxa"/>
            <w:tcBorders>
              <w:top w:val="nil"/>
              <w:left w:val="nil"/>
              <w:bottom w:val="single" w:sz="4" w:space="0" w:color="000000"/>
              <w:right w:val="nil"/>
              <w:tl2br w:val="nil"/>
              <w:tr2bl w:val="nil"/>
            </w:tcBorders>
            <w:shd w:val="clear" w:color="FFFFFF" w:fill="FFFFFF"/>
            <w:tcMar>
              <w:left w:w="0" w:type="dxa"/>
              <w:right w:w="0" w:type="dxa"/>
            </w:tcMar>
            <w:vAlign w:val="center"/>
          </w:tcPr>
          <w:p w14:paraId="60D7F626"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80B02D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978052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C6ACBB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814F7F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7791D6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0D5566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CAF1D4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FVTPL</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3502391B" w14:textId="77777777" w:rsidR="00FD1E19" w:rsidRDefault="00FD1E19" w:rsidP="00BE7E4A">
            <w:pPr>
              <w:suppressAutoHyphens/>
              <w:jc w:val="right"/>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155894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97FC1F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541909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F5441C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30,738</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E6D2C9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30,738</w:t>
            </w:r>
          </w:p>
        </w:tc>
      </w:tr>
      <w:tr w:rsidR="00FD1E19" w14:paraId="72B6639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048BE7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Loss allowance and FV adjustment</w:t>
            </w:r>
          </w:p>
        </w:tc>
        <w:tc>
          <w:tcPr>
            <w:tcW w:w="1005"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21C0CAC2"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C2F25E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-566</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7CEF0C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-17,019</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8F8E47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F620DC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FB6CBD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-17,585</w:t>
            </w:r>
          </w:p>
        </w:tc>
      </w:tr>
      <w:tr w:rsidR="00FD1E19" w14:paraId="5B999FF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5A18C24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of loan commitments</w:t>
            </w:r>
          </w:p>
        </w:tc>
        <w:tc>
          <w:tcPr>
            <w:tcW w:w="1005" w:type="dxa"/>
            <w:tcBorders>
              <w:top w:val="single" w:sz="4" w:space="0" w:color="000000"/>
              <w:left w:val="nil"/>
              <w:bottom w:val="nil"/>
              <w:right w:val="nil"/>
              <w:tl2br w:val="nil"/>
              <w:tr2bl w:val="nil"/>
            </w:tcBorders>
            <w:shd w:val="clear" w:color="FFFFFF" w:fill="C0C0C0"/>
            <w:tcMar>
              <w:left w:w="0" w:type="dxa"/>
              <w:right w:w="0" w:type="dxa"/>
            </w:tcMar>
            <w:vAlign w:val="center"/>
          </w:tcPr>
          <w:p w14:paraId="02E1C67C"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2A88285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48,302</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44813CC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257,562</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2D0633C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00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61FC3E3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30,738</w:t>
            </w:r>
          </w:p>
        </w:tc>
        <w:tc>
          <w:tcPr>
            <w:tcW w:w="1005"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14:paraId="24EAB7C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336,602</w:t>
            </w:r>
          </w:p>
        </w:tc>
      </w:tr>
      <w:tr w:rsidR="00FD1E19" w14:paraId="6FC8EDA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9780" w:type="dxa"/>
            <w:gridSpan w:val="7"/>
            <w:tcBorders>
              <w:top w:val="nil"/>
              <w:left w:val="nil"/>
              <w:bottom w:val="nil"/>
              <w:right w:val="nil"/>
              <w:tl2br w:val="nil"/>
              <w:tr2bl w:val="nil"/>
            </w:tcBorders>
            <w:tcMar>
              <w:left w:w="40" w:type="dxa"/>
              <w:right w:w="40" w:type="dxa"/>
            </w:tcMar>
          </w:tcPr>
          <w:p w14:paraId="2F9BA46C"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 Agency agreements for which there are no underlying counterparts at reporting date.</w:t>
            </w:r>
          </w:p>
          <w:p w14:paraId="00FF9237" w14:textId="77777777" w:rsidR="00FD1E19" w:rsidRDefault="00FD1E19" w:rsidP="00BE7E4A">
            <w:pPr>
              <w:suppressAutoHyphens/>
              <w:jc w:val="both"/>
              <w:rPr>
                <w:rFonts w:ascii="Arial" w:eastAsia="Arial" w:hAnsi="Arial" w:cs="Arial"/>
                <w:noProof/>
                <w:color w:val="000000"/>
                <w:sz w:val="16"/>
                <w:lang w:eastAsia="ar-SA"/>
              </w:rPr>
            </w:pPr>
          </w:p>
          <w:p w14:paraId="6798E653" w14:textId="77777777" w:rsidR="00FD1E19" w:rsidRDefault="00FD1E19" w:rsidP="00BE7E4A">
            <w:pPr>
              <w:suppressAutoHyphens/>
              <w:jc w:val="both"/>
              <w:rPr>
                <w:rFonts w:ascii="Arial" w:eastAsia="Arial" w:hAnsi="Arial" w:cs="Arial"/>
                <w:noProof/>
                <w:color w:val="000000"/>
                <w:sz w:val="16"/>
                <w:lang w:eastAsia="ar-SA"/>
              </w:rPr>
            </w:pPr>
          </w:p>
        </w:tc>
      </w:tr>
    </w:tbl>
    <w:p w14:paraId="0A51C30A" w14:textId="77777777" w:rsidR="00FD1E19" w:rsidRDefault="00FD1E19" w:rsidP="00FD1E19">
      <w:pPr>
        <w:pageBreakBefore/>
        <w:numPr>
          <w:ilvl w:val="3"/>
          <w:numId w:val="56"/>
        </w:numPr>
        <w:pBdr>
          <w:top w:val="nil"/>
          <w:left w:val="nil"/>
          <w:bottom w:val="nil"/>
          <w:right w:val="nil"/>
          <w:between w:val="nil"/>
          <w:bar w:val="nil"/>
        </w:pBdr>
        <w:tabs>
          <w:tab w:val="right" w:pos="-2700"/>
          <w:tab w:val="right" w:pos="720"/>
          <w:tab w:val="center" w:pos="4320"/>
          <w:tab w:val="right" w:pos="8640"/>
        </w:tabs>
        <w:suppressAutoHyphens/>
        <w:spacing w:before="60" w:after="60" w:line="240" w:lineRule="auto"/>
        <w:ind w:left="794" w:hanging="794"/>
        <w:jc w:val="both"/>
        <w:rPr>
          <w:rFonts w:ascii="Arial" w:eastAsia="Calibri" w:hAnsi="Arial" w:cs="Arial"/>
          <w:bCs/>
          <w:noProof/>
          <w:sz w:val="16"/>
          <w:szCs w:val="16"/>
          <w:bdr w:val="nil"/>
          <w:lang w:val="en-US" w:eastAsia="ar-SA"/>
        </w:rPr>
      </w:pPr>
      <w:bookmarkStart w:id="236" w:name="RG_MARKER_90118"/>
      <w:r>
        <w:rPr>
          <w:rFonts w:ascii="Arial" w:eastAsia="Calibri" w:hAnsi="Arial" w:cs="Arial"/>
          <w:b/>
          <w:bCs/>
          <w:noProof/>
          <w:sz w:val="16"/>
          <w:szCs w:val="16"/>
          <w:lang w:eastAsia="ar-SA"/>
        </w:rPr>
        <w:t>Credit risk exposure for each internal risk rating (continued)</w:t>
      </w:r>
      <w:bookmarkEnd w:id="236"/>
    </w:p>
    <w:p w14:paraId="7DB3FFEA" w14:textId="77777777" w:rsidR="00FD1E19" w:rsidRDefault="00FD1E19" w:rsidP="00FD1E19">
      <w:pPr>
        <w:pBdr>
          <w:top w:val="nil"/>
          <w:left w:val="nil"/>
          <w:bottom w:val="nil"/>
          <w:right w:val="nil"/>
          <w:between w:val="nil"/>
          <w:bar w:val="nil"/>
        </w:pBdr>
        <w:spacing w:after="60" w:line="276" w:lineRule="auto"/>
        <w:rPr>
          <w:rFonts w:ascii="Calibri" w:eastAsia="Calibri" w:hAnsi="Calibri" w:cs="Arial"/>
          <w:noProof/>
          <w:bdr w:val="nil"/>
          <w:lang w:val="en-US"/>
        </w:rPr>
      </w:pPr>
    </w:p>
    <w:tbl>
      <w:tblPr>
        <w:tblStyle w:val="CDMRange1"/>
        <w:tblW w:w="5000" w:type="pct"/>
        <w:tblLayout w:type="fixed"/>
        <w:tblLook w:val="0600" w:firstRow="0" w:lastRow="0" w:firstColumn="0" w:lastColumn="0" w:noHBand="1" w:noVBand="1"/>
      </w:tblPr>
      <w:tblGrid>
        <w:gridCol w:w="3709"/>
        <w:gridCol w:w="1010"/>
        <w:gridCol w:w="995"/>
        <w:gridCol w:w="995"/>
        <w:gridCol w:w="1024"/>
        <w:gridCol w:w="995"/>
        <w:gridCol w:w="950"/>
      </w:tblGrid>
      <w:tr w:rsidR="00FD1E19" w14:paraId="78FF1D19" w14:textId="77777777" w:rsidTr="00BE7E4A">
        <w:trPr>
          <w:trHeight w:hRule="exact" w:val="300"/>
        </w:trPr>
        <w:tc>
          <w:tcPr>
            <w:tcW w:w="375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7D6DB76E" w14:textId="77777777" w:rsidR="00FD1E19" w:rsidRDefault="00FD1E19" w:rsidP="00BE7E4A">
            <w:pPr>
              <w:suppressAutoHyphens/>
              <w:rPr>
                <w:rFonts w:ascii="Arial" w:eastAsia="Arial" w:hAnsi="Arial" w:cs="Arial"/>
                <w:noProof/>
                <w:color w:val="000000"/>
                <w:sz w:val="16"/>
                <w:lang w:eastAsia="ar-SA"/>
              </w:rPr>
            </w:pPr>
            <w:bookmarkStart w:id="237" w:name="RG_MARKER_90119"/>
            <w:bookmarkEnd w:id="237"/>
          </w:p>
        </w:tc>
        <w:tc>
          <w:tcPr>
            <w:tcW w:w="102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7522E7E0" w14:textId="77777777" w:rsidR="00FD1E19" w:rsidRDefault="00FD1E19" w:rsidP="00BE7E4A">
            <w:pPr>
              <w:suppressAutoHyphens/>
              <w:rPr>
                <w:rFonts w:ascii="Arial" w:eastAsia="Arial" w:hAnsi="Arial" w:cs="Arial"/>
                <w:noProof/>
                <w:color w:val="000000"/>
                <w:sz w:val="16"/>
                <w:lang w:eastAsia="ar-SA"/>
              </w:rPr>
            </w:pPr>
          </w:p>
        </w:tc>
        <w:tc>
          <w:tcPr>
            <w:tcW w:w="5010" w:type="dxa"/>
            <w:gridSpan w:val="5"/>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57267263"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2024</w:t>
            </w:r>
          </w:p>
        </w:tc>
      </w:tr>
      <w:tr w:rsidR="00FD1E19" w14:paraId="1246FB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0"/>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E0C3FD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02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6F918F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Moody’s equiv. grade</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D3F355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12-month ECL</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CEEF9C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not credit-impaired</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6F0AB0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credit-impaired</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9DEB2E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FVTPL</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F82A6D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30648CB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FFFFFF"/>
            <w:tcMar>
              <w:left w:w="40" w:type="dxa"/>
              <w:right w:w="40" w:type="dxa"/>
            </w:tcMar>
            <w:vAlign w:val="bottom"/>
          </w:tcPr>
          <w:p w14:paraId="4829E60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AC</w:t>
            </w:r>
          </w:p>
        </w:tc>
        <w:tc>
          <w:tcPr>
            <w:tcW w:w="1020" w:type="dxa"/>
            <w:tcBorders>
              <w:top w:val="single" w:sz="4" w:space="0" w:color="000000"/>
              <w:left w:val="nil"/>
              <w:bottom w:val="nil"/>
              <w:right w:val="nil"/>
              <w:tl2br w:val="nil"/>
              <w:tr2bl w:val="nil"/>
            </w:tcBorders>
            <w:shd w:val="clear" w:color="FFFFFF" w:fill="FFFFFF"/>
            <w:tcMar>
              <w:left w:w="0" w:type="dxa"/>
              <w:right w:w="0" w:type="dxa"/>
            </w:tcMar>
            <w:vAlign w:val="bottom"/>
          </w:tcPr>
          <w:p w14:paraId="0A69DC82"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A3D0B6B"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32EBD772" w14:textId="77777777" w:rsidR="00FD1E19" w:rsidRDefault="00FD1E19" w:rsidP="00BE7E4A">
            <w:pPr>
              <w:suppressAutoHyphens/>
              <w:jc w:val="right"/>
              <w:rPr>
                <w:rFonts w:ascii="Arial" w:eastAsia="Arial" w:hAnsi="Arial" w:cs="Arial"/>
                <w:noProof/>
                <w:color w:val="000000"/>
                <w:sz w:val="16"/>
                <w:lang w:eastAsia="ar-SA"/>
              </w:rPr>
            </w:pPr>
          </w:p>
        </w:tc>
        <w:tc>
          <w:tcPr>
            <w:tcW w:w="103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1CB50682"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7C777C0" w14:textId="77777777" w:rsidR="00FD1E19" w:rsidRDefault="00FD1E19" w:rsidP="00BE7E4A">
            <w:pPr>
              <w:suppressAutoHyphens/>
              <w:jc w:val="right"/>
              <w:rPr>
                <w:rFonts w:ascii="Arial" w:eastAsia="Arial" w:hAnsi="Arial" w:cs="Arial"/>
                <w:noProof/>
                <w:color w:val="000000"/>
                <w:sz w:val="16"/>
                <w:lang w:eastAsia="ar-SA"/>
              </w:rPr>
            </w:pPr>
          </w:p>
        </w:tc>
        <w:tc>
          <w:tcPr>
            <w:tcW w:w="96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6A49E860" w14:textId="77777777" w:rsidR="00FD1E19" w:rsidRDefault="00FD1E19" w:rsidP="00BE7E4A">
            <w:pPr>
              <w:suppressAutoHyphens/>
              <w:jc w:val="right"/>
              <w:rPr>
                <w:rFonts w:ascii="Arial" w:eastAsia="Arial" w:hAnsi="Arial" w:cs="Arial"/>
                <w:noProof/>
                <w:color w:val="000000"/>
                <w:sz w:val="16"/>
                <w:lang w:eastAsia="ar-SA"/>
              </w:rPr>
            </w:pPr>
          </w:p>
        </w:tc>
      </w:tr>
      <w:tr w:rsidR="00FD1E19" w14:paraId="16F619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14:paraId="1C77C45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1 -  minimal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39B31DD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Aaa</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78D50D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3644D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38,896</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A012D6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A37FEB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6133B00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38,896</w:t>
            </w:r>
          </w:p>
        </w:tc>
      </w:tr>
      <w:tr w:rsidR="00FD1E19" w14:paraId="5F92CA6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14:paraId="7A47911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2 - very low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269679E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5D026B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67,436</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D6A9F2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0E68CFD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5F982A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301638E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67,436</w:t>
            </w:r>
          </w:p>
        </w:tc>
      </w:tr>
      <w:tr w:rsidR="00FD1E19" w14:paraId="0C99291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14:paraId="1D6B468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3 - low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377E827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A1 - 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B5FD0A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10,501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5D4135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3F7FDA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BCAB6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6AD871F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10,501</w:t>
            </w:r>
          </w:p>
        </w:tc>
      </w:tr>
      <w:tr w:rsidR="00FD1E19" w14:paraId="4497CA8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14:paraId="6AC908E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4 - moderate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3D685C3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7A5937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246,650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6167FD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3833258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3,041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D32D43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4204936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249,691</w:t>
            </w:r>
          </w:p>
        </w:tc>
      </w:tr>
      <w:tr w:rsidR="00FD1E19" w14:paraId="3A7960F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14:paraId="0E42984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5 - financially weak counterpart</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2BD7DA5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2DF341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66,050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7DD0D1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164C564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99654E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674418D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66,050</w:t>
            </w:r>
          </w:p>
        </w:tc>
      </w:tr>
      <w:tr w:rsidR="00FD1E19" w14:paraId="140CA4A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14:paraId="5D89EFC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6 - high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0FC0451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E2651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588,657</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F07E74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29,996</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D417A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16,233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3F6C89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2D78F2F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634,886</w:t>
            </w:r>
          </w:p>
        </w:tc>
      </w:tr>
      <w:tr w:rsidR="00FD1E19" w14:paraId="200F505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noWrap/>
            <w:tcMar>
              <w:left w:w="40" w:type="dxa"/>
              <w:right w:w="40" w:type="dxa"/>
            </w:tcMar>
            <w:vAlign w:val="bottom"/>
          </w:tcPr>
          <w:p w14:paraId="441453E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7 - very high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5AE2E30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D2DAE1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74,924</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C7D451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229,726</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1CD0197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66D8DD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63E695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304,650</w:t>
            </w:r>
          </w:p>
        </w:tc>
      </w:tr>
      <w:tr w:rsidR="00FD1E19" w14:paraId="3CF7DF5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06890CE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8 - counterpart in default</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2C05C0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 but in default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89719D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7C60C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3EA4A5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22,307</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E33DE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6E8D31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22,307</w:t>
            </w:r>
          </w:p>
        </w:tc>
      </w:tr>
      <w:tr w:rsidR="00FD1E19" w14:paraId="34BB49A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0C40FF3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FVTPL</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348B3081"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AD08AB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D65B3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1A79B6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6014EF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200,677</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B3FAC2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200,677</w:t>
            </w:r>
          </w:p>
        </w:tc>
      </w:tr>
      <w:tr w:rsidR="00FD1E19" w14:paraId="09D75BE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0045E9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Loss allowance and FV adjustment</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2AD63B5"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0D6C79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-9,675</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AB46FA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-12,576</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72B6A0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-12,431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78F4F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-62,364</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FEFB3F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-97,046</w:t>
            </w:r>
          </w:p>
        </w:tc>
      </w:tr>
      <w:tr w:rsidR="00FD1E19" w14:paraId="59D5B53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25ED729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of loans and advances</w:t>
            </w:r>
          </w:p>
        </w:tc>
        <w:tc>
          <w:tcPr>
            <w:tcW w:w="1020" w:type="dxa"/>
            <w:tcBorders>
              <w:top w:val="single" w:sz="4" w:space="0" w:color="000000"/>
              <w:left w:val="nil"/>
              <w:bottom w:val="nil"/>
              <w:right w:val="nil"/>
              <w:tl2br w:val="nil"/>
              <w:tr2bl w:val="nil"/>
            </w:tcBorders>
            <w:shd w:val="clear" w:color="FFFFFF" w:fill="C1C1C1"/>
            <w:tcMar>
              <w:left w:w="0" w:type="dxa"/>
              <w:right w:w="0" w:type="dxa"/>
            </w:tcMar>
            <w:vAlign w:val="center"/>
          </w:tcPr>
          <w:p w14:paraId="215254F0"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6E91509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1,044,543</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57CE26D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286,042</w:t>
            </w:r>
          </w:p>
        </w:tc>
        <w:tc>
          <w:tcPr>
            <w:tcW w:w="103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1AB512E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29,150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2FA2C0A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138,313</w:t>
            </w:r>
          </w:p>
        </w:tc>
        <w:tc>
          <w:tcPr>
            <w:tcW w:w="960"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11C5518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1,498,048</w:t>
            </w:r>
          </w:p>
        </w:tc>
      </w:tr>
      <w:tr w:rsidR="00FD1E19" w14:paraId="481FF6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tcMar>
              <w:left w:w="0" w:type="dxa"/>
              <w:right w:w="0" w:type="dxa"/>
            </w:tcMar>
            <w:vAlign w:val="bottom"/>
          </w:tcPr>
          <w:p w14:paraId="7695942F" w14:textId="77777777" w:rsidR="00FD1E19" w:rsidRDefault="00FD1E19" w:rsidP="00BE7E4A">
            <w:pPr>
              <w:suppressAutoHyphens/>
              <w:rPr>
                <w:rFonts w:ascii="Arial" w:eastAsia="Arial" w:hAnsi="Arial" w:cs="Arial"/>
                <w:noProof/>
                <w:color w:val="000000"/>
                <w:sz w:val="16"/>
                <w:lang w:eastAsia="ar-SA"/>
              </w:rPr>
            </w:pPr>
          </w:p>
        </w:tc>
        <w:tc>
          <w:tcPr>
            <w:tcW w:w="1020" w:type="dxa"/>
            <w:tcBorders>
              <w:top w:val="nil"/>
              <w:left w:val="nil"/>
              <w:bottom w:val="nil"/>
              <w:right w:val="nil"/>
              <w:tl2br w:val="nil"/>
              <w:tr2bl w:val="nil"/>
            </w:tcBorders>
            <w:tcMar>
              <w:left w:w="0" w:type="dxa"/>
              <w:right w:w="0" w:type="dxa"/>
            </w:tcMar>
            <w:vAlign w:val="center"/>
          </w:tcPr>
          <w:p w14:paraId="6362B86C"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14:paraId="5D49F00F"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14:paraId="788B4DB5" w14:textId="77777777" w:rsidR="00FD1E19" w:rsidRDefault="00FD1E19" w:rsidP="00BE7E4A">
            <w:pPr>
              <w:suppressAutoHyphens/>
              <w:jc w:val="right"/>
              <w:rPr>
                <w:rFonts w:ascii="Arial" w:eastAsia="Arial" w:hAnsi="Arial" w:cs="Arial"/>
                <w:noProof/>
                <w:color w:val="000000"/>
                <w:sz w:val="16"/>
                <w:lang w:eastAsia="ar-SA"/>
              </w:rPr>
            </w:pPr>
          </w:p>
        </w:tc>
        <w:tc>
          <w:tcPr>
            <w:tcW w:w="1035" w:type="dxa"/>
            <w:tcBorders>
              <w:top w:val="nil"/>
              <w:left w:val="nil"/>
              <w:bottom w:val="nil"/>
              <w:right w:val="nil"/>
              <w:tl2br w:val="nil"/>
              <w:tr2bl w:val="nil"/>
            </w:tcBorders>
            <w:noWrap/>
            <w:tcMar>
              <w:left w:w="0" w:type="dxa"/>
              <w:right w:w="0" w:type="dxa"/>
            </w:tcMar>
            <w:vAlign w:val="bottom"/>
          </w:tcPr>
          <w:p w14:paraId="133105ED"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noWrap/>
            <w:tcMar>
              <w:left w:w="0" w:type="dxa"/>
              <w:right w:w="0" w:type="dxa"/>
            </w:tcMar>
            <w:vAlign w:val="bottom"/>
          </w:tcPr>
          <w:p w14:paraId="5ABD2199" w14:textId="77777777" w:rsidR="00FD1E19" w:rsidRDefault="00FD1E19" w:rsidP="00BE7E4A">
            <w:pPr>
              <w:suppressAutoHyphens/>
              <w:jc w:val="right"/>
              <w:rPr>
                <w:rFonts w:ascii="Arial" w:eastAsia="Arial" w:hAnsi="Arial" w:cs="Arial"/>
                <w:noProof/>
                <w:color w:val="000000"/>
                <w:sz w:val="16"/>
                <w:lang w:eastAsia="ar-SA"/>
              </w:rPr>
            </w:pPr>
          </w:p>
        </w:tc>
        <w:tc>
          <w:tcPr>
            <w:tcW w:w="960" w:type="dxa"/>
            <w:tcBorders>
              <w:top w:val="nil"/>
              <w:left w:val="nil"/>
              <w:bottom w:val="nil"/>
              <w:right w:val="nil"/>
              <w:tl2br w:val="nil"/>
              <w:tr2bl w:val="nil"/>
            </w:tcBorders>
            <w:noWrap/>
            <w:tcMar>
              <w:left w:w="0" w:type="dxa"/>
              <w:right w:w="0" w:type="dxa"/>
            </w:tcMar>
            <w:vAlign w:val="bottom"/>
          </w:tcPr>
          <w:p w14:paraId="24BED5E2" w14:textId="77777777" w:rsidR="00FD1E19" w:rsidRDefault="00FD1E19" w:rsidP="00BE7E4A">
            <w:pPr>
              <w:suppressAutoHyphens/>
              <w:jc w:val="right"/>
              <w:rPr>
                <w:rFonts w:ascii="Arial" w:eastAsia="Arial" w:hAnsi="Arial" w:cs="Arial"/>
                <w:noProof/>
                <w:color w:val="000000"/>
                <w:sz w:val="16"/>
                <w:lang w:eastAsia="ar-SA"/>
              </w:rPr>
            </w:pPr>
          </w:p>
        </w:tc>
      </w:tr>
      <w:tr w:rsidR="00FD1E19" w14:paraId="5495782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14:paraId="0D4AE23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 commitments</w:t>
            </w:r>
          </w:p>
        </w:tc>
        <w:tc>
          <w:tcPr>
            <w:tcW w:w="1020" w:type="dxa"/>
            <w:tcBorders>
              <w:top w:val="nil"/>
              <w:left w:val="nil"/>
              <w:bottom w:val="nil"/>
              <w:right w:val="nil"/>
              <w:tl2br w:val="nil"/>
              <w:tr2bl w:val="nil"/>
            </w:tcBorders>
            <w:shd w:val="clear" w:color="FFFFFF" w:fill="FFFFFF"/>
            <w:tcMar>
              <w:left w:w="0" w:type="dxa"/>
              <w:right w:w="0" w:type="dxa"/>
            </w:tcMar>
            <w:vAlign w:val="center"/>
          </w:tcPr>
          <w:p w14:paraId="0CD470F5"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4CFE23D8"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4CB20230" w14:textId="77777777" w:rsidR="00FD1E19" w:rsidRDefault="00FD1E19" w:rsidP="00BE7E4A">
            <w:pPr>
              <w:suppressAutoHyphens/>
              <w:jc w:val="right"/>
              <w:rPr>
                <w:rFonts w:ascii="Arial" w:eastAsia="Arial" w:hAnsi="Arial" w:cs="Arial"/>
                <w:noProof/>
                <w:color w:val="000000"/>
                <w:sz w:val="16"/>
                <w:lang w:eastAsia="ar-SA"/>
              </w:rPr>
            </w:pPr>
          </w:p>
        </w:tc>
        <w:tc>
          <w:tcPr>
            <w:tcW w:w="1035" w:type="dxa"/>
            <w:tcBorders>
              <w:top w:val="nil"/>
              <w:left w:val="nil"/>
              <w:bottom w:val="nil"/>
              <w:right w:val="nil"/>
              <w:tl2br w:val="nil"/>
              <w:tr2bl w:val="nil"/>
            </w:tcBorders>
            <w:shd w:val="clear" w:color="FFFFFF" w:fill="FFFFFF"/>
            <w:noWrap/>
            <w:tcMar>
              <w:left w:w="0" w:type="dxa"/>
              <w:right w:w="0" w:type="dxa"/>
            </w:tcMar>
            <w:vAlign w:val="bottom"/>
          </w:tcPr>
          <w:p w14:paraId="640ADAC7"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nil"/>
              <w:left w:val="nil"/>
              <w:bottom w:val="nil"/>
              <w:right w:val="nil"/>
              <w:tl2br w:val="nil"/>
              <w:tr2bl w:val="nil"/>
            </w:tcBorders>
            <w:shd w:val="clear" w:color="FFFFFF" w:fill="FFFFFF"/>
            <w:noWrap/>
            <w:tcMar>
              <w:left w:w="0" w:type="dxa"/>
              <w:right w:w="0" w:type="dxa"/>
            </w:tcMar>
            <w:vAlign w:val="bottom"/>
          </w:tcPr>
          <w:p w14:paraId="0F78015A" w14:textId="77777777" w:rsidR="00FD1E19" w:rsidRDefault="00FD1E19" w:rsidP="00BE7E4A">
            <w:pPr>
              <w:suppressAutoHyphens/>
              <w:jc w:val="right"/>
              <w:rPr>
                <w:rFonts w:ascii="Arial" w:eastAsia="Arial" w:hAnsi="Arial" w:cs="Arial"/>
                <w:noProof/>
                <w:color w:val="000000"/>
                <w:sz w:val="16"/>
                <w:lang w:eastAsia="ar-SA"/>
              </w:rPr>
            </w:pPr>
          </w:p>
        </w:tc>
        <w:tc>
          <w:tcPr>
            <w:tcW w:w="960" w:type="dxa"/>
            <w:tcBorders>
              <w:top w:val="nil"/>
              <w:left w:val="nil"/>
              <w:bottom w:val="nil"/>
              <w:right w:val="nil"/>
              <w:tl2br w:val="nil"/>
              <w:tr2bl w:val="nil"/>
            </w:tcBorders>
            <w:shd w:val="clear" w:color="FFFFFF" w:fill="FFFFFF"/>
            <w:noWrap/>
            <w:tcMar>
              <w:left w:w="0" w:type="dxa"/>
              <w:right w:w="0" w:type="dxa"/>
            </w:tcMar>
            <w:vAlign w:val="bottom"/>
          </w:tcPr>
          <w:p w14:paraId="09D8933E" w14:textId="77777777" w:rsidR="00FD1E19" w:rsidRDefault="00FD1E19" w:rsidP="00BE7E4A">
            <w:pPr>
              <w:suppressAutoHyphens/>
              <w:jc w:val="right"/>
              <w:rPr>
                <w:rFonts w:ascii="Arial" w:eastAsia="Arial" w:hAnsi="Arial" w:cs="Arial"/>
                <w:noProof/>
                <w:color w:val="000000"/>
                <w:sz w:val="16"/>
                <w:lang w:eastAsia="ar-SA"/>
              </w:rPr>
            </w:pPr>
          </w:p>
        </w:tc>
      </w:tr>
      <w:tr w:rsidR="00FD1E19" w14:paraId="271FF5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14:paraId="0530619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2 - very low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2C1BBDE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Aa1 - 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3F50688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86,796</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AC6222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E195E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E3A0C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740962C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86,796</w:t>
            </w:r>
          </w:p>
        </w:tc>
      </w:tr>
      <w:tr w:rsidR="00FD1E19" w14:paraId="3535F49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14:paraId="101B894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4 - moderate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0B6E099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Baa1 - Baa3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77394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825B1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90EAE7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7347AB2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1F7DB92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10,000</w:t>
            </w:r>
          </w:p>
        </w:tc>
      </w:tr>
      <w:tr w:rsidR="00FD1E19" w14:paraId="4D9B736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14:paraId="71F5781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5 - financially weak counterpart</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710CAA0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Ba1 - Ba3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DE4884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81,500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134C86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79E0ECF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4F09D4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5DCE478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81,500</w:t>
            </w:r>
          </w:p>
        </w:tc>
      </w:tr>
      <w:tr w:rsidR="00FD1E19" w14:paraId="7F6DB97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14:paraId="5FA7942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6 - high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3AEAA20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B1 - B3</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6570A4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643181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270,990</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5A4BCC0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28DE757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794C4E8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290,990</w:t>
            </w:r>
          </w:p>
        </w:tc>
      </w:tr>
      <w:tr w:rsidR="00FD1E19" w14:paraId="78CB0B1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nil"/>
              <w:right w:val="nil"/>
              <w:tl2br w:val="nil"/>
              <w:tr2bl w:val="nil"/>
            </w:tcBorders>
            <w:shd w:val="clear" w:color="FFFFFF" w:fill="FFFFFF"/>
            <w:tcMar>
              <w:left w:w="40" w:type="dxa"/>
              <w:right w:w="40" w:type="dxa"/>
            </w:tcMar>
            <w:vAlign w:val="bottom"/>
          </w:tcPr>
          <w:p w14:paraId="2F718A1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7 - very high credit risk</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31CC39B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2CE669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12,500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3426B2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11,329</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616594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026C68B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13F9FF7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23,829</w:t>
            </w:r>
          </w:p>
        </w:tc>
      </w:tr>
      <w:tr w:rsidR="00FD1E19" w14:paraId="42B3BC4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3750" w:type="dxa"/>
            <w:tcBorders>
              <w:top w:val="nil"/>
              <w:left w:val="nil"/>
              <w:bottom w:val="nil"/>
              <w:right w:val="nil"/>
              <w:tl2br w:val="nil"/>
              <w:tr2bl w:val="nil"/>
            </w:tcBorders>
            <w:shd w:val="clear" w:color="FFFFFF" w:fill="FFFFFF"/>
            <w:tcMar>
              <w:left w:w="40" w:type="dxa"/>
              <w:right w:w="40" w:type="dxa"/>
            </w:tcMar>
            <w:vAlign w:val="center"/>
          </w:tcPr>
          <w:p w14:paraId="207485E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Internal Rating  8 - counterpart in default</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3142038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below Caa1 but in default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C8D26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5E14B17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5AE956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111,000</w:t>
            </w:r>
          </w:p>
        </w:tc>
        <w:tc>
          <w:tcPr>
            <w:tcW w:w="1005" w:type="dxa"/>
            <w:tcBorders>
              <w:top w:val="nil"/>
              <w:left w:val="nil"/>
              <w:bottom w:val="nil"/>
              <w:right w:val="nil"/>
              <w:tl2br w:val="nil"/>
              <w:tr2bl w:val="nil"/>
            </w:tcBorders>
            <w:shd w:val="clear" w:color="FFFFFF" w:fill="FFFFFF"/>
            <w:tcMar>
              <w:left w:w="40" w:type="dxa"/>
              <w:right w:w="40" w:type="dxa"/>
            </w:tcMar>
            <w:vAlign w:val="center"/>
          </w:tcPr>
          <w:p w14:paraId="44A2D46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shd w:val="clear" w:color="FFFFFF" w:fill="FFFFFF"/>
            <w:tcMar>
              <w:left w:w="40" w:type="dxa"/>
              <w:right w:w="40" w:type="dxa"/>
            </w:tcMar>
            <w:vAlign w:val="center"/>
          </w:tcPr>
          <w:p w14:paraId="35BA2F4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111,000</w:t>
            </w:r>
          </w:p>
        </w:tc>
      </w:tr>
      <w:tr w:rsidR="00FD1E19" w14:paraId="5F1F355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nil"/>
              <w:left w:val="nil"/>
              <w:bottom w:val="single" w:sz="4" w:space="0" w:color="000000"/>
              <w:right w:val="nil"/>
              <w:tl2br w:val="nil"/>
              <w:tr2bl w:val="nil"/>
            </w:tcBorders>
            <w:shd w:val="clear" w:color="FFFFFF" w:fill="FFFFFF"/>
            <w:tcMar>
              <w:left w:w="40" w:type="dxa"/>
              <w:right w:w="40" w:type="dxa"/>
            </w:tcMar>
            <w:vAlign w:val="bottom"/>
          </w:tcPr>
          <w:p w14:paraId="044B170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No internal rating*</w:t>
            </w:r>
          </w:p>
        </w:tc>
        <w:tc>
          <w:tcPr>
            <w:tcW w:w="1020" w:type="dxa"/>
            <w:tcBorders>
              <w:top w:val="nil"/>
              <w:left w:val="nil"/>
              <w:bottom w:val="single" w:sz="4" w:space="0" w:color="000000"/>
              <w:right w:val="nil"/>
              <w:tl2br w:val="nil"/>
              <w:tr2bl w:val="nil"/>
            </w:tcBorders>
            <w:shd w:val="clear" w:color="FFFFFF" w:fill="FFFFFF"/>
            <w:tcMar>
              <w:left w:w="0" w:type="dxa"/>
              <w:right w:w="0" w:type="dxa"/>
            </w:tcMar>
            <w:vAlign w:val="bottom"/>
          </w:tcPr>
          <w:p w14:paraId="4FBF77EE"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F68C0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15,445</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09F5D3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CC8263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56E724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923026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15,445</w:t>
            </w:r>
          </w:p>
        </w:tc>
      </w:tr>
      <w:tr w:rsidR="00FD1E19" w14:paraId="5EABC47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bottom"/>
          </w:tcPr>
          <w:p w14:paraId="4B4EB00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FVTPL</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24C42A27" w14:textId="77777777" w:rsidR="00FD1E19" w:rsidRDefault="00FD1E19" w:rsidP="00BE7E4A">
            <w:pPr>
              <w:suppressAutoHyphens/>
              <w:jc w:val="right"/>
              <w:rPr>
                <w:rFonts w:ascii="Arial" w:eastAsia="Arial" w:hAnsi="Arial" w:cs="Arial"/>
                <w:b/>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491EEB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D7EAB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F893E3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0F24513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56,669</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F4D972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56,669</w:t>
            </w:r>
          </w:p>
        </w:tc>
      </w:tr>
      <w:tr w:rsidR="00FD1E19" w14:paraId="04053A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E9E318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Loss allowance and FV adjustment</w:t>
            </w:r>
          </w:p>
        </w:tc>
        <w:tc>
          <w:tcPr>
            <w:tcW w:w="1020" w:type="dxa"/>
            <w:tcBorders>
              <w:top w:val="single" w:sz="4" w:space="0" w:color="000000"/>
              <w:left w:val="nil"/>
              <w:bottom w:val="single" w:sz="4" w:space="0" w:color="000000"/>
              <w:right w:val="nil"/>
              <w:tl2br w:val="nil"/>
              <w:tr2bl w:val="nil"/>
            </w:tcBorders>
            <w:shd w:val="clear" w:color="FFFFFF" w:fill="FFFFFF"/>
            <w:tcMar>
              <w:left w:w="0" w:type="dxa"/>
              <w:right w:w="0" w:type="dxa"/>
            </w:tcMar>
            <w:vAlign w:val="center"/>
          </w:tcPr>
          <w:p w14:paraId="15DFB9E7" w14:textId="77777777" w:rsidR="00FD1E19" w:rsidRDefault="00FD1E19" w:rsidP="00BE7E4A">
            <w:pPr>
              <w:suppressAutoHyphens/>
              <w:rPr>
                <w:rFonts w:ascii="Arial" w:eastAsia="Arial" w:hAnsi="Arial" w:cs="Arial"/>
                <w:noProof/>
                <w:color w:val="000000"/>
                <w:sz w:val="16"/>
                <w:lang w:eastAsia="ar-SA"/>
              </w:rPr>
            </w:pP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2EB981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-1,491</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33603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-16,829</w:t>
            </w:r>
          </w:p>
        </w:tc>
        <w:tc>
          <w:tcPr>
            <w:tcW w:w="103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A3E415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315EB3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916353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-18,320</w:t>
            </w:r>
          </w:p>
        </w:tc>
      </w:tr>
      <w:tr w:rsidR="00FD1E19" w14:paraId="7B5CB8C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750"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579F5C8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of loan commitments</w:t>
            </w:r>
          </w:p>
        </w:tc>
        <w:tc>
          <w:tcPr>
            <w:tcW w:w="1020" w:type="dxa"/>
            <w:tcBorders>
              <w:top w:val="single" w:sz="4" w:space="0" w:color="000000"/>
              <w:left w:val="nil"/>
              <w:bottom w:val="nil"/>
              <w:right w:val="nil"/>
              <w:tl2br w:val="nil"/>
              <w:tr2bl w:val="nil"/>
            </w:tcBorders>
            <w:shd w:val="clear" w:color="FFFFFF" w:fill="C1C1C1"/>
            <w:tcMar>
              <w:left w:w="0" w:type="dxa"/>
              <w:right w:w="0" w:type="dxa"/>
            </w:tcMar>
            <w:vAlign w:val="center"/>
          </w:tcPr>
          <w:p w14:paraId="17AEC88C" w14:textId="77777777" w:rsidR="00FD1E19" w:rsidRDefault="00FD1E19" w:rsidP="00BE7E4A">
            <w:pPr>
              <w:suppressAutoHyphens/>
              <w:rPr>
                <w:rFonts w:ascii="Arial" w:eastAsia="Arial" w:hAnsi="Arial" w:cs="Arial"/>
                <w:b/>
                <w:noProof/>
                <w:color w:val="000000"/>
                <w:sz w:val="16"/>
                <w:lang w:eastAsia="ar-SA"/>
              </w:rPr>
            </w:pP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27505A3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224,750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50A26C3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265,490</w:t>
            </w:r>
          </w:p>
        </w:tc>
        <w:tc>
          <w:tcPr>
            <w:tcW w:w="103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021D56B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111,000</w:t>
            </w:r>
          </w:p>
        </w:tc>
        <w:tc>
          <w:tcPr>
            <w:tcW w:w="1005" w:type="dxa"/>
            <w:tcBorders>
              <w:top w:val="single" w:sz="4" w:space="0" w:color="000000"/>
              <w:left w:val="nil"/>
              <w:bottom w:val="nil"/>
              <w:right w:val="nil"/>
              <w:tl2br w:val="nil"/>
              <w:tr2bl w:val="nil"/>
            </w:tcBorders>
            <w:shd w:val="clear" w:color="FFFFFF" w:fill="C1C1C1"/>
            <w:tcMar>
              <w:left w:w="40" w:type="dxa"/>
              <w:right w:w="40" w:type="dxa"/>
            </w:tcMar>
            <w:vAlign w:val="center"/>
          </w:tcPr>
          <w:p w14:paraId="3A9465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56,669</w:t>
            </w:r>
          </w:p>
        </w:tc>
        <w:tc>
          <w:tcPr>
            <w:tcW w:w="960" w:type="dxa"/>
            <w:tcBorders>
              <w:top w:val="single" w:sz="4" w:space="0" w:color="000000"/>
              <w:left w:val="nil"/>
              <w:bottom w:val="nil"/>
              <w:right w:val="nil"/>
              <w:tl2br w:val="nil"/>
              <w:tr2bl w:val="nil"/>
            </w:tcBorders>
            <w:shd w:val="clear" w:color="FFFFFF" w:fill="C1C1C1"/>
            <w:noWrap/>
            <w:tcMar>
              <w:left w:w="40" w:type="dxa"/>
              <w:right w:w="40" w:type="dxa"/>
            </w:tcMar>
            <w:vAlign w:val="center"/>
          </w:tcPr>
          <w:p w14:paraId="6A13241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657,909</w:t>
            </w:r>
          </w:p>
        </w:tc>
      </w:tr>
      <w:tr w:rsidR="00FD1E19" w14:paraId="6B555BA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9780" w:type="dxa"/>
            <w:gridSpan w:val="7"/>
            <w:tcBorders>
              <w:top w:val="nil"/>
              <w:left w:val="nil"/>
              <w:bottom w:val="nil"/>
              <w:right w:val="nil"/>
              <w:tl2br w:val="nil"/>
              <w:tr2bl w:val="nil"/>
            </w:tcBorders>
            <w:tcMar>
              <w:left w:w="40" w:type="dxa"/>
              <w:right w:w="40" w:type="dxa"/>
            </w:tcMar>
          </w:tcPr>
          <w:p w14:paraId="2F28D6F9" w14:textId="77777777" w:rsidR="00FD1E19" w:rsidRDefault="00FD1E19" w:rsidP="00BE7E4A">
            <w:pPr>
              <w:suppressAutoHyphens/>
              <w:jc w:val="both"/>
              <w:rPr>
                <w:rFonts w:ascii="Arial" w:eastAsia="Arial" w:hAnsi="Arial" w:cs="Arial"/>
                <w:noProof/>
                <w:color w:val="000000"/>
                <w:sz w:val="14"/>
                <w:lang w:eastAsia="ar-SA"/>
              </w:rPr>
            </w:pPr>
            <w:r>
              <w:rPr>
                <w:rFonts w:ascii="Arial" w:eastAsia="Arial" w:hAnsi="Arial" w:cs="Arial"/>
                <w:noProof/>
                <w:color w:val="000000"/>
                <w:sz w:val="14"/>
                <w:lang w:eastAsia="ar-SA"/>
              </w:rPr>
              <w:t>* Agency agreements for which there are no underlying counterparts at reporting date.</w:t>
            </w:r>
          </w:p>
          <w:p w14:paraId="4CCBE8E5" w14:textId="77777777" w:rsidR="00FD1E19" w:rsidRDefault="00FD1E19" w:rsidP="00BE7E4A">
            <w:pPr>
              <w:suppressAutoHyphens/>
              <w:jc w:val="both"/>
              <w:rPr>
                <w:rFonts w:ascii="Arial" w:eastAsia="Arial" w:hAnsi="Arial" w:cs="Arial"/>
                <w:noProof/>
                <w:color w:val="000000"/>
                <w:sz w:val="14"/>
                <w:lang w:eastAsia="ar-SA"/>
              </w:rPr>
            </w:pPr>
          </w:p>
          <w:p w14:paraId="45B27C3F" w14:textId="77777777" w:rsidR="00FD1E19" w:rsidRDefault="00FD1E19" w:rsidP="00BE7E4A">
            <w:pPr>
              <w:suppressAutoHyphens/>
              <w:jc w:val="both"/>
              <w:rPr>
                <w:rFonts w:ascii="Arial" w:eastAsia="Arial" w:hAnsi="Arial" w:cs="Arial"/>
                <w:noProof/>
                <w:color w:val="000000"/>
                <w:sz w:val="14"/>
                <w:lang w:eastAsia="ar-SA"/>
              </w:rPr>
            </w:pPr>
            <w:r>
              <w:rPr>
                <w:rFonts w:ascii="Arial" w:eastAsia="Arial" w:hAnsi="Arial" w:cs="Arial"/>
                <w:noProof/>
                <w:color w:val="000000"/>
                <w:sz w:val="14"/>
                <w:lang w:eastAsia="ar-SA"/>
              </w:rPr>
              <w:t>The EIB continually monitors events affecting its borrowers and guarantors. In particular, the EIB is assessing on a case by case basis its contractual rights in case of rating deterioration and is seeking mitigating measures. It is also closely following the renewals of bank guarantees received for its loans to ensure that these are replaced or action is taken in a timely manner if need be.</w:t>
            </w:r>
          </w:p>
        </w:tc>
      </w:tr>
    </w:tbl>
    <w:p w14:paraId="44AAA6B5" w14:textId="77777777" w:rsidR="00FD1E19" w:rsidRPr="005B579E" w:rsidRDefault="00FD1E19" w:rsidP="00FD1E19">
      <w:pPr>
        <w:pageBreakBefore/>
        <w:numPr>
          <w:ilvl w:val="3"/>
          <w:numId w:val="57"/>
        </w:numPr>
        <w:pBdr>
          <w:top w:val="nil"/>
          <w:left w:val="nil"/>
          <w:bottom w:val="nil"/>
          <w:right w:val="nil"/>
          <w:between w:val="nil"/>
          <w:bar w:val="nil"/>
        </w:pBdr>
        <w:tabs>
          <w:tab w:val="right" w:pos="-2700"/>
          <w:tab w:val="right" w:pos="720"/>
        </w:tabs>
        <w:suppressAutoHyphens/>
        <w:spacing w:before="60" w:after="60" w:line="240" w:lineRule="auto"/>
        <w:jc w:val="both"/>
        <w:rPr>
          <w:rFonts w:ascii="Arial" w:hAnsi="Arial"/>
          <w:b/>
          <w:bCs/>
          <w:noProof/>
          <w:sz w:val="16"/>
          <w:szCs w:val="16"/>
          <w:bdr w:val="nil"/>
          <w:lang w:eastAsia="ar-SA"/>
        </w:rPr>
      </w:pPr>
      <w:bookmarkStart w:id="238" w:name="RG_MARKER_90120"/>
      <w:r w:rsidRPr="005B579E">
        <w:rPr>
          <w:rFonts w:ascii="Arial" w:hAnsi="Arial"/>
          <w:b/>
          <w:bCs/>
          <w:noProof/>
          <w:sz w:val="16"/>
          <w:szCs w:val="16"/>
          <w:lang w:val="en-US" w:eastAsia="ar-SA"/>
        </w:rPr>
        <w:t>Arrears on loans and impairments</w:t>
      </w:r>
      <w:bookmarkEnd w:id="238"/>
    </w:p>
    <w:p w14:paraId="61CA43B2"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793EA9E"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Amounts in arrears are identified, monitored and reported according to </w:t>
      </w:r>
      <w:r>
        <w:rPr>
          <w:rFonts w:ascii="Arial" w:hAnsi="Arial"/>
          <w:noProof/>
          <w:sz w:val="16"/>
          <w:szCs w:val="16"/>
          <w:lang w:eastAsia="ar-SA"/>
        </w:rPr>
        <w:t xml:space="preserve">the procedures defined into the Bank wide </w:t>
      </w:r>
      <w:r w:rsidRPr="00BD1346">
        <w:rPr>
          <w:rFonts w:ascii="Arial" w:hAnsi="Arial"/>
          <w:noProof/>
          <w:sz w:val="16"/>
          <w:szCs w:val="16"/>
          <w:lang w:eastAsia="ar-SA"/>
        </w:rPr>
        <w:t>“</w:t>
      </w:r>
      <w:r>
        <w:rPr>
          <w:rFonts w:ascii="Arial" w:hAnsi="Arial"/>
          <w:noProof/>
          <w:sz w:val="16"/>
          <w:szCs w:val="16"/>
          <w:lang w:eastAsia="ar-SA"/>
        </w:rPr>
        <w:t xml:space="preserve">Finance Monitoring </w:t>
      </w:r>
      <w:r w:rsidRPr="00BD1346">
        <w:rPr>
          <w:rFonts w:ascii="Arial" w:hAnsi="Arial"/>
          <w:noProof/>
          <w:sz w:val="16"/>
          <w:szCs w:val="16"/>
          <w:lang w:eastAsia="ar-SA"/>
        </w:rPr>
        <w:t xml:space="preserve">Guidelines </w:t>
      </w:r>
      <w:r>
        <w:rPr>
          <w:rFonts w:ascii="Arial" w:hAnsi="Arial"/>
          <w:noProof/>
          <w:sz w:val="16"/>
          <w:szCs w:val="16"/>
          <w:lang w:eastAsia="ar-SA"/>
        </w:rPr>
        <w:t>and Procedures</w:t>
      </w:r>
      <w:r w:rsidRPr="00BD1346">
        <w:rPr>
          <w:rFonts w:ascii="Arial" w:hAnsi="Arial"/>
          <w:noProof/>
          <w:sz w:val="16"/>
          <w:szCs w:val="16"/>
          <w:lang w:eastAsia="ar-SA"/>
        </w:rPr>
        <w:t>”</w:t>
      </w:r>
      <w:r>
        <w:rPr>
          <w:rFonts w:ascii="Arial" w:hAnsi="Arial"/>
          <w:noProof/>
          <w:sz w:val="16"/>
          <w:szCs w:val="16"/>
          <w:lang w:eastAsia="ar-SA"/>
        </w:rPr>
        <w:t>. These procedures are in line with best banking practices and are adopted for all loans managed by the EIB</w:t>
      </w:r>
      <w:r w:rsidRPr="00BD1346">
        <w:rPr>
          <w:rFonts w:ascii="Arial" w:hAnsi="Arial"/>
          <w:noProof/>
          <w:sz w:val="16"/>
          <w:szCs w:val="16"/>
          <w:lang w:eastAsia="ar-SA"/>
        </w:rPr>
        <w:t>.</w:t>
      </w:r>
    </w:p>
    <w:p w14:paraId="709C78E7" w14:textId="77777777" w:rsidR="00FD1E19" w:rsidRPr="001E0B5B" w:rsidRDefault="00FD1E19" w:rsidP="00FD1E19">
      <w:pPr>
        <w:pBdr>
          <w:top w:val="nil"/>
          <w:left w:val="nil"/>
          <w:bottom w:val="nil"/>
          <w:right w:val="nil"/>
          <w:between w:val="nil"/>
          <w:bar w:val="nil"/>
        </w:pBdr>
        <w:suppressAutoHyphens/>
        <w:spacing w:before="60" w:after="60"/>
        <w:jc w:val="both"/>
        <w:rPr>
          <w:noProof/>
          <w:szCs w:val="20"/>
          <w:bdr w:val="nil"/>
          <w:lang w:eastAsia="ar-SA"/>
        </w:rPr>
      </w:pPr>
      <w:r w:rsidRPr="000E60F3">
        <w:rPr>
          <w:rFonts w:ascii="Arial" w:hAnsi="Arial"/>
          <w:noProof/>
          <w:sz w:val="16"/>
          <w:szCs w:val="16"/>
          <w:lang w:eastAsia="ar-SA"/>
        </w:rPr>
        <w:t xml:space="preserve">The monitoring process is structured in order to make sure that </w:t>
      </w:r>
      <w:r>
        <w:rPr>
          <w:rFonts w:ascii="Arial" w:hAnsi="Arial"/>
          <w:noProof/>
          <w:sz w:val="16"/>
          <w:szCs w:val="16"/>
          <w:lang w:eastAsia="ar-SA"/>
        </w:rPr>
        <w:t xml:space="preserve">(i) potential arrears are detected and reported to the services in charge with minimum delay; (ii) critical cases are promptly escalated to the right operational and decision level; (iii) regular reporting </w:t>
      </w:r>
      <w:r w:rsidRPr="000E60F3">
        <w:rPr>
          <w:rFonts w:ascii="Arial" w:hAnsi="Arial"/>
          <w:noProof/>
          <w:sz w:val="16"/>
          <w:szCs w:val="16"/>
          <w:lang w:eastAsia="ar-SA"/>
        </w:rPr>
        <w:t>to</w:t>
      </w:r>
      <w:r>
        <w:rPr>
          <w:rFonts w:ascii="Arial" w:hAnsi="Arial"/>
          <w:noProof/>
          <w:sz w:val="16"/>
          <w:szCs w:val="16"/>
          <w:lang w:eastAsia="ar-SA"/>
        </w:rPr>
        <w:t xml:space="preserve"> the</w:t>
      </w:r>
      <w:r w:rsidRPr="000E60F3">
        <w:rPr>
          <w:rFonts w:ascii="Arial" w:hAnsi="Arial"/>
          <w:noProof/>
          <w:sz w:val="16"/>
          <w:szCs w:val="16"/>
          <w:lang w:eastAsia="ar-SA"/>
        </w:rPr>
        <w:t xml:space="preserve"> </w:t>
      </w:r>
      <w:r>
        <w:rPr>
          <w:rFonts w:ascii="Arial" w:hAnsi="Arial"/>
          <w:noProof/>
          <w:sz w:val="16"/>
          <w:szCs w:val="16"/>
          <w:lang w:eastAsia="ar-SA"/>
        </w:rPr>
        <w:t xml:space="preserve">Facility </w:t>
      </w:r>
      <w:r w:rsidRPr="000E60F3">
        <w:rPr>
          <w:rFonts w:ascii="Arial" w:hAnsi="Arial"/>
          <w:noProof/>
          <w:sz w:val="16"/>
          <w:szCs w:val="16"/>
          <w:lang w:eastAsia="ar-SA"/>
        </w:rPr>
        <w:t xml:space="preserve">management </w:t>
      </w:r>
      <w:r>
        <w:rPr>
          <w:rFonts w:ascii="Arial" w:hAnsi="Arial"/>
          <w:noProof/>
          <w:sz w:val="16"/>
          <w:szCs w:val="16"/>
          <w:lang w:eastAsia="ar-SA"/>
        </w:rPr>
        <w:t>is provided on the overall status.</w:t>
      </w:r>
    </w:p>
    <w:p w14:paraId="3DD71707"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arrears </w:t>
      </w:r>
      <w:r>
        <w:rPr>
          <w:rFonts w:ascii="Arial" w:hAnsi="Arial"/>
          <w:noProof/>
          <w:sz w:val="16"/>
          <w:szCs w:val="16"/>
          <w:lang w:eastAsia="ar-SA"/>
        </w:rPr>
        <w:t>and impairments</w:t>
      </w:r>
      <w:r w:rsidRPr="00BD1346">
        <w:rPr>
          <w:rFonts w:ascii="Arial" w:hAnsi="Arial"/>
          <w:noProof/>
          <w:sz w:val="16"/>
          <w:szCs w:val="16"/>
          <w:lang w:eastAsia="ar-SA"/>
        </w:rPr>
        <w:t xml:space="preserve"> on loans</w:t>
      </w:r>
      <w:r>
        <w:rPr>
          <w:rFonts w:ascii="Arial" w:hAnsi="Arial"/>
          <w:noProof/>
          <w:sz w:val="16"/>
          <w:szCs w:val="16"/>
          <w:lang w:eastAsia="ar-SA"/>
        </w:rPr>
        <w:t xml:space="preserve"> and advances</w:t>
      </w:r>
      <w:r w:rsidRPr="00BD1346">
        <w:rPr>
          <w:rFonts w:ascii="Arial" w:hAnsi="Arial"/>
          <w:noProof/>
          <w:sz w:val="16"/>
          <w:szCs w:val="16"/>
          <w:lang w:eastAsia="ar-SA"/>
        </w:rPr>
        <w:t xml:space="preserve"> can be analysed as follows (in EUR’000):</w:t>
      </w:r>
    </w:p>
    <w:tbl>
      <w:tblPr>
        <w:tblStyle w:val="CDMRange2"/>
        <w:tblW w:w="5000" w:type="pct"/>
        <w:tblLayout w:type="fixed"/>
        <w:tblLook w:val="0600" w:firstRow="0" w:lastRow="0" w:firstColumn="0" w:lastColumn="0" w:noHBand="1" w:noVBand="1"/>
      </w:tblPr>
      <w:tblGrid>
        <w:gridCol w:w="5028"/>
        <w:gridCol w:w="2325"/>
        <w:gridCol w:w="2325"/>
      </w:tblGrid>
      <w:tr w:rsidR="00FD1E19" w14:paraId="307694B1" w14:textId="77777777" w:rsidTr="00BE7E4A">
        <w:trPr>
          <w:trHeight w:hRule="exact" w:val="300"/>
        </w:trPr>
        <w:tc>
          <w:tcPr>
            <w:tcW w:w="5160" w:type="dxa"/>
            <w:tcBorders>
              <w:top w:val="single" w:sz="4" w:space="0" w:color="000000"/>
              <w:left w:val="nil"/>
              <w:bottom w:val="nil"/>
              <w:right w:val="nil"/>
              <w:tl2br w:val="nil"/>
              <w:tr2bl w:val="nil"/>
            </w:tcBorders>
            <w:noWrap/>
            <w:tcMar>
              <w:left w:w="0" w:type="dxa"/>
              <w:right w:w="0" w:type="dxa"/>
            </w:tcMar>
            <w:vAlign w:val="bottom"/>
          </w:tcPr>
          <w:p w14:paraId="7F9B2A9A" w14:textId="77777777" w:rsidR="00FD1E19" w:rsidRDefault="00FD1E19" w:rsidP="00BE7E4A">
            <w:pPr>
              <w:suppressAutoHyphens/>
              <w:rPr>
                <w:rFonts w:ascii="Calibri" w:eastAsia="Calibri" w:hAnsi="Calibri" w:cs="Calibri"/>
                <w:noProof/>
                <w:color w:val="000000"/>
                <w:sz w:val="22"/>
                <w:lang w:eastAsia="ar-SA"/>
              </w:rPr>
            </w:pPr>
            <w:bookmarkStart w:id="239" w:name="RG_MARKER_90121"/>
            <w:bookmarkEnd w:id="239"/>
          </w:p>
        </w:tc>
        <w:tc>
          <w:tcPr>
            <w:tcW w:w="2385" w:type="dxa"/>
            <w:tcBorders>
              <w:top w:val="single" w:sz="4" w:space="0" w:color="000000"/>
              <w:left w:val="nil"/>
              <w:bottom w:val="nil"/>
              <w:right w:val="nil"/>
              <w:tl2br w:val="nil"/>
              <w:tr2bl w:val="nil"/>
            </w:tcBorders>
            <w:tcMar>
              <w:left w:w="40" w:type="dxa"/>
              <w:right w:w="40" w:type="dxa"/>
            </w:tcMar>
            <w:vAlign w:val="center"/>
          </w:tcPr>
          <w:p w14:paraId="7EBE459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w:t>
            </w:r>
          </w:p>
        </w:tc>
        <w:tc>
          <w:tcPr>
            <w:tcW w:w="2385" w:type="dxa"/>
            <w:tcBorders>
              <w:top w:val="single" w:sz="4" w:space="0" w:color="000000"/>
              <w:left w:val="nil"/>
              <w:bottom w:val="nil"/>
              <w:right w:val="nil"/>
              <w:tl2br w:val="nil"/>
              <w:tr2bl w:val="nil"/>
            </w:tcBorders>
            <w:tcMar>
              <w:left w:w="40" w:type="dxa"/>
              <w:right w:w="40" w:type="dxa"/>
            </w:tcMar>
            <w:vAlign w:val="center"/>
          </w:tcPr>
          <w:p w14:paraId="64807E3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w:t>
            </w:r>
          </w:p>
        </w:tc>
      </w:tr>
      <w:tr w:rsidR="00FD1E19" w14:paraId="12A9CD0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single" w:sz="4" w:space="0" w:color="000000"/>
              <w:right w:val="nil"/>
              <w:tl2br w:val="nil"/>
              <w:tr2bl w:val="nil"/>
            </w:tcBorders>
            <w:tcMar>
              <w:left w:w="0" w:type="dxa"/>
              <w:right w:w="0" w:type="dxa"/>
            </w:tcMar>
            <w:vAlign w:val="bottom"/>
          </w:tcPr>
          <w:p w14:paraId="5033112F" w14:textId="77777777" w:rsidR="00FD1E19" w:rsidRDefault="00FD1E19" w:rsidP="00BE7E4A">
            <w:pPr>
              <w:suppressAutoHyphens/>
              <w:rPr>
                <w:noProof/>
                <w:color w:val="000000"/>
                <w:lang w:eastAsia="ar-SA"/>
              </w:rPr>
            </w:pPr>
          </w:p>
        </w:tc>
        <w:tc>
          <w:tcPr>
            <w:tcW w:w="2385" w:type="dxa"/>
            <w:tcBorders>
              <w:top w:val="nil"/>
              <w:left w:val="nil"/>
              <w:bottom w:val="single" w:sz="4" w:space="0" w:color="000000"/>
              <w:right w:val="nil"/>
              <w:tl2br w:val="nil"/>
              <w:tr2bl w:val="nil"/>
            </w:tcBorders>
            <w:tcMar>
              <w:left w:w="40" w:type="dxa"/>
              <w:right w:w="40" w:type="dxa"/>
            </w:tcMar>
            <w:vAlign w:val="center"/>
          </w:tcPr>
          <w:p w14:paraId="52270B7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2385" w:type="dxa"/>
            <w:tcBorders>
              <w:top w:val="nil"/>
              <w:left w:val="nil"/>
              <w:bottom w:val="single" w:sz="4" w:space="0" w:color="000000"/>
              <w:right w:val="nil"/>
              <w:tl2br w:val="nil"/>
              <w:tr2bl w:val="nil"/>
            </w:tcBorders>
            <w:tcMar>
              <w:left w:w="40" w:type="dxa"/>
              <w:right w:w="40" w:type="dxa"/>
            </w:tcMar>
            <w:vAlign w:val="center"/>
          </w:tcPr>
          <w:p w14:paraId="3EEFDAC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5DCB5AD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14:paraId="172A73B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w:t>
            </w:r>
          </w:p>
        </w:tc>
        <w:tc>
          <w:tcPr>
            <w:tcW w:w="2385" w:type="dxa"/>
            <w:tcBorders>
              <w:top w:val="single" w:sz="4" w:space="0" w:color="000000"/>
              <w:left w:val="nil"/>
              <w:bottom w:val="single" w:sz="4" w:space="0" w:color="000000"/>
              <w:right w:val="nil"/>
              <w:tl2br w:val="nil"/>
              <w:tr2bl w:val="nil"/>
            </w:tcBorders>
            <w:tcMar>
              <w:left w:w="40" w:type="dxa"/>
              <w:right w:w="40" w:type="dxa"/>
            </w:tcMar>
            <w:vAlign w:val="center"/>
          </w:tcPr>
          <w:p w14:paraId="52A6BB0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1,063,511</w:t>
            </w:r>
          </w:p>
        </w:tc>
        <w:tc>
          <w:tcPr>
            <w:tcW w:w="2385" w:type="dxa"/>
            <w:tcBorders>
              <w:top w:val="single" w:sz="4" w:space="0" w:color="000000"/>
              <w:left w:val="nil"/>
              <w:bottom w:val="single" w:sz="4" w:space="0" w:color="000000"/>
              <w:right w:val="nil"/>
              <w:tl2br w:val="nil"/>
              <w:tr2bl w:val="nil"/>
            </w:tcBorders>
            <w:tcMar>
              <w:left w:w="40" w:type="dxa"/>
              <w:right w:w="40" w:type="dxa"/>
            </w:tcMar>
            <w:vAlign w:val="center"/>
          </w:tcPr>
          <w:p w14:paraId="6160E8A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1,498,048</w:t>
            </w:r>
          </w:p>
        </w:tc>
      </w:tr>
      <w:tr w:rsidR="00FD1E19" w14:paraId="625ADB4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0" w:type="dxa"/>
              <w:right w:w="0" w:type="dxa"/>
            </w:tcMar>
            <w:vAlign w:val="center"/>
          </w:tcPr>
          <w:p w14:paraId="5D67C436" w14:textId="77777777" w:rsidR="00FD1E19" w:rsidRDefault="00FD1E19" w:rsidP="00BE7E4A">
            <w:pPr>
              <w:suppressAutoHyphens/>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14:paraId="70DF45F9" w14:textId="77777777" w:rsidR="00FD1E19" w:rsidRDefault="00FD1E19" w:rsidP="00BE7E4A">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14:paraId="408C530C"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B0383B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14:paraId="529B56E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Lifetime ECL credit- impaired</w:t>
            </w: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14:paraId="2C61145D" w14:textId="77777777" w:rsidR="00FD1E19" w:rsidRDefault="00FD1E19" w:rsidP="00BE7E4A">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14:paraId="2356FBB8"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4E3C9B7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nil"/>
              <w:right w:val="nil"/>
              <w:tl2br w:val="nil"/>
              <w:tr2bl w:val="nil"/>
            </w:tcBorders>
            <w:tcMar>
              <w:left w:w="40" w:type="dxa"/>
              <w:right w:w="40" w:type="dxa"/>
            </w:tcMar>
            <w:vAlign w:val="center"/>
          </w:tcPr>
          <w:p w14:paraId="30E083A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Gross amount</w:t>
            </w:r>
          </w:p>
        </w:tc>
        <w:tc>
          <w:tcPr>
            <w:tcW w:w="2385" w:type="dxa"/>
            <w:tcBorders>
              <w:top w:val="single" w:sz="4" w:space="0" w:color="000000"/>
              <w:left w:val="nil"/>
              <w:bottom w:val="nil"/>
              <w:right w:val="nil"/>
              <w:tl2br w:val="nil"/>
              <w:tr2bl w:val="nil"/>
            </w:tcBorders>
            <w:tcMar>
              <w:left w:w="40" w:type="dxa"/>
              <w:right w:w="40" w:type="dxa"/>
            </w:tcMar>
            <w:vAlign w:val="center"/>
          </w:tcPr>
          <w:p w14:paraId="30269F4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15,553</w:t>
            </w:r>
          </w:p>
        </w:tc>
        <w:tc>
          <w:tcPr>
            <w:tcW w:w="2385" w:type="dxa"/>
            <w:tcBorders>
              <w:top w:val="single" w:sz="4" w:space="0" w:color="000000"/>
              <w:left w:val="nil"/>
              <w:bottom w:val="nil"/>
              <w:right w:val="nil"/>
              <w:tl2br w:val="nil"/>
              <w:tr2bl w:val="nil"/>
            </w:tcBorders>
            <w:tcMar>
              <w:left w:w="40" w:type="dxa"/>
              <w:right w:w="40" w:type="dxa"/>
            </w:tcMar>
            <w:vAlign w:val="center"/>
          </w:tcPr>
          <w:p w14:paraId="54B8BD2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22,307</w:t>
            </w:r>
          </w:p>
        </w:tc>
      </w:tr>
      <w:tr w:rsidR="00FD1E19" w14:paraId="1363162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14:paraId="0625F7F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Impairment- loss allowance</w:t>
            </w:r>
          </w:p>
        </w:tc>
        <w:tc>
          <w:tcPr>
            <w:tcW w:w="2385" w:type="dxa"/>
            <w:tcBorders>
              <w:top w:val="nil"/>
              <w:left w:val="nil"/>
              <w:bottom w:val="nil"/>
              <w:right w:val="nil"/>
              <w:tl2br w:val="nil"/>
              <w:tr2bl w:val="nil"/>
            </w:tcBorders>
            <w:tcMar>
              <w:left w:w="40" w:type="dxa"/>
              <w:right w:w="40" w:type="dxa"/>
            </w:tcMar>
            <w:vAlign w:val="center"/>
          </w:tcPr>
          <w:p w14:paraId="79A63AE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-2,471</w:t>
            </w:r>
          </w:p>
        </w:tc>
        <w:tc>
          <w:tcPr>
            <w:tcW w:w="2385" w:type="dxa"/>
            <w:tcBorders>
              <w:top w:val="nil"/>
              <w:left w:val="nil"/>
              <w:bottom w:val="nil"/>
              <w:right w:val="nil"/>
              <w:tl2br w:val="nil"/>
              <w:tr2bl w:val="nil"/>
            </w:tcBorders>
            <w:tcMar>
              <w:left w:w="40" w:type="dxa"/>
              <w:right w:w="40" w:type="dxa"/>
            </w:tcMar>
            <w:vAlign w:val="center"/>
          </w:tcPr>
          <w:p w14:paraId="792ECC5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-12,431</w:t>
            </w:r>
          </w:p>
        </w:tc>
      </w:tr>
      <w:tr w:rsidR="00FD1E19" w14:paraId="0CE29DA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shd w:val="clear" w:color="FFFFFF" w:fill="BFBFBF"/>
            <w:tcMar>
              <w:left w:w="40" w:type="dxa"/>
              <w:right w:w="40" w:type="dxa"/>
            </w:tcMar>
            <w:vAlign w:val="center"/>
          </w:tcPr>
          <w:p w14:paraId="5B56A91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of lifetime ECL credit-impaired</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26A0E08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13,082</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04D2250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9,876</w:t>
            </w:r>
          </w:p>
        </w:tc>
      </w:tr>
      <w:tr w:rsidR="00FD1E19" w14:paraId="3BD747B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0" w:type="dxa"/>
              <w:right w:w="0" w:type="dxa"/>
            </w:tcMar>
            <w:vAlign w:val="center"/>
          </w:tcPr>
          <w:p w14:paraId="6CC63CDF" w14:textId="77777777" w:rsidR="00FD1E19" w:rsidRDefault="00FD1E19" w:rsidP="00BE7E4A">
            <w:pPr>
              <w:suppressAutoHyphens/>
              <w:rPr>
                <w:noProof/>
                <w:color w:val="000000"/>
                <w:lang w:eastAsia="ar-SA"/>
              </w:rPr>
            </w:pPr>
          </w:p>
        </w:tc>
        <w:tc>
          <w:tcPr>
            <w:tcW w:w="2385" w:type="dxa"/>
            <w:tcBorders>
              <w:top w:val="nil"/>
              <w:left w:val="nil"/>
              <w:bottom w:val="nil"/>
              <w:right w:val="nil"/>
              <w:tl2br w:val="nil"/>
              <w:tr2bl w:val="nil"/>
            </w:tcBorders>
            <w:tcMar>
              <w:left w:w="0" w:type="dxa"/>
              <w:right w:w="0" w:type="dxa"/>
            </w:tcMar>
            <w:vAlign w:val="center"/>
          </w:tcPr>
          <w:p w14:paraId="0C1A1BDE" w14:textId="77777777" w:rsidR="00FD1E19" w:rsidRDefault="00FD1E19" w:rsidP="00BE7E4A">
            <w:pPr>
              <w:suppressAutoHyphens/>
              <w:jc w:val="right"/>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14:paraId="60ABDA01" w14:textId="77777777" w:rsidR="00FD1E19" w:rsidRDefault="00FD1E19" w:rsidP="00BE7E4A">
            <w:pPr>
              <w:suppressAutoHyphens/>
              <w:jc w:val="right"/>
              <w:rPr>
                <w:noProof/>
                <w:color w:val="000000"/>
                <w:lang w:eastAsia="ar-SA"/>
              </w:rPr>
            </w:pPr>
          </w:p>
        </w:tc>
      </w:tr>
      <w:tr w:rsidR="00FD1E19" w14:paraId="3F08AA0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single" w:sz="4" w:space="0" w:color="000000"/>
              <w:right w:val="nil"/>
              <w:tl2br w:val="nil"/>
              <w:tr2bl w:val="nil"/>
            </w:tcBorders>
            <w:noWrap/>
            <w:tcMar>
              <w:left w:w="0" w:type="dxa"/>
              <w:right w:w="0" w:type="dxa"/>
            </w:tcMar>
            <w:vAlign w:val="bottom"/>
          </w:tcPr>
          <w:p w14:paraId="4CE6C172" w14:textId="77777777" w:rsidR="00FD1E19" w:rsidRDefault="00FD1E19" w:rsidP="00BE7E4A">
            <w:pPr>
              <w:suppressAutoHyphens/>
              <w:rPr>
                <w:noProof/>
                <w:color w:val="000000"/>
                <w:lang w:eastAsia="ar-SA"/>
              </w:rPr>
            </w:pPr>
          </w:p>
        </w:tc>
        <w:tc>
          <w:tcPr>
            <w:tcW w:w="2385" w:type="dxa"/>
            <w:tcBorders>
              <w:top w:val="nil"/>
              <w:left w:val="nil"/>
              <w:bottom w:val="single" w:sz="4" w:space="0" w:color="000000"/>
              <w:right w:val="nil"/>
              <w:tl2br w:val="nil"/>
              <w:tr2bl w:val="nil"/>
            </w:tcBorders>
            <w:noWrap/>
            <w:tcMar>
              <w:left w:w="0" w:type="dxa"/>
              <w:right w:w="0" w:type="dxa"/>
            </w:tcMar>
            <w:vAlign w:val="center"/>
          </w:tcPr>
          <w:p w14:paraId="4B981252" w14:textId="77777777" w:rsidR="00FD1E19" w:rsidRDefault="00FD1E19" w:rsidP="00BE7E4A">
            <w:pPr>
              <w:suppressAutoHyphens/>
              <w:jc w:val="right"/>
              <w:rPr>
                <w:rFonts w:ascii="Arial" w:eastAsia="Arial" w:hAnsi="Arial" w:cs="Arial"/>
                <w:noProof/>
                <w:color w:val="000000"/>
                <w:lang w:eastAsia="ar-SA"/>
              </w:rPr>
            </w:pPr>
          </w:p>
        </w:tc>
        <w:tc>
          <w:tcPr>
            <w:tcW w:w="2385" w:type="dxa"/>
            <w:tcBorders>
              <w:top w:val="nil"/>
              <w:left w:val="nil"/>
              <w:bottom w:val="single" w:sz="4" w:space="0" w:color="000000"/>
              <w:right w:val="nil"/>
              <w:tl2br w:val="nil"/>
              <w:tr2bl w:val="nil"/>
            </w:tcBorders>
            <w:noWrap/>
            <w:tcMar>
              <w:left w:w="0" w:type="dxa"/>
              <w:right w:w="0" w:type="dxa"/>
            </w:tcMar>
            <w:vAlign w:val="bottom"/>
          </w:tcPr>
          <w:p w14:paraId="2403C0D0" w14:textId="77777777" w:rsidR="00FD1E19" w:rsidRDefault="00FD1E19" w:rsidP="00BE7E4A">
            <w:pPr>
              <w:suppressAutoHyphens/>
              <w:jc w:val="right"/>
              <w:rPr>
                <w:noProof/>
                <w:color w:val="000000"/>
                <w:lang w:eastAsia="ar-SA"/>
              </w:rPr>
            </w:pPr>
          </w:p>
        </w:tc>
      </w:tr>
      <w:tr w:rsidR="00FD1E19" w14:paraId="32F6D7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single" w:sz="4" w:space="0" w:color="000000"/>
              <w:right w:val="nil"/>
              <w:tl2br w:val="nil"/>
              <w:tr2bl w:val="nil"/>
            </w:tcBorders>
            <w:tcMar>
              <w:left w:w="40" w:type="dxa"/>
              <w:right w:w="40" w:type="dxa"/>
            </w:tcMar>
            <w:vAlign w:val="center"/>
          </w:tcPr>
          <w:p w14:paraId="4A70A14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Past due but not credit- impaired</w:t>
            </w: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14:paraId="5DE89BA7" w14:textId="77777777" w:rsidR="00FD1E19" w:rsidRDefault="00FD1E19" w:rsidP="00BE7E4A">
            <w:pPr>
              <w:suppressAutoHyphens/>
              <w:jc w:val="right"/>
              <w:rPr>
                <w:rFonts w:ascii="Arial" w:eastAsia="Arial" w:hAnsi="Arial" w:cs="Arial"/>
                <w:b/>
                <w:noProof/>
                <w:color w:val="000000"/>
                <w:sz w:val="16"/>
                <w:lang w:eastAsia="ar-SA"/>
              </w:rPr>
            </w:pPr>
          </w:p>
        </w:tc>
        <w:tc>
          <w:tcPr>
            <w:tcW w:w="2385" w:type="dxa"/>
            <w:tcBorders>
              <w:top w:val="single" w:sz="4" w:space="0" w:color="000000"/>
              <w:left w:val="nil"/>
              <w:bottom w:val="single" w:sz="4" w:space="0" w:color="000000"/>
              <w:right w:val="nil"/>
              <w:tl2br w:val="nil"/>
              <w:tr2bl w:val="nil"/>
            </w:tcBorders>
            <w:tcMar>
              <w:left w:w="0" w:type="dxa"/>
              <w:right w:w="0" w:type="dxa"/>
            </w:tcMar>
            <w:vAlign w:val="center"/>
          </w:tcPr>
          <w:p w14:paraId="3FA8349A"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6792DF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single" w:sz="4" w:space="0" w:color="000000"/>
              <w:left w:val="nil"/>
              <w:bottom w:val="nil"/>
              <w:right w:val="nil"/>
              <w:tl2br w:val="nil"/>
              <w:tr2bl w:val="nil"/>
            </w:tcBorders>
            <w:noWrap/>
            <w:tcMar>
              <w:left w:w="0" w:type="dxa"/>
              <w:right w:w="0" w:type="dxa"/>
            </w:tcMar>
            <w:vAlign w:val="bottom"/>
          </w:tcPr>
          <w:p w14:paraId="42A6F482" w14:textId="77777777" w:rsidR="00FD1E19" w:rsidRDefault="00FD1E19" w:rsidP="00BE7E4A">
            <w:pPr>
              <w:suppressAutoHyphens/>
              <w:rPr>
                <w:noProof/>
                <w:color w:val="000000"/>
                <w:lang w:eastAsia="ar-SA"/>
              </w:rPr>
            </w:pPr>
          </w:p>
        </w:tc>
        <w:tc>
          <w:tcPr>
            <w:tcW w:w="2385" w:type="dxa"/>
            <w:tcBorders>
              <w:top w:val="single" w:sz="4" w:space="0" w:color="000000"/>
              <w:left w:val="nil"/>
              <w:bottom w:val="nil"/>
              <w:right w:val="nil"/>
              <w:tl2br w:val="nil"/>
              <w:tr2bl w:val="nil"/>
            </w:tcBorders>
            <w:noWrap/>
            <w:tcMar>
              <w:left w:w="0" w:type="dxa"/>
              <w:right w:w="0" w:type="dxa"/>
            </w:tcMar>
            <w:vAlign w:val="center"/>
          </w:tcPr>
          <w:p w14:paraId="19FF06EE" w14:textId="77777777" w:rsidR="00FD1E19" w:rsidRDefault="00FD1E19" w:rsidP="00BE7E4A">
            <w:pPr>
              <w:suppressAutoHyphens/>
              <w:jc w:val="right"/>
              <w:rPr>
                <w:rFonts w:ascii="Arial" w:eastAsia="Arial" w:hAnsi="Arial" w:cs="Arial"/>
                <w:noProof/>
                <w:color w:val="000000"/>
                <w:lang w:eastAsia="ar-SA"/>
              </w:rPr>
            </w:pPr>
          </w:p>
        </w:tc>
        <w:tc>
          <w:tcPr>
            <w:tcW w:w="2385" w:type="dxa"/>
            <w:tcBorders>
              <w:top w:val="single" w:sz="4" w:space="0" w:color="000000"/>
              <w:left w:val="nil"/>
              <w:bottom w:val="nil"/>
              <w:right w:val="nil"/>
              <w:tl2br w:val="nil"/>
              <w:tr2bl w:val="nil"/>
            </w:tcBorders>
            <w:noWrap/>
            <w:tcMar>
              <w:left w:w="0" w:type="dxa"/>
              <w:right w:w="0" w:type="dxa"/>
            </w:tcMar>
            <w:vAlign w:val="bottom"/>
          </w:tcPr>
          <w:p w14:paraId="67B99AEC" w14:textId="77777777" w:rsidR="00FD1E19" w:rsidRDefault="00FD1E19" w:rsidP="00BE7E4A">
            <w:pPr>
              <w:suppressAutoHyphens/>
              <w:jc w:val="right"/>
              <w:rPr>
                <w:noProof/>
                <w:color w:val="000000"/>
                <w:lang w:eastAsia="ar-SA"/>
              </w:rPr>
            </w:pPr>
          </w:p>
        </w:tc>
      </w:tr>
      <w:tr w:rsidR="00FD1E19" w14:paraId="43EB1E7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14:paraId="01E6567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Past due comprises</w:t>
            </w:r>
          </w:p>
        </w:tc>
        <w:tc>
          <w:tcPr>
            <w:tcW w:w="2385" w:type="dxa"/>
            <w:tcBorders>
              <w:top w:val="nil"/>
              <w:left w:val="nil"/>
              <w:bottom w:val="nil"/>
              <w:right w:val="nil"/>
              <w:tl2br w:val="nil"/>
              <w:tr2bl w:val="nil"/>
            </w:tcBorders>
            <w:tcMar>
              <w:left w:w="0" w:type="dxa"/>
              <w:right w:w="0" w:type="dxa"/>
            </w:tcMar>
            <w:vAlign w:val="center"/>
          </w:tcPr>
          <w:p w14:paraId="7C8F1FD6" w14:textId="77777777" w:rsidR="00FD1E19" w:rsidRDefault="00FD1E19" w:rsidP="00BE7E4A">
            <w:pPr>
              <w:suppressAutoHyphens/>
              <w:jc w:val="right"/>
              <w:rPr>
                <w:rFonts w:ascii="Arial" w:eastAsia="Arial" w:hAnsi="Arial" w:cs="Arial"/>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14:paraId="19C55F70" w14:textId="77777777" w:rsidR="00FD1E19" w:rsidRDefault="00FD1E19" w:rsidP="00BE7E4A">
            <w:pPr>
              <w:suppressAutoHyphens/>
              <w:jc w:val="right"/>
              <w:rPr>
                <w:noProof/>
                <w:color w:val="000000"/>
                <w:lang w:eastAsia="ar-SA"/>
              </w:rPr>
            </w:pPr>
          </w:p>
        </w:tc>
      </w:tr>
      <w:tr w:rsidR="00FD1E19" w14:paraId="5CB82E3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14:paraId="2DFD49D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0-30 days</w:t>
            </w:r>
          </w:p>
        </w:tc>
        <w:tc>
          <w:tcPr>
            <w:tcW w:w="2385" w:type="dxa"/>
            <w:tcBorders>
              <w:top w:val="nil"/>
              <w:left w:val="nil"/>
              <w:bottom w:val="nil"/>
              <w:right w:val="nil"/>
              <w:tl2br w:val="nil"/>
              <w:tr2bl w:val="nil"/>
            </w:tcBorders>
            <w:tcMar>
              <w:left w:w="40" w:type="dxa"/>
              <w:right w:w="40" w:type="dxa"/>
            </w:tcMar>
            <w:vAlign w:val="center"/>
          </w:tcPr>
          <w:p w14:paraId="6907CD2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201</w:t>
            </w:r>
          </w:p>
        </w:tc>
        <w:tc>
          <w:tcPr>
            <w:tcW w:w="2385" w:type="dxa"/>
            <w:tcBorders>
              <w:top w:val="nil"/>
              <w:left w:val="nil"/>
              <w:bottom w:val="nil"/>
              <w:right w:val="nil"/>
              <w:tl2br w:val="nil"/>
              <w:tr2bl w:val="nil"/>
            </w:tcBorders>
            <w:tcMar>
              <w:left w:w="40" w:type="dxa"/>
              <w:right w:w="40" w:type="dxa"/>
            </w:tcMar>
            <w:vAlign w:val="center"/>
          </w:tcPr>
          <w:p w14:paraId="6B55FC2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229</w:t>
            </w:r>
          </w:p>
        </w:tc>
      </w:tr>
      <w:tr w:rsidR="00FD1E19" w14:paraId="02B635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14:paraId="20D245D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30-90 days</w:t>
            </w:r>
          </w:p>
        </w:tc>
        <w:tc>
          <w:tcPr>
            <w:tcW w:w="2385" w:type="dxa"/>
            <w:tcBorders>
              <w:top w:val="nil"/>
              <w:left w:val="nil"/>
              <w:bottom w:val="nil"/>
              <w:right w:val="nil"/>
              <w:tl2br w:val="nil"/>
              <w:tr2bl w:val="nil"/>
            </w:tcBorders>
            <w:tcMar>
              <w:left w:w="40" w:type="dxa"/>
              <w:right w:w="40" w:type="dxa"/>
            </w:tcMar>
            <w:vAlign w:val="center"/>
          </w:tcPr>
          <w:p w14:paraId="3DCEB3C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2385" w:type="dxa"/>
            <w:tcBorders>
              <w:top w:val="nil"/>
              <w:left w:val="nil"/>
              <w:bottom w:val="nil"/>
              <w:right w:val="nil"/>
              <w:tl2br w:val="nil"/>
              <w:tr2bl w:val="nil"/>
            </w:tcBorders>
            <w:tcMar>
              <w:left w:w="40" w:type="dxa"/>
              <w:right w:w="40" w:type="dxa"/>
            </w:tcMar>
            <w:vAlign w:val="center"/>
          </w:tcPr>
          <w:p w14:paraId="3DD3D5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w:t>
            </w:r>
          </w:p>
        </w:tc>
      </w:tr>
      <w:tr w:rsidR="00FD1E19" w14:paraId="103474B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14:paraId="2330924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90-180 days</w:t>
            </w:r>
          </w:p>
        </w:tc>
        <w:tc>
          <w:tcPr>
            <w:tcW w:w="2385" w:type="dxa"/>
            <w:tcBorders>
              <w:top w:val="nil"/>
              <w:left w:val="nil"/>
              <w:bottom w:val="nil"/>
              <w:right w:val="nil"/>
              <w:tl2br w:val="nil"/>
              <w:tr2bl w:val="nil"/>
            </w:tcBorders>
            <w:tcMar>
              <w:left w:w="40" w:type="dxa"/>
              <w:right w:w="40" w:type="dxa"/>
            </w:tcMar>
            <w:vAlign w:val="center"/>
          </w:tcPr>
          <w:p w14:paraId="196868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2385" w:type="dxa"/>
            <w:tcBorders>
              <w:top w:val="nil"/>
              <w:left w:val="nil"/>
              <w:bottom w:val="nil"/>
              <w:right w:val="nil"/>
              <w:tl2br w:val="nil"/>
              <w:tr2bl w:val="nil"/>
            </w:tcBorders>
            <w:tcMar>
              <w:left w:w="40" w:type="dxa"/>
              <w:right w:w="40" w:type="dxa"/>
            </w:tcMar>
            <w:vAlign w:val="center"/>
          </w:tcPr>
          <w:p w14:paraId="557F503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064A33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40" w:type="dxa"/>
              <w:right w:w="40" w:type="dxa"/>
            </w:tcMar>
            <w:vAlign w:val="center"/>
          </w:tcPr>
          <w:p w14:paraId="476F6A0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more than 180 days</w:t>
            </w:r>
          </w:p>
        </w:tc>
        <w:tc>
          <w:tcPr>
            <w:tcW w:w="2385" w:type="dxa"/>
            <w:tcBorders>
              <w:top w:val="nil"/>
              <w:left w:val="nil"/>
              <w:bottom w:val="nil"/>
              <w:right w:val="nil"/>
              <w:tl2br w:val="nil"/>
              <w:tr2bl w:val="nil"/>
            </w:tcBorders>
            <w:tcMar>
              <w:left w:w="40" w:type="dxa"/>
              <w:right w:w="40" w:type="dxa"/>
            </w:tcMar>
            <w:vAlign w:val="center"/>
          </w:tcPr>
          <w:p w14:paraId="1844441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2385" w:type="dxa"/>
            <w:tcBorders>
              <w:top w:val="nil"/>
              <w:left w:val="nil"/>
              <w:bottom w:val="nil"/>
              <w:right w:val="nil"/>
              <w:tl2br w:val="nil"/>
              <w:tr2bl w:val="nil"/>
            </w:tcBorders>
            <w:tcMar>
              <w:left w:w="40" w:type="dxa"/>
              <w:right w:w="40" w:type="dxa"/>
            </w:tcMar>
            <w:vAlign w:val="center"/>
          </w:tcPr>
          <w:p w14:paraId="0DF44E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w:t>
            </w:r>
          </w:p>
        </w:tc>
      </w:tr>
      <w:tr w:rsidR="00FD1E19" w14:paraId="4BCA9EA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shd w:val="clear" w:color="FFFFFF" w:fill="BFBFBF"/>
            <w:tcMar>
              <w:left w:w="40" w:type="dxa"/>
              <w:right w:w="40" w:type="dxa"/>
            </w:tcMar>
            <w:vAlign w:val="center"/>
          </w:tcPr>
          <w:p w14:paraId="5FD7680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past due but not credit- impaired</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65BE9A9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201</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5C3DD96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280</w:t>
            </w:r>
          </w:p>
        </w:tc>
      </w:tr>
      <w:tr w:rsidR="00FD1E19" w14:paraId="4CA5870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noWrap/>
            <w:tcMar>
              <w:left w:w="0" w:type="dxa"/>
              <w:right w:w="0" w:type="dxa"/>
            </w:tcMar>
            <w:vAlign w:val="bottom"/>
          </w:tcPr>
          <w:p w14:paraId="37367DFC" w14:textId="77777777" w:rsidR="00FD1E19" w:rsidRDefault="00FD1E19" w:rsidP="00BE7E4A">
            <w:pPr>
              <w:suppressAutoHyphens/>
              <w:rPr>
                <w:noProof/>
                <w:color w:val="000000"/>
                <w:lang w:eastAsia="ar-SA"/>
              </w:rPr>
            </w:pPr>
          </w:p>
        </w:tc>
        <w:tc>
          <w:tcPr>
            <w:tcW w:w="2385" w:type="dxa"/>
            <w:tcBorders>
              <w:top w:val="nil"/>
              <w:left w:val="nil"/>
              <w:bottom w:val="nil"/>
              <w:right w:val="nil"/>
              <w:tl2br w:val="nil"/>
              <w:tr2bl w:val="nil"/>
            </w:tcBorders>
            <w:noWrap/>
            <w:tcMar>
              <w:left w:w="0" w:type="dxa"/>
              <w:right w:w="0" w:type="dxa"/>
            </w:tcMar>
            <w:vAlign w:val="center"/>
          </w:tcPr>
          <w:p w14:paraId="408C014B" w14:textId="77777777" w:rsidR="00FD1E19" w:rsidRDefault="00FD1E19" w:rsidP="00BE7E4A">
            <w:pPr>
              <w:suppressAutoHyphens/>
              <w:jc w:val="right"/>
              <w:rPr>
                <w:rFonts w:ascii="Arial" w:eastAsia="Arial" w:hAnsi="Arial" w:cs="Arial"/>
                <w:noProof/>
                <w:color w:val="000000"/>
                <w:lang w:eastAsia="ar-SA"/>
              </w:rPr>
            </w:pPr>
          </w:p>
        </w:tc>
        <w:tc>
          <w:tcPr>
            <w:tcW w:w="2385" w:type="dxa"/>
            <w:tcBorders>
              <w:top w:val="nil"/>
              <w:left w:val="nil"/>
              <w:bottom w:val="nil"/>
              <w:right w:val="nil"/>
              <w:tl2br w:val="nil"/>
              <w:tr2bl w:val="nil"/>
            </w:tcBorders>
            <w:noWrap/>
            <w:tcMar>
              <w:left w:w="0" w:type="dxa"/>
              <w:right w:w="0" w:type="dxa"/>
            </w:tcMar>
            <w:vAlign w:val="bottom"/>
          </w:tcPr>
          <w:p w14:paraId="561A5E6E" w14:textId="77777777" w:rsidR="00FD1E19" w:rsidRDefault="00FD1E19" w:rsidP="00BE7E4A">
            <w:pPr>
              <w:suppressAutoHyphens/>
              <w:jc w:val="right"/>
              <w:rPr>
                <w:noProof/>
                <w:color w:val="000000"/>
                <w:lang w:eastAsia="ar-SA"/>
              </w:rPr>
            </w:pPr>
          </w:p>
        </w:tc>
      </w:tr>
      <w:tr w:rsidR="00FD1E19" w14:paraId="429C0D6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5"/>
        </w:trPr>
        <w:tc>
          <w:tcPr>
            <w:tcW w:w="5160" w:type="dxa"/>
            <w:tcBorders>
              <w:top w:val="nil"/>
              <w:left w:val="nil"/>
              <w:bottom w:val="nil"/>
              <w:right w:val="nil"/>
              <w:tl2br w:val="nil"/>
              <w:tr2bl w:val="nil"/>
            </w:tcBorders>
            <w:shd w:val="clear" w:color="FFFFFF" w:fill="BFBFBF"/>
            <w:tcMar>
              <w:left w:w="40" w:type="dxa"/>
              <w:right w:w="40" w:type="dxa"/>
            </w:tcMar>
            <w:vAlign w:val="center"/>
          </w:tcPr>
          <w:p w14:paraId="053A65C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neither past due nor credit- impaired</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2C5E256F" w14:textId="77777777" w:rsidR="00FD1E19" w:rsidRDefault="00FD1E19" w:rsidP="00BE7E4A">
            <w:pPr>
              <w:suppressAutoHyphens/>
              <w:jc w:val="right"/>
              <w:rPr>
                <w:rFonts w:ascii="Arial" w:eastAsia="Arial" w:hAnsi="Arial" w:cs="Arial"/>
                <w:b/>
                <w:noProof/>
                <w:color w:val="000000"/>
                <w:sz w:val="16"/>
                <w:lang w:eastAsia="ar-SA"/>
              </w:rPr>
            </w:pPr>
            <w:r w:rsidRPr="00D231A4">
              <w:rPr>
                <w:rFonts w:ascii="Arial" w:eastAsia="Arial" w:hAnsi="Arial" w:cs="Arial"/>
                <w:b/>
                <w:noProof/>
                <w:color w:val="000000"/>
                <w:sz w:val="16"/>
                <w:lang w:eastAsia="ar-SA"/>
              </w:rPr>
              <w:t>1,050,228</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32CECD0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1,487,892</w:t>
            </w:r>
          </w:p>
        </w:tc>
      </w:tr>
      <w:tr w:rsidR="00FD1E19" w14:paraId="66491DE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tcMar>
              <w:left w:w="0" w:type="dxa"/>
              <w:right w:w="0" w:type="dxa"/>
            </w:tcMar>
            <w:vAlign w:val="center"/>
          </w:tcPr>
          <w:p w14:paraId="77BB51C1" w14:textId="77777777" w:rsidR="00FD1E19" w:rsidRDefault="00FD1E19" w:rsidP="00BE7E4A">
            <w:pPr>
              <w:suppressAutoHyphens/>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14:paraId="683C466E" w14:textId="77777777" w:rsidR="00FD1E19" w:rsidRDefault="00FD1E19" w:rsidP="00BE7E4A">
            <w:pPr>
              <w:suppressAutoHyphens/>
              <w:jc w:val="right"/>
              <w:rPr>
                <w:rFonts w:ascii="Arial" w:eastAsia="Arial" w:hAnsi="Arial" w:cs="Arial"/>
                <w:b/>
                <w:noProof/>
                <w:color w:val="000000"/>
                <w:sz w:val="16"/>
                <w:lang w:eastAsia="ar-SA"/>
              </w:rPr>
            </w:pPr>
          </w:p>
        </w:tc>
        <w:tc>
          <w:tcPr>
            <w:tcW w:w="2385" w:type="dxa"/>
            <w:tcBorders>
              <w:top w:val="nil"/>
              <w:left w:val="nil"/>
              <w:bottom w:val="nil"/>
              <w:right w:val="nil"/>
              <w:tl2br w:val="nil"/>
              <w:tr2bl w:val="nil"/>
            </w:tcBorders>
            <w:tcMar>
              <w:left w:w="0" w:type="dxa"/>
              <w:right w:w="0" w:type="dxa"/>
            </w:tcMar>
            <w:vAlign w:val="center"/>
          </w:tcPr>
          <w:p w14:paraId="6B66EAC3"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7BF04D8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60" w:type="dxa"/>
            <w:tcBorders>
              <w:top w:val="nil"/>
              <w:left w:val="nil"/>
              <w:bottom w:val="nil"/>
              <w:right w:val="nil"/>
              <w:tl2br w:val="nil"/>
              <w:tr2bl w:val="nil"/>
            </w:tcBorders>
            <w:shd w:val="clear" w:color="FFFFFF" w:fill="BFBFBF"/>
            <w:tcMar>
              <w:left w:w="40" w:type="dxa"/>
              <w:right w:w="40" w:type="dxa"/>
            </w:tcMar>
            <w:vAlign w:val="center"/>
          </w:tcPr>
          <w:p w14:paraId="1E0CB92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carrying amount loans and advances</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6926DFC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1,063,511</w:t>
            </w:r>
          </w:p>
        </w:tc>
        <w:tc>
          <w:tcPr>
            <w:tcW w:w="2385" w:type="dxa"/>
            <w:tcBorders>
              <w:top w:val="nil"/>
              <w:left w:val="nil"/>
              <w:bottom w:val="nil"/>
              <w:right w:val="nil"/>
              <w:tl2br w:val="nil"/>
              <w:tr2bl w:val="nil"/>
            </w:tcBorders>
            <w:shd w:val="clear" w:color="FFFFFF" w:fill="BFBFBF"/>
            <w:tcMar>
              <w:left w:w="40" w:type="dxa"/>
              <w:right w:w="40" w:type="dxa"/>
            </w:tcMar>
            <w:vAlign w:val="center"/>
          </w:tcPr>
          <w:p w14:paraId="1363EFB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1,498,048</w:t>
            </w:r>
          </w:p>
        </w:tc>
      </w:tr>
    </w:tbl>
    <w:p w14:paraId="4CDBB652" w14:textId="77777777" w:rsidR="00FD1E19" w:rsidRPr="00091048" w:rsidRDefault="00FD1E19" w:rsidP="00FD1E19">
      <w:pPr>
        <w:pageBreakBefore/>
        <w:pBdr>
          <w:top w:val="nil"/>
          <w:left w:val="nil"/>
          <w:bottom w:val="nil"/>
          <w:right w:val="nil"/>
          <w:between w:val="nil"/>
          <w:bar w:val="nil"/>
        </w:pBdr>
        <w:spacing w:before="60" w:after="60" w:line="276" w:lineRule="auto"/>
        <w:jc w:val="both"/>
        <w:rPr>
          <w:rFonts w:ascii="Arial" w:eastAsia="Calibri" w:hAnsi="Arial" w:cs="Arial"/>
          <w:b/>
          <w:noProof/>
          <w:sz w:val="16"/>
          <w:szCs w:val="16"/>
          <w:bdr w:val="nil"/>
          <w:lang w:val="en-US"/>
        </w:rPr>
      </w:pPr>
      <w:bookmarkStart w:id="240" w:name="RG_MARKER_90122"/>
      <w:r w:rsidRPr="00B06AA5">
        <w:rPr>
          <w:rFonts w:ascii="Arial" w:eastAsia="Calibri" w:hAnsi="Arial" w:cs="Arial"/>
          <w:b/>
          <w:noProof/>
          <w:sz w:val="16"/>
          <w:szCs w:val="16"/>
          <w:lang w:val="en-US"/>
        </w:rPr>
        <w:t>3.2.3.7</w:t>
      </w:r>
      <w:bookmarkEnd w:id="240"/>
      <w:r w:rsidRPr="00091048">
        <w:rPr>
          <w:rFonts w:ascii="Arial" w:eastAsia="Calibri" w:hAnsi="Arial" w:cs="Arial"/>
          <w:b/>
          <w:noProof/>
          <w:sz w:val="16"/>
          <w:szCs w:val="16"/>
          <w:lang w:val="en-US"/>
        </w:rPr>
        <w:tab/>
        <w:t>Sensitivity on ECL to future economic conditions</w:t>
      </w:r>
      <w:r>
        <w:rPr>
          <w:rFonts w:ascii="Arial" w:eastAsia="Calibri" w:hAnsi="Arial" w:cs="Arial"/>
          <w:b/>
          <w:noProof/>
          <w:sz w:val="16"/>
          <w:szCs w:val="16"/>
          <w:lang w:val="en-US"/>
        </w:rPr>
        <w:t xml:space="preserve"> </w:t>
      </w:r>
      <w:r w:rsidRPr="009B3D29">
        <w:rPr>
          <w:rFonts w:ascii="Arial" w:eastAsia="Calibri" w:hAnsi="Arial" w:cs="Arial"/>
          <w:b/>
          <w:noProof/>
          <w:sz w:val="16"/>
          <w:szCs w:val="16"/>
          <w:lang w:val="en-US"/>
        </w:rPr>
        <w:t>(in EUR’000)</w:t>
      </w:r>
    </w:p>
    <w:p w14:paraId="23EE4620" w14:textId="77777777" w:rsidR="00FD1E19" w:rsidRPr="00091048" w:rsidRDefault="00FD1E19" w:rsidP="00FD1E19">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lang w:val="en-US"/>
        </w:rPr>
      </w:pPr>
      <w:r w:rsidRPr="00091048">
        <w:rPr>
          <w:rFonts w:ascii="Arial" w:eastAsia="Calibri" w:hAnsi="Arial" w:cs="Arial"/>
          <w:noProof/>
          <w:sz w:val="16"/>
          <w:szCs w:val="16"/>
          <w:lang w:val="en-US"/>
        </w:rPr>
        <w:t xml:space="preserve">The ECL </w:t>
      </w:r>
      <w:r>
        <w:rPr>
          <w:rFonts w:ascii="Arial" w:eastAsia="Calibri" w:hAnsi="Arial" w:cs="Arial"/>
          <w:noProof/>
          <w:sz w:val="16"/>
          <w:szCs w:val="16"/>
          <w:lang w:val="en-US"/>
        </w:rPr>
        <w:t xml:space="preserve">is </w:t>
      </w:r>
      <w:r w:rsidRPr="00091048">
        <w:rPr>
          <w:rFonts w:ascii="Arial" w:eastAsia="Calibri" w:hAnsi="Arial" w:cs="Arial"/>
          <w:noProof/>
          <w:sz w:val="16"/>
          <w:szCs w:val="16"/>
          <w:lang w:val="en-US"/>
        </w:rPr>
        <w:t xml:space="preserve">sensitive to judgments and assumptions made regarding formulation of forward-looking scenarios. The </w:t>
      </w:r>
      <w:r>
        <w:rPr>
          <w:rFonts w:ascii="Arial" w:eastAsia="Calibri" w:hAnsi="Arial" w:cs="Arial"/>
          <w:noProof/>
          <w:sz w:val="16"/>
          <w:szCs w:val="16"/>
          <w:lang w:val="en-US"/>
        </w:rPr>
        <w:t>EIB</w:t>
      </w:r>
      <w:r w:rsidRPr="00091048">
        <w:rPr>
          <w:rFonts w:ascii="Arial" w:eastAsia="Calibri" w:hAnsi="Arial" w:cs="Arial"/>
          <w:noProof/>
          <w:sz w:val="16"/>
          <w:szCs w:val="16"/>
          <w:lang w:val="en-US"/>
        </w:rPr>
        <w:t xml:space="preserve"> performs a sensitivity analysis on the ECL recognised on material clas</w:t>
      </w:r>
      <w:r>
        <w:rPr>
          <w:rFonts w:ascii="Arial" w:eastAsia="Calibri" w:hAnsi="Arial" w:cs="Arial"/>
          <w:noProof/>
          <w:sz w:val="16"/>
          <w:szCs w:val="16"/>
          <w:lang w:val="en-US"/>
        </w:rPr>
        <w:t>ses of its assets.</w:t>
      </w:r>
    </w:p>
    <w:p w14:paraId="07050768" w14:textId="77777777" w:rsidR="00FD1E19" w:rsidRPr="00091048" w:rsidRDefault="00FD1E19" w:rsidP="00FD1E19">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lang w:val="en-US"/>
        </w:rPr>
      </w:pPr>
      <w:r w:rsidRPr="00091048">
        <w:rPr>
          <w:rFonts w:ascii="Arial" w:eastAsia="Calibri" w:hAnsi="Arial" w:cs="Arial"/>
          <w:noProof/>
          <w:sz w:val="16"/>
          <w:szCs w:val="16"/>
          <w:lang w:val="en-US"/>
        </w:rPr>
        <w:t>The forecasts of future economic conditions (via macroeconomic scenarios) are inputs to forecasting model producing conditional risk parameters, which are an input</w:t>
      </w:r>
      <w:r>
        <w:rPr>
          <w:rFonts w:ascii="Arial" w:eastAsia="Calibri" w:hAnsi="Arial" w:cs="Arial"/>
          <w:noProof/>
          <w:sz w:val="16"/>
          <w:szCs w:val="16"/>
          <w:lang w:val="en-US"/>
        </w:rPr>
        <w:t xml:space="preserve"> to loss allowance calculation.</w:t>
      </w:r>
    </w:p>
    <w:p w14:paraId="66F9C2B9" w14:textId="77777777" w:rsidR="00FD1E19" w:rsidRDefault="00FD1E19" w:rsidP="00FD1E19">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lang w:val="en-US"/>
        </w:rPr>
      </w:pPr>
      <w:r w:rsidRPr="00091048">
        <w:rPr>
          <w:rFonts w:ascii="Arial" w:eastAsia="Calibri" w:hAnsi="Arial" w:cs="Arial"/>
          <w:noProof/>
          <w:sz w:val="16"/>
          <w:szCs w:val="16"/>
          <w:lang w:val="en-US"/>
        </w:rPr>
        <w:t xml:space="preserve">The scenarios are derived shocking GDP, which is the key measurement of economic activity. The shocks to real GDP are calibrated to replicate the past volatility of the variable. In addition, expert judgment is applied, when appropriate, to refine the size and persistency of GDP shocks. As a result, shocks are determined together with a decay function to determine the impact of the shocks over time. Probabilities attached to each scenario are defined reflecting market (volatility) indicators and internally developed indicators/trackers consistently deployed over time to capture uncertainty. </w:t>
      </w:r>
      <w:r w:rsidRPr="00775378">
        <w:rPr>
          <w:rFonts w:ascii="Arial" w:eastAsia="Calibri" w:hAnsi="Arial" w:cs="Arial"/>
          <w:noProof/>
          <w:sz w:val="16"/>
          <w:szCs w:val="16"/>
          <w:lang w:val="en-US"/>
        </w:rPr>
        <w:t>The weighting of positive and negative shocks depends on the balance of risks in the economy, negative and positive shocks with a probability of 40% and 5% respectively, were applied on quarterly projections in the last exercise.</w:t>
      </w:r>
      <w:r>
        <w:rPr>
          <w:rFonts w:ascii="Arial" w:eastAsia="Calibri" w:hAnsi="Arial" w:cs="Arial"/>
          <w:noProof/>
          <w:sz w:val="16"/>
          <w:szCs w:val="16"/>
          <w:lang w:val="en-US"/>
        </w:rPr>
        <w:t xml:space="preserve"> </w:t>
      </w:r>
    </w:p>
    <w:p w14:paraId="16B017EA" w14:textId="77777777" w:rsidR="00FD1E19" w:rsidRDefault="00FD1E19" w:rsidP="00FD1E19">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lang w:val="en-US"/>
        </w:rPr>
      </w:pPr>
    </w:p>
    <w:p w14:paraId="7C922447" w14:textId="77777777" w:rsidR="00FD1E19" w:rsidRPr="00091048" w:rsidRDefault="00FD1E19" w:rsidP="00FD1E19">
      <w:pPr>
        <w:pBdr>
          <w:top w:val="nil"/>
          <w:left w:val="nil"/>
          <w:bottom w:val="nil"/>
          <w:right w:val="nil"/>
          <w:between w:val="nil"/>
          <w:bar w:val="nil"/>
        </w:pBdr>
        <w:spacing w:before="60" w:after="60" w:line="276" w:lineRule="auto"/>
        <w:jc w:val="both"/>
        <w:rPr>
          <w:rFonts w:ascii="Arial" w:eastAsia="Calibri" w:hAnsi="Arial" w:cs="Arial"/>
          <w:noProof/>
          <w:sz w:val="16"/>
          <w:szCs w:val="16"/>
          <w:bdr w:val="nil"/>
          <w:lang w:val="en-US"/>
        </w:rPr>
      </w:pPr>
      <w:r w:rsidRPr="00091048">
        <w:rPr>
          <w:rFonts w:ascii="Arial" w:eastAsia="Calibri" w:hAnsi="Arial" w:cs="Arial"/>
          <w:noProof/>
          <w:sz w:val="16"/>
          <w:szCs w:val="16"/>
          <w:lang w:val="en-US"/>
        </w:rPr>
        <w:t>The table below shows the loss allowance on loans and advances</w:t>
      </w:r>
      <w:r>
        <w:rPr>
          <w:rFonts w:ascii="Arial" w:eastAsia="Calibri" w:hAnsi="Arial" w:cs="Arial"/>
          <w:noProof/>
          <w:sz w:val="16"/>
          <w:szCs w:val="16"/>
          <w:lang w:val="en-US"/>
        </w:rPr>
        <w:t xml:space="preserve"> under Stage 1 and 2</w:t>
      </w:r>
      <w:r w:rsidRPr="00091048">
        <w:rPr>
          <w:rFonts w:ascii="Arial" w:eastAsia="Calibri" w:hAnsi="Arial" w:cs="Arial"/>
          <w:noProof/>
          <w:sz w:val="16"/>
          <w:szCs w:val="16"/>
          <w:lang w:val="en-US"/>
        </w:rPr>
        <w:t>. Each forward-looking scenario (e.g. baseline, positive and negative) w</w:t>
      </w:r>
      <w:r>
        <w:rPr>
          <w:rFonts w:ascii="Arial" w:eastAsia="Calibri" w:hAnsi="Arial" w:cs="Arial"/>
          <w:noProof/>
          <w:sz w:val="16"/>
          <w:szCs w:val="16"/>
          <w:lang w:val="en-US"/>
        </w:rPr>
        <w:t>as</w:t>
      </w:r>
      <w:r w:rsidRPr="00091048">
        <w:rPr>
          <w:rFonts w:ascii="Arial" w:eastAsia="Calibri" w:hAnsi="Arial" w:cs="Arial"/>
          <w:noProof/>
          <w:sz w:val="16"/>
          <w:szCs w:val="16"/>
          <w:lang w:val="en-US"/>
        </w:rPr>
        <w:t xml:space="preserve"> weighted 100% instead of applying scenario probability weights across the three scenario</w:t>
      </w:r>
      <w:r>
        <w:rPr>
          <w:rFonts w:ascii="Arial" w:eastAsia="Calibri" w:hAnsi="Arial" w:cs="Arial"/>
          <w:noProof/>
          <w:sz w:val="16"/>
          <w:szCs w:val="16"/>
          <w:lang w:val="en-US"/>
        </w:rPr>
        <w:t>s.</w:t>
      </w:r>
    </w:p>
    <w:p w14:paraId="0D86A172" w14:textId="77777777" w:rsidR="00FD1E19" w:rsidRDefault="00FD1E19" w:rsidP="00FD1E19">
      <w:pPr>
        <w:suppressAutoHyphens/>
        <w:rPr>
          <w:noProof/>
          <w:lang w:eastAsia="ar-SA"/>
        </w:rPr>
      </w:pPr>
    </w:p>
    <w:tbl>
      <w:tblPr>
        <w:tblStyle w:val="CDMRange1"/>
        <w:tblW w:w="3185" w:type="pct"/>
        <w:tblLayout w:type="fixed"/>
        <w:tblLook w:val="0600" w:firstRow="0" w:lastRow="0" w:firstColumn="0" w:lastColumn="0" w:noHBand="1" w:noVBand="1"/>
      </w:tblPr>
      <w:tblGrid>
        <w:gridCol w:w="2565"/>
        <w:gridCol w:w="1170"/>
        <w:gridCol w:w="1170"/>
        <w:gridCol w:w="1260"/>
      </w:tblGrid>
      <w:tr w:rsidR="00FD1E19" w14:paraId="708D9254" w14:textId="77777777" w:rsidTr="00BE7E4A">
        <w:trPr>
          <w:trHeight w:hRule="exact" w:val="315"/>
        </w:trPr>
        <w:tc>
          <w:tcPr>
            <w:tcW w:w="2565" w:type="dxa"/>
            <w:tcBorders>
              <w:top w:val="nil"/>
              <w:left w:val="nil"/>
              <w:bottom w:val="nil"/>
              <w:right w:val="nil"/>
              <w:tl2br w:val="nil"/>
              <w:tr2bl w:val="nil"/>
            </w:tcBorders>
            <w:noWrap/>
            <w:tcMar>
              <w:left w:w="0" w:type="dxa"/>
              <w:right w:w="0" w:type="dxa"/>
            </w:tcMar>
            <w:vAlign w:val="bottom"/>
          </w:tcPr>
          <w:p w14:paraId="00EC4A64" w14:textId="77777777" w:rsidR="00FD1E19" w:rsidRDefault="00FD1E19" w:rsidP="00BE7E4A">
            <w:pPr>
              <w:suppressAutoHyphens/>
              <w:rPr>
                <w:rFonts w:ascii="Arial" w:eastAsia="Arial" w:hAnsi="Arial" w:cs="Arial"/>
                <w:noProof/>
                <w:color w:val="000000"/>
                <w:sz w:val="16"/>
                <w:lang w:eastAsia="ar-SA"/>
              </w:rPr>
            </w:pPr>
            <w:bookmarkStart w:id="241" w:name="RG_MARKER_90123"/>
            <w:bookmarkEnd w:id="241"/>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14:paraId="03EE85BF"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2025</w:t>
            </w:r>
          </w:p>
        </w:tc>
      </w:tr>
      <w:tr w:rsidR="00FD1E19" w14:paraId="3A11338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single" w:sz="12" w:space="0" w:color="000000"/>
              <w:right w:val="nil"/>
              <w:tl2br w:val="nil"/>
              <w:tr2bl w:val="nil"/>
            </w:tcBorders>
            <w:tcMar>
              <w:left w:w="40" w:type="dxa"/>
              <w:right w:w="40" w:type="dxa"/>
            </w:tcMar>
            <w:vAlign w:val="center"/>
          </w:tcPr>
          <w:p w14:paraId="023390B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14:paraId="0F43A22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Positive</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14:paraId="30B0C50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Baseline  </w:t>
            </w:r>
          </w:p>
        </w:tc>
        <w:tc>
          <w:tcPr>
            <w:tcW w:w="1260" w:type="dxa"/>
            <w:tcBorders>
              <w:top w:val="single" w:sz="12" w:space="0" w:color="000000"/>
              <w:left w:val="nil"/>
              <w:bottom w:val="single" w:sz="12" w:space="0" w:color="000000"/>
              <w:right w:val="nil"/>
              <w:tl2br w:val="nil"/>
              <w:tr2bl w:val="nil"/>
            </w:tcBorders>
            <w:tcMar>
              <w:left w:w="40" w:type="dxa"/>
              <w:right w:w="40" w:type="dxa"/>
            </w:tcMar>
            <w:vAlign w:val="center"/>
          </w:tcPr>
          <w:p w14:paraId="08838EF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Negative  </w:t>
            </w:r>
          </w:p>
        </w:tc>
      </w:tr>
      <w:tr w:rsidR="00FD1E19" w14:paraId="621BC18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2565" w:type="dxa"/>
            <w:tcBorders>
              <w:top w:val="single" w:sz="12" w:space="0" w:color="000000"/>
              <w:left w:val="nil"/>
              <w:bottom w:val="nil"/>
              <w:right w:val="nil"/>
              <w:tl2br w:val="nil"/>
              <w:tr2bl w:val="nil"/>
            </w:tcBorders>
            <w:noWrap/>
            <w:tcMar>
              <w:left w:w="0" w:type="dxa"/>
              <w:right w:w="0" w:type="dxa"/>
            </w:tcMar>
            <w:vAlign w:val="center"/>
          </w:tcPr>
          <w:p w14:paraId="40F2EE61" w14:textId="77777777" w:rsidR="00FD1E19" w:rsidRDefault="00FD1E19" w:rsidP="00BE7E4A">
            <w:pPr>
              <w:suppressAutoHyphens/>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14:paraId="42AFD063" w14:textId="77777777" w:rsidR="00FD1E19" w:rsidRDefault="00FD1E19" w:rsidP="00BE7E4A">
            <w:pPr>
              <w:suppressAutoHyphens/>
              <w:jc w:val="right"/>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14:paraId="6DDA34F0" w14:textId="77777777" w:rsidR="00FD1E19" w:rsidRDefault="00FD1E19" w:rsidP="00BE7E4A">
            <w:pPr>
              <w:suppressAutoHyphens/>
              <w:jc w:val="right"/>
              <w:rPr>
                <w:rFonts w:ascii="Arial" w:eastAsia="Arial" w:hAnsi="Arial" w:cs="Arial"/>
                <w:noProof/>
                <w:color w:val="000000"/>
                <w:sz w:val="16"/>
                <w:lang w:eastAsia="ar-SA"/>
              </w:rPr>
            </w:pPr>
          </w:p>
        </w:tc>
        <w:tc>
          <w:tcPr>
            <w:tcW w:w="1260" w:type="dxa"/>
            <w:tcBorders>
              <w:top w:val="single" w:sz="12" w:space="0" w:color="000000"/>
              <w:left w:val="nil"/>
              <w:bottom w:val="nil"/>
              <w:right w:val="nil"/>
              <w:tl2br w:val="nil"/>
              <w:tr2bl w:val="nil"/>
            </w:tcBorders>
            <w:noWrap/>
            <w:tcMar>
              <w:left w:w="0" w:type="dxa"/>
              <w:right w:w="0" w:type="dxa"/>
            </w:tcMar>
            <w:vAlign w:val="center"/>
          </w:tcPr>
          <w:p w14:paraId="672DC642" w14:textId="77777777" w:rsidR="00FD1E19" w:rsidRDefault="00FD1E19" w:rsidP="00BE7E4A">
            <w:pPr>
              <w:suppressAutoHyphens/>
              <w:jc w:val="right"/>
              <w:rPr>
                <w:rFonts w:ascii="Arial" w:eastAsia="Arial" w:hAnsi="Arial" w:cs="Arial"/>
                <w:noProof/>
                <w:color w:val="000000"/>
                <w:sz w:val="16"/>
                <w:lang w:eastAsia="ar-SA"/>
              </w:rPr>
            </w:pPr>
          </w:p>
        </w:tc>
      </w:tr>
      <w:tr w:rsidR="00FD1E19" w14:paraId="60130C1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14:paraId="5DDCDD1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Gross exposure</w:t>
            </w:r>
          </w:p>
        </w:tc>
        <w:tc>
          <w:tcPr>
            <w:tcW w:w="1170" w:type="dxa"/>
            <w:tcBorders>
              <w:top w:val="nil"/>
              <w:left w:val="nil"/>
              <w:bottom w:val="nil"/>
              <w:right w:val="nil"/>
              <w:tl2br w:val="nil"/>
              <w:tr2bl w:val="nil"/>
            </w:tcBorders>
            <w:noWrap/>
            <w:tcMar>
              <w:left w:w="40" w:type="dxa"/>
              <w:right w:w="100" w:type="dxa"/>
            </w:tcMar>
            <w:vAlign w:val="center"/>
          </w:tcPr>
          <w:p w14:paraId="7D1AB54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1,306,210</w:t>
            </w:r>
          </w:p>
        </w:tc>
        <w:tc>
          <w:tcPr>
            <w:tcW w:w="1170" w:type="dxa"/>
            <w:tcBorders>
              <w:top w:val="nil"/>
              <w:left w:val="nil"/>
              <w:bottom w:val="nil"/>
              <w:right w:val="nil"/>
              <w:tl2br w:val="nil"/>
              <w:tr2bl w:val="nil"/>
            </w:tcBorders>
            <w:noWrap/>
            <w:tcMar>
              <w:left w:w="40" w:type="dxa"/>
              <w:right w:w="100" w:type="dxa"/>
            </w:tcMar>
            <w:vAlign w:val="center"/>
          </w:tcPr>
          <w:p w14:paraId="04A8B9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1,306,210</w:t>
            </w:r>
          </w:p>
        </w:tc>
        <w:tc>
          <w:tcPr>
            <w:tcW w:w="1260" w:type="dxa"/>
            <w:tcBorders>
              <w:top w:val="nil"/>
              <w:left w:val="nil"/>
              <w:bottom w:val="nil"/>
              <w:right w:val="nil"/>
              <w:tl2br w:val="nil"/>
              <w:tr2bl w:val="nil"/>
            </w:tcBorders>
            <w:noWrap/>
            <w:tcMar>
              <w:left w:w="40" w:type="dxa"/>
              <w:right w:w="100" w:type="dxa"/>
            </w:tcMar>
            <w:vAlign w:val="center"/>
          </w:tcPr>
          <w:p w14:paraId="57E0A47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1,306,210</w:t>
            </w:r>
          </w:p>
        </w:tc>
      </w:tr>
      <w:tr w:rsidR="00FD1E19" w14:paraId="27807AA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14:paraId="55C4203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Loss allowance</w:t>
            </w:r>
          </w:p>
        </w:tc>
        <w:tc>
          <w:tcPr>
            <w:tcW w:w="1170" w:type="dxa"/>
            <w:tcBorders>
              <w:top w:val="nil"/>
              <w:left w:val="nil"/>
              <w:bottom w:val="nil"/>
              <w:right w:val="nil"/>
              <w:tl2br w:val="nil"/>
              <w:tr2bl w:val="nil"/>
            </w:tcBorders>
            <w:noWrap/>
            <w:tcMar>
              <w:left w:w="40" w:type="dxa"/>
              <w:right w:w="100" w:type="dxa"/>
            </w:tcMar>
            <w:vAlign w:val="center"/>
          </w:tcPr>
          <w:p w14:paraId="601548A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29,944</w:t>
            </w:r>
          </w:p>
        </w:tc>
        <w:tc>
          <w:tcPr>
            <w:tcW w:w="1170" w:type="dxa"/>
            <w:tcBorders>
              <w:top w:val="nil"/>
              <w:left w:val="nil"/>
              <w:bottom w:val="nil"/>
              <w:right w:val="nil"/>
              <w:tl2br w:val="nil"/>
              <w:tr2bl w:val="nil"/>
            </w:tcBorders>
            <w:noWrap/>
            <w:tcMar>
              <w:left w:w="40" w:type="dxa"/>
              <w:right w:w="100" w:type="dxa"/>
            </w:tcMar>
            <w:vAlign w:val="center"/>
          </w:tcPr>
          <w:p w14:paraId="2B912AF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31,693</w:t>
            </w:r>
          </w:p>
        </w:tc>
        <w:tc>
          <w:tcPr>
            <w:tcW w:w="1260" w:type="dxa"/>
            <w:tcBorders>
              <w:top w:val="nil"/>
              <w:left w:val="nil"/>
              <w:bottom w:val="nil"/>
              <w:right w:val="nil"/>
              <w:tl2br w:val="nil"/>
              <w:tr2bl w:val="nil"/>
            </w:tcBorders>
            <w:noWrap/>
            <w:tcMar>
              <w:left w:w="40" w:type="dxa"/>
              <w:right w:w="100" w:type="dxa"/>
            </w:tcMar>
            <w:vAlign w:val="center"/>
          </w:tcPr>
          <w:p w14:paraId="7B2A796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33,605</w:t>
            </w:r>
          </w:p>
        </w:tc>
      </w:tr>
      <w:tr w:rsidR="00FD1E19" w14:paraId="28446DF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nil"/>
              <w:right w:val="nil"/>
              <w:tl2br w:val="nil"/>
              <w:tr2bl w:val="nil"/>
            </w:tcBorders>
            <w:noWrap/>
            <w:tcMar>
              <w:left w:w="0" w:type="dxa"/>
              <w:right w:w="0" w:type="dxa"/>
            </w:tcMar>
            <w:vAlign w:val="bottom"/>
          </w:tcPr>
          <w:p w14:paraId="06EE137E" w14:textId="77777777" w:rsidR="00FD1E19" w:rsidRDefault="00FD1E19" w:rsidP="00BE7E4A">
            <w:pPr>
              <w:suppressAutoHyphens/>
              <w:rPr>
                <w:rFonts w:ascii="Arial" w:eastAsia="Arial" w:hAnsi="Arial" w:cs="Arial"/>
                <w:noProof/>
                <w:color w:val="000000"/>
                <w:sz w:val="16"/>
                <w:lang w:eastAsia="ar-SA"/>
              </w:rPr>
            </w:pPr>
          </w:p>
        </w:tc>
        <w:tc>
          <w:tcPr>
            <w:tcW w:w="1170" w:type="dxa"/>
            <w:tcBorders>
              <w:top w:val="nil"/>
              <w:left w:val="nil"/>
              <w:bottom w:val="single" w:sz="12" w:space="0" w:color="000000"/>
              <w:right w:val="nil"/>
              <w:tl2br w:val="nil"/>
              <w:tr2bl w:val="nil"/>
            </w:tcBorders>
            <w:noWrap/>
            <w:tcMar>
              <w:left w:w="0" w:type="dxa"/>
              <w:right w:w="0" w:type="dxa"/>
            </w:tcMar>
            <w:vAlign w:val="bottom"/>
          </w:tcPr>
          <w:p w14:paraId="766E6C70" w14:textId="77777777" w:rsidR="00FD1E19" w:rsidRDefault="00FD1E19" w:rsidP="00BE7E4A">
            <w:pPr>
              <w:suppressAutoHyphens/>
              <w:rPr>
                <w:rFonts w:ascii="Arial" w:eastAsia="Arial" w:hAnsi="Arial" w:cs="Arial"/>
                <w:noProof/>
                <w:color w:val="000000"/>
                <w:sz w:val="16"/>
                <w:lang w:eastAsia="ar-SA"/>
              </w:rPr>
            </w:pPr>
          </w:p>
        </w:tc>
        <w:tc>
          <w:tcPr>
            <w:tcW w:w="1170" w:type="dxa"/>
            <w:tcBorders>
              <w:top w:val="nil"/>
              <w:left w:val="nil"/>
              <w:bottom w:val="single" w:sz="12" w:space="0" w:color="000000"/>
              <w:right w:val="nil"/>
              <w:tl2br w:val="nil"/>
              <w:tr2bl w:val="nil"/>
            </w:tcBorders>
            <w:noWrap/>
            <w:tcMar>
              <w:left w:w="0" w:type="dxa"/>
              <w:right w:w="0" w:type="dxa"/>
            </w:tcMar>
            <w:vAlign w:val="bottom"/>
          </w:tcPr>
          <w:p w14:paraId="0542F037" w14:textId="77777777" w:rsidR="00FD1E19" w:rsidRDefault="00FD1E19" w:rsidP="00BE7E4A">
            <w:pPr>
              <w:suppressAutoHyphens/>
              <w:rPr>
                <w:rFonts w:ascii="Arial" w:eastAsia="Arial" w:hAnsi="Arial" w:cs="Arial"/>
                <w:noProof/>
                <w:color w:val="000000"/>
                <w:sz w:val="16"/>
                <w:lang w:eastAsia="ar-SA"/>
              </w:rPr>
            </w:pPr>
          </w:p>
        </w:tc>
        <w:tc>
          <w:tcPr>
            <w:tcW w:w="1260" w:type="dxa"/>
            <w:tcBorders>
              <w:top w:val="nil"/>
              <w:left w:val="nil"/>
              <w:bottom w:val="single" w:sz="12" w:space="0" w:color="000000"/>
              <w:right w:val="nil"/>
              <w:tl2br w:val="nil"/>
              <w:tr2bl w:val="nil"/>
            </w:tcBorders>
            <w:noWrap/>
            <w:tcMar>
              <w:left w:w="0" w:type="dxa"/>
              <w:right w:w="0" w:type="dxa"/>
            </w:tcMar>
            <w:vAlign w:val="bottom"/>
          </w:tcPr>
          <w:p w14:paraId="74061444" w14:textId="77777777" w:rsidR="00FD1E19" w:rsidRDefault="00FD1E19" w:rsidP="00BE7E4A">
            <w:pPr>
              <w:suppressAutoHyphens/>
              <w:rPr>
                <w:rFonts w:ascii="Arial" w:eastAsia="Arial" w:hAnsi="Arial" w:cs="Arial"/>
                <w:noProof/>
                <w:color w:val="000000"/>
                <w:sz w:val="16"/>
                <w:lang w:eastAsia="ar-SA"/>
              </w:rPr>
            </w:pPr>
          </w:p>
        </w:tc>
      </w:tr>
      <w:tr w:rsidR="00FD1E19" w14:paraId="7FE4750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nil"/>
              <w:right w:val="nil"/>
              <w:tl2br w:val="nil"/>
              <w:tr2bl w:val="nil"/>
            </w:tcBorders>
            <w:noWrap/>
            <w:tcMar>
              <w:left w:w="0" w:type="dxa"/>
              <w:right w:w="0" w:type="dxa"/>
            </w:tcMar>
            <w:vAlign w:val="bottom"/>
          </w:tcPr>
          <w:p w14:paraId="643A6621" w14:textId="77777777" w:rsidR="00FD1E19" w:rsidRDefault="00FD1E19" w:rsidP="00BE7E4A">
            <w:pPr>
              <w:suppressAutoHyphens/>
              <w:rPr>
                <w:rFonts w:ascii="Arial" w:eastAsia="Arial" w:hAnsi="Arial" w:cs="Arial"/>
                <w:noProof/>
                <w:color w:val="000000"/>
                <w:sz w:val="16"/>
                <w:lang w:eastAsia="ar-SA"/>
              </w:rPr>
            </w:pPr>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14:paraId="2F6CE6F1"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2024</w:t>
            </w:r>
          </w:p>
        </w:tc>
      </w:tr>
      <w:tr w:rsidR="00FD1E19" w14:paraId="6B0A52D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5"/>
        </w:trPr>
        <w:tc>
          <w:tcPr>
            <w:tcW w:w="2565" w:type="dxa"/>
            <w:tcBorders>
              <w:top w:val="nil"/>
              <w:left w:val="nil"/>
              <w:bottom w:val="single" w:sz="12" w:space="0" w:color="000000"/>
              <w:right w:val="nil"/>
              <w:tl2br w:val="nil"/>
              <w:tr2bl w:val="nil"/>
            </w:tcBorders>
            <w:tcMar>
              <w:left w:w="40" w:type="dxa"/>
              <w:right w:w="40" w:type="dxa"/>
            </w:tcMar>
            <w:vAlign w:val="center"/>
          </w:tcPr>
          <w:p w14:paraId="7A6B7B31" w14:textId="77777777" w:rsidR="00FD1E19" w:rsidRDefault="00FD1E19" w:rsidP="00BE7E4A">
            <w:pPr>
              <w:suppressAutoHyphens/>
              <w:jc w:val="both"/>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14:paraId="0861F03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Positive</w:t>
            </w:r>
          </w:p>
        </w:tc>
        <w:tc>
          <w:tcPr>
            <w:tcW w:w="1170" w:type="dxa"/>
            <w:tcBorders>
              <w:top w:val="single" w:sz="12" w:space="0" w:color="000000"/>
              <w:left w:val="nil"/>
              <w:bottom w:val="single" w:sz="12" w:space="0" w:color="000000"/>
              <w:right w:val="nil"/>
              <w:tl2br w:val="nil"/>
              <w:tr2bl w:val="nil"/>
            </w:tcBorders>
            <w:tcMar>
              <w:left w:w="40" w:type="dxa"/>
              <w:right w:w="40" w:type="dxa"/>
            </w:tcMar>
            <w:vAlign w:val="center"/>
          </w:tcPr>
          <w:p w14:paraId="3049AA6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Baseline  </w:t>
            </w:r>
          </w:p>
        </w:tc>
        <w:tc>
          <w:tcPr>
            <w:tcW w:w="1260" w:type="dxa"/>
            <w:tcBorders>
              <w:top w:val="single" w:sz="12" w:space="0" w:color="000000"/>
              <w:left w:val="nil"/>
              <w:bottom w:val="single" w:sz="12" w:space="0" w:color="000000"/>
              <w:right w:val="nil"/>
              <w:tl2br w:val="nil"/>
              <w:tr2bl w:val="nil"/>
            </w:tcBorders>
            <w:tcMar>
              <w:left w:w="40" w:type="dxa"/>
              <w:right w:w="40" w:type="dxa"/>
            </w:tcMar>
            <w:vAlign w:val="center"/>
          </w:tcPr>
          <w:p w14:paraId="151BEAC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Negative  </w:t>
            </w:r>
          </w:p>
        </w:tc>
      </w:tr>
      <w:tr w:rsidR="00FD1E19" w14:paraId="54B1CE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2565" w:type="dxa"/>
            <w:tcBorders>
              <w:top w:val="single" w:sz="12" w:space="0" w:color="000000"/>
              <w:left w:val="nil"/>
              <w:bottom w:val="nil"/>
              <w:right w:val="nil"/>
              <w:tl2br w:val="nil"/>
              <w:tr2bl w:val="nil"/>
            </w:tcBorders>
            <w:noWrap/>
            <w:tcMar>
              <w:left w:w="0" w:type="dxa"/>
              <w:right w:w="0" w:type="dxa"/>
            </w:tcMar>
            <w:vAlign w:val="center"/>
          </w:tcPr>
          <w:p w14:paraId="0619FD8C" w14:textId="77777777" w:rsidR="00FD1E19" w:rsidRDefault="00FD1E19" w:rsidP="00BE7E4A">
            <w:pPr>
              <w:suppressAutoHyphens/>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14:paraId="2E2090BE" w14:textId="77777777" w:rsidR="00FD1E19" w:rsidRDefault="00FD1E19" w:rsidP="00BE7E4A">
            <w:pPr>
              <w:suppressAutoHyphens/>
              <w:jc w:val="right"/>
              <w:rPr>
                <w:rFonts w:ascii="Arial" w:eastAsia="Arial" w:hAnsi="Arial" w:cs="Arial"/>
                <w:noProof/>
                <w:color w:val="000000"/>
                <w:sz w:val="16"/>
                <w:lang w:eastAsia="ar-SA"/>
              </w:rPr>
            </w:pPr>
          </w:p>
        </w:tc>
        <w:tc>
          <w:tcPr>
            <w:tcW w:w="1170" w:type="dxa"/>
            <w:tcBorders>
              <w:top w:val="single" w:sz="12" w:space="0" w:color="000000"/>
              <w:left w:val="nil"/>
              <w:bottom w:val="nil"/>
              <w:right w:val="nil"/>
              <w:tl2br w:val="nil"/>
              <w:tr2bl w:val="nil"/>
            </w:tcBorders>
            <w:noWrap/>
            <w:tcMar>
              <w:left w:w="0" w:type="dxa"/>
              <w:right w:w="0" w:type="dxa"/>
            </w:tcMar>
            <w:vAlign w:val="center"/>
          </w:tcPr>
          <w:p w14:paraId="325D9B4C" w14:textId="77777777" w:rsidR="00FD1E19" w:rsidRDefault="00FD1E19" w:rsidP="00BE7E4A">
            <w:pPr>
              <w:suppressAutoHyphens/>
              <w:jc w:val="right"/>
              <w:rPr>
                <w:rFonts w:ascii="Arial" w:eastAsia="Arial" w:hAnsi="Arial" w:cs="Arial"/>
                <w:noProof/>
                <w:color w:val="000000"/>
                <w:sz w:val="16"/>
                <w:lang w:eastAsia="ar-SA"/>
              </w:rPr>
            </w:pPr>
          </w:p>
        </w:tc>
        <w:tc>
          <w:tcPr>
            <w:tcW w:w="1260" w:type="dxa"/>
            <w:tcBorders>
              <w:top w:val="single" w:sz="12" w:space="0" w:color="000000"/>
              <w:left w:val="nil"/>
              <w:bottom w:val="nil"/>
              <w:right w:val="nil"/>
              <w:tl2br w:val="nil"/>
              <w:tr2bl w:val="nil"/>
            </w:tcBorders>
            <w:noWrap/>
            <w:tcMar>
              <w:left w:w="0" w:type="dxa"/>
              <w:right w:w="0" w:type="dxa"/>
            </w:tcMar>
            <w:vAlign w:val="center"/>
          </w:tcPr>
          <w:p w14:paraId="4C1B7705" w14:textId="77777777" w:rsidR="00FD1E19" w:rsidRDefault="00FD1E19" w:rsidP="00BE7E4A">
            <w:pPr>
              <w:suppressAutoHyphens/>
              <w:jc w:val="right"/>
              <w:rPr>
                <w:rFonts w:ascii="Arial" w:eastAsia="Arial" w:hAnsi="Arial" w:cs="Arial"/>
                <w:noProof/>
                <w:color w:val="000000"/>
                <w:sz w:val="16"/>
                <w:lang w:eastAsia="ar-SA"/>
              </w:rPr>
            </w:pPr>
          </w:p>
        </w:tc>
      </w:tr>
      <w:tr w:rsidR="00FD1E19" w14:paraId="1731834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14:paraId="44496D7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Gross exposure</w:t>
            </w:r>
          </w:p>
        </w:tc>
        <w:tc>
          <w:tcPr>
            <w:tcW w:w="1170" w:type="dxa"/>
            <w:tcBorders>
              <w:top w:val="nil"/>
              <w:left w:val="nil"/>
              <w:bottom w:val="nil"/>
              <w:right w:val="nil"/>
              <w:tl2br w:val="nil"/>
              <w:tr2bl w:val="nil"/>
            </w:tcBorders>
            <w:noWrap/>
            <w:tcMar>
              <w:left w:w="40" w:type="dxa"/>
              <w:right w:w="100" w:type="dxa"/>
            </w:tcMar>
            <w:vAlign w:val="center"/>
          </w:tcPr>
          <w:p w14:paraId="4FF837D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1,851,153</w:t>
            </w:r>
          </w:p>
        </w:tc>
        <w:tc>
          <w:tcPr>
            <w:tcW w:w="1170" w:type="dxa"/>
            <w:tcBorders>
              <w:top w:val="nil"/>
              <w:left w:val="nil"/>
              <w:bottom w:val="nil"/>
              <w:right w:val="nil"/>
              <w:tl2br w:val="nil"/>
              <w:tr2bl w:val="nil"/>
            </w:tcBorders>
            <w:noWrap/>
            <w:tcMar>
              <w:left w:w="40" w:type="dxa"/>
              <w:right w:w="100" w:type="dxa"/>
            </w:tcMar>
            <w:vAlign w:val="center"/>
          </w:tcPr>
          <w:p w14:paraId="0083A20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1,851,153</w:t>
            </w:r>
          </w:p>
        </w:tc>
        <w:tc>
          <w:tcPr>
            <w:tcW w:w="1260" w:type="dxa"/>
            <w:tcBorders>
              <w:top w:val="nil"/>
              <w:left w:val="nil"/>
              <w:bottom w:val="nil"/>
              <w:right w:val="nil"/>
              <w:tl2br w:val="nil"/>
              <w:tr2bl w:val="nil"/>
            </w:tcBorders>
            <w:noWrap/>
            <w:tcMar>
              <w:left w:w="40" w:type="dxa"/>
              <w:right w:w="100" w:type="dxa"/>
            </w:tcMar>
            <w:vAlign w:val="center"/>
          </w:tcPr>
          <w:p w14:paraId="54ECB03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1,851,153</w:t>
            </w:r>
          </w:p>
        </w:tc>
      </w:tr>
      <w:tr w:rsidR="00FD1E19" w14:paraId="02A9D7B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565" w:type="dxa"/>
            <w:tcBorders>
              <w:top w:val="nil"/>
              <w:left w:val="nil"/>
              <w:bottom w:val="nil"/>
              <w:right w:val="nil"/>
              <w:tl2br w:val="nil"/>
              <w:tr2bl w:val="nil"/>
            </w:tcBorders>
            <w:noWrap/>
            <w:tcMar>
              <w:left w:w="40" w:type="dxa"/>
              <w:right w:w="40" w:type="dxa"/>
            </w:tcMar>
            <w:vAlign w:val="center"/>
          </w:tcPr>
          <w:p w14:paraId="61870B4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Loss allowance</w:t>
            </w:r>
          </w:p>
        </w:tc>
        <w:tc>
          <w:tcPr>
            <w:tcW w:w="1170" w:type="dxa"/>
            <w:tcBorders>
              <w:top w:val="nil"/>
              <w:left w:val="nil"/>
              <w:bottom w:val="nil"/>
              <w:right w:val="nil"/>
              <w:tl2br w:val="nil"/>
              <w:tr2bl w:val="nil"/>
            </w:tcBorders>
            <w:noWrap/>
            <w:tcMar>
              <w:left w:w="40" w:type="dxa"/>
              <w:right w:w="100" w:type="dxa"/>
            </w:tcMar>
            <w:vAlign w:val="center"/>
          </w:tcPr>
          <w:p w14:paraId="14C932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28,883</w:t>
            </w:r>
          </w:p>
        </w:tc>
        <w:tc>
          <w:tcPr>
            <w:tcW w:w="1170" w:type="dxa"/>
            <w:tcBorders>
              <w:top w:val="nil"/>
              <w:left w:val="nil"/>
              <w:bottom w:val="nil"/>
              <w:right w:val="nil"/>
              <w:tl2br w:val="nil"/>
              <w:tr2bl w:val="nil"/>
            </w:tcBorders>
            <w:noWrap/>
            <w:tcMar>
              <w:left w:w="40" w:type="dxa"/>
              <w:right w:w="100" w:type="dxa"/>
            </w:tcMar>
            <w:vAlign w:val="center"/>
          </w:tcPr>
          <w:p w14:paraId="05AE0A2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30,301</w:t>
            </w:r>
          </w:p>
        </w:tc>
        <w:tc>
          <w:tcPr>
            <w:tcW w:w="1260" w:type="dxa"/>
            <w:tcBorders>
              <w:top w:val="nil"/>
              <w:left w:val="nil"/>
              <w:bottom w:val="nil"/>
              <w:right w:val="nil"/>
              <w:tl2br w:val="nil"/>
              <w:tr2bl w:val="nil"/>
            </w:tcBorders>
            <w:noWrap/>
            <w:tcMar>
              <w:left w:w="40" w:type="dxa"/>
              <w:right w:w="100" w:type="dxa"/>
            </w:tcMar>
            <w:vAlign w:val="center"/>
          </w:tcPr>
          <w:p w14:paraId="00C78E4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31,819</w:t>
            </w:r>
          </w:p>
        </w:tc>
      </w:tr>
    </w:tbl>
    <w:p w14:paraId="48C466FC" w14:textId="77777777" w:rsidR="00FD1E19" w:rsidRDefault="00FD1E19" w:rsidP="00FD1E19">
      <w:pPr>
        <w:pBdr>
          <w:top w:val="nil"/>
          <w:left w:val="nil"/>
          <w:bottom w:val="nil"/>
          <w:right w:val="nil"/>
          <w:between w:val="nil"/>
          <w:bar w:val="nil"/>
        </w:pBdr>
        <w:suppressAutoHyphens/>
        <w:rPr>
          <w:noProof/>
          <w:bdr w:val="nil"/>
          <w:lang w:eastAsia="ar-SA"/>
        </w:rPr>
      </w:pPr>
    </w:p>
    <w:p w14:paraId="31AFB40A" w14:textId="77777777" w:rsidR="00FD1E19" w:rsidRPr="00BA12E9" w:rsidRDefault="00FD1E19" w:rsidP="00FD1E19">
      <w:pPr>
        <w:pBdr>
          <w:top w:val="nil"/>
          <w:left w:val="nil"/>
          <w:bottom w:val="nil"/>
          <w:right w:val="nil"/>
          <w:between w:val="nil"/>
          <w:bar w:val="nil"/>
        </w:pBdr>
        <w:suppressAutoHyphens/>
        <w:spacing w:before="60" w:after="60"/>
        <w:rPr>
          <w:rFonts w:ascii="Arial" w:hAnsi="Arial" w:cs="Arial"/>
          <w:bCs/>
          <w:noProof/>
          <w:sz w:val="16"/>
          <w:szCs w:val="16"/>
          <w:bdr w:val="nil"/>
          <w:lang w:eastAsia="ar-SA"/>
        </w:rPr>
      </w:pPr>
      <w:bookmarkStart w:id="242" w:name="RG_MARKER_90124"/>
      <w:bookmarkEnd w:id="242"/>
    </w:p>
    <w:p w14:paraId="3C9AB0BC" w14:textId="77777777" w:rsidR="00FD1E19" w:rsidRPr="00BA12E9" w:rsidRDefault="00FD1E19" w:rsidP="00FD1E19">
      <w:pPr>
        <w:numPr>
          <w:ilvl w:val="3"/>
          <w:numId w:val="58"/>
        </w:numPr>
        <w:pBdr>
          <w:top w:val="nil"/>
          <w:left w:val="nil"/>
          <w:bottom w:val="nil"/>
          <w:right w:val="nil"/>
          <w:between w:val="nil"/>
          <w:bar w:val="nil"/>
        </w:pBdr>
        <w:tabs>
          <w:tab w:val="right" w:pos="-2700"/>
          <w:tab w:val="right" w:pos="720"/>
        </w:tabs>
        <w:suppressAutoHyphens/>
        <w:spacing w:before="60" w:after="60" w:line="240" w:lineRule="auto"/>
        <w:ind w:left="794" w:hanging="794"/>
        <w:jc w:val="both"/>
        <w:rPr>
          <w:rFonts w:ascii="Arial" w:hAnsi="Arial"/>
          <w:b/>
          <w:bCs/>
          <w:noProof/>
          <w:sz w:val="16"/>
          <w:szCs w:val="16"/>
          <w:bdr w:val="nil"/>
          <w:lang w:eastAsia="ar-SA"/>
        </w:rPr>
      </w:pPr>
      <w:r w:rsidRPr="00B26CC2">
        <w:rPr>
          <w:rFonts w:ascii="Arial" w:hAnsi="Arial"/>
          <w:b/>
          <w:bCs/>
          <w:noProof/>
          <w:sz w:val="16"/>
          <w:szCs w:val="16"/>
          <w:lang w:val="en-US" w:eastAsia="ar-SA"/>
        </w:rPr>
        <w:t>Loan renegotiation and forbearance</w:t>
      </w:r>
    </w:p>
    <w:p w14:paraId="157AF29E"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8BA5477" w14:textId="77777777" w:rsidR="00FD1E19" w:rsidRPr="00AC1E40"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AC1E40">
        <w:rPr>
          <w:rFonts w:ascii="Arial" w:hAnsi="Arial"/>
          <w:noProof/>
          <w:sz w:val="16"/>
          <w:szCs w:val="16"/>
          <w:lang w:eastAsia="ar-SA"/>
        </w:rPr>
        <w:t xml:space="preserve">The </w:t>
      </w:r>
      <w:r>
        <w:rPr>
          <w:rFonts w:ascii="Arial" w:hAnsi="Arial"/>
          <w:noProof/>
          <w:sz w:val="16"/>
          <w:szCs w:val="16"/>
          <w:lang w:eastAsia="ar-SA"/>
        </w:rPr>
        <w:t xml:space="preserve">EIB </w:t>
      </w:r>
      <w:r w:rsidRPr="00AC1E40">
        <w:rPr>
          <w:rFonts w:ascii="Arial" w:hAnsi="Arial"/>
          <w:noProof/>
          <w:sz w:val="16"/>
          <w:szCs w:val="16"/>
          <w:lang w:eastAsia="ar-SA"/>
        </w:rPr>
        <w:t>considers loans to be forborne loans (i.e. loans, debt securities and loan commitments) in respect of which forbearance measures have been extended. Forbearance measures consist of “concessions” that the EIB decides to make towards an obligor who is considered unable to comply with the contractual debt service terms and conditions due to its financial difficulties, in order to enable the obligor to service the debt or to refinance, totally or partially, the contract. Exposures shall be treated as forborne if a concession has been made, irrespective of whether any amount is past-due, or the exposure is classified as defaulted. Exposures shall not be treated as forborne when the obligor is not in financial difficulties.</w:t>
      </w:r>
    </w:p>
    <w:p w14:paraId="0F47347F" w14:textId="77777777" w:rsidR="00FD1E19" w:rsidRPr="00AC1E40"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39B5A8C1" w14:textId="77777777" w:rsidR="00FD1E19" w:rsidRPr="007F5933" w:rsidRDefault="00FD1E19" w:rsidP="00FD1E19">
      <w:pPr>
        <w:pBdr>
          <w:top w:val="nil"/>
          <w:left w:val="nil"/>
          <w:bottom w:val="nil"/>
          <w:right w:val="nil"/>
          <w:between w:val="nil"/>
          <w:bar w:val="nil"/>
        </w:pBdr>
        <w:jc w:val="both"/>
        <w:rPr>
          <w:rFonts w:ascii="Arial" w:hAnsi="Arial"/>
          <w:noProof/>
          <w:sz w:val="16"/>
          <w:szCs w:val="16"/>
          <w:bdr w:val="nil"/>
          <w:lang w:val="en-US" w:eastAsia="ar-SA"/>
        </w:rPr>
      </w:pPr>
      <w:r w:rsidRPr="007F5933">
        <w:rPr>
          <w:rFonts w:ascii="Arial" w:hAnsi="Arial"/>
          <w:noProof/>
          <w:sz w:val="16"/>
          <w:szCs w:val="16"/>
          <w:lang w:eastAsia="ar-SA"/>
        </w:rPr>
        <w:t xml:space="preserve">In the normal course of business, the deterioration of the loans in question would have been detected via the provisions of the Bank’s guidelines and procedures and would have been monitored before renegotiation. Once renegotiated, the EIB would continue to closely monitor these loans. In the case of the financial instrument would be credit impaired it will be moved to Stage 3. The loan will be monitored regularly in line with the Bank’s framework. </w:t>
      </w:r>
    </w:p>
    <w:p w14:paraId="0917CBEF" w14:textId="77777777" w:rsidR="00FD1E19" w:rsidRPr="00C535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val="en-US" w:eastAsia="ar-SA"/>
        </w:rPr>
      </w:pPr>
    </w:p>
    <w:p w14:paraId="70F73ECD"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AC1E40">
        <w:rPr>
          <w:rFonts w:ascii="Arial" w:hAnsi="Arial"/>
          <w:noProof/>
          <w:sz w:val="16"/>
          <w:szCs w:val="16"/>
          <w:lang w:eastAsia="ar-SA"/>
        </w:rPr>
        <w:t xml:space="preserve">Forbearance measures and practices undertaken by the EIB </w:t>
      </w:r>
      <w:r>
        <w:rPr>
          <w:rFonts w:ascii="Arial" w:hAnsi="Arial"/>
          <w:noProof/>
          <w:sz w:val="16"/>
          <w:szCs w:val="16"/>
          <w:bdr w:val="none" w:sz="0" w:space="0" w:color="auto" w:frame="1"/>
          <w:lang w:eastAsia="ar-SA"/>
        </w:rPr>
        <w:t xml:space="preserve">as part of its restructuring activities </w:t>
      </w:r>
      <w:r w:rsidRPr="00AC1E40">
        <w:rPr>
          <w:rFonts w:ascii="Arial" w:hAnsi="Arial"/>
          <w:noProof/>
          <w:sz w:val="16"/>
          <w:szCs w:val="16"/>
          <w:lang w:eastAsia="ar-SA"/>
        </w:rPr>
        <w:t xml:space="preserve">during the reporting period include, but are not limited to, extension of maturities, deferral of capital only, deferral of capital and interest, </w:t>
      </w:r>
      <w:r>
        <w:rPr>
          <w:rFonts w:ascii="Arial" w:hAnsi="Arial"/>
          <w:noProof/>
          <w:sz w:val="16"/>
          <w:szCs w:val="16"/>
          <w:lang w:eastAsia="ar-SA"/>
        </w:rPr>
        <w:t xml:space="preserve">waiver </w:t>
      </w:r>
      <w:r w:rsidRPr="00AC1E40">
        <w:rPr>
          <w:rFonts w:ascii="Arial" w:hAnsi="Arial"/>
          <w:noProof/>
          <w:sz w:val="16"/>
          <w:szCs w:val="16"/>
          <w:lang w:eastAsia="ar-SA"/>
        </w:rPr>
        <w:t>of material covenants and capitalisation of arrears.</w:t>
      </w:r>
      <w:r>
        <w:rPr>
          <w:rFonts w:ascii="Arial" w:hAnsi="Arial"/>
          <w:noProof/>
          <w:sz w:val="16"/>
          <w:szCs w:val="16"/>
          <w:lang w:eastAsia="ar-SA"/>
        </w:rPr>
        <w:br w:type="page"/>
      </w:r>
    </w:p>
    <w:p w14:paraId="58313A67" w14:textId="77777777" w:rsidR="00FD1E19" w:rsidRPr="00246E04" w:rsidRDefault="00FD1E19" w:rsidP="00FD1E19">
      <w:pPr>
        <w:pBdr>
          <w:top w:val="nil"/>
          <w:left w:val="nil"/>
          <w:bottom w:val="nil"/>
          <w:right w:val="nil"/>
          <w:between w:val="nil"/>
          <w:bar w:val="nil"/>
        </w:pBdr>
        <w:suppressAutoHyphens/>
        <w:jc w:val="both"/>
        <w:rPr>
          <w:rFonts w:ascii="Arial" w:hAnsi="Arial" w:cs="Arial"/>
          <w:b/>
          <w:noProof/>
          <w:sz w:val="16"/>
          <w:szCs w:val="16"/>
          <w:bdr w:val="nil"/>
          <w:lang w:eastAsia="ar-SA"/>
        </w:rPr>
      </w:pPr>
      <w:r w:rsidRPr="00246E04">
        <w:rPr>
          <w:rFonts w:ascii="Arial" w:hAnsi="Arial" w:cs="Arial"/>
          <w:b/>
          <w:noProof/>
          <w:sz w:val="16"/>
          <w:szCs w:val="16"/>
          <w:lang w:eastAsia="ar-SA"/>
        </w:rPr>
        <w:t>3.2.3.</w:t>
      </w:r>
      <w:r w:rsidRPr="007F5933">
        <w:rPr>
          <w:rFonts w:ascii="Arial" w:hAnsi="Arial"/>
          <w:b/>
          <w:bCs/>
          <w:noProof/>
          <w:sz w:val="16"/>
          <w:szCs w:val="16"/>
          <w:lang w:val="en-US" w:eastAsia="ar-SA"/>
        </w:rPr>
        <w:t>8</w:t>
      </w:r>
      <w:r w:rsidRPr="007F5933">
        <w:rPr>
          <w:rFonts w:ascii="Arial" w:hAnsi="Arial"/>
          <w:b/>
          <w:bCs/>
          <w:noProof/>
          <w:sz w:val="16"/>
          <w:szCs w:val="16"/>
          <w:lang w:val="en-US" w:eastAsia="ar-SA"/>
        </w:rPr>
        <w:tab/>
        <w:t>Loan renegotiation and forbearance (continued)</w:t>
      </w:r>
    </w:p>
    <w:p w14:paraId="739A6C0A" w14:textId="77777777" w:rsidR="00FD1E19" w:rsidRPr="00BA12E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062FA7AF" w14:textId="77777777" w:rsidR="00FD1E19" w:rsidRPr="00BA12E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A12E9">
        <w:rPr>
          <w:rFonts w:ascii="Arial" w:hAnsi="Arial"/>
          <w:noProof/>
          <w:sz w:val="16"/>
          <w:szCs w:val="16"/>
          <w:lang w:eastAsia="ar-SA"/>
        </w:rPr>
        <w:t>Operations subject to forbearance measures are reported as such in the table below:</w:t>
      </w:r>
    </w:p>
    <w:tbl>
      <w:tblPr>
        <w:tblStyle w:val="CDMRange2"/>
        <w:tblW w:w="5000" w:type="pct"/>
        <w:tblLayout w:type="fixed"/>
        <w:tblLook w:val="0600" w:firstRow="0" w:lastRow="0" w:firstColumn="0" w:lastColumn="0" w:noHBand="1" w:noVBand="1"/>
      </w:tblPr>
      <w:tblGrid>
        <w:gridCol w:w="5002"/>
        <w:gridCol w:w="1179"/>
        <w:gridCol w:w="1179"/>
        <w:gridCol w:w="1179"/>
        <w:gridCol w:w="1179"/>
      </w:tblGrid>
      <w:tr w:rsidR="00FD1E19" w14:paraId="673BD44B" w14:textId="77777777" w:rsidTr="00BE7E4A">
        <w:trPr>
          <w:trHeight w:hRule="exact" w:val="300"/>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6D40955A" w14:textId="77777777" w:rsidR="00FD1E19" w:rsidRDefault="00FD1E19" w:rsidP="00BE7E4A">
            <w:pPr>
              <w:suppressAutoHyphens/>
              <w:rPr>
                <w:rFonts w:ascii="Arial" w:eastAsia="Arial" w:hAnsi="Arial" w:cs="Arial"/>
                <w:b/>
                <w:noProof/>
                <w:color w:val="000000"/>
                <w:sz w:val="16"/>
                <w:lang w:eastAsia="ar-SA"/>
              </w:rPr>
            </w:pPr>
            <w:bookmarkStart w:id="243" w:name="RG_MARKER_90125"/>
            <w:r>
              <w:rPr>
                <w:rFonts w:ascii="Arial" w:eastAsia="Arial" w:hAnsi="Arial" w:cs="Arial"/>
                <w:b/>
                <w:noProof/>
                <w:color w:val="000000"/>
                <w:sz w:val="16"/>
                <w:lang w:eastAsia="ar-SA"/>
              </w:rPr>
              <w:t>in EUR’000</w:t>
            </w:r>
            <w:bookmarkEnd w:id="243"/>
          </w:p>
        </w:tc>
        <w:tc>
          <w:tcPr>
            <w:tcW w:w="24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61AE810C"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24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7E99A42A"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692173D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5100" w:type="dxa"/>
            <w:tcBorders>
              <w:top w:val="single" w:sz="4" w:space="0" w:color="000000"/>
              <w:left w:val="nil"/>
              <w:bottom w:val="nil"/>
              <w:right w:val="nil"/>
              <w:tl2br w:val="nil"/>
              <w:tr2bl w:val="nil"/>
            </w:tcBorders>
            <w:tcMar>
              <w:left w:w="0" w:type="dxa"/>
              <w:right w:w="0" w:type="dxa"/>
            </w:tcMar>
            <w:vAlign w:val="center"/>
          </w:tcPr>
          <w:p w14:paraId="7D4C36F4" w14:textId="77777777" w:rsidR="00FD1E19" w:rsidRDefault="00FD1E19" w:rsidP="00BE7E4A">
            <w:pPr>
              <w:suppressAutoHyphens/>
              <w:jc w:val="both"/>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40" w:type="dxa"/>
              <w:right w:w="40" w:type="dxa"/>
            </w:tcMar>
            <w:vAlign w:val="bottom"/>
          </w:tcPr>
          <w:p w14:paraId="6FE53C8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Performing</w:t>
            </w:r>
          </w:p>
        </w:tc>
        <w:tc>
          <w:tcPr>
            <w:tcW w:w="1200" w:type="dxa"/>
            <w:tcBorders>
              <w:top w:val="single" w:sz="4" w:space="0" w:color="000000"/>
              <w:left w:val="nil"/>
              <w:bottom w:val="nil"/>
              <w:right w:val="nil"/>
              <w:tl2br w:val="nil"/>
              <w:tr2bl w:val="nil"/>
            </w:tcBorders>
            <w:tcMar>
              <w:left w:w="40" w:type="dxa"/>
              <w:right w:w="40" w:type="dxa"/>
            </w:tcMar>
            <w:vAlign w:val="bottom"/>
          </w:tcPr>
          <w:p w14:paraId="4850EEA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Non-Performing</w:t>
            </w:r>
          </w:p>
        </w:tc>
        <w:tc>
          <w:tcPr>
            <w:tcW w:w="1200" w:type="dxa"/>
            <w:tcBorders>
              <w:top w:val="single" w:sz="4" w:space="0" w:color="000000"/>
              <w:left w:val="nil"/>
              <w:bottom w:val="nil"/>
              <w:right w:val="nil"/>
              <w:tl2br w:val="nil"/>
              <w:tr2bl w:val="nil"/>
            </w:tcBorders>
            <w:tcMar>
              <w:left w:w="40" w:type="dxa"/>
              <w:right w:w="40" w:type="dxa"/>
            </w:tcMar>
            <w:vAlign w:val="bottom"/>
          </w:tcPr>
          <w:p w14:paraId="63DF3E4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Performing</w:t>
            </w:r>
          </w:p>
        </w:tc>
        <w:tc>
          <w:tcPr>
            <w:tcW w:w="1200" w:type="dxa"/>
            <w:tcBorders>
              <w:top w:val="single" w:sz="4" w:space="0" w:color="000000"/>
              <w:left w:val="nil"/>
              <w:bottom w:val="nil"/>
              <w:right w:val="nil"/>
              <w:tl2br w:val="nil"/>
              <w:tr2bl w:val="nil"/>
            </w:tcBorders>
            <w:tcMar>
              <w:left w:w="40" w:type="dxa"/>
              <w:right w:w="40" w:type="dxa"/>
            </w:tcMar>
            <w:vAlign w:val="bottom"/>
          </w:tcPr>
          <w:p w14:paraId="0664EE9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Non-Performing</w:t>
            </w:r>
          </w:p>
        </w:tc>
      </w:tr>
      <w:tr w:rsidR="00FD1E19" w14:paraId="6B23A84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14:paraId="4366C5CB"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Number of contracts subject to forbearance practices</w:t>
            </w:r>
          </w:p>
        </w:tc>
        <w:tc>
          <w:tcPr>
            <w:tcW w:w="1200" w:type="dxa"/>
            <w:tcBorders>
              <w:top w:val="nil"/>
              <w:left w:val="nil"/>
              <w:bottom w:val="nil"/>
              <w:right w:val="nil"/>
              <w:tl2br w:val="nil"/>
              <w:tr2bl w:val="nil"/>
            </w:tcBorders>
            <w:noWrap/>
            <w:tcMar>
              <w:left w:w="40" w:type="dxa"/>
              <w:right w:w="100" w:type="dxa"/>
            </w:tcMar>
            <w:vAlign w:val="center"/>
          </w:tcPr>
          <w:p w14:paraId="58BED4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w:t>
            </w:r>
          </w:p>
        </w:tc>
        <w:tc>
          <w:tcPr>
            <w:tcW w:w="1200" w:type="dxa"/>
            <w:tcBorders>
              <w:top w:val="nil"/>
              <w:left w:val="nil"/>
              <w:bottom w:val="nil"/>
              <w:right w:val="nil"/>
              <w:tl2br w:val="nil"/>
              <w:tr2bl w:val="nil"/>
            </w:tcBorders>
            <w:noWrap/>
            <w:tcMar>
              <w:left w:w="40" w:type="dxa"/>
              <w:right w:w="100" w:type="dxa"/>
            </w:tcMar>
            <w:vAlign w:val="center"/>
          </w:tcPr>
          <w:p w14:paraId="2BF60D4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w:t>
            </w:r>
          </w:p>
        </w:tc>
        <w:tc>
          <w:tcPr>
            <w:tcW w:w="1200" w:type="dxa"/>
            <w:tcBorders>
              <w:top w:val="nil"/>
              <w:left w:val="nil"/>
              <w:bottom w:val="nil"/>
              <w:right w:val="nil"/>
              <w:tl2br w:val="nil"/>
              <w:tr2bl w:val="nil"/>
            </w:tcBorders>
            <w:noWrap/>
            <w:tcMar>
              <w:left w:w="40" w:type="dxa"/>
              <w:right w:w="100" w:type="dxa"/>
            </w:tcMar>
            <w:vAlign w:val="center"/>
          </w:tcPr>
          <w:p w14:paraId="1967D9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w:t>
            </w:r>
          </w:p>
        </w:tc>
        <w:tc>
          <w:tcPr>
            <w:tcW w:w="1200" w:type="dxa"/>
            <w:tcBorders>
              <w:top w:val="nil"/>
              <w:left w:val="nil"/>
              <w:bottom w:val="nil"/>
              <w:right w:val="nil"/>
              <w:tl2br w:val="nil"/>
              <w:tr2bl w:val="nil"/>
            </w:tcBorders>
            <w:noWrap/>
            <w:tcMar>
              <w:left w:w="40" w:type="dxa"/>
              <w:right w:w="100" w:type="dxa"/>
            </w:tcMar>
            <w:vAlign w:val="center"/>
          </w:tcPr>
          <w:p w14:paraId="400717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w:t>
            </w:r>
          </w:p>
        </w:tc>
      </w:tr>
      <w:tr w:rsidR="00FD1E19" w14:paraId="6C1B06F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14:paraId="51FC801E"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Carrying values (incl. interest and amounts in arrears)</w:t>
            </w:r>
          </w:p>
        </w:tc>
        <w:tc>
          <w:tcPr>
            <w:tcW w:w="1200" w:type="dxa"/>
            <w:tcBorders>
              <w:top w:val="nil"/>
              <w:left w:val="nil"/>
              <w:bottom w:val="nil"/>
              <w:right w:val="nil"/>
              <w:tl2br w:val="nil"/>
              <w:tr2bl w:val="nil"/>
            </w:tcBorders>
            <w:noWrap/>
            <w:tcMar>
              <w:left w:w="40" w:type="dxa"/>
              <w:right w:w="100" w:type="dxa"/>
            </w:tcMar>
            <w:vAlign w:val="center"/>
          </w:tcPr>
          <w:p w14:paraId="5ECBD95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9,569</w:t>
            </w:r>
          </w:p>
        </w:tc>
        <w:tc>
          <w:tcPr>
            <w:tcW w:w="1200" w:type="dxa"/>
            <w:tcBorders>
              <w:top w:val="nil"/>
              <w:left w:val="nil"/>
              <w:bottom w:val="nil"/>
              <w:right w:val="nil"/>
              <w:tl2br w:val="nil"/>
              <w:tr2bl w:val="nil"/>
            </w:tcBorders>
            <w:noWrap/>
            <w:tcMar>
              <w:left w:w="40" w:type="dxa"/>
              <w:right w:w="100" w:type="dxa"/>
            </w:tcMar>
            <w:vAlign w:val="center"/>
          </w:tcPr>
          <w:p w14:paraId="4D5D9B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71,509</w:t>
            </w:r>
          </w:p>
        </w:tc>
        <w:tc>
          <w:tcPr>
            <w:tcW w:w="1200" w:type="dxa"/>
            <w:tcBorders>
              <w:top w:val="nil"/>
              <w:left w:val="nil"/>
              <w:bottom w:val="nil"/>
              <w:right w:val="nil"/>
              <w:tl2br w:val="nil"/>
              <w:tr2bl w:val="nil"/>
            </w:tcBorders>
            <w:noWrap/>
            <w:tcMar>
              <w:left w:w="40" w:type="dxa"/>
              <w:right w:w="100" w:type="dxa"/>
            </w:tcMar>
            <w:vAlign w:val="center"/>
          </w:tcPr>
          <w:p w14:paraId="1B1B916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60,223</w:t>
            </w:r>
          </w:p>
        </w:tc>
        <w:tc>
          <w:tcPr>
            <w:tcW w:w="1200" w:type="dxa"/>
            <w:tcBorders>
              <w:top w:val="nil"/>
              <w:left w:val="nil"/>
              <w:bottom w:val="nil"/>
              <w:right w:val="nil"/>
              <w:tl2br w:val="nil"/>
              <w:tr2bl w:val="nil"/>
            </w:tcBorders>
            <w:noWrap/>
            <w:tcMar>
              <w:left w:w="40" w:type="dxa"/>
              <w:right w:w="100" w:type="dxa"/>
            </w:tcMar>
            <w:vAlign w:val="center"/>
          </w:tcPr>
          <w:p w14:paraId="0BA5A0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35,718</w:t>
            </w:r>
          </w:p>
        </w:tc>
      </w:tr>
      <w:tr w:rsidR="00FD1E19" w14:paraId="4F0F0E2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14:paraId="63E67F3A"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ECL allowance recognised</w:t>
            </w:r>
          </w:p>
        </w:tc>
        <w:tc>
          <w:tcPr>
            <w:tcW w:w="1200" w:type="dxa"/>
            <w:tcBorders>
              <w:top w:val="nil"/>
              <w:left w:val="nil"/>
              <w:bottom w:val="nil"/>
              <w:right w:val="nil"/>
              <w:tl2br w:val="nil"/>
              <w:tr2bl w:val="nil"/>
            </w:tcBorders>
            <w:noWrap/>
            <w:tcMar>
              <w:left w:w="40" w:type="dxa"/>
              <w:right w:w="100" w:type="dxa"/>
            </w:tcMar>
            <w:vAlign w:val="center"/>
          </w:tcPr>
          <w:p w14:paraId="1CABC41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106</w:t>
            </w:r>
          </w:p>
        </w:tc>
        <w:tc>
          <w:tcPr>
            <w:tcW w:w="1200" w:type="dxa"/>
            <w:tcBorders>
              <w:top w:val="nil"/>
              <w:left w:val="nil"/>
              <w:bottom w:val="nil"/>
              <w:right w:val="nil"/>
              <w:tl2br w:val="nil"/>
              <w:tr2bl w:val="nil"/>
            </w:tcBorders>
            <w:noWrap/>
            <w:tcMar>
              <w:left w:w="40" w:type="dxa"/>
              <w:right w:w="100" w:type="dxa"/>
            </w:tcMar>
            <w:vAlign w:val="center"/>
          </w:tcPr>
          <w:p w14:paraId="048E6F0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45,760</w:t>
            </w:r>
          </w:p>
        </w:tc>
        <w:tc>
          <w:tcPr>
            <w:tcW w:w="1200" w:type="dxa"/>
            <w:tcBorders>
              <w:top w:val="nil"/>
              <w:left w:val="nil"/>
              <w:bottom w:val="nil"/>
              <w:right w:val="nil"/>
              <w:tl2br w:val="nil"/>
              <w:tr2bl w:val="nil"/>
            </w:tcBorders>
            <w:noWrap/>
            <w:tcMar>
              <w:left w:w="40" w:type="dxa"/>
              <w:right w:w="100" w:type="dxa"/>
            </w:tcMar>
            <w:vAlign w:val="center"/>
          </w:tcPr>
          <w:p w14:paraId="67468D7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622</w:t>
            </w:r>
          </w:p>
        </w:tc>
        <w:tc>
          <w:tcPr>
            <w:tcW w:w="1200" w:type="dxa"/>
            <w:tcBorders>
              <w:top w:val="nil"/>
              <w:left w:val="nil"/>
              <w:bottom w:val="nil"/>
              <w:right w:val="nil"/>
              <w:tl2br w:val="nil"/>
              <w:tr2bl w:val="nil"/>
            </w:tcBorders>
            <w:noWrap/>
            <w:tcMar>
              <w:left w:w="40" w:type="dxa"/>
              <w:right w:w="100" w:type="dxa"/>
            </w:tcMar>
            <w:vAlign w:val="center"/>
          </w:tcPr>
          <w:p w14:paraId="18AD652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11,156</w:t>
            </w:r>
          </w:p>
        </w:tc>
      </w:tr>
      <w:tr w:rsidR="00FD1E19" w14:paraId="39D8B43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5100" w:type="dxa"/>
            <w:tcBorders>
              <w:top w:val="nil"/>
              <w:left w:val="nil"/>
              <w:bottom w:val="nil"/>
              <w:right w:val="nil"/>
              <w:tl2br w:val="nil"/>
              <w:tr2bl w:val="nil"/>
            </w:tcBorders>
            <w:tcMar>
              <w:left w:w="40" w:type="dxa"/>
              <w:right w:w="40" w:type="dxa"/>
            </w:tcMar>
            <w:vAlign w:val="center"/>
          </w:tcPr>
          <w:p w14:paraId="0F9E6E05"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Interest income in respect of forborne contracts</w:t>
            </w:r>
          </w:p>
        </w:tc>
        <w:tc>
          <w:tcPr>
            <w:tcW w:w="1200" w:type="dxa"/>
            <w:tcBorders>
              <w:top w:val="nil"/>
              <w:left w:val="nil"/>
              <w:bottom w:val="nil"/>
              <w:right w:val="nil"/>
              <w:tl2br w:val="nil"/>
              <w:tr2bl w:val="nil"/>
            </w:tcBorders>
            <w:noWrap/>
            <w:tcMar>
              <w:left w:w="40" w:type="dxa"/>
              <w:right w:w="100" w:type="dxa"/>
            </w:tcMar>
            <w:vAlign w:val="center"/>
          </w:tcPr>
          <w:p w14:paraId="4BEF81B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687</w:t>
            </w:r>
          </w:p>
        </w:tc>
        <w:tc>
          <w:tcPr>
            <w:tcW w:w="1200" w:type="dxa"/>
            <w:tcBorders>
              <w:top w:val="nil"/>
              <w:left w:val="nil"/>
              <w:bottom w:val="nil"/>
              <w:right w:val="nil"/>
              <w:tl2br w:val="nil"/>
              <w:tr2bl w:val="nil"/>
            </w:tcBorders>
            <w:noWrap/>
            <w:tcMar>
              <w:left w:w="40" w:type="dxa"/>
              <w:right w:w="100" w:type="dxa"/>
            </w:tcMar>
            <w:vAlign w:val="center"/>
          </w:tcPr>
          <w:p w14:paraId="3E5049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1,601</w:t>
            </w:r>
          </w:p>
        </w:tc>
        <w:tc>
          <w:tcPr>
            <w:tcW w:w="1200" w:type="dxa"/>
            <w:tcBorders>
              <w:top w:val="nil"/>
              <w:left w:val="nil"/>
              <w:bottom w:val="nil"/>
              <w:right w:val="nil"/>
              <w:tl2br w:val="nil"/>
              <w:tr2bl w:val="nil"/>
            </w:tcBorders>
            <w:noWrap/>
            <w:tcMar>
              <w:left w:w="40" w:type="dxa"/>
              <w:right w:w="100" w:type="dxa"/>
            </w:tcMar>
            <w:vAlign w:val="center"/>
          </w:tcPr>
          <w:p w14:paraId="292A70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3,353</w:t>
            </w:r>
          </w:p>
        </w:tc>
        <w:tc>
          <w:tcPr>
            <w:tcW w:w="1200" w:type="dxa"/>
            <w:tcBorders>
              <w:top w:val="nil"/>
              <w:left w:val="nil"/>
              <w:bottom w:val="nil"/>
              <w:right w:val="nil"/>
              <w:tl2br w:val="nil"/>
              <w:tr2bl w:val="nil"/>
            </w:tcBorders>
            <w:noWrap/>
            <w:tcMar>
              <w:left w:w="40" w:type="dxa"/>
              <w:right w:w="100" w:type="dxa"/>
            </w:tcMar>
            <w:vAlign w:val="center"/>
          </w:tcPr>
          <w:p w14:paraId="5C1C042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1,717</w:t>
            </w:r>
          </w:p>
        </w:tc>
      </w:tr>
    </w:tbl>
    <w:p w14:paraId="4986B6F0" w14:textId="77777777" w:rsidR="00FD1E19" w:rsidRDefault="00FD1E19" w:rsidP="00FD1E19">
      <w:pPr>
        <w:suppressAutoHyphens/>
        <w:rPr>
          <w:noProof/>
          <w:lang w:eastAsia="ar-SA"/>
        </w:rPr>
      </w:pPr>
    </w:p>
    <w:tbl>
      <w:tblPr>
        <w:tblStyle w:val="CDMRange1"/>
        <w:tblW w:w="5000" w:type="pct"/>
        <w:tblLayout w:type="fixed"/>
        <w:tblLook w:val="0600" w:firstRow="0" w:lastRow="0" w:firstColumn="0" w:lastColumn="0" w:noHBand="1" w:noVBand="1"/>
      </w:tblPr>
      <w:tblGrid>
        <w:gridCol w:w="1492"/>
        <w:gridCol w:w="1161"/>
        <w:gridCol w:w="1161"/>
        <w:gridCol w:w="1161"/>
        <w:gridCol w:w="1161"/>
        <w:gridCol w:w="1108"/>
        <w:gridCol w:w="1233"/>
        <w:gridCol w:w="1161"/>
      </w:tblGrid>
      <w:tr w:rsidR="00FD1E19" w14:paraId="346A11FC" w14:textId="77777777" w:rsidTr="00BE7E4A">
        <w:trPr>
          <w:trHeight w:hRule="exact" w:val="300"/>
        </w:trPr>
        <w:tc>
          <w:tcPr>
            <w:tcW w:w="1545" w:type="dxa"/>
            <w:tcBorders>
              <w:top w:val="single" w:sz="4" w:space="0" w:color="000000"/>
              <w:left w:val="nil"/>
              <w:bottom w:val="nil"/>
              <w:right w:val="nil"/>
              <w:tl2br w:val="nil"/>
              <w:tr2bl w:val="nil"/>
            </w:tcBorders>
            <w:noWrap/>
            <w:tcMar>
              <w:left w:w="0" w:type="dxa"/>
              <w:right w:w="0" w:type="dxa"/>
            </w:tcMar>
            <w:vAlign w:val="bottom"/>
          </w:tcPr>
          <w:p w14:paraId="5024F2EC" w14:textId="77777777" w:rsidR="00FD1E19" w:rsidRDefault="00FD1E19" w:rsidP="00BE7E4A">
            <w:pPr>
              <w:suppressAutoHyphens/>
              <w:rPr>
                <w:rFonts w:ascii="Arial" w:eastAsia="Arial" w:hAnsi="Arial" w:cs="Arial"/>
                <w:noProof/>
                <w:color w:val="000000"/>
                <w:sz w:val="16"/>
                <w:lang w:eastAsia="ar-SA"/>
              </w:rPr>
            </w:pPr>
            <w:bookmarkStart w:id="244" w:name="RG_MARKER_90126"/>
            <w:bookmarkEnd w:id="244"/>
          </w:p>
        </w:tc>
        <w:tc>
          <w:tcPr>
            <w:tcW w:w="1200" w:type="dxa"/>
            <w:tcBorders>
              <w:top w:val="single" w:sz="4" w:space="0" w:color="000000"/>
              <w:left w:val="nil"/>
              <w:bottom w:val="nil"/>
              <w:right w:val="nil"/>
              <w:tl2br w:val="nil"/>
              <w:tr2bl w:val="nil"/>
            </w:tcBorders>
            <w:noWrap/>
            <w:tcMar>
              <w:left w:w="0" w:type="dxa"/>
              <w:right w:w="0" w:type="dxa"/>
            </w:tcMar>
            <w:vAlign w:val="bottom"/>
          </w:tcPr>
          <w:p w14:paraId="34882A7E"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noWrap/>
            <w:tcMar>
              <w:left w:w="0" w:type="dxa"/>
              <w:right w:w="0" w:type="dxa"/>
            </w:tcMar>
            <w:vAlign w:val="bottom"/>
          </w:tcPr>
          <w:p w14:paraId="66D2E6AF" w14:textId="77777777" w:rsidR="00FD1E19" w:rsidRDefault="00FD1E19" w:rsidP="00BE7E4A">
            <w:pPr>
              <w:suppressAutoHyphens/>
              <w:rPr>
                <w:rFonts w:ascii="Arial" w:eastAsia="Arial" w:hAnsi="Arial" w:cs="Arial"/>
                <w:noProof/>
                <w:color w:val="000000"/>
                <w:sz w:val="16"/>
                <w:lang w:eastAsia="ar-SA"/>
              </w:rPr>
            </w:pPr>
          </w:p>
        </w:tc>
        <w:tc>
          <w:tcPr>
            <w:tcW w:w="2400" w:type="dxa"/>
            <w:gridSpan w:val="2"/>
            <w:tcBorders>
              <w:top w:val="single" w:sz="4" w:space="0" w:color="000000"/>
              <w:left w:val="nil"/>
              <w:bottom w:val="single" w:sz="4" w:space="0" w:color="000000"/>
              <w:right w:val="nil"/>
              <w:tl2br w:val="nil"/>
              <w:tr2bl w:val="nil"/>
            </w:tcBorders>
            <w:noWrap/>
            <w:tcMar>
              <w:left w:w="40" w:type="dxa"/>
              <w:right w:w="40" w:type="dxa"/>
            </w:tcMar>
            <w:vAlign w:val="center"/>
          </w:tcPr>
          <w:p w14:paraId="43E8A948"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Forbearance measures</w:t>
            </w:r>
          </w:p>
        </w:tc>
        <w:tc>
          <w:tcPr>
            <w:tcW w:w="1125" w:type="dxa"/>
            <w:tcBorders>
              <w:top w:val="single" w:sz="4" w:space="0" w:color="000000"/>
              <w:left w:val="nil"/>
              <w:bottom w:val="single" w:sz="4" w:space="0" w:color="000000"/>
              <w:right w:val="nil"/>
              <w:tl2br w:val="nil"/>
              <w:tr2bl w:val="nil"/>
            </w:tcBorders>
            <w:noWrap/>
            <w:tcMar>
              <w:left w:w="0" w:type="dxa"/>
              <w:right w:w="0" w:type="dxa"/>
            </w:tcMar>
            <w:vAlign w:val="bottom"/>
          </w:tcPr>
          <w:p w14:paraId="4FB3039A" w14:textId="77777777" w:rsidR="00FD1E19" w:rsidRDefault="00FD1E19" w:rsidP="00BE7E4A">
            <w:pPr>
              <w:suppressAutoHyphens/>
              <w:rPr>
                <w:rFonts w:ascii="Arial" w:eastAsia="Arial" w:hAnsi="Arial" w:cs="Arial"/>
                <w:noProof/>
                <w:color w:val="000000"/>
                <w:sz w:val="16"/>
                <w:lang w:eastAsia="ar-SA"/>
              </w:rPr>
            </w:pPr>
          </w:p>
        </w:tc>
        <w:tc>
          <w:tcPr>
            <w:tcW w:w="1275" w:type="dxa"/>
            <w:tcBorders>
              <w:top w:val="single" w:sz="4" w:space="0" w:color="000000"/>
              <w:left w:val="nil"/>
              <w:bottom w:val="single" w:sz="4" w:space="0" w:color="000000"/>
              <w:right w:val="nil"/>
              <w:tl2br w:val="nil"/>
              <w:tr2bl w:val="nil"/>
            </w:tcBorders>
            <w:noWrap/>
            <w:tcMar>
              <w:left w:w="0" w:type="dxa"/>
              <w:right w:w="0" w:type="dxa"/>
            </w:tcMar>
            <w:vAlign w:val="bottom"/>
          </w:tcPr>
          <w:p w14:paraId="219DF99F"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noWrap/>
            <w:tcMar>
              <w:left w:w="0" w:type="dxa"/>
              <w:right w:w="0" w:type="dxa"/>
            </w:tcMar>
            <w:vAlign w:val="bottom"/>
          </w:tcPr>
          <w:p w14:paraId="447E17F6" w14:textId="77777777" w:rsidR="00FD1E19" w:rsidRDefault="00FD1E19" w:rsidP="00BE7E4A">
            <w:pPr>
              <w:suppressAutoHyphens/>
              <w:rPr>
                <w:rFonts w:ascii="Arial" w:eastAsia="Arial" w:hAnsi="Arial" w:cs="Arial"/>
                <w:noProof/>
                <w:color w:val="000000"/>
                <w:sz w:val="16"/>
                <w:lang w:eastAsia="ar-SA"/>
              </w:rPr>
            </w:pPr>
          </w:p>
        </w:tc>
      </w:tr>
      <w:tr w:rsidR="00FD1E19" w14:paraId="122C4B2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017"/>
        </w:trPr>
        <w:tc>
          <w:tcPr>
            <w:tcW w:w="1545" w:type="dxa"/>
            <w:tcBorders>
              <w:top w:val="nil"/>
              <w:left w:val="nil"/>
              <w:bottom w:val="single" w:sz="4" w:space="0" w:color="000000"/>
              <w:right w:val="nil"/>
              <w:tl2br w:val="nil"/>
              <w:tr2bl w:val="nil"/>
            </w:tcBorders>
            <w:noWrap/>
            <w:tcMar>
              <w:left w:w="40" w:type="dxa"/>
              <w:right w:w="40" w:type="dxa"/>
            </w:tcMar>
            <w:vAlign w:val="center"/>
          </w:tcPr>
          <w:p w14:paraId="6440AD50" w14:textId="77777777" w:rsidR="00FD1E19" w:rsidRDefault="00FD1E19" w:rsidP="00BE7E4A">
            <w:pPr>
              <w:suppressAutoHyphens/>
              <w:jc w:val="both"/>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200" w:type="dxa"/>
            <w:tcBorders>
              <w:top w:val="nil"/>
              <w:left w:val="nil"/>
              <w:bottom w:val="single" w:sz="4" w:space="0" w:color="000000"/>
              <w:right w:val="nil"/>
              <w:tl2br w:val="nil"/>
              <w:tr2bl w:val="nil"/>
            </w:tcBorders>
            <w:noWrap/>
            <w:tcMar>
              <w:left w:w="40" w:type="dxa"/>
              <w:right w:w="40" w:type="dxa"/>
            </w:tcMar>
            <w:vAlign w:val="center"/>
          </w:tcPr>
          <w:p w14:paraId="2045BBD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E430E0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Extension of maturities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D7DF8D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Deferral of capital and interest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4C0F35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Breach of material financial covenants</w:t>
            </w:r>
          </w:p>
        </w:tc>
        <w:tc>
          <w:tcPr>
            <w:tcW w:w="1125" w:type="dxa"/>
            <w:tcBorders>
              <w:top w:val="single" w:sz="4" w:space="0" w:color="000000"/>
              <w:left w:val="nil"/>
              <w:bottom w:val="single" w:sz="4" w:space="0" w:color="000000"/>
              <w:right w:val="nil"/>
              <w:tl2br w:val="nil"/>
              <w:tr2bl w:val="nil"/>
            </w:tcBorders>
            <w:tcMar>
              <w:left w:w="580" w:type="dxa"/>
              <w:right w:w="40" w:type="dxa"/>
            </w:tcMar>
            <w:vAlign w:val="center"/>
          </w:tcPr>
          <w:p w14:paraId="39449EF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Other</w:t>
            </w:r>
          </w:p>
        </w:tc>
        <w:tc>
          <w:tcPr>
            <w:tcW w:w="1275" w:type="dxa"/>
            <w:tcBorders>
              <w:top w:val="single" w:sz="4" w:space="0" w:color="000000"/>
              <w:left w:val="nil"/>
              <w:bottom w:val="single" w:sz="4" w:space="0" w:color="000000"/>
              <w:right w:val="nil"/>
              <w:tl2br w:val="nil"/>
              <w:tr2bl w:val="nil"/>
            </w:tcBorders>
            <w:tcMar>
              <w:left w:w="40" w:type="dxa"/>
              <w:right w:w="40" w:type="dxa"/>
            </w:tcMar>
            <w:vAlign w:val="center"/>
          </w:tcPr>
          <w:p w14:paraId="1892FFF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Contractual repayment, termination and/or write off</w:t>
            </w:r>
          </w:p>
        </w:tc>
        <w:tc>
          <w:tcPr>
            <w:tcW w:w="1200" w:type="dxa"/>
            <w:tcBorders>
              <w:top w:val="nil"/>
              <w:left w:val="nil"/>
              <w:bottom w:val="single" w:sz="4" w:space="0" w:color="000000"/>
              <w:right w:val="nil"/>
              <w:tl2br w:val="nil"/>
              <w:tr2bl w:val="nil"/>
            </w:tcBorders>
            <w:tcMar>
              <w:left w:w="40" w:type="dxa"/>
              <w:right w:w="40" w:type="dxa"/>
            </w:tcMar>
            <w:vAlign w:val="center"/>
          </w:tcPr>
          <w:p w14:paraId="5A733E5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r>
      <w:tr w:rsidR="00FD1E19" w14:paraId="4EA1322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single" w:sz="4" w:space="0" w:color="000000"/>
              <w:left w:val="nil"/>
              <w:bottom w:val="nil"/>
              <w:right w:val="nil"/>
              <w:tl2br w:val="nil"/>
              <w:tr2bl w:val="nil"/>
            </w:tcBorders>
            <w:tcMar>
              <w:left w:w="40" w:type="dxa"/>
              <w:right w:w="40" w:type="dxa"/>
            </w:tcMar>
            <w:vAlign w:val="center"/>
          </w:tcPr>
          <w:p w14:paraId="484B068E"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Financial institutions</w:t>
            </w:r>
          </w:p>
        </w:tc>
        <w:tc>
          <w:tcPr>
            <w:tcW w:w="1200" w:type="dxa"/>
            <w:tcBorders>
              <w:top w:val="single" w:sz="4" w:space="0" w:color="000000"/>
              <w:left w:val="nil"/>
              <w:bottom w:val="nil"/>
              <w:right w:val="nil"/>
              <w:tl2br w:val="nil"/>
              <w:tr2bl w:val="nil"/>
            </w:tcBorders>
            <w:noWrap/>
            <w:tcMar>
              <w:left w:w="40" w:type="dxa"/>
              <w:right w:w="40" w:type="dxa"/>
            </w:tcMar>
            <w:vAlign w:val="center"/>
          </w:tcPr>
          <w:p w14:paraId="0147601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22,382</w:t>
            </w:r>
          </w:p>
        </w:tc>
        <w:tc>
          <w:tcPr>
            <w:tcW w:w="1200" w:type="dxa"/>
            <w:tcBorders>
              <w:top w:val="single" w:sz="4" w:space="0" w:color="000000"/>
              <w:left w:val="nil"/>
              <w:bottom w:val="nil"/>
              <w:right w:val="nil"/>
              <w:tl2br w:val="nil"/>
              <w:tr2bl w:val="nil"/>
            </w:tcBorders>
            <w:noWrap/>
            <w:tcMar>
              <w:left w:w="40" w:type="dxa"/>
              <w:right w:w="40" w:type="dxa"/>
            </w:tcMar>
            <w:vAlign w:val="center"/>
          </w:tcPr>
          <w:p w14:paraId="2A3CFD9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noWrap/>
            <w:tcMar>
              <w:left w:w="40" w:type="dxa"/>
              <w:right w:w="40" w:type="dxa"/>
            </w:tcMar>
            <w:vAlign w:val="center"/>
          </w:tcPr>
          <w:p w14:paraId="00D8363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noWrap/>
            <w:tcMar>
              <w:left w:w="40" w:type="dxa"/>
              <w:right w:w="40" w:type="dxa"/>
            </w:tcMar>
            <w:vAlign w:val="center"/>
          </w:tcPr>
          <w:p w14:paraId="01A389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-9,643</w:t>
            </w:r>
          </w:p>
        </w:tc>
        <w:tc>
          <w:tcPr>
            <w:tcW w:w="1125" w:type="dxa"/>
            <w:tcBorders>
              <w:top w:val="single" w:sz="4" w:space="0" w:color="000000"/>
              <w:left w:val="nil"/>
              <w:bottom w:val="nil"/>
              <w:right w:val="nil"/>
              <w:tl2br w:val="nil"/>
              <w:tr2bl w:val="nil"/>
            </w:tcBorders>
            <w:noWrap/>
            <w:tcMar>
              <w:left w:w="40" w:type="dxa"/>
              <w:right w:w="40" w:type="dxa"/>
            </w:tcMar>
            <w:vAlign w:val="center"/>
          </w:tcPr>
          <w:p w14:paraId="79D501C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75" w:type="dxa"/>
            <w:tcBorders>
              <w:top w:val="single" w:sz="4" w:space="0" w:color="000000"/>
              <w:left w:val="nil"/>
              <w:bottom w:val="nil"/>
              <w:right w:val="nil"/>
              <w:tl2br w:val="nil"/>
              <w:tr2bl w:val="nil"/>
            </w:tcBorders>
            <w:noWrap/>
            <w:tcMar>
              <w:left w:w="40" w:type="dxa"/>
              <w:right w:w="40" w:type="dxa"/>
            </w:tcMar>
            <w:vAlign w:val="center"/>
          </w:tcPr>
          <w:p w14:paraId="7BB117D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-1,460</w:t>
            </w:r>
          </w:p>
        </w:tc>
        <w:tc>
          <w:tcPr>
            <w:tcW w:w="1200" w:type="dxa"/>
            <w:tcBorders>
              <w:top w:val="single" w:sz="4" w:space="0" w:color="000000"/>
              <w:left w:val="nil"/>
              <w:bottom w:val="nil"/>
              <w:right w:val="nil"/>
              <w:tl2br w:val="nil"/>
              <w:tr2bl w:val="nil"/>
            </w:tcBorders>
            <w:noWrap/>
            <w:tcMar>
              <w:left w:w="40" w:type="dxa"/>
              <w:right w:w="40" w:type="dxa"/>
            </w:tcMar>
            <w:vAlign w:val="center"/>
          </w:tcPr>
          <w:p w14:paraId="53ED38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11,279</w:t>
            </w:r>
          </w:p>
        </w:tc>
      </w:tr>
      <w:tr w:rsidR="00FD1E19" w14:paraId="3F5D52A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nil"/>
              <w:left w:val="nil"/>
              <w:bottom w:val="nil"/>
              <w:right w:val="nil"/>
              <w:tl2br w:val="nil"/>
              <w:tr2bl w:val="nil"/>
            </w:tcBorders>
            <w:tcMar>
              <w:left w:w="40" w:type="dxa"/>
              <w:right w:w="40" w:type="dxa"/>
            </w:tcMar>
            <w:vAlign w:val="center"/>
          </w:tcPr>
          <w:p w14:paraId="190DE394"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Corporates</w:t>
            </w:r>
          </w:p>
        </w:tc>
        <w:tc>
          <w:tcPr>
            <w:tcW w:w="1200" w:type="dxa"/>
            <w:tcBorders>
              <w:top w:val="nil"/>
              <w:left w:val="nil"/>
              <w:bottom w:val="nil"/>
              <w:right w:val="nil"/>
              <w:tl2br w:val="nil"/>
              <w:tr2bl w:val="nil"/>
            </w:tcBorders>
            <w:noWrap/>
            <w:tcMar>
              <w:left w:w="40" w:type="dxa"/>
              <w:right w:w="40" w:type="dxa"/>
            </w:tcMar>
            <w:vAlign w:val="center"/>
          </w:tcPr>
          <w:p w14:paraId="44E05D5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73,559</w:t>
            </w:r>
          </w:p>
        </w:tc>
        <w:tc>
          <w:tcPr>
            <w:tcW w:w="1200" w:type="dxa"/>
            <w:tcBorders>
              <w:top w:val="nil"/>
              <w:left w:val="nil"/>
              <w:bottom w:val="nil"/>
              <w:right w:val="nil"/>
              <w:tl2br w:val="nil"/>
              <w:tr2bl w:val="nil"/>
            </w:tcBorders>
            <w:noWrap/>
            <w:tcMar>
              <w:left w:w="40" w:type="dxa"/>
              <w:right w:w="40" w:type="dxa"/>
            </w:tcMar>
            <w:vAlign w:val="center"/>
          </w:tcPr>
          <w:p w14:paraId="6E698B6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13,767</w:t>
            </w:r>
          </w:p>
        </w:tc>
        <w:tc>
          <w:tcPr>
            <w:tcW w:w="1200" w:type="dxa"/>
            <w:tcBorders>
              <w:top w:val="nil"/>
              <w:left w:val="nil"/>
              <w:bottom w:val="nil"/>
              <w:right w:val="nil"/>
              <w:tl2br w:val="nil"/>
              <w:tr2bl w:val="nil"/>
            </w:tcBorders>
            <w:noWrap/>
            <w:tcMar>
              <w:left w:w="40" w:type="dxa"/>
              <w:right w:w="40" w:type="dxa"/>
            </w:tcMar>
            <w:vAlign w:val="center"/>
          </w:tcPr>
          <w:p w14:paraId="6215BC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6,580</w:t>
            </w:r>
          </w:p>
        </w:tc>
        <w:tc>
          <w:tcPr>
            <w:tcW w:w="1200" w:type="dxa"/>
            <w:tcBorders>
              <w:top w:val="nil"/>
              <w:left w:val="nil"/>
              <w:bottom w:val="nil"/>
              <w:right w:val="nil"/>
              <w:tl2br w:val="nil"/>
              <w:tr2bl w:val="nil"/>
            </w:tcBorders>
            <w:noWrap/>
            <w:tcMar>
              <w:left w:w="40" w:type="dxa"/>
              <w:right w:w="40" w:type="dxa"/>
            </w:tcMar>
            <w:vAlign w:val="center"/>
          </w:tcPr>
          <w:p w14:paraId="76DEB2A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4,154</w:t>
            </w:r>
          </w:p>
        </w:tc>
        <w:tc>
          <w:tcPr>
            <w:tcW w:w="1125" w:type="dxa"/>
            <w:tcBorders>
              <w:top w:val="nil"/>
              <w:left w:val="nil"/>
              <w:bottom w:val="nil"/>
              <w:right w:val="nil"/>
              <w:tl2br w:val="nil"/>
              <w:tr2bl w:val="nil"/>
            </w:tcBorders>
            <w:noWrap/>
            <w:tcMar>
              <w:left w:w="40" w:type="dxa"/>
              <w:right w:w="40" w:type="dxa"/>
            </w:tcMar>
            <w:vAlign w:val="center"/>
          </w:tcPr>
          <w:p w14:paraId="5879604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75" w:type="dxa"/>
            <w:tcBorders>
              <w:top w:val="nil"/>
              <w:left w:val="nil"/>
              <w:bottom w:val="nil"/>
              <w:right w:val="nil"/>
              <w:tl2br w:val="nil"/>
              <w:tr2bl w:val="nil"/>
            </w:tcBorders>
            <w:noWrap/>
            <w:tcMar>
              <w:left w:w="40" w:type="dxa"/>
              <w:right w:w="40" w:type="dxa"/>
            </w:tcMar>
            <w:vAlign w:val="center"/>
          </w:tcPr>
          <w:p w14:paraId="436F5D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-28,261</w:t>
            </w:r>
          </w:p>
        </w:tc>
        <w:tc>
          <w:tcPr>
            <w:tcW w:w="1200" w:type="dxa"/>
            <w:tcBorders>
              <w:top w:val="nil"/>
              <w:left w:val="nil"/>
              <w:bottom w:val="nil"/>
              <w:right w:val="nil"/>
              <w:tl2br w:val="nil"/>
              <w:tr2bl w:val="nil"/>
            </w:tcBorders>
            <w:noWrap/>
            <w:tcMar>
              <w:left w:w="40" w:type="dxa"/>
              <w:right w:w="40" w:type="dxa"/>
            </w:tcMar>
            <w:vAlign w:val="center"/>
          </w:tcPr>
          <w:p w14:paraId="227361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69,799</w:t>
            </w:r>
          </w:p>
        </w:tc>
      </w:tr>
      <w:tr w:rsidR="00FD1E19" w14:paraId="2F1CF5E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1545" w:type="dxa"/>
            <w:tcBorders>
              <w:top w:val="nil"/>
              <w:left w:val="nil"/>
              <w:bottom w:val="nil"/>
              <w:right w:val="nil"/>
              <w:tl2br w:val="nil"/>
              <w:tr2bl w:val="nil"/>
            </w:tcBorders>
            <w:shd w:val="clear" w:color="FFFFFF" w:fill="BFBFBF"/>
            <w:noWrap/>
            <w:tcMar>
              <w:left w:w="40" w:type="dxa"/>
              <w:right w:w="40" w:type="dxa"/>
            </w:tcMar>
            <w:vAlign w:val="center"/>
          </w:tcPr>
          <w:p w14:paraId="7A37E09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14:paraId="4CAF4B6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95,941</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14:paraId="7BEDA7A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13,767</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14:paraId="6746AD8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6,580</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14:paraId="1D7CF76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-5,489</w:t>
            </w:r>
          </w:p>
        </w:tc>
        <w:tc>
          <w:tcPr>
            <w:tcW w:w="1125" w:type="dxa"/>
            <w:tcBorders>
              <w:top w:val="nil"/>
              <w:left w:val="nil"/>
              <w:bottom w:val="nil"/>
              <w:right w:val="nil"/>
              <w:tl2br w:val="nil"/>
              <w:tr2bl w:val="nil"/>
            </w:tcBorders>
            <w:shd w:val="clear" w:color="FFFFFF" w:fill="BFBFBF"/>
            <w:noWrap/>
            <w:tcMar>
              <w:left w:w="40" w:type="dxa"/>
              <w:right w:w="40" w:type="dxa"/>
            </w:tcMar>
            <w:vAlign w:val="center"/>
          </w:tcPr>
          <w:p w14:paraId="5E2CFE7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75" w:type="dxa"/>
            <w:tcBorders>
              <w:top w:val="nil"/>
              <w:left w:val="nil"/>
              <w:bottom w:val="nil"/>
              <w:right w:val="nil"/>
              <w:tl2br w:val="nil"/>
              <w:tr2bl w:val="nil"/>
            </w:tcBorders>
            <w:shd w:val="clear" w:color="FFFFFF" w:fill="BFBFBF"/>
            <w:noWrap/>
            <w:tcMar>
              <w:left w:w="40" w:type="dxa"/>
              <w:right w:w="40" w:type="dxa"/>
            </w:tcMar>
            <w:vAlign w:val="center"/>
          </w:tcPr>
          <w:p w14:paraId="7F2A19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-29,721</w:t>
            </w:r>
          </w:p>
        </w:tc>
        <w:tc>
          <w:tcPr>
            <w:tcW w:w="1200" w:type="dxa"/>
            <w:tcBorders>
              <w:top w:val="nil"/>
              <w:left w:val="nil"/>
              <w:bottom w:val="nil"/>
              <w:right w:val="nil"/>
              <w:tl2br w:val="nil"/>
              <w:tr2bl w:val="nil"/>
            </w:tcBorders>
            <w:shd w:val="clear" w:color="FFFFFF" w:fill="BFBFBF"/>
            <w:noWrap/>
            <w:tcMar>
              <w:left w:w="40" w:type="dxa"/>
              <w:right w:w="40" w:type="dxa"/>
            </w:tcMar>
            <w:vAlign w:val="center"/>
          </w:tcPr>
          <w:p w14:paraId="0D2DBF9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81,078</w:t>
            </w:r>
          </w:p>
        </w:tc>
      </w:tr>
      <w:tr w:rsidR="00FD1E19" w14:paraId="53E306B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9"/>
        </w:trPr>
        <w:tc>
          <w:tcPr>
            <w:tcW w:w="9945" w:type="dxa"/>
            <w:gridSpan w:val="8"/>
            <w:tcBorders>
              <w:top w:val="nil"/>
              <w:left w:val="nil"/>
              <w:bottom w:val="nil"/>
              <w:right w:val="nil"/>
              <w:tl2br w:val="nil"/>
              <w:tr2bl w:val="nil"/>
            </w:tcBorders>
            <w:tcMar>
              <w:left w:w="0" w:type="dxa"/>
              <w:right w:w="0" w:type="dxa"/>
            </w:tcMar>
          </w:tcPr>
          <w:p w14:paraId="051363A9" w14:textId="77777777" w:rsidR="00FD1E19" w:rsidRDefault="00FD1E19" w:rsidP="00BE7E4A">
            <w:pPr>
              <w:suppressAutoHyphens/>
              <w:jc w:val="both"/>
              <w:rPr>
                <w:rFonts w:ascii="Arial" w:eastAsia="Arial" w:hAnsi="Arial" w:cs="Arial"/>
                <w:noProof/>
                <w:color w:val="000000"/>
                <w:vertAlign w:val="superscript"/>
                <w:lang w:eastAsia="ar-SA"/>
              </w:rPr>
            </w:pPr>
          </w:p>
        </w:tc>
      </w:tr>
    </w:tbl>
    <w:p w14:paraId="4785566C" w14:textId="77777777" w:rsidR="00FD1E19" w:rsidRPr="006A5F5F" w:rsidRDefault="00FD1E19" w:rsidP="00FD1E19">
      <w:pPr>
        <w:pageBreakBefore/>
        <w:numPr>
          <w:ilvl w:val="2"/>
          <w:numId w:val="46"/>
        </w:numPr>
        <w:pBdr>
          <w:top w:val="nil"/>
          <w:left w:val="nil"/>
          <w:bottom w:val="nil"/>
          <w:right w:val="nil"/>
          <w:between w:val="nil"/>
          <w:bar w:val="nil"/>
        </w:pBdr>
        <w:tabs>
          <w:tab w:val="clear" w:pos="822"/>
          <w:tab w:val="right" w:pos="-2700"/>
          <w:tab w:val="num" w:pos="709"/>
        </w:tabs>
        <w:suppressAutoHyphens/>
        <w:spacing w:before="240" w:after="120" w:line="240" w:lineRule="auto"/>
        <w:ind w:hanging="822"/>
        <w:jc w:val="both"/>
        <w:rPr>
          <w:rFonts w:ascii="Arial" w:hAnsi="Arial"/>
          <w:b/>
          <w:noProof/>
          <w:sz w:val="16"/>
          <w:szCs w:val="16"/>
          <w:bdr w:val="nil"/>
          <w:lang w:eastAsia="ar-SA"/>
        </w:rPr>
      </w:pPr>
      <w:bookmarkStart w:id="245" w:name="RG_MARKER_90127"/>
      <w:bookmarkStart w:id="246" w:name="OLE_LINK3"/>
      <w:bookmarkStart w:id="247" w:name="OLE_LINK4"/>
      <w:r w:rsidRPr="006A5F5F">
        <w:rPr>
          <w:rFonts w:ascii="Arial" w:hAnsi="Arial"/>
          <w:b/>
          <w:noProof/>
          <w:sz w:val="16"/>
          <w:szCs w:val="16"/>
          <w:lang w:eastAsia="ar-SA"/>
        </w:rPr>
        <w:t>Credit risk on cash and cash equivalents</w:t>
      </w:r>
      <w:bookmarkEnd w:id="245"/>
    </w:p>
    <w:p w14:paraId="6151530F" w14:textId="77777777" w:rsidR="00FD1E19" w:rsidRPr="00BD1346" w:rsidRDefault="00FD1E19" w:rsidP="00FD1E19">
      <w:pPr>
        <w:pBdr>
          <w:top w:val="nil"/>
          <w:left w:val="nil"/>
          <w:bottom w:val="nil"/>
          <w:right w:val="nil"/>
          <w:between w:val="nil"/>
          <w:bar w:val="nil"/>
        </w:pBdr>
        <w:suppressAutoHyphens/>
        <w:spacing w:before="60" w:after="60"/>
        <w:rPr>
          <w:rFonts w:ascii="Arial" w:hAnsi="Arial"/>
          <w:noProof/>
          <w:sz w:val="16"/>
          <w:szCs w:val="16"/>
          <w:bdr w:val="nil"/>
          <w:shd w:val="clear" w:color="auto" w:fill="00FF00"/>
          <w:lang w:eastAsia="ar-SA"/>
        </w:rPr>
      </w:pPr>
    </w:p>
    <w:bookmarkEnd w:id="246"/>
    <w:bookmarkEnd w:id="247"/>
    <w:p w14:paraId="07EC60E3"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sidRPr="00C73739">
        <w:rPr>
          <w:rFonts w:ascii="Arial" w:hAnsi="Arial"/>
          <w:noProof/>
          <w:sz w:val="16"/>
          <w:szCs w:val="16"/>
          <w:lang w:eastAsia="ar-SA"/>
        </w:rPr>
        <w:t>Available funds are invested in accordance with the Facility’s schedule of contractual disbursement</w:t>
      </w:r>
      <w:r>
        <w:rPr>
          <w:rFonts w:ascii="Arial" w:hAnsi="Arial"/>
          <w:noProof/>
          <w:sz w:val="16"/>
          <w:szCs w:val="16"/>
          <w:lang w:eastAsia="ar-SA"/>
        </w:rPr>
        <w:t xml:space="preserve"> obligations. As of 31 December </w:t>
      </w:r>
      <w:r w:rsidRPr="005E7347">
        <w:rPr>
          <w:rFonts w:ascii="Arial" w:hAnsi="Arial"/>
          <w:noProof/>
          <w:sz w:val="16"/>
          <w:szCs w:val="16"/>
          <w:lang w:eastAsia="ar-SA"/>
        </w:rPr>
        <w:t>2025</w:t>
      </w:r>
      <w:r>
        <w:rPr>
          <w:rFonts w:ascii="Arial" w:hAnsi="Arial"/>
          <w:noProof/>
          <w:sz w:val="16"/>
          <w:szCs w:val="16"/>
          <w:lang w:eastAsia="ar-SA"/>
        </w:rPr>
        <w:t xml:space="preserve">, and 31 December </w:t>
      </w:r>
      <w:r w:rsidRPr="005E7347">
        <w:rPr>
          <w:rFonts w:ascii="Arial" w:hAnsi="Arial"/>
          <w:noProof/>
          <w:sz w:val="16"/>
          <w:szCs w:val="16"/>
          <w:lang w:eastAsia="ar-SA"/>
        </w:rPr>
        <w:t>2024</w:t>
      </w:r>
      <w:r>
        <w:rPr>
          <w:rFonts w:ascii="Arial" w:hAnsi="Arial"/>
          <w:noProof/>
          <w:sz w:val="16"/>
          <w:szCs w:val="16"/>
          <w:lang w:eastAsia="ar-SA"/>
        </w:rPr>
        <w:t xml:space="preserve">, </w:t>
      </w:r>
      <w:r w:rsidRPr="00C73739">
        <w:rPr>
          <w:rFonts w:ascii="Arial" w:hAnsi="Arial"/>
          <w:noProof/>
          <w:sz w:val="16"/>
          <w:szCs w:val="16"/>
          <w:lang w:eastAsia="ar-SA"/>
        </w:rPr>
        <w:t xml:space="preserve">investments were in the form of </w:t>
      </w:r>
      <w:r w:rsidRPr="0032439F">
        <w:rPr>
          <w:rFonts w:ascii="Arial" w:hAnsi="Arial"/>
          <w:noProof/>
          <w:sz w:val="16"/>
          <w:szCs w:val="16"/>
          <w:lang w:eastAsia="ar-SA"/>
        </w:rPr>
        <w:t>bank deposits, certificates of deposit and commercial papers.</w:t>
      </w:r>
      <w:r w:rsidRPr="00C73739">
        <w:rPr>
          <w:rFonts w:ascii="Arial" w:hAnsi="Arial"/>
          <w:noProof/>
          <w:sz w:val="16"/>
          <w:szCs w:val="16"/>
          <w:lang w:eastAsia="ar-SA"/>
        </w:rPr>
        <w:t xml:space="preserve"> </w:t>
      </w:r>
    </w:p>
    <w:p w14:paraId="124D904D" w14:textId="77777777" w:rsidR="00FD1E19" w:rsidRPr="00C7373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44A5976A" w14:textId="77777777" w:rsidR="00FD1E19" w:rsidRPr="005C678A"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val="en-US" w:eastAsia="ar-SA"/>
        </w:rPr>
      </w:pPr>
      <w:r w:rsidRPr="00C73739">
        <w:rPr>
          <w:rFonts w:ascii="Arial" w:hAnsi="Arial"/>
          <w:noProof/>
          <w:sz w:val="16"/>
          <w:szCs w:val="16"/>
          <w:lang w:eastAsia="ar-SA"/>
        </w:rPr>
        <w:t xml:space="preserve">The authorized </w:t>
      </w:r>
      <w:r w:rsidRPr="007F2421">
        <w:rPr>
          <w:rFonts w:ascii="Arial" w:hAnsi="Arial"/>
          <w:noProof/>
          <w:sz w:val="16"/>
          <w:szCs w:val="16"/>
          <w:lang w:eastAsia="ar-SA"/>
        </w:rPr>
        <w:t xml:space="preserve">entities </w:t>
      </w:r>
      <w:r w:rsidRPr="00C73739">
        <w:rPr>
          <w:rFonts w:ascii="Arial" w:hAnsi="Arial"/>
          <w:noProof/>
          <w:sz w:val="16"/>
          <w:szCs w:val="16"/>
          <w:lang w:eastAsia="ar-SA"/>
        </w:rPr>
        <w:t>have a rating similar to the short-</w:t>
      </w:r>
      <w:r>
        <w:rPr>
          <w:rFonts w:ascii="Arial" w:hAnsi="Arial"/>
          <w:noProof/>
          <w:sz w:val="16"/>
          <w:szCs w:val="16"/>
          <w:lang w:eastAsia="ar-SA"/>
        </w:rPr>
        <w:t>term</w:t>
      </w:r>
      <w:r w:rsidRPr="00C73739">
        <w:rPr>
          <w:rFonts w:ascii="Arial" w:hAnsi="Arial"/>
          <w:noProof/>
          <w:sz w:val="16"/>
          <w:szCs w:val="16"/>
          <w:lang w:eastAsia="ar-SA"/>
        </w:rPr>
        <w:t xml:space="preserve"> and long-term ratings required for the EIB’s own treasury placements. In case of different ratings being granted by more than one credit rating agency, the lowest rating governs. The maximum authorized limit for each authorised bank</w:t>
      </w:r>
      <w:r>
        <w:rPr>
          <w:rFonts w:ascii="Arial" w:hAnsi="Arial"/>
          <w:noProof/>
          <w:sz w:val="16"/>
          <w:szCs w:val="16"/>
          <w:lang w:eastAsia="ar-SA"/>
        </w:rPr>
        <w:t xml:space="preserve"> is currently EUR 50,000,</w:t>
      </w:r>
      <w:r w:rsidRPr="00C73739">
        <w:rPr>
          <w:rFonts w:ascii="Arial" w:hAnsi="Arial"/>
          <w:noProof/>
          <w:sz w:val="16"/>
          <w:szCs w:val="16"/>
          <w:lang w:eastAsia="ar-SA"/>
        </w:rPr>
        <w:t xml:space="preserve">000 (fifty million euro). </w:t>
      </w:r>
      <w:r w:rsidRPr="00C03E86">
        <w:rPr>
          <w:rFonts w:ascii="Arial" w:hAnsi="Arial"/>
          <w:noProof/>
          <w:sz w:val="16"/>
          <w:szCs w:val="16"/>
          <w:lang w:eastAsia="ar-SA"/>
        </w:rPr>
        <w:t xml:space="preserve">An exception to this rule has been granted to Societe Generale </w:t>
      </w:r>
      <w:r>
        <w:rPr>
          <w:rFonts w:ascii="Arial" w:hAnsi="Arial"/>
          <w:noProof/>
          <w:sz w:val="16"/>
          <w:szCs w:val="16"/>
          <w:lang w:eastAsia="ar-SA"/>
        </w:rPr>
        <w:t xml:space="preserve">S. A. where the Facility has its </w:t>
      </w:r>
      <w:r w:rsidRPr="00824D45">
        <w:rPr>
          <w:rFonts w:ascii="Arial" w:hAnsi="Arial"/>
          <w:noProof/>
          <w:sz w:val="16"/>
          <w:szCs w:val="16"/>
          <w:lang w:eastAsia="ar-SA"/>
        </w:rPr>
        <w:t>operational cash accounts</w:t>
      </w:r>
      <w:r w:rsidRPr="00C03E86">
        <w:rPr>
          <w:rFonts w:ascii="Arial" w:hAnsi="Arial"/>
          <w:noProof/>
          <w:sz w:val="16"/>
          <w:szCs w:val="16"/>
          <w:lang w:eastAsia="ar-SA"/>
        </w:rPr>
        <w:t>. The short-term credit limit for Societe Generale</w:t>
      </w:r>
      <w:r>
        <w:rPr>
          <w:rFonts w:ascii="Arial" w:hAnsi="Arial"/>
          <w:noProof/>
          <w:sz w:val="16"/>
          <w:szCs w:val="16"/>
          <w:lang w:eastAsia="ar-SA"/>
        </w:rPr>
        <w:t xml:space="preserve"> S. A.</w:t>
      </w:r>
      <w:r w:rsidRPr="00C03E86">
        <w:rPr>
          <w:rFonts w:ascii="Arial" w:hAnsi="Arial"/>
          <w:noProof/>
          <w:sz w:val="16"/>
          <w:szCs w:val="16"/>
          <w:lang w:eastAsia="ar-SA"/>
        </w:rPr>
        <w:t xml:space="preserve"> </w:t>
      </w:r>
      <w:r>
        <w:rPr>
          <w:rFonts w:ascii="Arial" w:hAnsi="Arial"/>
          <w:noProof/>
          <w:sz w:val="16"/>
          <w:szCs w:val="16"/>
          <w:lang w:val="en-US" w:eastAsia="ar-SA"/>
        </w:rPr>
        <w:t xml:space="preserve">as at </w:t>
      </w:r>
      <w:r w:rsidRPr="00C73739">
        <w:rPr>
          <w:rFonts w:ascii="Arial" w:hAnsi="Arial"/>
          <w:noProof/>
          <w:sz w:val="16"/>
          <w:szCs w:val="16"/>
          <w:lang w:eastAsia="ar-SA"/>
        </w:rPr>
        <w:t xml:space="preserve">31 December </w:t>
      </w:r>
      <w:r w:rsidRPr="005E7347">
        <w:rPr>
          <w:rFonts w:ascii="Arial" w:hAnsi="Arial"/>
          <w:noProof/>
          <w:sz w:val="16"/>
          <w:szCs w:val="16"/>
          <w:lang w:eastAsia="ar-SA"/>
        </w:rPr>
        <w:t>2025</w:t>
      </w:r>
      <w:r>
        <w:rPr>
          <w:rFonts w:ascii="Arial" w:hAnsi="Arial"/>
          <w:noProof/>
          <w:sz w:val="16"/>
          <w:szCs w:val="16"/>
          <w:lang w:eastAsia="ar-SA"/>
        </w:rPr>
        <w:t xml:space="preserve"> and 31 </w:t>
      </w:r>
      <w:r w:rsidRPr="00C73739">
        <w:rPr>
          <w:rFonts w:ascii="Arial" w:hAnsi="Arial"/>
          <w:noProof/>
          <w:sz w:val="16"/>
          <w:szCs w:val="16"/>
          <w:lang w:eastAsia="ar-SA"/>
        </w:rPr>
        <w:t xml:space="preserve">December </w:t>
      </w:r>
      <w:r w:rsidRPr="005E7347">
        <w:rPr>
          <w:rFonts w:ascii="Arial" w:hAnsi="Arial"/>
          <w:noProof/>
          <w:sz w:val="16"/>
          <w:szCs w:val="16"/>
          <w:lang w:eastAsia="ar-SA"/>
        </w:rPr>
        <w:t>2024</w:t>
      </w:r>
      <w:r>
        <w:rPr>
          <w:rFonts w:ascii="Arial" w:hAnsi="Arial"/>
          <w:noProof/>
          <w:sz w:val="16"/>
          <w:szCs w:val="16"/>
          <w:lang w:eastAsia="ar-SA"/>
        </w:rPr>
        <w:t xml:space="preserve"> </w:t>
      </w:r>
      <w:r>
        <w:rPr>
          <w:rFonts w:ascii="Arial" w:hAnsi="Arial"/>
          <w:noProof/>
          <w:sz w:val="16"/>
          <w:szCs w:val="16"/>
          <w:lang w:val="en-US" w:eastAsia="ar-SA"/>
        </w:rPr>
        <w:t xml:space="preserve">amounts to </w:t>
      </w:r>
      <w:r w:rsidRPr="00C03E86">
        <w:rPr>
          <w:rFonts w:ascii="Arial" w:hAnsi="Arial"/>
          <w:noProof/>
          <w:sz w:val="16"/>
          <w:szCs w:val="16"/>
          <w:lang w:eastAsia="ar-SA"/>
        </w:rPr>
        <w:t>EUR 110,000,000 (one hu</w:t>
      </w:r>
      <w:r>
        <w:rPr>
          <w:rFonts w:ascii="Arial" w:hAnsi="Arial"/>
          <w:noProof/>
          <w:sz w:val="16"/>
          <w:szCs w:val="16"/>
          <w:lang w:eastAsia="ar-SA"/>
        </w:rPr>
        <w:t>ndred and ten million euro). The increased</w:t>
      </w:r>
      <w:r w:rsidRPr="00C03E86">
        <w:rPr>
          <w:rFonts w:ascii="Arial" w:hAnsi="Arial"/>
          <w:noProof/>
          <w:sz w:val="16"/>
          <w:szCs w:val="16"/>
          <w:lang w:eastAsia="ar-SA"/>
        </w:rPr>
        <w:t xml:space="preserve"> limit applies to the sum of the cash held at the operational cash account</w:t>
      </w:r>
      <w:r>
        <w:rPr>
          <w:rFonts w:ascii="Arial" w:hAnsi="Arial"/>
          <w:noProof/>
          <w:sz w:val="16"/>
          <w:szCs w:val="16"/>
          <w:lang w:eastAsia="ar-SA"/>
        </w:rPr>
        <w:t>s</w:t>
      </w:r>
      <w:r w:rsidRPr="00C03E86">
        <w:rPr>
          <w:rFonts w:ascii="Arial" w:hAnsi="Arial"/>
          <w:noProof/>
          <w:sz w:val="16"/>
          <w:szCs w:val="16"/>
          <w:lang w:eastAsia="ar-SA"/>
        </w:rPr>
        <w:t xml:space="preserve"> </w:t>
      </w:r>
      <w:r>
        <w:rPr>
          <w:rFonts w:ascii="Arial" w:hAnsi="Arial"/>
          <w:noProof/>
          <w:sz w:val="16"/>
          <w:szCs w:val="16"/>
          <w:lang w:eastAsia="ar-SA"/>
        </w:rPr>
        <w:t xml:space="preserve">and </w:t>
      </w:r>
      <w:r w:rsidRPr="00C03E86">
        <w:rPr>
          <w:rFonts w:ascii="Arial" w:hAnsi="Arial"/>
          <w:noProof/>
          <w:sz w:val="16"/>
          <w:szCs w:val="16"/>
          <w:lang w:eastAsia="ar-SA"/>
        </w:rPr>
        <w:t>the instruments issued by this counterpart and held by the treasury portfolio.</w:t>
      </w:r>
    </w:p>
    <w:p w14:paraId="1FAE9540" w14:textId="77777777" w:rsidR="00FD1E19" w:rsidRPr="00C7373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07A086A1"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noProof/>
          <w:sz w:val="16"/>
          <w:szCs w:val="16"/>
          <w:bdr w:val="nil"/>
          <w:lang w:eastAsia="ar-SA"/>
        </w:rPr>
      </w:pPr>
      <w:r w:rsidRPr="00C73739">
        <w:rPr>
          <w:rFonts w:ascii="Arial" w:hAnsi="Arial" w:cs="Arial"/>
          <w:noProof/>
          <w:sz w:val="16"/>
          <w:szCs w:val="16"/>
          <w:lang w:eastAsia="ar-SA"/>
        </w:rPr>
        <w:t xml:space="preserve">All investments have been done with authorised entities with a maximum tenor of three months from </w:t>
      </w:r>
      <w:r>
        <w:rPr>
          <w:rFonts w:ascii="Arial" w:hAnsi="Arial" w:cs="Arial"/>
          <w:noProof/>
          <w:sz w:val="16"/>
          <w:szCs w:val="16"/>
          <w:lang w:eastAsia="ar-SA"/>
        </w:rPr>
        <w:t>value</w:t>
      </w:r>
      <w:r w:rsidRPr="00C73739">
        <w:rPr>
          <w:rFonts w:ascii="Arial" w:hAnsi="Arial" w:cs="Arial"/>
          <w:noProof/>
          <w:sz w:val="16"/>
          <w:szCs w:val="16"/>
          <w:lang w:eastAsia="ar-SA"/>
        </w:rPr>
        <w:t xml:space="preserve"> date.</w:t>
      </w:r>
      <w:r>
        <w:rPr>
          <w:rFonts w:ascii="Arial" w:hAnsi="Arial" w:cs="Arial"/>
          <w:noProof/>
          <w:sz w:val="16"/>
          <w:szCs w:val="16"/>
          <w:lang w:eastAsia="ar-SA"/>
        </w:rPr>
        <w:t xml:space="preserve"> </w:t>
      </w:r>
      <w:r w:rsidRPr="00E113E2">
        <w:rPr>
          <w:rFonts w:ascii="Arial" w:hAnsi="Arial" w:cs="Arial"/>
          <w:noProof/>
          <w:sz w:val="16"/>
          <w:szCs w:val="16"/>
          <w:lang w:eastAsia="ar-SA"/>
        </w:rPr>
        <w:t xml:space="preserve">All credit exposure limit breaches have </w:t>
      </w:r>
      <w:r>
        <w:rPr>
          <w:rFonts w:ascii="Arial" w:hAnsi="Arial" w:cs="Arial"/>
          <w:noProof/>
          <w:sz w:val="16"/>
          <w:szCs w:val="16"/>
          <w:lang w:eastAsia="ar-SA"/>
        </w:rPr>
        <w:t xml:space="preserve">been reported to the mandators. </w:t>
      </w:r>
      <w:r w:rsidRPr="00C73739">
        <w:rPr>
          <w:rFonts w:ascii="Arial" w:hAnsi="Arial" w:cs="Arial"/>
          <w:noProof/>
          <w:sz w:val="16"/>
          <w:szCs w:val="16"/>
          <w:lang w:eastAsia="ar-SA"/>
        </w:rPr>
        <w:t xml:space="preserve">As at 31 December </w:t>
      </w:r>
      <w:r w:rsidRPr="005E7347">
        <w:rPr>
          <w:rFonts w:ascii="Arial" w:hAnsi="Arial" w:cs="Arial"/>
          <w:noProof/>
          <w:sz w:val="16"/>
          <w:szCs w:val="16"/>
          <w:lang w:eastAsia="ar-SA"/>
        </w:rPr>
        <w:t>2025</w:t>
      </w:r>
      <w:r>
        <w:rPr>
          <w:rFonts w:ascii="Arial" w:hAnsi="Arial" w:cs="Arial"/>
          <w:noProof/>
          <w:sz w:val="16"/>
          <w:szCs w:val="16"/>
          <w:lang w:eastAsia="ar-SA"/>
        </w:rPr>
        <w:t xml:space="preserve"> and as at </w:t>
      </w:r>
      <w:r w:rsidRPr="00C73739">
        <w:rPr>
          <w:rFonts w:ascii="Arial" w:hAnsi="Arial" w:cs="Arial"/>
          <w:noProof/>
          <w:sz w:val="16"/>
          <w:szCs w:val="16"/>
          <w:lang w:eastAsia="ar-SA"/>
        </w:rPr>
        <w:t xml:space="preserve">31 December </w:t>
      </w:r>
      <w:r w:rsidRPr="005E7347">
        <w:rPr>
          <w:rFonts w:ascii="Arial" w:hAnsi="Arial" w:cs="Arial"/>
          <w:noProof/>
          <w:sz w:val="16"/>
          <w:szCs w:val="16"/>
          <w:lang w:eastAsia="ar-SA"/>
        </w:rPr>
        <w:t>2024</w:t>
      </w:r>
      <w:r w:rsidRPr="00E113E2">
        <w:rPr>
          <w:rFonts w:ascii="Arial" w:hAnsi="Arial" w:cs="Arial"/>
          <w:noProof/>
          <w:sz w:val="16"/>
          <w:szCs w:val="16"/>
          <w:lang w:eastAsia="ar-SA"/>
        </w:rPr>
        <w:t xml:space="preserve"> all term deposits, commercial papers and cash in hand held by the treasury portfolio of the Facility had a minimum rating of at least P-2 (Moody’s equivalent) at settlement day.</w:t>
      </w:r>
      <w:r>
        <w:rPr>
          <w:rFonts w:ascii="Arial" w:hAnsi="Arial" w:cs="Arial"/>
          <w:noProof/>
          <w:sz w:val="16"/>
          <w:szCs w:val="16"/>
          <w:lang w:eastAsia="ar-SA"/>
        </w:rPr>
        <w:t xml:space="preserve"> </w:t>
      </w:r>
    </w:p>
    <w:p w14:paraId="345981D1" w14:textId="77777777" w:rsidR="00FD1E19" w:rsidRPr="00C7373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68D5F2A9"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 xml:space="preserve">The following table shows the situation </w:t>
      </w:r>
      <w:r>
        <w:rPr>
          <w:rFonts w:ascii="Arial" w:hAnsi="Arial"/>
          <w:noProof/>
          <w:sz w:val="16"/>
          <w:szCs w:val="16"/>
          <w:lang w:eastAsia="ar-SA"/>
        </w:rPr>
        <w:t>of cash and cash equivalents</w:t>
      </w:r>
      <w:r w:rsidRPr="00316086">
        <w:rPr>
          <w:rFonts w:ascii="Arial" w:hAnsi="Arial"/>
          <w:noProof/>
          <w:sz w:val="16"/>
          <w:szCs w:val="16"/>
          <w:lang w:eastAsia="ar-SA"/>
        </w:rPr>
        <w:t xml:space="preserve"> including accrued interest (in EUR’000):</w:t>
      </w:r>
    </w:p>
    <w:tbl>
      <w:tblPr>
        <w:tblStyle w:val="CDMRange2"/>
        <w:tblW w:w="5000" w:type="pct"/>
        <w:tblLayout w:type="fixed"/>
        <w:tblLook w:val="0600" w:firstRow="0" w:lastRow="0" w:firstColumn="0" w:lastColumn="0" w:noHBand="1" w:noVBand="1"/>
      </w:tblPr>
      <w:tblGrid>
        <w:gridCol w:w="1941"/>
        <w:gridCol w:w="1941"/>
        <w:gridCol w:w="1449"/>
        <w:gridCol w:w="1449"/>
        <w:gridCol w:w="1449"/>
        <w:gridCol w:w="1449"/>
      </w:tblGrid>
      <w:tr w:rsidR="00FD1E19" w14:paraId="57B11C1C" w14:textId="77777777" w:rsidTr="00BE7E4A">
        <w:trPr>
          <w:trHeight w:hRule="exact" w:val="615"/>
        </w:trPr>
        <w:tc>
          <w:tcPr>
            <w:tcW w:w="2010" w:type="dxa"/>
            <w:tcBorders>
              <w:top w:val="single" w:sz="4" w:space="0" w:color="000000"/>
              <w:left w:val="nil"/>
              <w:bottom w:val="nil"/>
              <w:right w:val="nil"/>
              <w:tl2br w:val="nil"/>
              <w:tr2bl w:val="nil"/>
            </w:tcBorders>
            <w:tcMar>
              <w:left w:w="40" w:type="dxa"/>
              <w:right w:w="40" w:type="dxa"/>
            </w:tcMar>
            <w:vAlign w:val="center"/>
          </w:tcPr>
          <w:p w14:paraId="72CB1F06" w14:textId="77777777" w:rsidR="00FD1E19" w:rsidRDefault="00FD1E19" w:rsidP="00BE7E4A">
            <w:pPr>
              <w:suppressAutoHyphens/>
              <w:rPr>
                <w:rFonts w:ascii="Arial" w:eastAsia="Arial" w:hAnsi="Arial" w:cs="Arial"/>
                <w:b/>
                <w:noProof/>
                <w:color w:val="000000"/>
                <w:sz w:val="16"/>
                <w:lang w:eastAsia="ar-SA"/>
              </w:rPr>
            </w:pPr>
            <w:bookmarkStart w:id="248" w:name="RG_MARKER_90128"/>
            <w:r>
              <w:rPr>
                <w:rFonts w:ascii="Arial" w:eastAsia="Arial" w:hAnsi="Arial" w:cs="Arial"/>
                <w:b/>
                <w:noProof/>
                <w:color w:val="000000"/>
                <w:sz w:val="16"/>
                <w:lang w:eastAsia="ar-SA"/>
              </w:rPr>
              <w:t>Minimum short-term rating</w:t>
            </w:r>
            <w:bookmarkEnd w:id="248"/>
          </w:p>
        </w:tc>
        <w:tc>
          <w:tcPr>
            <w:tcW w:w="2010" w:type="dxa"/>
            <w:tcBorders>
              <w:top w:val="single" w:sz="4" w:space="0" w:color="000000"/>
              <w:left w:val="nil"/>
              <w:bottom w:val="nil"/>
              <w:right w:val="nil"/>
              <w:tl2br w:val="nil"/>
              <w:tr2bl w:val="nil"/>
            </w:tcBorders>
            <w:tcMar>
              <w:left w:w="40" w:type="dxa"/>
              <w:right w:w="40" w:type="dxa"/>
            </w:tcMar>
            <w:vAlign w:val="center"/>
          </w:tcPr>
          <w:p w14:paraId="75721D0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Minimum long-term rating</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35D01BC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vMerge w:val="restart"/>
            <w:tcBorders>
              <w:top w:val="single" w:sz="4" w:space="0" w:color="000000"/>
              <w:left w:val="nil"/>
              <w:bottom w:val="nil"/>
              <w:right w:val="nil"/>
              <w:tl2br w:val="nil"/>
              <w:tr2bl w:val="nil"/>
            </w:tcBorders>
            <w:tcMar>
              <w:left w:w="0" w:type="dxa"/>
              <w:right w:w="0" w:type="dxa"/>
            </w:tcMar>
            <w:vAlign w:val="center"/>
          </w:tcPr>
          <w:p w14:paraId="0BC5E4AE" w14:textId="77777777" w:rsidR="00FD1E19" w:rsidRDefault="00FD1E19" w:rsidP="00BE7E4A">
            <w:pPr>
              <w:suppressAutoHyphens/>
              <w:jc w:val="center"/>
              <w:rPr>
                <w:rFonts w:ascii="Arial" w:eastAsia="Arial" w:hAnsi="Arial" w:cs="Arial"/>
                <w:b/>
                <w:noProof/>
                <w:color w:val="000000"/>
                <w:sz w:val="16"/>
                <w:lang w:eastAsia="ar-SA"/>
              </w:rPr>
            </w:pP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41E29CB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c>
          <w:tcPr>
            <w:tcW w:w="1500" w:type="dxa"/>
            <w:vMerge w:val="restart"/>
            <w:tcBorders>
              <w:top w:val="single" w:sz="4" w:space="0" w:color="000000"/>
              <w:left w:val="nil"/>
              <w:bottom w:val="nil"/>
              <w:right w:val="nil"/>
              <w:tl2br w:val="nil"/>
              <w:tr2bl w:val="nil"/>
            </w:tcBorders>
            <w:tcMar>
              <w:left w:w="0" w:type="dxa"/>
              <w:right w:w="0" w:type="dxa"/>
            </w:tcMar>
            <w:vAlign w:val="center"/>
          </w:tcPr>
          <w:p w14:paraId="2DA2C01E" w14:textId="77777777" w:rsidR="00FD1E19" w:rsidRDefault="00FD1E19" w:rsidP="00BE7E4A">
            <w:pPr>
              <w:suppressAutoHyphens/>
              <w:jc w:val="center"/>
              <w:rPr>
                <w:rFonts w:ascii="Arial" w:eastAsia="Arial" w:hAnsi="Arial" w:cs="Arial"/>
                <w:b/>
                <w:noProof/>
                <w:color w:val="000000"/>
                <w:sz w:val="16"/>
                <w:lang w:eastAsia="ar-SA"/>
              </w:rPr>
            </w:pPr>
          </w:p>
        </w:tc>
      </w:tr>
      <w:tr w:rsidR="00FD1E19" w14:paraId="0AA73DA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single" w:sz="4" w:space="0" w:color="000000"/>
              <w:right w:val="nil"/>
              <w:tl2br w:val="nil"/>
              <w:tr2bl w:val="nil"/>
            </w:tcBorders>
            <w:tcMar>
              <w:left w:w="40" w:type="dxa"/>
              <w:right w:w="40" w:type="dxa"/>
            </w:tcMar>
            <w:vAlign w:val="center"/>
          </w:tcPr>
          <w:p w14:paraId="4090368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(Moody’s term)</w:t>
            </w:r>
          </w:p>
        </w:tc>
        <w:tc>
          <w:tcPr>
            <w:tcW w:w="2010" w:type="dxa"/>
            <w:tcBorders>
              <w:top w:val="nil"/>
              <w:left w:val="nil"/>
              <w:bottom w:val="single" w:sz="4" w:space="0" w:color="000000"/>
              <w:right w:val="nil"/>
              <w:tl2br w:val="nil"/>
              <w:tr2bl w:val="nil"/>
            </w:tcBorders>
            <w:tcMar>
              <w:left w:w="40" w:type="dxa"/>
              <w:right w:w="40" w:type="dxa"/>
            </w:tcMar>
            <w:vAlign w:val="center"/>
          </w:tcPr>
          <w:p w14:paraId="77881F5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(Moody’s term)</w:t>
            </w:r>
          </w:p>
        </w:tc>
        <w:tc>
          <w:tcPr>
            <w:tcW w:w="1500" w:type="dxa"/>
            <w:vMerge/>
            <w:tcBorders>
              <w:top w:val="nil"/>
              <w:left w:val="nil"/>
              <w:bottom w:val="single" w:sz="4" w:space="0" w:color="000000"/>
              <w:right w:val="nil"/>
              <w:tl2br w:val="nil"/>
              <w:tr2bl w:val="nil"/>
            </w:tcBorders>
            <w:tcMar>
              <w:left w:w="0" w:type="dxa"/>
              <w:right w:w="0" w:type="dxa"/>
            </w:tcMar>
            <w:vAlign w:val="center"/>
          </w:tcPr>
          <w:p w14:paraId="3C27786B" w14:textId="77777777" w:rsidR="00FD1E19" w:rsidRDefault="00FD1E19" w:rsidP="00BE7E4A">
            <w:pPr>
              <w:suppressAutoHyphens/>
              <w:jc w:val="right"/>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14:paraId="514367AD" w14:textId="77777777" w:rsidR="00FD1E19" w:rsidRDefault="00FD1E19" w:rsidP="00BE7E4A">
            <w:pPr>
              <w:suppressAutoHyphens/>
              <w:jc w:val="center"/>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14:paraId="21ED4AA4" w14:textId="77777777" w:rsidR="00FD1E19" w:rsidRDefault="00FD1E19" w:rsidP="00BE7E4A">
            <w:pPr>
              <w:suppressAutoHyphens/>
              <w:jc w:val="right"/>
              <w:rPr>
                <w:rFonts w:ascii="Calibri" w:eastAsia="Calibri" w:hAnsi="Calibri" w:cs="Calibri"/>
                <w:noProof/>
                <w:color w:val="000000"/>
                <w:sz w:val="22"/>
                <w:lang w:eastAsia="ar-SA"/>
              </w:rPr>
            </w:pPr>
          </w:p>
        </w:tc>
        <w:tc>
          <w:tcPr>
            <w:tcW w:w="1500" w:type="dxa"/>
            <w:vMerge/>
            <w:tcBorders>
              <w:top w:val="nil"/>
              <w:left w:val="nil"/>
              <w:bottom w:val="single" w:sz="4" w:space="0" w:color="000000"/>
              <w:right w:val="nil"/>
              <w:tl2br w:val="nil"/>
              <w:tr2bl w:val="nil"/>
            </w:tcBorders>
            <w:tcMar>
              <w:left w:w="0" w:type="dxa"/>
              <w:right w:w="0" w:type="dxa"/>
            </w:tcMar>
            <w:vAlign w:val="center"/>
          </w:tcPr>
          <w:p w14:paraId="2755338C" w14:textId="77777777" w:rsidR="00FD1E19" w:rsidRDefault="00FD1E19" w:rsidP="00BE7E4A">
            <w:pPr>
              <w:suppressAutoHyphens/>
              <w:jc w:val="center"/>
              <w:rPr>
                <w:rFonts w:ascii="Calibri" w:eastAsia="Calibri" w:hAnsi="Calibri" w:cs="Calibri"/>
                <w:noProof/>
                <w:color w:val="000000"/>
                <w:sz w:val="22"/>
                <w:lang w:eastAsia="ar-SA"/>
              </w:rPr>
            </w:pPr>
          </w:p>
        </w:tc>
      </w:tr>
      <w:tr w:rsidR="00FD1E19" w14:paraId="5335622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single" w:sz="4" w:space="0" w:color="000000"/>
              <w:left w:val="nil"/>
              <w:bottom w:val="nil"/>
              <w:right w:val="nil"/>
              <w:tl2br w:val="nil"/>
              <w:tr2bl w:val="nil"/>
            </w:tcBorders>
            <w:noWrap/>
            <w:tcMar>
              <w:left w:w="40" w:type="dxa"/>
              <w:right w:w="40" w:type="dxa"/>
            </w:tcMar>
            <w:vAlign w:val="center"/>
          </w:tcPr>
          <w:p w14:paraId="4CF5078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P-1</w:t>
            </w:r>
          </w:p>
        </w:tc>
        <w:tc>
          <w:tcPr>
            <w:tcW w:w="2010" w:type="dxa"/>
            <w:tcBorders>
              <w:top w:val="single" w:sz="4" w:space="0" w:color="000000"/>
              <w:left w:val="nil"/>
              <w:bottom w:val="nil"/>
              <w:right w:val="nil"/>
              <w:tl2br w:val="nil"/>
              <w:tr2bl w:val="nil"/>
            </w:tcBorders>
            <w:noWrap/>
            <w:tcMar>
              <w:left w:w="40" w:type="dxa"/>
              <w:right w:w="40" w:type="dxa"/>
            </w:tcMar>
            <w:vAlign w:val="center"/>
          </w:tcPr>
          <w:p w14:paraId="6F2FD54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Aaa</w:t>
            </w:r>
          </w:p>
        </w:tc>
        <w:tc>
          <w:tcPr>
            <w:tcW w:w="1500" w:type="dxa"/>
            <w:tcBorders>
              <w:top w:val="single" w:sz="4" w:space="0" w:color="000000"/>
              <w:left w:val="nil"/>
              <w:bottom w:val="nil"/>
              <w:right w:val="nil"/>
              <w:tl2br w:val="nil"/>
              <w:tr2bl w:val="nil"/>
            </w:tcBorders>
            <w:noWrap/>
            <w:tcMar>
              <w:left w:w="40" w:type="dxa"/>
              <w:right w:w="40" w:type="dxa"/>
            </w:tcMar>
            <w:vAlign w:val="center"/>
          </w:tcPr>
          <w:p w14:paraId="19153C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210,685</w:t>
            </w:r>
          </w:p>
        </w:tc>
        <w:tc>
          <w:tcPr>
            <w:tcW w:w="1500" w:type="dxa"/>
            <w:tcBorders>
              <w:top w:val="single" w:sz="4" w:space="0" w:color="000000"/>
              <w:left w:val="nil"/>
              <w:bottom w:val="nil"/>
              <w:right w:val="nil"/>
              <w:tl2br w:val="nil"/>
              <w:tr2bl w:val="nil"/>
            </w:tcBorders>
            <w:noWrap/>
            <w:tcMar>
              <w:left w:w="40" w:type="dxa"/>
              <w:right w:w="40" w:type="dxa"/>
            </w:tcMar>
            <w:vAlign w:val="center"/>
          </w:tcPr>
          <w:p w14:paraId="5EC9D5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w:t>
            </w:r>
          </w:p>
        </w:tc>
        <w:tc>
          <w:tcPr>
            <w:tcW w:w="1500" w:type="dxa"/>
            <w:tcBorders>
              <w:top w:val="single" w:sz="4" w:space="0" w:color="000000"/>
              <w:left w:val="nil"/>
              <w:bottom w:val="nil"/>
              <w:right w:val="nil"/>
              <w:tl2br w:val="nil"/>
              <w:tr2bl w:val="nil"/>
            </w:tcBorders>
            <w:noWrap/>
            <w:tcMar>
              <w:left w:w="40" w:type="dxa"/>
              <w:right w:w="40" w:type="dxa"/>
            </w:tcMar>
            <w:vAlign w:val="center"/>
          </w:tcPr>
          <w:p w14:paraId="0021601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124,532</w:t>
            </w:r>
          </w:p>
        </w:tc>
        <w:tc>
          <w:tcPr>
            <w:tcW w:w="1500" w:type="dxa"/>
            <w:tcBorders>
              <w:top w:val="single" w:sz="4" w:space="0" w:color="000000"/>
              <w:left w:val="nil"/>
              <w:bottom w:val="nil"/>
              <w:right w:val="nil"/>
              <w:tl2br w:val="nil"/>
              <w:tr2bl w:val="nil"/>
            </w:tcBorders>
            <w:noWrap/>
            <w:tcMar>
              <w:left w:w="40" w:type="dxa"/>
              <w:right w:w="40" w:type="dxa"/>
            </w:tcMar>
            <w:vAlign w:val="center"/>
          </w:tcPr>
          <w:p w14:paraId="1B70D8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w:t>
            </w:r>
          </w:p>
        </w:tc>
      </w:tr>
      <w:tr w:rsidR="00FD1E19" w14:paraId="2679905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420268D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P-1</w:t>
            </w:r>
          </w:p>
        </w:tc>
        <w:tc>
          <w:tcPr>
            <w:tcW w:w="2010" w:type="dxa"/>
            <w:tcBorders>
              <w:top w:val="nil"/>
              <w:left w:val="nil"/>
              <w:bottom w:val="nil"/>
              <w:right w:val="nil"/>
              <w:tl2br w:val="nil"/>
              <w:tr2bl w:val="nil"/>
            </w:tcBorders>
            <w:noWrap/>
            <w:tcMar>
              <w:left w:w="40" w:type="dxa"/>
              <w:right w:w="40" w:type="dxa"/>
            </w:tcMar>
            <w:vAlign w:val="center"/>
          </w:tcPr>
          <w:p w14:paraId="717C428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Aa1</w:t>
            </w:r>
          </w:p>
        </w:tc>
        <w:tc>
          <w:tcPr>
            <w:tcW w:w="1500" w:type="dxa"/>
            <w:tcBorders>
              <w:top w:val="nil"/>
              <w:left w:val="nil"/>
              <w:bottom w:val="nil"/>
              <w:right w:val="nil"/>
              <w:tl2br w:val="nil"/>
              <w:tr2bl w:val="nil"/>
            </w:tcBorders>
            <w:noWrap/>
            <w:tcMar>
              <w:left w:w="40" w:type="dxa"/>
              <w:right w:w="40" w:type="dxa"/>
            </w:tcMar>
            <w:vAlign w:val="center"/>
          </w:tcPr>
          <w:p w14:paraId="47108FF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113,868</w:t>
            </w:r>
          </w:p>
        </w:tc>
        <w:tc>
          <w:tcPr>
            <w:tcW w:w="1500" w:type="dxa"/>
            <w:tcBorders>
              <w:top w:val="nil"/>
              <w:left w:val="nil"/>
              <w:bottom w:val="nil"/>
              <w:right w:val="nil"/>
              <w:tl2br w:val="nil"/>
              <w:tr2bl w:val="nil"/>
            </w:tcBorders>
            <w:noWrap/>
            <w:tcMar>
              <w:left w:w="40" w:type="dxa"/>
              <w:right w:w="40" w:type="dxa"/>
            </w:tcMar>
            <w:vAlign w:val="center"/>
          </w:tcPr>
          <w:p w14:paraId="616F60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w:t>
            </w:r>
          </w:p>
        </w:tc>
        <w:tc>
          <w:tcPr>
            <w:tcW w:w="1500" w:type="dxa"/>
            <w:tcBorders>
              <w:top w:val="nil"/>
              <w:left w:val="nil"/>
              <w:bottom w:val="nil"/>
              <w:right w:val="nil"/>
              <w:tl2br w:val="nil"/>
              <w:tr2bl w:val="nil"/>
            </w:tcBorders>
            <w:noWrap/>
            <w:tcMar>
              <w:left w:w="40" w:type="dxa"/>
              <w:right w:w="40" w:type="dxa"/>
            </w:tcMar>
            <w:vAlign w:val="center"/>
          </w:tcPr>
          <w:p w14:paraId="08E6436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173,639</w:t>
            </w:r>
          </w:p>
        </w:tc>
        <w:tc>
          <w:tcPr>
            <w:tcW w:w="1500" w:type="dxa"/>
            <w:tcBorders>
              <w:top w:val="nil"/>
              <w:left w:val="nil"/>
              <w:bottom w:val="nil"/>
              <w:right w:val="nil"/>
              <w:tl2br w:val="nil"/>
              <w:tr2bl w:val="nil"/>
            </w:tcBorders>
            <w:noWrap/>
            <w:tcMar>
              <w:left w:w="40" w:type="dxa"/>
              <w:right w:w="40" w:type="dxa"/>
            </w:tcMar>
            <w:vAlign w:val="center"/>
          </w:tcPr>
          <w:p w14:paraId="04B4C8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w:t>
            </w:r>
          </w:p>
        </w:tc>
      </w:tr>
      <w:tr w:rsidR="00FD1E19" w14:paraId="024E619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20A2D01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P-1</w:t>
            </w:r>
          </w:p>
        </w:tc>
        <w:tc>
          <w:tcPr>
            <w:tcW w:w="2010" w:type="dxa"/>
            <w:tcBorders>
              <w:top w:val="nil"/>
              <w:left w:val="nil"/>
              <w:bottom w:val="nil"/>
              <w:right w:val="nil"/>
              <w:tl2br w:val="nil"/>
              <w:tr2bl w:val="nil"/>
            </w:tcBorders>
            <w:noWrap/>
            <w:tcMar>
              <w:left w:w="40" w:type="dxa"/>
              <w:right w:w="40" w:type="dxa"/>
            </w:tcMar>
            <w:vAlign w:val="center"/>
          </w:tcPr>
          <w:p w14:paraId="2115D99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Aa2</w:t>
            </w:r>
          </w:p>
        </w:tc>
        <w:tc>
          <w:tcPr>
            <w:tcW w:w="1500" w:type="dxa"/>
            <w:tcBorders>
              <w:top w:val="nil"/>
              <w:left w:val="nil"/>
              <w:bottom w:val="nil"/>
              <w:right w:val="nil"/>
              <w:tl2br w:val="nil"/>
              <w:tr2bl w:val="nil"/>
            </w:tcBorders>
            <w:noWrap/>
            <w:tcMar>
              <w:left w:w="40" w:type="dxa"/>
              <w:right w:w="40" w:type="dxa"/>
            </w:tcMar>
            <w:vAlign w:val="center"/>
          </w:tcPr>
          <w:p w14:paraId="5E48A05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99,792</w:t>
            </w:r>
          </w:p>
        </w:tc>
        <w:tc>
          <w:tcPr>
            <w:tcW w:w="1500" w:type="dxa"/>
            <w:tcBorders>
              <w:top w:val="nil"/>
              <w:left w:val="nil"/>
              <w:bottom w:val="nil"/>
              <w:right w:val="nil"/>
              <w:tl2br w:val="nil"/>
              <w:tr2bl w:val="nil"/>
            </w:tcBorders>
            <w:noWrap/>
            <w:tcMar>
              <w:left w:w="40" w:type="dxa"/>
              <w:right w:w="40" w:type="dxa"/>
            </w:tcMar>
            <w:vAlign w:val="center"/>
          </w:tcPr>
          <w:p w14:paraId="233CDFF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w:t>
            </w:r>
          </w:p>
        </w:tc>
        <w:tc>
          <w:tcPr>
            <w:tcW w:w="1500" w:type="dxa"/>
            <w:tcBorders>
              <w:top w:val="nil"/>
              <w:left w:val="nil"/>
              <w:bottom w:val="nil"/>
              <w:right w:val="nil"/>
              <w:tl2br w:val="nil"/>
              <w:tr2bl w:val="nil"/>
            </w:tcBorders>
            <w:noWrap/>
            <w:tcMar>
              <w:left w:w="40" w:type="dxa"/>
              <w:right w:w="40" w:type="dxa"/>
            </w:tcMar>
            <w:vAlign w:val="center"/>
          </w:tcPr>
          <w:p w14:paraId="7168A17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noWrap/>
            <w:tcMar>
              <w:left w:w="40" w:type="dxa"/>
              <w:right w:w="40" w:type="dxa"/>
            </w:tcMar>
            <w:vAlign w:val="center"/>
          </w:tcPr>
          <w:p w14:paraId="5607BF9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0%</w:t>
            </w:r>
          </w:p>
        </w:tc>
      </w:tr>
      <w:tr w:rsidR="00FD1E19" w14:paraId="47F13DB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1401E3B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P-1</w:t>
            </w:r>
          </w:p>
        </w:tc>
        <w:tc>
          <w:tcPr>
            <w:tcW w:w="2010" w:type="dxa"/>
            <w:tcBorders>
              <w:top w:val="nil"/>
              <w:left w:val="nil"/>
              <w:bottom w:val="nil"/>
              <w:right w:val="nil"/>
              <w:tl2br w:val="nil"/>
              <w:tr2bl w:val="nil"/>
            </w:tcBorders>
            <w:noWrap/>
            <w:tcMar>
              <w:left w:w="40" w:type="dxa"/>
              <w:right w:w="40" w:type="dxa"/>
            </w:tcMar>
            <w:vAlign w:val="center"/>
          </w:tcPr>
          <w:p w14:paraId="278A073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Aa3</w:t>
            </w:r>
          </w:p>
        </w:tc>
        <w:tc>
          <w:tcPr>
            <w:tcW w:w="1500" w:type="dxa"/>
            <w:tcBorders>
              <w:top w:val="nil"/>
              <w:left w:val="nil"/>
              <w:bottom w:val="nil"/>
              <w:right w:val="nil"/>
              <w:tl2br w:val="nil"/>
              <w:tr2bl w:val="nil"/>
            </w:tcBorders>
            <w:noWrap/>
            <w:tcMar>
              <w:left w:w="40" w:type="dxa"/>
              <w:right w:w="40" w:type="dxa"/>
            </w:tcMar>
            <w:vAlign w:val="center"/>
          </w:tcPr>
          <w:p w14:paraId="75431B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noWrap/>
            <w:tcMar>
              <w:left w:w="40" w:type="dxa"/>
              <w:right w:w="40" w:type="dxa"/>
            </w:tcMar>
            <w:vAlign w:val="center"/>
          </w:tcPr>
          <w:p w14:paraId="2A940CC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0%</w:t>
            </w:r>
          </w:p>
        </w:tc>
        <w:tc>
          <w:tcPr>
            <w:tcW w:w="1500" w:type="dxa"/>
            <w:tcBorders>
              <w:top w:val="nil"/>
              <w:left w:val="nil"/>
              <w:bottom w:val="nil"/>
              <w:right w:val="nil"/>
              <w:tl2br w:val="nil"/>
              <w:tr2bl w:val="nil"/>
            </w:tcBorders>
            <w:noWrap/>
            <w:tcMar>
              <w:left w:w="40" w:type="dxa"/>
              <w:right w:w="40" w:type="dxa"/>
            </w:tcMar>
            <w:vAlign w:val="center"/>
          </w:tcPr>
          <w:p w14:paraId="0CB9E2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149,239</w:t>
            </w:r>
          </w:p>
        </w:tc>
        <w:tc>
          <w:tcPr>
            <w:tcW w:w="1500" w:type="dxa"/>
            <w:tcBorders>
              <w:top w:val="nil"/>
              <w:left w:val="nil"/>
              <w:bottom w:val="nil"/>
              <w:right w:val="nil"/>
              <w:tl2br w:val="nil"/>
              <w:tr2bl w:val="nil"/>
            </w:tcBorders>
            <w:noWrap/>
            <w:tcMar>
              <w:left w:w="40" w:type="dxa"/>
              <w:right w:w="40" w:type="dxa"/>
            </w:tcMar>
            <w:vAlign w:val="center"/>
          </w:tcPr>
          <w:p w14:paraId="523B4C7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w:t>
            </w:r>
          </w:p>
        </w:tc>
      </w:tr>
      <w:tr w:rsidR="00FD1E19" w14:paraId="70FFA7A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0CDA1A3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P-1</w:t>
            </w:r>
          </w:p>
        </w:tc>
        <w:tc>
          <w:tcPr>
            <w:tcW w:w="2010" w:type="dxa"/>
            <w:tcBorders>
              <w:top w:val="nil"/>
              <w:left w:val="nil"/>
              <w:bottom w:val="nil"/>
              <w:right w:val="nil"/>
              <w:tl2br w:val="nil"/>
              <w:tr2bl w:val="nil"/>
            </w:tcBorders>
            <w:noWrap/>
            <w:tcMar>
              <w:left w:w="40" w:type="dxa"/>
              <w:right w:w="40" w:type="dxa"/>
            </w:tcMar>
            <w:vAlign w:val="center"/>
          </w:tcPr>
          <w:p w14:paraId="262D277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A1</w:t>
            </w:r>
          </w:p>
        </w:tc>
        <w:tc>
          <w:tcPr>
            <w:tcW w:w="1500" w:type="dxa"/>
            <w:tcBorders>
              <w:top w:val="nil"/>
              <w:left w:val="nil"/>
              <w:bottom w:val="nil"/>
              <w:right w:val="nil"/>
              <w:tl2br w:val="nil"/>
              <w:tr2bl w:val="nil"/>
            </w:tcBorders>
            <w:noWrap/>
            <w:tcMar>
              <w:left w:w="40" w:type="dxa"/>
              <w:right w:w="40" w:type="dxa"/>
            </w:tcMar>
            <w:vAlign w:val="center"/>
          </w:tcPr>
          <w:p w14:paraId="2D4FFED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475,191</w:t>
            </w:r>
          </w:p>
        </w:tc>
        <w:tc>
          <w:tcPr>
            <w:tcW w:w="1500" w:type="dxa"/>
            <w:tcBorders>
              <w:top w:val="nil"/>
              <w:left w:val="nil"/>
              <w:bottom w:val="nil"/>
              <w:right w:val="nil"/>
              <w:tl2br w:val="nil"/>
              <w:tr2bl w:val="nil"/>
            </w:tcBorders>
            <w:noWrap/>
            <w:tcMar>
              <w:left w:w="40" w:type="dxa"/>
              <w:right w:w="40" w:type="dxa"/>
            </w:tcMar>
            <w:vAlign w:val="center"/>
          </w:tcPr>
          <w:p w14:paraId="70F116B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w:t>
            </w:r>
          </w:p>
        </w:tc>
        <w:tc>
          <w:tcPr>
            <w:tcW w:w="1500" w:type="dxa"/>
            <w:tcBorders>
              <w:top w:val="nil"/>
              <w:left w:val="nil"/>
              <w:bottom w:val="nil"/>
              <w:right w:val="nil"/>
              <w:tl2br w:val="nil"/>
              <w:tr2bl w:val="nil"/>
            </w:tcBorders>
            <w:noWrap/>
            <w:tcMar>
              <w:left w:w="40" w:type="dxa"/>
              <w:right w:w="40" w:type="dxa"/>
            </w:tcMar>
            <w:vAlign w:val="center"/>
          </w:tcPr>
          <w:p w14:paraId="6C01275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309,342</w:t>
            </w:r>
          </w:p>
        </w:tc>
        <w:tc>
          <w:tcPr>
            <w:tcW w:w="1500" w:type="dxa"/>
            <w:tcBorders>
              <w:top w:val="nil"/>
              <w:left w:val="nil"/>
              <w:bottom w:val="nil"/>
              <w:right w:val="nil"/>
              <w:tl2br w:val="nil"/>
              <w:tr2bl w:val="nil"/>
            </w:tcBorders>
            <w:noWrap/>
            <w:tcMar>
              <w:left w:w="40" w:type="dxa"/>
              <w:right w:w="40" w:type="dxa"/>
            </w:tcMar>
            <w:vAlign w:val="center"/>
          </w:tcPr>
          <w:p w14:paraId="034E618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w:t>
            </w:r>
          </w:p>
        </w:tc>
      </w:tr>
      <w:tr w:rsidR="00FD1E19" w14:paraId="4B2570D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1ACF429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P-1</w:t>
            </w:r>
          </w:p>
        </w:tc>
        <w:tc>
          <w:tcPr>
            <w:tcW w:w="2010" w:type="dxa"/>
            <w:tcBorders>
              <w:top w:val="nil"/>
              <w:left w:val="nil"/>
              <w:bottom w:val="nil"/>
              <w:right w:val="nil"/>
              <w:tl2br w:val="nil"/>
              <w:tr2bl w:val="nil"/>
            </w:tcBorders>
            <w:noWrap/>
            <w:tcMar>
              <w:left w:w="40" w:type="dxa"/>
              <w:right w:w="40" w:type="dxa"/>
            </w:tcMar>
            <w:vAlign w:val="center"/>
          </w:tcPr>
          <w:p w14:paraId="1C3B00D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A2</w:t>
            </w:r>
          </w:p>
        </w:tc>
        <w:tc>
          <w:tcPr>
            <w:tcW w:w="1500" w:type="dxa"/>
            <w:tcBorders>
              <w:top w:val="nil"/>
              <w:left w:val="nil"/>
              <w:bottom w:val="nil"/>
              <w:right w:val="nil"/>
              <w:tl2br w:val="nil"/>
              <w:tr2bl w:val="nil"/>
            </w:tcBorders>
            <w:noWrap/>
            <w:tcMar>
              <w:left w:w="40" w:type="dxa"/>
              <w:right w:w="40" w:type="dxa"/>
            </w:tcMar>
            <w:vAlign w:val="center"/>
          </w:tcPr>
          <w:p w14:paraId="1E9AF08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444,741</w:t>
            </w:r>
          </w:p>
        </w:tc>
        <w:tc>
          <w:tcPr>
            <w:tcW w:w="1500" w:type="dxa"/>
            <w:tcBorders>
              <w:top w:val="nil"/>
              <w:left w:val="nil"/>
              <w:bottom w:val="nil"/>
              <w:right w:val="nil"/>
              <w:tl2br w:val="nil"/>
              <w:tr2bl w:val="nil"/>
            </w:tcBorders>
            <w:noWrap/>
            <w:tcMar>
              <w:left w:w="40" w:type="dxa"/>
              <w:right w:w="40" w:type="dxa"/>
            </w:tcMar>
            <w:vAlign w:val="center"/>
          </w:tcPr>
          <w:p w14:paraId="3909162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w:t>
            </w:r>
          </w:p>
        </w:tc>
        <w:tc>
          <w:tcPr>
            <w:tcW w:w="1500" w:type="dxa"/>
            <w:tcBorders>
              <w:top w:val="nil"/>
              <w:left w:val="nil"/>
              <w:bottom w:val="nil"/>
              <w:right w:val="nil"/>
              <w:tl2br w:val="nil"/>
              <w:tr2bl w:val="nil"/>
            </w:tcBorders>
            <w:noWrap/>
            <w:tcMar>
              <w:left w:w="40" w:type="dxa"/>
              <w:right w:w="40" w:type="dxa"/>
            </w:tcMar>
            <w:vAlign w:val="center"/>
          </w:tcPr>
          <w:p w14:paraId="2CA46E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280,035</w:t>
            </w:r>
          </w:p>
        </w:tc>
        <w:tc>
          <w:tcPr>
            <w:tcW w:w="1500" w:type="dxa"/>
            <w:tcBorders>
              <w:top w:val="nil"/>
              <w:left w:val="nil"/>
              <w:bottom w:val="nil"/>
              <w:right w:val="nil"/>
              <w:tl2br w:val="nil"/>
              <w:tr2bl w:val="nil"/>
            </w:tcBorders>
            <w:noWrap/>
            <w:tcMar>
              <w:left w:w="40" w:type="dxa"/>
              <w:right w:w="40" w:type="dxa"/>
            </w:tcMar>
            <w:vAlign w:val="center"/>
          </w:tcPr>
          <w:p w14:paraId="3B26660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w:t>
            </w:r>
          </w:p>
        </w:tc>
      </w:tr>
      <w:tr w:rsidR="00FD1E19" w14:paraId="60591F7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7666AE7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P-1</w:t>
            </w:r>
          </w:p>
        </w:tc>
        <w:tc>
          <w:tcPr>
            <w:tcW w:w="2010" w:type="dxa"/>
            <w:tcBorders>
              <w:top w:val="nil"/>
              <w:left w:val="nil"/>
              <w:bottom w:val="nil"/>
              <w:right w:val="nil"/>
              <w:tl2br w:val="nil"/>
              <w:tr2bl w:val="nil"/>
            </w:tcBorders>
            <w:noWrap/>
            <w:tcMar>
              <w:left w:w="40" w:type="dxa"/>
              <w:right w:w="40" w:type="dxa"/>
            </w:tcMar>
            <w:vAlign w:val="center"/>
          </w:tcPr>
          <w:p w14:paraId="5C3FD43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A3</w:t>
            </w:r>
          </w:p>
        </w:tc>
        <w:tc>
          <w:tcPr>
            <w:tcW w:w="1500" w:type="dxa"/>
            <w:tcBorders>
              <w:top w:val="nil"/>
              <w:left w:val="nil"/>
              <w:bottom w:val="nil"/>
              <w:right w:val="nil"/>
              <w:tl2br w:val="nil"/>
              <w:tr2bl w:val="nil"/>
            </w:tcBorders>
            <w:noWrap/>
            <w:tcMar>
              <w:left w:w="40" w:type="dxa"/>
              <w:right w:w="40" w:type="dxa"/>
            </w:tcMar>
            <w:vAlign w:val="center"/>
          </w:tcPr>
          <w:p w14:paraId="17BCF27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176,036</w:t>
            </w:r>
          </w:p>
        </w:tc>
        <w:tc>
          <w:tcPr>
            <w:tcW w:w="1500" w:type="dxa"/>
            <w:tcBorders>
              <w:top w:val="nil"/>
              <w:left w:val="nil"/>
              <w:bottom w:val="nil"/>
              <w:right w:val="nil"/>
              <w:tl2br w:val="nil"/>
              <w:tr2bl w:val="nil"/>
            </w:tcBorders>
            <w:noWrap/>
            <w:tcMar>
              <w:left w:w="40" w:type="dxa"/>
              <w:right w:w="40" w:type="dxa"/>
            </w:tcMar>
            <w:vAlign w:val="center"/>
          </w:tcPr>
          <w:p w14:paraId="46AE605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w:t>
            </w:r>
          </w:p>
        </w:tc>
        <w:tc>
          <w:tcPr>
            <w:tcW w:w="1500" w:type="dxa"/>
            <w:tcBorders>
              <w:top w:val="nil"/>
              <w:left w:val="nil"/>
              <w:bottom w:val="nil"/>
              <w:right w:val="nil"/>
              <w:tl2br w:val="nil"/>
              <w:tr2bl w:val="nil"/>
            </w:tcBorders>
            <w:noWrap/>
            <w:tcMar>
              <w:left w:w="40" w:type="dxa"/>
              <w:right w:w="40" w:type="dxa"/>
            </w:tcMar>
            <w:vAlign w:val="center"/>
          </w:tcPr>
          <w:p w14:paraId="2AB31B1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367,211</w:t>
            </w:r>
          </w:p>
        </w:tc>
        <w:tc>
          <w:tcPr>
            <w:tcW w:w="1500" w:type="dxa"/>
            <w:tcBorders>
              <w:top w:val="nil"/>
              <w:left w:val="nil"/>
              <w:bottom w:val="nil"/>
              <w:right w:val="nil"/>
              <w:tl2br w:val="nil"/>
              <w:tr2bl w:val="nil"/>
            </w:tcBorders>
            <w:noWrap/>
            <w:tcMar>
              <w:left w:w="40" w:type="dxa"/>
              <w:right w:w="40" w:type="dxa"/>
            </w:tcMar>
            <w:vAlign w:val="center"/>
          </w:tcPr>
          <w:p w14:paraId="3423E6C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w:t>
            </w:r>
          </w:p>
        </w:tc>
      </w:tr>
      <w:tr w:rsidR="00FD1E19" w14:paraId="6B6BB74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5618AA1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P-2</w:t>
            </w:r>
          </w:p>
        </w:tc>
        <w:tc>
          <w:tcPr>
            <w:tcW w:w="2010" w:type="dxa"/>
            <w:tcBorders>
              <w:top w:val="nil"/>
              <w:left w:val="nil"/>
              <w:bottom w:val="nil"/>
              <w:right w:val="nil"/>
              <w:tl2br w:val="nil"/>
              <w:tr2bl w:val="nil"/>
            </w:tcBorders>
            <w:noWrap/>
            <w:tcMar>
              <w:left w:w="40" w:type="dxa"/>
              <w:right w:w="40" w:type="dxa"/>
            </w:tcMar>
            <w:vAlign w:val="center"/>
          </w:tcPr>
          <w:p w14:paraId="0B410A7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A3</w:t>
            </w:r>
          </w:p>
        </w:tc>
        <w:tc>
          <w:tcPr>
            <w:tcW w:w="1500" w:type="dxa"/>
            <w:tcBorders>
              <w:top w:val="nil"/>
              <w:left w:val="nil"/>
              <w:bottom w:val="nil"/>
              <w:right w:val="nil"/>
              <w:tl2br w:val="nil"/>
              <w:tr2bl w:val="nil"/>
            </w:tcBorders>
            <w:noWrap/>
            <w:tcMar>
              <w:left w:w="40" w:type="dxa"/>
              <w:right w:w="40" w:type="dxa"/>
            </w:tcMar>
            <w:vAlign w:val="center"/>
          </w:tcPr>
          <w:p w14:paraId="593C661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144,816</w:t>
            </w:r>
          </w:p>
        </w:tc>
        <w:tc>
          <w:tcPr>
            <w:tcW w:w="1500" w:type="dxa"/>
            <w:tcBorders>
              <w:top w:val="nil"/>
              <w:left w:val="nil"/>
              <w:bottom w:val="nil"/>
              <w:right w:val="nil"/>
              <w:tl2br w:val="nil"/>
              <w:tr2bl w:val="nil"/>
            </w:tcBorders>
            <w:noWrap/>
            <w:tcMar>
              <w:left w:w="40" w:type="dxa"/>
              <w:right w:w="40" w:type="dxa"/>
            </w:tcMar>
            <w:vAlign w:val="center"/>
          </w:tcPr>
          <w:p w14:paraId="7D24F31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w:t>
            </w:r>
          </w:p>
        </w:tc>
        <w:tc>
          <w:tcPr>
            <w:tcW w:w="1500" w:type="dxa"/>
            <w:tcBorders>
              <w:top w:val="nil"/>
              <w:left w:val="nil"/>
              <w:bottom w:val="nil"/>
              <w:right w:val="nil"/>
              <w:tl2br w:val="nil"/>
              <w:tr2bl w:val="nil"/>
            </w:tcBorders>
            <w:noWrap/>
            <w:tcMar>
              <w:left w:w="40" w:type="dxa"/>
              <w:right w:w="40" w:type="dxa"/>
            </w:tcMar>
            <w:vAlign w:val="center"/>
          </w:tcPr>
          <w:p w14:paraId="0D8EB3C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154,829</w:t>
            </w:r>
          </w:p>
        </w:tc>
        <w:tc>
          <w:tcPr>
            <w:tcW w:w="1500" w:type="dxa"/>
            <w:tcBorders>
              <w:top w:val="nil"/>
              <w:left w:val="nil"/>
              <w:bottom w:val="nil"/>
              <w:right w:val="nil"/>
              <w:tl2br w:val="nil"/>
              <w:tr2bl w:val="nil"/>
            </w:tcBorders>
            <w:noWrap/>
            <w:tcMar>
              <w:left w:w="40" w:type="dxa"/>
              <w:right w:w="40" w:type="dxa"/>
            </w:tcMar>
            <w:vAlign w:val="center"/>
          </w:tcPr>
          <w:p w14:paraId="36941EB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w:t>
            </w:r>
          </w:p>
        </w:tc>
      </w:tr>
      <w:tr w:rsidR="00FD1E19" w14:paraId="24AACF4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noWrap/>
            <w:tcMar>
              <w:left w:w="40" w:type="dxa"/>
              <w:right w:w="40" w:type="dxa"/>
            </w:tcMar>
            <w:vAlign w:val="center"/>
          </w:tcPr>
          <w:p w14:paraId="1E64479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P-2</w:t>
            </w:r>
          </w:p>
        </w:tc>
        <w:tc>
          <w:tcPr>
            <w:tcW w:w="2010" w:type="dxa"/>
            <w:tcBorders>
              <w:top w:val="nil"/>
              <w:left w:val="nil"/>
              <w:bottom w:val="nil"/>
              <w:right w:val="nil"/>
              <w:tl2br w:val="nil"/>
              <w:tr2bl w:val="nil"/>
            </w:tcBorders>
            <w:noWrap/>
            <w:tcMar>
              <w:left w:w="40" w:type="dxa"/>
              <w:right w:w="40" w:type="dxa"/>
            </w:tcMar>
            <w:vAlign w:val="center"/>
          </w:tcPr>
          <w:p w14:paraId="081A2E8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Baa1</w:t>
            </w:r>
          </w:p>
        </w:tc>
        <w:tc>
          <w:tcPr>
            <w:tcW w:w="1500" w:type="dxa"/>
            <w:tcBorders>
              <w:top w:val="nil"/>
              <w:left w:val="nil"/>
              <w:bottom w:val="nil"/>
              <w:right w:val="nil"/>
              <w:tl2br w:val="nil"/>
              <w:tr2bl w:val="nil"/>
            </w:tcBorders>
            <w:noWrap/>
            <w:tcMar>
              <w:left w:w="40" w:type="dxa"/>
              <w:right w:w="40" w:type="dxa"/>
            </w:tcMar>
            <w:vAlign w:val="center"/>
          </w:tcPr>
          <w:p w14:paraId="6F77313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noWrap/>
            <w:tcMar>
              <w:left w:w="40" w:type="dxa"/>
              <w:right w:w="40" w:type="dxa"/>
            </w:tcMar>
            <w:vAlign w:val="center"/>
          </w:tcPr>
          <w:p w14:paraId="4AA77B0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0%</w:t>
            </w:r>
          </w:p>
        </w:tc>
        <w:tc>
          <w:tcPr>
            <w:tcW w:w="1500" w:type="dxa"/>
            <w:tcBorders>
              <w:top w:val="nil"/>
              <w:left w:val="nil"/>
              <w:bottom w:val="nil"/>
              <w:right w:val="nil"/>
              <w:tl2br w:val="nil"/>
              <w:tr2bl w:val="nil"/>
            </w:tcBorders>
            <w:noWrap/>
            <w:tcMar>
              <w:left w:w="40" w:type="dxa"/>
              <w:right w:w="40" w:type="dxa"/>
            </w:tcMar>
            <w:vAlign w:val="center"/>
          </w:tcPr>
          <w:p w14:paraId="162754A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79,777</w:t>
            </w:r>
          </w:p>
        </w:tc>
        <w:tc>
          <w:tcPr>
            <w:tcW w:w="1500" w:type="dxa"/>
            <w:tcBorders>
              <w:top w:val="nil"/>
              <w:left w:val="nil"/>
              <w:bottom w:val="nil"/>
              <w:right w:val="nil"/>
              <w:tl2br w:val="nil"/>
              <w:tr2bl w:val="nil"/>
            </w:tcBorders>
            <w:noWrap/>
            <w:tcMar>
              <w:left w:w="40" w:type="dxa"/>
              <w:right w:w="40" w:type="dxa"/>
            </w:tcMar>
            <w:vAlign w:val="center"/>
          </w:tcPr>
          <w:p w14:paraId="7DE712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w:t>
            </w:r>
          </w:p>
        </w:tc>
      </w:tr>
      <w:tr w:rsidR="00FD1E19" w14:paraId="18A9EED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2010" w:type="dxa"/>
            <w:tcBorders>
              <w:top w:val="nil"/>
              <w:left w:val="nil"/>
              <w:bottom w:val="nil"/>
              <w:right w:val="nil"/>
              <w:tl2br w:val="nil"/>
              <w:tr2bl w:val="nil"/>
            </w:tcBorders>
            <w:shd w:val="clear" w:color="FFFFFF" w:fill="BFBFBF"/>
            <w:noWrap/>
            <w:tcMar>
              <w:left w:w="40" w:type="dxa"/>
              <w:right w:w="40" w:type="dxa"/>
            </w:tcMar>
            <w:vAlign w:val="center"/>
          </w:tcPr>
          <w:p w14:paraId="47DF076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2010" w:type="dxa"/>
            <w:tcBorders>
              <w:top w:val="nil"/>
              <w:left w:val="nil"/>
              <w:bottom w:val="nil"/>
              <w:right w:val="nil"/>
              <w:tl2br w:val="nil"/>
              <w:tr2bl w:val="nil"/>
            </w:tcBorders>
            <w:shd w:val="clear" w:color="FFFFFF" w:fill="BFBFBF"/>
            <w:noWrap/>
            <w:tcMar>
              <w:left w:w="0" w:type="dxa"/>
              <w:right w:w="0" w:type="dxa"/>
            </w:tcMar>
            <w:vAlign w:val="center"/>
          </w:tcPr>
          <w:p w14:paraId="522BB2C3"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14:paraId="7175D3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1,665,129</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14:paraId="503E09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14:paraId="7701E66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1,638,604</w:t>
            </w:r>
          </w:p>
        </w:tc>
        <w:tc>
          <w:tcPr>
            <w:tcW w:w="1500" w:type="dxa"/>
            <w:tcBorders>
              <w:top w:val="nil"/>
              <w:left w:val="nil"/>
              <w:bottom w:val="nil"/>
              <w:right w:val="nil"/>
              <w:tl2br w:val="nil"/>
              <w:tr2bl w:val="nil"/>
            </w:tcBorders>
            <w:shd w:val="clear" w:color="FFFFFF" w:fill="BFBFBF"/>
            <w:noWrap/>
            <w:tcMar>
              <w:left w:w="40" w:type="dxa"/>
              <w:right w:w="40" w:type="dxa"/>
            </w:tcMar>
            <w:vAlign w:val="center"/>
          </w:tcPr>
          <w:p w14:paraId="1EF0D86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w:t>
            </w:r>
          </w:p>
        </w:tc>
      </w:tr>
    </w:tbl>
    <w:p w14:paraId="4A3D3DCC" w14:textId="77777777" w:rsidR="00FD1E19" w:rsidRDefault="00FD1E19" w:rsidP="00FD1E19">
      <w:pPr>
        <w:pBdr>
          <w:top w:val="nil"/>
          <w:left w:val="nil"/>
          <w:bottom w:val="nil"/>
          <w:right w:val="nil"/>
          <w:between w:val="nil"/>
          <w:bar w:val="nil"/>
        </w:pBdr>
        <w:suppressAutoHyphens/>
        <w:rPr>
          <w:noProof/>
          <w:bdr w:val="nil"/>
          <w:lang w:eastAsia="ar-SA"/>
        </w:rPr>
      </w:pPr>
      <w:r>
        <w:rPr>
          <w:noProof/>
          <w:lang w:eastAsia="ar-SA"/>
        </w:rPr>
        <w:br/>
      </w:r>
    </w:p>
    <w:p w14:paraId="2A7886B7" w14:textId="77777777" w:rsidR="00FD1E19" w:rsidRPr="00B06FB1" w:rsidRDefault="00FD1E19" w:rsidP="00FD1E19">
      <w:pPr>
        <w:numPr>
          <w:ilvl w:val="2"/>
          <w:numId w:val="59"/>
        </w:numPr>
        <w:pBdr>
          <w:top w:val="nil"/>
          <w:left w:val="nil"/>
          <w:bottom w:val="nil"/>
          <w:right w:val="nil"/>
          <w:between w:val="nil"/>
          <w:bar w:val="nil"/>
        </w:pBdr>
        <w:tabs>
          <w:tab w:val="right" w:pos="-2700"/>
          <w:tab w:val="right" w:pos="720"/>
        </w:tabs>
        <w:suppressAutoHyphens/>
        <w:spacing w:before="120" w:after="60" w:line="240" w:lineRule="auto"/>
        <w:ind w:left="794" w:hanging="794"/>
        <w:rPr>
          <w:rFonts w:ascii="Arial" w:hAnsi="Arial"/>
          <w:b/>
          <w:bCs/>
          <w:noProof/>
          <w:sz w:val="16"/>
          <w:szCs w:val="16"/>
          <w:bdr w:val="nil"/>
          <w:lang w:eastAsia="ar-SA"/>
        </w:rPr>
      </w:pPr>
      <w:bookmarkStart w:id="249" w:name="RG_MARKER_90129"/>
      <w:r w:rsidRPr="00A33570">
        <w:rPr>
          <w:rFonts w:ascii="Arial" w:hAnsi="Arial"/>
          <w:b/>
          <w:bCs/>
          <w:noProof/>
          <w:sz w:val="16"/>
          <w:szCs w:val="16"/>
          <w:lang w:eastAsia="ar-SA"/>
        </w:rPr>
        <w:t>Credit risk on derivatives</w:t>
      </w:r>
      <w:bookmarkEnd w:id="249"/>
    </w:p>
    <w:p w14:paraId="6CD4D885" w14:textId="77777777" w:rsidR="00FD1E19" w:rsidRPr="00A33570" w:rsidRDefault="00FD1E19" w:rsidP="00FD1E19">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14:paraId="3C834F71" w14:textId="77777777" w:rsidR="00FD1E19" w:rsidRPr="00A33570" w:rsidRDefault="00FD1E19" w:rsidP="00FD1E19">
      <w:pPr>
        <w:numPr>
          <w:ilvl w:val="3"/>
          <w:numId w:val="59"/>
        </w:numPr>
        <w:pBdr>
          <w:top w:val="nil"/>
          <w:left w:val="nil"/>
          <w:bottom w:val="nil"/>
          <w:right w:val="nil"/>
          <w:between w:val="nil"/>
          <w:bar w:val="nil"/>
        </w:pBdr>
        <w:tabs>
          <w:tab w:val="right" w:pos="-2700"/>
          <w:tab w:val="right" w:pos="720"/>
        </w:tabs>
        <w:suppressAutoHyphens/>
        <w:spacing w:before="60" w:after="60" w:line="240" w:lineRule="auto"/>
        <w:ind w:left="794" w:hanging="794"/>
        <w:rPr>
          <w:rFonts w:ascii="Arial" w:hAnsi="Arial"/>
          <w:b/>
          <w:bCs/>
          <w:noProof/>
          <w:sz w:val="16"/>
          <w:szCs w:val="16"/>
          <w:bdr w:val="nil"/>
          <w:lang w:eastAsia="ar-SA"/>
        </w:rPr>
      </w:pPr>
      <w:r w:rsidRPr="00A33570">
        <w:rPr>
          <w:rFonts w:ascii="Arial" w:hAnsi="Arial"/>
          <w:b/>
          <w:bCs/>
          <w:noProof/>
          <w:sz w:val="16"/>
          <w:szCs w:val="16"/>
          <w:lang w:eastAsia="ar-SA"/>
        </w:rPr>
        <w:t>Credit risk policy of derivatives</w:t>
      </w:r>
    </w:p>
    <w:p w14:paraId="148B75E6" w14:textId="77777777" w:rsidR="00FD1E19" w:rsidRPr="00BD134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4536B5D9"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The credit risk with respect to derivatives is represented by the loss which a given party would incur where the other counterparty to the deal would be unable to honour its contractual obligations. The credit risk associated with derivatives varies according to a number of factors (such as interest and exchange rates) and generally corresponds to only a small portion of their notional value.</w:t>
      </w:r>
    </w:p>
    <w:p w14:paraId="5EEB0FA3"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7AC3B6D4" w14:textId="77777777" w:rsidR="00FD1E19" w:rsidRPr="00BD134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 xml:space="preserve">In the normal course of its activity, the Facility may enter into swap contracts with a view to hedge specific lending operations or into currency forward contracts, with a view to hedge its currency positions denominated in actively traded currencies other than the Euro. All the swaps are executed by the </w:t>
      </w:r>
      <w:r>
        <w:rPr>
          <w:rFonts w:ascii="Arial" w:hAnsi="Arial"/>
          <w:noProof/>
          <w:sz w:val="16"/>
          <w:szCs w:val="16"/>
          <w:lang w:eastAsia="ar-SA"/>
        </w:rPr>
        <w:t>EIB</w:t>
      </w:r>
      <w:r w:rsidRPr="00316086">
        <w:rPr>
          <w:rFonts w:ascii="Arial" w:hAnsi="Arial"/>
          <w:noProof/>
          <w:sz w:val="16"/>
          <w:szCs w:val="16"/>
          <w:lang w:eastAsia="ar-SA"/>
        </w:rPr>
        <w:t xml:space="preserve"> with an external counte</w:t>
      </w:r>
      <w:r>
        <w:rPr>
          <w:rFonts w:ascii="Arial" w:hAnsi="Arial"/>
          <w:noProof/>
          <w:sz w:val="16"/>
          <w:szCs w:val="16"/>
          <w:lang w:eastAsia="ar-SA"/>
        </w:rPr>
        <w:t>rpart. The swaps are arranged</w:t>
      </w:r>
      <w:r w:rsidRPr="00316086">
        <w:rPr>
          <w:rFonts w:ascii="Arial" w:hAnsi="Arial"/>
          <w:noProof/>
          <w:sz w:val="16"/>
          <w:szCs w:val="16"/>
          <w:lang w:eastAsia="ar-SA"/>
        </w:rPr>
        <w:t xml:space="preserve"> by the same Master Swap Agreements and Credit Support Annexes signed between the </w:t>
      </w:r>
      <w:r>
        <w:rPr>
          <w:rFonts w:ascii="Arial" w:hAnsi="Arial"/>
          <w:noProof/>
          <w:sz w:val="16"/>
          <w:szCs w:val="16"/>
          <w:lang w:eastAsia="ar-SA"/>
        </w:rPr>
        <w:t>EIB</w:t>
      </w:r>
      <w:r w:rsidRPr="00316086">
        <w:rPr>
          <w:rFonts w:ascii="Arial" w:hAnsi="Arial"/>
          <w:noProof/>
          <w:sz w:val="16"/>
          <w:szCs w:val="16"/>
          <w:lang w:eastAsia="ar-SA"/>
        </w:rPr>
        <w:t xml:space="preserve"> and its external counterparts.</w:t>
      </w:r>
      <w:r w:rsidRPr="00BD1346">
        <w:rPr>
          <w:rFonts w:ascii="Arial" w:hAnsi="Arial"/>
          <w:noProof/>
          <w:sz w:val="16"/>
          <w:szCs w:val="16"/>
          <w:lang w:eastAsia="ar-SA"/>
        </w:rPr>
        <w:t xml:space="preserve"> </w:t>
      </w:r>
    </w:p>
    <w:p w14:paraId="4149E252" w14:textId="77777777" w:rsidR="00FD1E19" w:rsidRDefault="00FD1E19" w:rsidP="00FD1E19">
      <w:pPr>
        <w:pBdr>
          <w:top w:val="nil"/>
          <w:left w:val="nil"/>
          <w:bottom w:val="nil"/>
          <w:right w:val="nil"/>
          <w:between w:val="nil"/>
          <w:bar w:val="nil"/>
        </w:pBdr>
        <w:tabs>
          <w:tab w:val="right" w:pos="-2700"/>
        </w:tabs>
        <w:suppressAutoHyphens/>
        <w:spacing w:before="60" w:after="60"/>
        <w:rPr>
          <w:rFonts w:ascii="Arial" w:hAnsi="Arial"/>
          <w:noProof/>
          <w:sz w:val="16"/>
          <w:szCs w:val="16"/>
          <w:bdr w:val="nil"/>
          <w:shd w:val="clear" w:color="auto" w:fill="FFFF00"/>
          <w:lang w:eastAsia="ar-SA"/>
        </w:rPr>
      </w:pPr>
    </w:p>
    <w:p w14:paraId="4A7C2EA4" w14:textId="77777777" w:rsidR="00FD1E19" w:rsidRPr="00A33570" w:rsidRDefault="00FD1E19" w:rsidP="00FD1E19">
      <w:pPr>
        <w:numPr>
          <w:ilvl w:val="3"/>
          <w:numId w:val="59"/>
        </w:numPr>
        <w:pBdr>
          <w:top w:val="nil"/>
          <w:left w:val="nil"/>
          <w:bottom w:val="nil"/>
          <w:right w:val="nil"/>
          <w:between w:val="nil"/>
          <w:bar w:val="nil"/>
        </w:pBdr>
        <w:tabs>
          <w:tab w:val="right" w:pos="-2700"/>
          <w:tab w:val="right" w:pos="720"/>
        </w:tabs>
        <w:suppressAutoHyphens/>
        <w:spacing w:before="60" w:after="60" w:line="240" w:lineRule="auto"/>
        <w:ind w:left="794" w:hanging="794"/>
        <w:rPr>
          <w:rFonts w:ascii="Arial" w:hAnsi="Arial"/>
          <w:b/>
          <w:bCs/>
          <w:noProof/>
          <w:sz w:val="16"/>
          <w:szCs w:val="16"/>
          <w:bdr w:val="nil"/>
          <w:lang w:eastAsia="ar-SA"/>
        </w:rPr>
      </w:pPr>
      <w:r w:rsidRPr="00A33570">
        <w:rPr>
          <w:rFonts w:ascii="Arial" w:hAnsi="Arial"/>
          <w:b/>
          <w:bCs/>
          <w:noProof/>
          <w:sz w:val="16"/>
          <w:szCs w:val="16"/>
          <w:lang w:eastAsia="ar-SA"/>
        </w:rPr>
        <w:t>Credit risk measurement for derivatives</w:t>
      </w:r>
    </w:p>
    <w:p w14:paraId="19163507"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03FD1328" w14:textId="77777777" w:rsidR="00FD1E19" w:rsidRPr="0031608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 xml:space="preserve">All the swaps executed by the </w:t>
      </w:r>
      <w:r>
        <w:rPr>
          <w:rFonts w:ascii="Arial" w:hAnsi="Arial"/>
          <w:noProof/>
          <w:sz w:val="16"/>
          <w:szCs w:val="16"/>
          <w:lang w:eastAsia="ar-SA"/>
        </w:rPr>
        <w:t>EIB</w:t>
      </w:r>
      <w:r w:rsidRPr="00316086">
        <w:rPr>
          <w:rFonts w:ascii="Arial" w:hAnsi="Arial"/>
          <w:noProof/>
          <w:sz w:val="16"/>
          <w:szCs w:val="16"/>
          <w:lang w:eastAsia="ar-SA"/>
        </w:rPr>
        <w:t xml:space="preserve"> that are related to the Facility are treated within the same contractual framework and methodologies applied for the derivatives negotiated by the </w:t>
      </w:r>
      <w:r>
        <w:rPr>
          <w:rFonts w:ascii="Arial" w:hAnsi="Arial"/>
          <w:noProof/>
          <w:sz w:val="16"/>
          <w:szCs w:val="16"/>
          <w:lang w:eastAsia="ar-SA"/>
        </w:rPr>
        <w:t>EIB</w:t>
      </w:r>
      <w:r w:rsidRPr="00316086">
        <w:rPr>
          <w:rFonts w:ascii="Arial" w:hAnsi="Arial"/>
          <w:noProof/>
          <w:sz w:val="16"/>
          <w:szCs w:val="16"/>
          <w:lang w:eastAsia="ar-SA"/>
        </w:rPr>
        <w:t xml:space="preserve"> for its own purposes. In particular, eligibility of swap counterparts is determined by the </w:t>
      </w:r>
      <w:r>
        <w:rPr>
          <w:rFonts w:ascii="Arial" w:hAnsi="Arial"/>
          <w:noProof/>
          <w:sz w:val="16"/>
          <w:szCs w:val="16"/>
          <w:lang w:eastAsia="ar-SA"/>
        </w:rPr>
        <w:t>EIB</w:t>
      </w:r>
      <w:r w:rsidRPr="00316086">
        <w:rPr>
          <w:rFonts w:ascii="Arial" w:hAnsi="Arial"/>
          <w:noProof/>
          <w:sz w:val="16"/>
          <w:szCs w:val="16"/>
          <w:lang w:eastAsia="ar-SA"/>
        </w:rPr>
        <w:t xml:space="preserve"> based on the same eligibility conditions applied for its general swap purposes.</w:t>
      </w:r>
    </w:p>
    <w:p w14:paraId="1ED48F32" w14:textId="77777777" w:rsidR="00FD1E19" w:rsidRPr="0031608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5B862457"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 xml:space="preserve">The </w:t>
      </w:r>
      <w:r>
        <w:rPr>
          <w:rFonts w:ascii="Arial" w:hAnsi="Arial"/>
          <w:noProof/>
          <w:sz w:val="16"/>
          <w:szCs w:val="16"/>
          <w:lang w:eastAsia="ar-SA"/>
        </w:rPr>
        <w:t>EIB</w:t>
      </w:r>
      <w:r w:rsidRPr="00316086">
        <w:rPr>
          <w:rFonts w:ascii="Arial" w:hAnsi="Arial"/>
          <w:noProof/>
          <w:sz w:val="16"/>
          <w:szCs w:val="16"/>
          <w:lang w:eastAsia="ar-SA"/>
        </w:rPr>
        <w:t xml:space="preserve"> measures the credit risk exposure related to swaps and derivatives transactions using the </w:t>
      </w:r>
      <w:r>
        <w:rPr>
          <w:rFonts w:ascii="Arial" w:hAnsi="Arial"/>
          <w:noProof/>
          <w:sz w:val="16"/>
          <w:szCs w:val="16"/>
          <w:lang w:eastAsia="ar-SA"/>
        </w:rPr>
        <w:t>Current Unsecured Exposure</w:t>
      </w:r>
      <w:r w:rsidRPr="00316086">
        <w:rPr>
          <w:rFonts w:ascii="Arial" w:hAnsi="Arial"/>
          <w:noProof/>
          <w:sz w:val="16"/>
          <w:szCs w:val="16"/>
          <w:lang w:eastAsia="ar-SA"/>
        </w:rPr>
        <w:t xml:space="preserve"> and Potential Future Exposure approach for reporting and limit monitoring. The</w:t>
      </w:r>
      <w:r>
        <w:rPr>
          <w:rFonts w:ascii="Arial" w:hAnsi="Arial"/>
          <w:noProof/>
          <w:sz w:val="16"/>
          <w:szCs w:val="16"/>
          <w:lang w:eastAsia="ar-SA"/>
        </w:rPr>
        <w:t xml:space="preserve">se metrics </w:t>
      </w:r>
      <w:r w:rsidRPr="00316086">
        <w:rPr>
          <w:rFonts w:ascii="Arial" w:hAnsi="Arial"/>
          <w:noProof/>
          <w:sz w:val="16"/>
          <w:szCs w:val="16"/>
          <w:lang w:eastAsia="ar-SA"/>
        </w:rPr>
        <w:t>fully include the derivatives related to the Investment Facility.</w:t>
      </w:r>
    </w:p>
    <w:p w14:paraId="442CF9C4"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rPr>
          <w:rFonts w:ascii="Arial" w:hAnsi="Arial"/>
          <w:noProof/>
          <w:sz w:val="16"/>
          <w:szCs w:val="16"/>
          <w:bdr w:val="nil"/>
          <w:lang w:eastAsia="ar-SA"/>
        </w:rPr>
      </w:pPr>
    </w:p>
    <w:p w14:paraId="0C76BE15"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bookmarkStart w:id="250" w:name="RG_MARKER_90132"/>
      <w:r>
        <w:rPr>
          <w:rFonts w:ascii="Arial" w:hAnsi="Arial"/>
          <w:noProof/>
          <w:sz w:val="16"/>
          <w:szCs w:val="16"/>
          <w:lang w:eastAsia="ar-SA"/>
        </w:rPr>
        <w:t>The Facility enters into foreign exchange short-term currency swaps (“FX swaps”) contracts in order to hedge currency risk on loan disbursements in currencies other than EUR. FX swaps have a maturity of maximum three months and are regularly rolled-over. The notional amount of FX swaps stood at EUR</w:t>
      </w:r>
      <w:bookmarkEnd w:id="250"/>
      <w:r w:rsidRPr="00AA53CF">
        <w:rPr>
          <w:rFonts w:ascii="Arial" w:hAnsi="Arial"/>
          <w:b/>
          <w:noProof/>
          <w:sz w:val="20"/>
          <w:lang w:val="en-US" w:eastAsia="ar-SA"/>
        </w:rPr>
        <w:t xml:space="preserve"> </w:t>
      </w:r>
      <w:r w:rsidRPr="00C42687">
        <w:rPr>
          <w:rFonts w:ascii="Arial" w:hAnsi="Arial"/>
          <w:noProof/>
          <w:sz w:val="16"/>
          <w:szCs w:val="16"/>
          <w:lang w:eastAsia="ar-SA"/>
        </w:rPr>
        <w:t>1,060.0</w:t>
      </w:r>
      <w:r>
        <w:rPr>
          <w:rFonts w:ascii="Arial" w:hAnsi="Arial"/>
          <w:noProof/>
          <w:sz w:val="16"/>
          <w:szCs w:val="16"/>
          <w:lang w:eastAsia="ar-SA"/>
        </w:rPr>
        <w:t xml:space="preserve"> million as at 31 December </w:t>
      </w:r>
      <w:r w:rsidRPr="00C42687">
        <w:rPr>
          <w:rFonts w:ascii="Arial" w:hAnsi="Arial"/>
          <w:noProof/>
          <w:sz w:val="16"/>
          <w:szCs w:val="16"/>
          <w:lang w:eastAsia="ar-SA"/>
        </w:rPr>
        <w:t>2025</w:t>
      </w:r>
      <w:r>
        <w:rPr>
          <w:rFonts w:ascii="Arial" w:hAnsi="Arial"/>
          <w:noProof/>
          <w:sz w:val="16"/>
          <w:szCs w:val="16"/>
          <w:lang w:eastAsia="ar-SA"/>
        </w:rPr>
        <w:t xml:space="preserve"> against EUR </w:t>
      </w:r>
      <w:r w:rsidRPr="00C42687">
        <w:rPr>
          <w:rFonts w:ascii="Arial" w:hAnsi="Arial"/>
          <w:noProof/>
          <w:sz w:val="16"/>
          <w:szCs w:val="16"/>
          <w:lang w:eastAsia="ar-SA"/>
        </w:rPr>
        <w:t>1,330.0</w:t>
      </w:r>
      <w:r>
        <w:rPr>
          <w:rFonts w:ascii="Arial" w:hAnsi="Arial"/>
          <w:noProof/>
          <w:sz w:val="16"/>
          <w:szCs w:val="16"/>
          <w:lang w:eastAsia="ar-SA"/>
        </w:rPr>
        <w:t xml:space="preserve"> million as at 31 December </w:t>
      </w:r>
      <w:r w:rsidRPr="00C42687">
        <w:rPr>
          <w:rFonts w:ascii="Arial" w:hAnsi="Arial"/>
          <w:noProof/>
          <w:sz w:val="16"/>
          <w:szCs w:val="16"/>
          <w:lang w:eastAsia="ar-SA"/>
        </w:rPr>
        <w:t>2024</w:t>
      </w:r>
      <w:r>
        <w:rPr>
          <w:rFonts w:ascii="Arial" w:hAnsi="Arial"/>
          <w:noProof/>
          <w:sz w:val="16"/>
          <w:szCs w:val="16"/>
          <w:lang w:eastAsia="ar-SA"/>
        </w:rPr>
        <w:t xml:space="preserve">. The fair value of FX swaps amounts to EUR 6.0 million as at 31 December </w:t>
      </w:r>
      <w:r w:rsidRPr="00C42687">
        <w:rPr>
          <w:rFonts w:ascii="Arial" w:hAnsi="Arial"/>
          <w:noProof/>
          <w:sz w:val="16"/>
          <w:szCs w:val="16"/>
          <w:lang w:eastAsia="ar-SA"/>
        </w:rPr>
        <w:t>2025</w:t>
      </w:r>
      <w:r>
        <w:rPr>
          <w:rFonts w:ascii="Arial" w:hAnsi="Arial"/>
          <w:noProof/>
          <w:sz w:val="16"/>
          <w:szCs w:val="16"/>
          <w:lang w:eastAsia="ar-SA"/>
        </w:rPr>
        <w:t xml:space="preserve"> against EUR -38.9 million as at 31 December </w:t>
      </w:r>
      <w:r w:rsidRPr="00C42687">
        <w:rPr>
          <w:rFonts w:ascii="Arial" w:hAnsi="Arial"/>
          <w:noProof/>
          <w:sz w:val="16"/>
          <w:szCs w:val="16"/>
          <w:lang w:eastAsia="ar-SA"/>
        </w:rPr>
        <w:t>2024</w:t>
      </w:r>
      <w:r>
        <w:rPr>
          <w:rFonts w:ascii="Arial" w:hAnsi="Arial"/>
          <w:noProof/>
          <w:sz w:val="16"/>
          <w:szCs w:val="16"/>
          <w:lang w:eastAsia="ar-SA"/>
        </w:rPr>
        <w:t>.</w:t>
      </w:r>
    </w:p>
    <w:p w14:paraId="4266D1FE"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7D92D71C"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Pr>
          <w:rFonts w:ascii="Arial" w:hAnsi="Arial"/>
          <w:noProof/>
          <w:sz w:val="16"/>
          <w:szCs w:val="16"/>
          <w:lang w:eastAsia="ar-SA"/>
        </w:rPr>
        <w:t>The Facility enters into cross currency swaps contracts in order to hedge currency risk on loan disbursements in currencies other than EUR. Cross currency swaps have a long-term maturity. The notional amount of FX swaps stood at EUR</w:t>
      </w:r>
      <w:r w:rsidRPr="00AA53CF">
        <w:rPr>
          <w:rFonts w:ascii="Arial" w:hAnsi="Arial"/>
          <w:b/>
          <w:noProof/>
          <w:sz w:val="20"/>
          <w:lang w:val="en-US" w:eastAsia="ar-SA"/>
        </w:rPr>
        <w:t xml:space="preserve"> </w:t>
      </w:r>
      <w:r w:rsidRPr="00C42687">
        <w:rPr>
          <w:rFonts w:ascii="Arial" w:hAnsi="Arial"/>
          <w:noProof/>
          <w:sz w:val="16"/>
          <w:szCs w:val="16"/>
          <w:lang w:eastAsia="ar-SA"/>
        </w:rPr>
        <w:t>22.9</w:t>
      </w:r>
      <w:r>
        <w:rPr>
          <w:rFonts w:ascii="Arial" w:hAnsi="Arial"/>
          <w:noProof/>
          <w:sz w:val="16"/>
          <w:szCs w:val="16"/>
          <w:lang w:eastAsia="ar-SA"/>
        </w:rPr>
        <w:t xml:space="preserve"> million as at 31 December </w:t>
      </w:r>
      <w:r w:rsidRPr="00C42687">
        <w:rPr>
          <w:rFonts w:ascii="Arial" w:hAnsi="Arial"/>
          <w:noProof/>
          <w:sz w:val="16"/>
          <w:szCs w:val="16"/>
          <w:lang w:eastAsia="ar-SA"/>
        </w:rPr>
        <w:t>2025</w:t>
      </w:r>
      <w:r>
        <w:rPr>
          <w:rFonts w:ascii="Arial" w:hAnsi="Arial"/>
          <w:noProof/>
          <w:sz w:val="16"/>
          <w:szCs w:val="16"/>
          <w:lang w:eastAsia="ar-SA"/>
        </w:rPr>
        <w:t xml:space="preserve"> </w:t>
      </w:r>
      <w:r w:rsidRPr="006B5931">
        <w:rPr>
          <w:rFonts w:ascii="Arial" w:hAnsi="Arial"/>
          <w:noProof/>
          <w:sz w:val="16"/>
          <w:szCs w:val="16"/>
          <w:lang w:eastAsia="ar-SA"/>
        </w:rPr>
        <w:t xml:space="preserve">against EUR </w:t>
      </w:r>
      <w:r>
        <w:rPr>
          <w:rFonts w:ascii="Arial" w:hAnsi="Arial"/>
          <w:noProof/>
          <w:sz w:val="16"/>
          <w:szCs w:val="16"/>
          <w:lang w:eastAsia="ar-SA"/>
        </w:rPr>
        <w:t>33.1</w:t>
      </w:r>
      <w:r w:rsidRPr="006B5931">
        <w:rPr>
          <w:rFonts w:ascii="Arial" w:hAnsi="Arial"/>
          <w:noProof/>
          <w:sz w:val="16"/>
          <w:szCs w:val="16"/>
          <w:lang w:eastAsia="ar-SA"/>
        </w:rPr>
        <w:t xml:space="preserve"> million as at 31 December </w:t>
      </w:r>
      <w:r w:rsidRPr="00C42687">
        <w:rPr>
          <w:rFonts w:ascii="Arial" w:hAnsi="Arial"/>
          <w:noProof/>
          <w:sz w:val="16"/>
          <w:szCs w:val="16"/>
          <w:lang w:eastAsia="ar-SA"/>
        </w:rPr>
        <w:t>2024</w:t>
      </w:r>
      <w:r>
        <w:rPr>
          <w:rFonts w:ascii="Arial" w:hAnsi="Arial"/>
          <w:b/>
          <w:noProof/>
          <w:sz w:val="16"/>
          <w:szCs w:val="16"/>
          <w:bdr w:val="none" w:sz="0" w:space="0" w:color="auto" w:frame="1"/>
          <w:lang w:val="en-US" w:eastAsia="ar-SA"/>
        </w:rPr>
        <w:t xml:space="preserve">. </w:t>
      </w:r>
      <w:r>
        <w:rPr>
          <w:rFonts w:ascii="Arial" w:hAnsi="Arial"/>
          <w:noProof/>
          <w:sz w:val="16"/>
          <w:szCs w:val="16"/>
          <w:lang w:eastAsia="ar-SA"/>
        </w:rPr>
        <w:t xml:space="preserve"> The fair value of FX swaps amounts to EUR 1.4 million as at 31 December </w:t>
      </w:r>
      <w:r w:rsidRPr="00C42687">
        <w:rPr>
          <w:rFonts w:ascii="Arial" w:hAnsi="Arial"/>
          <w:noProof/>
          <w:sz w:val="16"/>
          <w:szCs w:val="16"/>
          <w:lang w:eastAsia="ar-SA"/>
        </w:rPr>
        <w:t>2025</w:t>
      </w:r>
      <w:r>
        <w:rPr>
          <w:rFonts w:ascii="Arial" w:hAnsi="Arial"/>
          <w:noProof/>
          <w:sz w:val="16"/>
          <w:szCs w:val="16"/>
          <w:lang w:eastAsia="ar-SA"/>
        </w:rPr>
        <w:t xml:space="preserve"> against EUR 0.5 million as at 31 December </w:t>
      </w:r>
      <w:r w:rsidRPr="00C42687">
        <w:rPr>
          <w:rFonts w:ascii="Arial" w:hAnsi="Arial"/>
          <w:noProof/>
          <w:sz w:val="16"/>
          <w:szCs w:val="16"/>
          <w:lang w:eastAsia="ar-SA"/>
        </w:rPr>
        <w:t>2024</w:t>
      </w:r>
      <w:r>
        <w:rPr>
          <w:rFonts w:ascii="Arial" w:hAnsi="Arial"/>
          <w:noProof/>
          <w:sz w:val="16"/>
          <w:szCs w:val="16"/>
          <w:lang w:eastAsia="ar-SA"/>
        </w:rPr>
        <w:t>.</w:t>
      </w:r>
    </w:p>
    <w:p w14:paraId="05534536"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6692DBCB"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ind w:left="432" w:hanging="432"/>
        <w:rPr>
          <w:rFonts w:ascii="Arial" w:hAnsi="Arial"/>
          <w:noProof/>
          <w:sz w:val="16"/>
          <w:szCs w:val="16"/>
          <w:bdr w:val="nil"/>
          <w:shd w:val="clear" w:color="auto" w:fill="FFFF00"/>
          <w:lang w:eastAsia="ar-SA"/>
        </w:rPr>
      </w:pPr>
      <w:bookmarkStart w:id="251" w:name="RG_MARKER_90133"/>
      <w:bookmarkEnd w:id="251"/>
    </w:p>
    <w:p w14:paraId="2B06D6E9" w14:textId="77777777" w:rsidR="00FD1E19" w:rsidRPr="00222DBA" w:rsidRDefault="00FD1E19" w:rsidP="00FD1E19">
      <w:pPr>
        <w:numPr>
          <w:ilvl w:val="3"/>
          <w:numId w:val="60"/>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222DBA">
        <w:rPr>
          <w:rFonts w:ascii="Arial" w:hAnsi="Arial"/>
          <w:b/>
          <w:noProof/>
          <w:sz w:val="16"/>
          <w:szCs w:val="16"/>
          <w:lang w:eastAsia="ar-SA"/>
        </w:rPr>
        <w:t xml:space="preserve">Credit risk on </w:t>
      </w:r>
      <w:r>
        <w:rPr>
          <w:rFonts w:ascii="Arial" w:hAnsi="Arial"/>
          <w:b/>
          <w:noProof/>
          <w:sz w:val="16"/>
          <w:szCs w:val="16"/>
          <w:lang w:eastAsia="ar-SA"/>
        </w:rPr>
        <w:t>treasury</w:t>
      </w:r>
      <w:r w:rsidRPr="00222DBA">
        <w:rPr>
          <w:rFonts w:ascii="Arial" w:hAnsi="Arial"/>
          <w:b/>
          <w:noProof/>
          <w:sz w:val="16"/>
          <w:szCs w:val="16"/>
          <w:lang w:eastAsia="ar-SA"/>
        </w:rPr>
        <w:t xml:space="preserve"> financial assets</w:t>
      </w:r>
    </w:p>
    <w:p w14:paraId="406F6C28" w14:textId="77777777" w:rsidR="00FD1E19" w:rsidRDefault="00FD1E19" w:rsidP="00FD1E19">
      <w:pPr>
        <w:pBdr>
          <w:top w:val="nil"/>
          <w:left w:val="nil"/>
          <w:bottom w:val="nil"/>
          <w:right w:val="nil"/>
          <w:between w:val="nil"/>
          <w:bar w:val="nil"/>
        </w:pBdr>
        <w:tabs>
          <w:tab w:val="right" w:pos="-2700"/>
        </w:tabs>
        <w:suppressAutoHyphens/>
        <w:spacing w:before="60" w:after="60"/>
        <w:rPr>
          <w:rFonts w:ascii="Arial" w:hAnsi="Arial"/>
          <w:noProof/>
          <w:sz w:val="16"/>
          <w:szCs w:val="16"/>
          <w:bdr w:val="nil"/>
          <w:lang w:eastAsia="ar-SA"/>
        </w:rPr>
      </w:pPr>
    </w:p>
    <w:p w14:paraId="0D950743"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cs="Arial"/>
          <w:noProof/>
          <w:sz w:val="16"/>
          <w:szCs w:val="16"/>
          <w:bdr w:val="nil"/>
          <w:lang w:eastAsia="ar-SA"/>
        </w:rPr>
      </w:pPr>
      <w:r>
        <w:rPr>
          <w:rFonts w:ascii="Arial" w:hAnsi="Arial" w:cs="Arial"/>
          <w:noProof/>
          <w:sz w:val="16"/>
          <w:szCs w:val="16"/>
          <w:lang w:eastAsia="ar-SA"/>
        </w:rPr>
        <w:t xml:space="preserve">The treasury portfolio entirely composed of commercial papers issued by sub-sovereigns, banks and non-bank entities </w:t>
      </w:r>
      <w:r w:rsidRPr="004B056C">
        <w:rPr>
          <w:rFonts w:ascii="Arial" w:hAnsi="Arial" w:cs="Arial"/>
          <w:noProof/>
          <w:sz w:val="16"/>
          <w:szCs w:val="16"/>
          <w:lang w:eastAsia="ar-SA"/>
        </w:rPr>
        <w:t>maturity of more than three months</w:t>
      </w:r>
      <w:r>
        <w:rPr>
          <w:rFonts w:ascii="Arial" w:hAnsi="Arial" w:cs="Arial"/>
          <w:noProof/>
          <w:sz w:val="16"/>
          <w:szCs w:val="16"/>
          <w:lang w:eastAsia="ar-SA"/>
        </w:rPr>
        <w:t>. EU Member States, their agencies, banks and non-bank entities are eligible issuers. The maximum authorized limit for each authorised issuer is EUR 50,000,000 (fifty million euro). Investments in medium and long-term bonds could also be eligible depending on liquidity requirements. There were no treasury financial assets as at 31 December 2024 and 31 December 2025.</w:t>
      </w:r>
    </w:p>
    <w:p w14:paraId="294448D1" w14:textId="77777777" w:rsidR="00FD1E19" w:rsidRPr="00D42D96" w:rsidRDefault="00FD1E19" w:rsidP="00FD1E19">
      <w:pPr>
        <w:pageBreakBefore/>
        <w:numPr>
          <w:ilvl w:val="1"/>
          <w:numId w:val="62"/>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lang w:eastAsia="ar-SA"/>
        </w:rPr>
      </w:pPr>
      <w:bookmarkStart w:id="252" w:name="RG_MARKER_90135"/>
      <w:bookmarkStart w:id="253" w:name="RG_MARKER_90083"/>
      <w:r w:rsidRPr="00D42D96">
        <w:rPr>
          <w:rFonts w:ascii="Arial" w:hAnsi="Arial"/>
          <w:b/>
          <w:noProof/>
          <w:sz w:val="16"/>
          <w:szCs w:val="16"/>
          <w:lang w:eastAsia="ar-SA"/>
        </w:rPr>
        <w:t>Liquidity risk</w:t>
      </w:r>
      <w:bookmarkEnd w:id="252"/>
      <w:bookmarkEnd w:id="253"/>
    </w:p>
    <w:p w14:paraId="3BAA4B99"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0F2305FA"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sidRPr="004F0450">
        <w:rPr>
          <w:rFonts w:ascii="Arial" w:hAnsi="Arial"/>
          <w:noProof/>
          <w:sz w:val="16"/>
          <w:szCs w:val="16"/>
          <w:lang w:eastAsia="ar-SA"/>
        </w:rPr>
        <w:t xml:space="preserve">Liquidity risk refers to an </w:t>
      </w:r>
      <w:r>
        <w:rPr>
          <w:rFonts w:ascii="Arial" w:hAnsi="Arial"/>
          <w:noProof/>
          <w:sz w:val="16"/>
          <w:szCs w:val="16"/>
          <w:lang w:eastAsia="ar-SA"/>
        </w:rPr>
        <w:t>entity</w:t>
      </w:r>
      <w:r w:rsidRPr="004F0450">
        <w:rPr>
          <w:rFonts w:ascii="Arial" w:hAnsi="Arial"/>
          <w:noProof/>
          <w:sz w:val="16"/>
          <w:szCs w:val="16"/>
          <w:lang w:eastAsia="ar-SA"/>
        </w:rPr>
        <w:t xml:space="preserve">’s ability to fund increases in assets and meet obligations as they come due, without incurring unacceptable losses. It can be </w:t>
      </w:r>
      <w:r>
        <w:rPr>
          <w:rFonts w:ascii="Arial" w:hAnsi="Arial"/>
          <w:noProof/>
          <w:sz w:val="16"/>
          <w:szCs w:val="16"/>
          <w:lang w:eastAsia="ar-SA"/>
        </w:rPr>
        <w:t xml:space="preserve">further </w:t>
      </w:r>
      <w:r w:rsidRPr="004F0450">
        <w:rPr>
          <w:rFonts w:ascii="Arial" w:hAnsi="Arial"/>
          <w:noProof/>
          <w:sz w:val="16"/>
          <w:szCs w:val="16"/>
          <w:lang w:eastAsia="ar-SA"/>
        </w:rPr>
        <w:t>split into funding liquidity risk and market liquidity risk.</w:t>
      </w:r>
      <w:r>
        <w:rPr>
          <w:rFonts w:ascii="Arial" w:hAnsi="Arial"/>
          <w:noProof/>
          <w:sz w:val="16"/>
          <w:szCs w:val="16"/>
          <w:lang w:eastAsia="ar-SA"/>
        </w:rPr>
        <w:t xml:space="preserve"> </w:t>
      </w:r>
    </w:p>
    <w:p w14:paraId="4DA8EFAF"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r w:rsidRPr="00FE2592">
        <w:rPr>
          <w:rFonts w:ascii="Arial" w:hAnsi="Arial"/>
          <w:noProof/>
          <w:sz w:val="16"/>
          <w:szCs w:val="16"/>
          <w:lang w:eastAsia="ar-SA"/>
        </w:rPr>
        <w:t>Funding liquidity risk is connected to the risk that an entity will not be able to refinance the asset side of its balance sheet and to meet payment obligations in full, out of readily available liquidity resources. Market liquidity risk is the volatility observed in the economic value of, or in the income derived from, an entity’s positions due to its potential inability to execute a transaction serving to offset, eliminate or reduce such outstanding positions at reasonable market prices</w:t>
      </w:r>
      <w:r>
        <w:rPr>
          <w:rFonts w:ascii="Arial" w:hAnsi="Arial"/>
          <w:noProof/>
          <w:sz w:val="16"/>
          <w:szCs w:val="16"/>
          <w:lang w:eastAsia="ar-SA"/>
        </w:rPr>
        <w:t>.</w:t>
      </w:r>
    </w:p>
    <w:p w14:paraId="64FFD853" w14:textId="77777777" w:rsidR="00FD1E19"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461ADA7E" w14:textId="77777777" w:rsidR="00FD1E19" w:rsidRPr="00D42D96" w:rsidRDefault="00FD1E19" w:rsidP="00FD1E19">
      <w:pPr>
        <w:numPr>
          <w:ilvl w:val="3"/>
          <w:numId w:val="62"/>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D42D96">
        <w:rPr>
          <w:rFonts w:ascii="Arial" w:hAnsi="Arial"/>
          <w:b/>
          <w:noProof/>
          <w:sz w:val="16"/>
          <w:szCs w:val="16"/>
          <w:lang w:eastAsia="ar-SA"/>
        </w:rPr>
        <w:t>Liquidity risk management</w:t>
      </w:r>
    </w:p>
    <w:p w14:paraId="0F3CF4A9"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3082A58D" w14:textId="77777777" w:rsidR="00FD1E19" w:rsidRPr="00C7373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sidRPr="00C73739">
        <w:rPr>
          <w:rFonts w:ascii="Arial" w:hAnsi="Arial"/>
          <w:noProof/>
          <w:sz w:val="16"/>
          <w:szCs w:val="16"/>
          <w:lang w:eastAsia="ar-SA"/>
        </w:rPr>
        <w:t xml:space="preserve">The Facility </w:t>
      </w:r>
      <w:r>
        <w:rPr>
          <w:rFonts w:ascii="Arial" w:hAnsi="Arial"/>
          <w:noProof/>
          <w:sz w:val="16"/>
          <w:szCs w:val="16"/>
          <w:lang w:eastAsia="ar-SA"/>
        </w:rPr>
        <w:t>has been</w:t>
      </w:r>
      <w:r w:rsidRPr="00C73739">
        <w:rPr>
          <w:rFonts w:ascii="Arial" w:hAnsi="Arial"/>
          <w:noProof/>
          <w:sz w:val="16"/>
          <w:szCs w:val="16"/>
          <w:lang w:eastAsia="ar-SA"/>
        </w:rPr>
        <w:t xml:space="preserve"> primarily funded by annual c</w:t>
      </w:r>
      <w:r>
        <w:rPr>
          <w:rFonts w:ascii="Arial" w:hAnsi="Arial"/>
          <w:noProof/>
          <w:sz w:val="16"/>
          <w:szCs w:val="16"/>
          <w:lang w:eastAsia="ar-SA"/>
        </w:rPr>
        <w:t>ontributions from Member States</w:t>
      </w:r>
      <w:r w:rsidRPr="00C73739">
        <w:rPr>
          <w:rFonts w:ascii="Arial" w:hAnsi="Arial"/>
          <w:noProof/>
          <w:sz w:val="16"/>
          <w:szCs w:val="16"/>
          <w:lang w:eastAsia="ar-SA"/>
        </w:rPr>
        <w:t xml:space="preserve"> as well as by reflows stemming from the Facility’s operations. </w:t>
      </w:r>
      <w:r w:rsidRPr="00FE2592">
        <w:rPr>
          <w:rFonts w:ascii="Arial" w:hAnsi="Arial"/>
          <w:noProof/>
          <w:sz w:val="16"/>
          <w:szCs w:val="16"/>
          <w:lang w:eastAsia="ar-SA"/>
        </w:rPr>
        <w:t>In line with the Council Decision 2020/2233, reflows from the ACP IF shall be deployed within the NDICI framework. However, the availability of those reflows to be transferred is conditional to sustaining an adequate level of liquidity under the IF.</w:t>
      </w:r>
    </w:p>
    <w:p w14:paraId="1F15E7DE"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266CFABA"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sidRPr="00FE2592">
        <w:rPr>
          <w:rFonts w:ascii="Arial" w:hAnsi="Arial"/>
          <w:noProof/>
          <w:sz w:val="16"/>
          <w:szCs w:val="16"/>
          <w:lang w:eastAsia="ar-SA"/>
        </w:rPr>
        <w:t>The Facility manages its funding liquidity risk primarily by planning its net liquidity needs.</w:t>
      </w:r>
      <w:r>
        <w:rPr>
          <w:rFonts w:ascii="Arial" w:hAnsi="Arial"/>
          <w:noProof/>
          <w:sz w:val="16"/>
          <w:szCs w:val="16"/>
          <w:lang w:eastAsia="ar-SA"/>
        </w:rPr>
        <w:t xml:space="preserve"> </w:t>
      </w:r>
      <w:r w:rsidRPr="00C73739">
        <w:rPr>
          <w:rFonts w:ascii="Arial" w:hAnsi="Arial"/>
          <w:noProof/>
          <w:sz w:val="16"/>
          <w:szCs w:val="16"/>
          <w:lang w:eastAsia="ar-SA"/>
        </w:rPr>
        <w:t xml:space="preserve">To further minimize the liquidity risk, the Facility maintains a liquidity reserve sufficient to cover at any </w:t>
      </w:r>
      <w:r>
        <w:rPr>
          <w:rFonts w:ascii="Arial" w:hAnsi="Arial"/>
          <w:noProof/>
          <w:sz w:val="16"/>
          <w:szCs w:val="16"/>
          <w:lang w:eastAsia="ar-SA"/>
        </w:rPr>
        <w:t>PIT</w:t>
      </w:r>
      <w:r w:rsidRPr="00C73739">
        <w:rPr>
          <w:rFonts w:ascii="Arial" w:hAnsi="Arial"/>
          <w:noProof/>
          <w:sz w:val="16"/>
          <w:szCs w:val="16"/>
          <w:lang w:eastAsia="ar-SA"/>
        </w:rPr>
        <w:t xml:space="preserve"> forecasted cash disbursements, as communicated periodically by </w:t>
      </w:r>
      <w:r>
        <w:rPr>
          <w:rFonts w:ascii="Arial" w:hAnsi="Arial"/>
          <w:noProof/>
          <w:sz w:val="16"/>
          <w:szCs w:val="16"/>
          <w:lang w:eastAsia="ar-SA"/>
        </w:rPr>
        <w:t xml:space="preserve">the </w:t>
      </w:r>
      <w:r w:rsidRPr="00C73739">
        <w:rPr>
          <w:rFonts w:ascii="Arial" w:hAnsi="Arial"/>
          <w:noProof/>
          <w:sz w:val="16"/>
          <w:szCs w:val="16"/>
          <w:lang w:eastAsia="ar-SA"/>
        </w:rPr>
        <w:t>EIB’s Lending Department. Funds are invested on the money market and bond markets in the form of interbank deposits and other short</w:t>
      </w:r>
      <w:r>
        <w:rPr>
          <w:rFonts w:ascii="Arial" w:hAnsi="Arial"/>
          <w:noProof/>
          <w:sz w:val="16"/>
          <w:szCs w:val="16"/>
          <w:lang w:eastAsia="ar-SA"/>
        </w:rPr>
        <w:t>-</w:t>
      </w:r>
      <w:r w:rsidRPr="00C73739">
        <w:rPr>
          <w:rFonts w:ascii="Arial" w:hAnsi="Arial"/>
          <w:noProof/>
          <w:sz w:val="16"/>
          <w:szCs w:val="16"/>
          <w:lang w:eastAsia="ar-SA"/>
        </w:rPr>
        <w:t xml:space="preserve">term financial instruments by taking into consideration the Facility’s </w:t>
      </w:r>
      <w:r>
        <w:rPr>
          <w:rFonts w:ascii="Arial" w:hAnsi="Arial"/>
          <w:noProof/>
          <w:sz w:val="16"/>
          <w:szCs w:val="16"/>
          <w:lang w:eastAsia="ar-SA"/>
        </w:rPr>
        <w:t xml:space="preserve">cash disbursement obligations. </w:t>
      </w:r>
      <w:r w:rsidRPr="00C73739">
        <w:rPr>
          <w:rFonts w:ascii="Arial" w:hAnsi="Arial"/>
          <w:noProof/>
          <w:sz w:val="16"/>
          <w:szCs w:val="16"/>
          <w:lang w:eastAsia="ar-SA"/>
        </w:rPr>
        <w:t xml:space="preserve">The Facility’s liquid assets are managed by the Bank’s Treasury Department with </w:t>
      </w:r>
      <w:r>
        <w:rPr>
          <w:rFonts w:ascii="Arial" w:hAnsi="Arial"/>
          <w:noProof/>
          <w:sz w:val="16"/>
          <w:szCs w:val="16"/>
          <w:lang w:eastAsia="ar-SA"/>
        </w:rPr>
        <w:t>a</w:t>
      </w:r>
      <w:r w:rsidRPr="00C73739">
        <w:rPr>
          <w:rFonts w:ascii="Arial" w:hAnsi="Arial"/>
          <w:noProof/>
          <w:sz w:val="16"/>
          <w:szCs w:val="16"/>
          <w:lang w:eastAsia="ar-SA"/>
        </w:rPr>
        <w:t xml:space="preserve"> view to maintain appropriate liquidity to enable the Facility to meet its obligations</w:t>
      </w:r>
      <w:r>
        <w:rPr>
          <w:rFonts w:ascii="Arial" w:hAnsi="Arial"/>
          <w:noProof/>
          <w:sz w:val="16"/>
          <w:szCs w:val="16"/>
          <w:lang w:eastAsia="ar-SA"/>
        </w:rPr>
        <w:t>.</w:t>
      </w:r>
    </w:p>
    <w:p w14:paraId="3DDB8B8F"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2A85CC8F"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sidRPr="00E1686F">
        <w:rPr>
          <w:rFonts w:ascii="Arial" w:hAnsi="Arial"/>
          <w:noProof/>
          <w:sz w:val="16"/>
          <w:szCs w:val="16"/>
          <w:lang w:eastAsia="ar-SA"/>
        </w:rPr>
        <w:t>It is worth highlighting that capital is managed solely from a liquidity perspective, as described above.</w:t>
      </w:r>
    </w:p>
    <w:p w14:paraId="6A055B18"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6A849D0E" w14:textId="77777777" w:rsidR="00FD1E19" w:rsidRPr="00BD1346"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sidRPr="00C73739">
        <w:rPr>
          <w:rFonts w:ascii="Arial" w:hAnsi="Arial"/>
          <w:noProof/>
          <w:sz w:val="16"/>
          <w:szCs w:val="16"/>
          <w:lang w:eastAsia="ar-SA"/>
        </w:rPr>
        <w:t>In accordance with the principle of segregation of duties between the Front and Back Office, settlement operations related to the investment of these assets are under the responsibility of the EIB’s Planning and Settlement of Operations Department.</w:t>
      </w:r>
      <w:r>
        <w:rPr>
          <w:rFonts w:ascii="Arial" w:hAnsi="Arial"/>
          <w:noProof/>
          <w:sz w:val="16"/>
          <w:szCs w:val="16"/>
          <w:lang w:eastAsia="ar-SA"/>
        </w:rPr>
        <w:t xml:space="preserve"> </w:t>
      </w:r>
      <w:r w:rsidRPr="00316086">
        <w:rPr>
          <w:rFonts w:ascii="Arial" w:hAnsi="Arial"/>
          <w:noProof/>
          <w:sz w:val="16"/>
          <w:szCs w:val="16"/>
          <w:lang w:eastAsia="ar-SA"/>
        </w:rPr>
        <w:t>Further</w:t>
      </w:r>
      <w:r>
        <w:rPr>
          <w:rFonts w:ascii="Arial" w:hAnsi="Arial"/>
          <w:noProof/>
          <w:sz w:val="16"/>
          <w:szCs w:val="16"/>
          <w:lang w:eastAsia="ar-SA"/>
        </w:rPr>
        <w:t>more</w:t>
      </w:r>
      <w:r w:rsidRPr="00316086">
        <w:rPr>
          <w:rFonts w:ascii="Arial" w:hAnsi="Arial"/>
          <w:noProof/>
          <w:sz w:val="16"/>
          <w:szCs w:val="16"/>
          <w:lang w:eastAsia="ar-SA"/>
        </w:rPr>
        <w:t xml:space="preserve">, the authorisation of counterparts and limits for treasury investments, as well as the monitoring of such limits, are the responsibility of the Bank’s </w:t>
      </w:r>
      <w:r>
        <w:rPr>
          <w:rFonts w:ascii="Arial" w:hAnsi="Arial"/>
          <w:noProof/>
          <w:sz w:val="16"/>
          <w:szCs w:val="16"/>
          <w:lang w:eastAsia="ar-SA"/>
        </w:rPr>
        <w:t>GR&amp;C</w:t>
      </w:r>
      <w:r w:rsidRPr="00316086">
        <w:rPr>
          <w:rFonts w:ascii="Arial" w:hAnsi="Arial"/>
          <w:noProof/>
          <w:sz w:val="16"/>
          <w:szCs w:val="16"/>
          <w:lang w:eastAsia="ar-SA"/>
        </w:rPr>
        <w:t>.</w:t>
      </w:r>
      <w:r w:rsidRPr="00BD1346">
        <w:rPr>
          <w:rFonts w:ascii="Arial" w:hAnsi="Arial"/>
          <w:noProof/>
          <w:sz w:val="16"/>
          <w:szCs w:val="16"/>
          <w:lang w:eastAsia="ar-SA"/>
        </w:rPr>
        <w:t xml:space="preserve"> </w:t>
      </w:r>
    </w:p>
    <w:p w14:paraId="7C8A0D28"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5727A706" w14:textId="77777777" w:rsidR="00FD1E19" w:rsidRPr="00D42D96" w:rsidRDefault="00FD1E19" w:rsidP="00FD1E19">
      <w:pPr>
        <w:numPr>
          <w:ilvl w:val="3"/>
          <w:numId w:val="63"/>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D42D96">
        <w:rPr>
          <w:rFonts w:ascii="Arial" w:hAnsi="Arial"/>
          <w:b/>
          <w:noProof/>
          <w:sz w:val="16"/>
          <w:szCs w:val="16"/>
          <w:lang w:eastAsia="ar-SA"/>
        </w:rPr>
        <w:t>Liquidity risk measurement</w:t>
      </w:r>
    </w:p>
    <w:p w14:paraId="273F75CF"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48975DDD"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The tables in this section analyse the financial liabilities of the Facility by maturity on the basis of the period remaining between the balance sheet date and the contractual maturity date (based on undiscounted cash flows).</w:t>
      </w:r>
    </w:p>
    <w:p w14:paraId="71F8D50D"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721257E5"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C73739">
        <w:rPr>
          <w:rFonts w:ascii="Arial" w:hAnsi="Arial"/>
          <w:noProof/>
          <w:sz w:val="16"/>
          <w:szCs w:val="16"/>
          <w:lang w:eastAsia="ar-SA"/>
        </w:rPr>
        <w:t xml:space="preserve">In terms of non-derivative financial liabilities, the </w:t>
      </w:r>
      <w:r w:rsidRPr="00D316AE">
        <w:rPr>
          <w:rFonts w:ascii="Arial" w:hAnsi="Arial"/>
          <w:noProof/>
          <w:sz w:val="16"/>
          <w:szCs w:val="16"/>
          <w:lang w:eastAsia="ar-SA"/>
        </w:rPr>
        <w:t>Facility</w:t>
      </w:r>
      <w:r>
        <w:rPr>
          <w:rFonts w:ascii="Arial" w:hAnsi="Arial"/>
          <w:noProof/>
          <w:sz w:val="16"/>
          <w:szCs w:val="16"/>
          <w:lang w:eastAsia="ar-SA"/>
        </w:rPr>
        <w:t xml:space="preserve"> holds commitments in the form of un</w:t>
      </w:r>
      <w:r w:rsidRPr="00316086">
        <w:rPr>
          <w:rFonts w:ascii="Arial" w:hAnsi="Arial"/>
          <w:noProof/>
          <w:sz w:val="16"/>
          <w:szCs w:val="16"/>
          <w:lang w:eastAsia="ar-SA"/>
        </w:rPr>
        <w:t>disbursed portions of credit under signed loan agreements, of undisbursed portions of signed capital subscription/investment agreements, of loan guarantees granted, or of committed interest</w:t>
      </w:r>
      <w:r>
        <w:rPr>
          <w:rFonts w:ascii="Arial" w:hAnsi="Arial"/>
          <w:noProof/>
          <w:sz w:val="16"/>
          <w:szCs w:val="16"/>
          <w:lang w:eastAsia="ar-SA"/>
        </w:rPr>
        <w:t xml:space="preserve"> </w:t>
      </w:r>
      <w:r w:rsidRPr="00316086">
        <w:rPr>
          <w:rFonts w:ascii="Arial" w:hAnsi="Arial"/>
          <w:noProof/>
          <w:sz w:val="16"/>
          <w:szCs w:val="16"/>
          <w:lang w:eastAsia="ar-SA"/>
        </w:rPr>
        <w:t xml:space="preserve">subsidies and </w:t>
      </w:r>
      <w:r>
        <w:rPr>
          <w:rFonts w:ascii="Arial" w:hAnsi="Arial"/>
          <w:noProof/>
          <w:sz w:val="16"/>
          <w:szCs w:val="16"/>
          <w:lang w:eastAsia="ar-SA"/>
        </w:rPr>
        <w:t>TA</w:t>
      </w:r>
      <w:r w:rsidRPr="00316086">
        <w:rPr>
          <w:rFonts w:ascii="Arial" w:hAnsi="Arial"/>
          <w:noProof/>
          <w:sz w:val="16"/>
          <w:szCs w:val="16"/>
          <w:lang w:eastAsia="ar-SA"/>
        </w:rPr>
        <w:t xml:space="preserve">. </w:t>
      </w:r>
    </w:p>
    <w:p w14:paraId="44C2D5EA"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0195573D" w14:textId="77777777" w:rsidR="00FD1E19" w:rsidRPr="00C7373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Loans under the IF have a disbursement deadline. However</w:t>
      </w:r>
      <w:r>
        <w:rPr>
          <w:rFonts w:ascii="Arial" w:hAnsi="Arial"/>
          <w:noProof/>
          <w:sz w:val="16"/>
          <w:szCs w:val="16"/>
          <w:lang w:eastAsia="ar-SA"/>
        </w:rPr>
        <w:t>,</w:t>
      </w:r>
      <w:r w:rsidRPr="00316086">
        <w:rPr>
          <w:rFonts w:ascii="Arial" w:hAnsi="Arial"/>
          <w:noProof/>
          <w:sz w:val="16"/>
          <w:szCs w:val="16"/>
          <w:lang w:eastAsia="ar-SA"/>
        </w:rPr>
        <w:t xml:space="preserve"> disbursements are made at times and in amounts reflecting the progress of underlying investment projects</w:t>
      </w:r>
      <w:r>
        <w:rPr>
          <w:rFonts w:ascii="Arial" w:hAnsi="Arial"/>
          <w:noProof/>
          <w:sz w:val="16"/>
          <w:szCs w:val="16"/>
          <w:lang w:eastAsia="ar-SA"/>
        </w:rPr>
        <w:t xml:space="preserve">. </w:t>
      </w:r>
      <w:r w:rsidRPr="00C73739">
        <w:rPr>
          <w:rFonts w:ascii="Arial" w:hAnsi="Arial"/>
          <w:noProof/>
          <w:sz w:val="16"/>
          <w:szCs w:val="16"/>
          <w:lang w:eastAsia="ar-SA"/>
        </w:rPr>
        <w:t>Moreover, the IF</w:t>
      </w:r>
      <w:r>
        <w:rPr>
          <w:rFonts w:ascii="Arial" w:hAnsi="Arial"/>
          <w:noProof/>
          <w:sz w:val="16"/>
          <w:szCs w:val="16"/>
          <w:lang w:eastAsia="ar-SA"/>
        </w:rPr>
        <w:t>’s</w:t>
      </w:r>
      <w:r w:rsidRPr="00C73739">
        <w:rPr>
          <w:rFonts w:ascii="Arial" w:hAnsi="Arial"/>
          <w:noProof/>
          <w:sz w:val="16"/>
          <w:szCs w:val="16"/>
          <w:lang w:eastAsia="ar-SA"/>
        </w:rPr>
        <w:t xml:space="preserve"> loans </w:t>
      </w:r>
      <w:r w:rsidRPr="00A270AC">
        <w:rPr>
          <w:rFonts w:ascii="Arial" w:hAnsi="Arial"/>
          <w:noProof/>
          <w:sz w:val="16"/>
          <w:szCs w:val="16"/>
          <w:lang w:eastAsia="ar-SA"/>
        </w:rPr>
        <w:t>are transactions</w:t>
      </w:r>
      <w:r w:rsidRPr="00C73739">
        <w:rPr>
          <w:rFonts w:ascii="Arial" w:hAnsi="Arial"/>
          <w:noProof/>
          <w:sz w:val="16"/>
          <w:szCs w:val="16"/>
          <w:lang w:eastAsia="ar-SA"/>
        </w:rPr>
        <w:t xml:space="preserve"> performed in a relatively volatile operating environment, hence their disbursement schedule is subject to a significant degree of uncertainty. </w:t>
      </w:r>
    </w:p>
    <w:p w14:paraId="594081D8"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1AC22EA3"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 xml:space="preserve">Capital investments become due when and as soon as equity fund managers issue valid calls for capital, reflecting the progress in their investment activities. The drawdown period is usually of 3 years, with frequent prolongation by one or two years. Some disbursement commitments usually survive the end of the drawdown period until full disposal of the fund’s underlying investments, as the fund’s liquidity may be insufficient from time to time to meet payment obligations arising in respect of fees or other expenses. </w:t>
      </w:r>
    </w:p>
    <w:p w14:paraId="2683E920"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2D933629"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Pr>
          <w:rFonts w:ascii="Arial" w:hAnsi="Arial"/>
          <w:noProof/>
          <w:sz w:val="16"/>
          <w:szCs w:val="16"/>
          <w:lang w:eastAsia="ar-SA"/>
        </w:rPr>
        <w:t>G</w:t>
      </w:r>
      <w:r w:rsidRPr="00316086">
        <w:rPr>
          <w:rFonts w:ascii="Arial" w:hAnsi="Arial"/>
          <w:noProof/>
          <w:sz w:val="16"/>
          <w:szCs w:val="16"/>
          <w:lang w:eastAsia="ar-SA"/>
        </w:rPr>
        <w:t>uarantees are not subject to specific disbursement commitments unless a guarantee is called. The amount of guarantee</w:t>
      </w:r>
      <w:r>
        <w:rPr>
          <w:rFonts w:ascii="Arial" w:hAnsi="Arial"/>
          <w:noProof/>
          <w:sz w:val="16"/>
          <w:szCs w:val="16"/>
          <w:lang w:eastAsia="ar-SA"/>
        </w:rPr>
        <w:t>s</w:t>
      </w:r>
      <w:r w:rsidRPr="00316086">
        <w:rPr>
          <w:rFonts w:ascii="Arial" w:hAnsi="Arial"/>
          <w:noProof/>
          <w:sz w:val="16"/>
          <w:szCs w:val="16"/>
          <w:lang w:eastAsia="ar-SA"/>
        </w:rPr>
        <w:t xml:space="preserve"> outstanding is reduced alongside the repayment schedule of guaranteed loan</w:t>
      </w:r>
      <w:r>
        <w:rPr>
          <w:rFonts w:ascii="Arial" w:hAnsi="Arial"/>
          <w:noProof/>
          <w:sz w:val="16"/>
          <w:szCs w:val="16"/>
          <w:lang w:eastAsia="ar-SA"/>
        </w:rPr>
        <w:t>s</w:t>
      </w:r>
      <w:r w:rsidRPr="00316086">
        <w:rPr>
          <w:rFonts w:ascii="Arial" w:hAnsi="Arial"/>
          <w:noProof/>
          <w:sz w:val="16"/>
          <w:szCs w:val="16"/>
          <w:lang w:eastAsia="ar-SA"/>
        </w:rPr>
        <w:t>.</w:t>
      </w:r>
    </w:p>
    <w:p w14:paraId="03918BF4"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01B2C6F1" w14:textId="77777777" w:rsidR="00FD1E19" w:rsidRPr="00312852"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val="en-US" w:eastAsia="ar-SA"/>
        </w:rPr>
      </w:pPr>
      <w:r w:rsidRPr="00312852">
        <w:rPr>
          <w:rFonts w:ascii="Arial" w:hAnsi="Arial"/>
          <w:noProof/>
          <w:sz w:val="16"/>
          <w:szCs w:val="16"/>
          <w:lang w:eastAsia="ar-SA"/>
        </w:rPr>
        <w:t xml:space="preserve">Committed interest subsidies’ cash outflows occur in the case of subsidized loans financed by the Bank’s own resources. The reported </w:t>
      </w:r>
      <w:r w:rsidRPr="00FE2592">
        <w:rPr>
          <w:rFonts w:ascii="Arial" w:hAnsi="Arial"/>
          <w:noProof/>
          <w:sz w:val="16"/>
          <w:szCs w:val="16"/>
          <w:lang w:eastAsia="ar-SA"/>
        </w:rPr>
        <w:t xml:space="preserve">“Outflows for committed interest subsidies” </w:t>
      </w:r>
      <w:r w:rsidRPr="00312852">
        <w:rPr>
          <w:rFonts w:ascii="Arial" w:hAnsi="Arial"/>
          <w:noProof/>
          <w:sz w:val="16"/>
          <w:szCs w:val="16"/>
          <w:lang w:eastAsia="ar-SA"/>
        </w:rPr>
        <w:t>represent only commitments related to these loans rather than the total amount of committed undisbursed interest subsidies.</w:t>
      </w:r>
      <w:r w:rsidRPr="00312852">
        <w:rPr>
          <w:rFonts w:ascii="Arial" w:hAnsi="Arial"/>
          <w:noProof/>
          <w:sz w:val="16"/>
          <w:szCs w:val="16"/>
          <w:lang w:val="en-US" w:eastAsia="ar-SA"/>
        </w:rPr>
        <w:t xml:space="preserve"> </w:t>
      </w:r>
      <w:r w:rsidRPr="00312852">
        <w:rPr>
          <w:rFonts w:ascii="Arial" w:hAnsi="Arial"/>
          <w:noProof/>
          <w:sz w:val="16"/>
          <w:szCs w:val="16"/>
          <w:lang w:eastAsia="ar-SA"/>
        </w:rPr>
        <w:t>As in the case of loans, their disbursement schedule is uncertain.</w:t>
      </w:r>
      <w:r w:rsidRPr="00312852">
        <w:rPr>
          <w:rFonts w:ascii="Arial" w:hAnsi="Arial"/>
          <w:noProof/>
          <w:sz w:val="16"/>
          <w:szCs w:val="16"/>
          <w:lang w:val="en-US" w:eastAsia="ar-SA"/>
        </w:rPr>
        <w:t xml:space="preserve">  </w:t>
      </w:r>
    </w:p>
    <w:p w14:paraId="4286C0FA" w14:textId="77777777" w:rsidR="00FD1E19" w:rsidRPr="00C73739" w:rsidRDefault="00FD1E19" w:rsidP="00FD1E19">
      <w:pPr>
        <w:pBdr>
          <w:top w:val="nil"/>
          <w:left w:val="nil"/>
          <w:bottom w:val="nil"/>
          <w:right w:val="nil"/>
          <w:between w:val="nil"/>
          <w:bar w:val="nil"/>
        </w:pBdr>
        <w:tabs>
          <w:tab w:val="right" w:pos="-2700"/>
          <w:tab w:val="center" w:pos="4320"/>
          <w:tab w:val="right" w:pos="8640"/>
        </w:tabs>
        <w:suppressAutoHyphens/>
        <w:spacing w:before="60" w:after="60"/>
        <w:ind w:left="432" w:hanging="432"/>
        <w:jc w:val="both"/>
        <w:rPr>
          <w:rFonts w:ascii="Arial" w:hAnsi="Arial"/>
          <w:noProof/>
          <w:sz w:val="16"/>
          <w:szCs w:val="16"/>
          <w:bdr w:val="nil"/>
          <w:lang w:eastAsia="ar-SA"/>
        </w:rPr>
      </w:pPr>
    </w:p>
    <w:p w14:paraId="46A5FDDB"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sidRPr="00535B99">
        <w:rPr>
          <w:rFonts w:ascii="Arial" w:hAnsi="Arial"/>
          <w:noProof/>
          <w:sz w:val="16"/>
          <w:szCs w:val="16"/>
          <w:lang w:eastAsia="ar-SA"/>
        </w:rPr>
        <w:t xml:space="preserve">Committed TA “gross nominal outflow” in the “Maturity profile of non-derivative financial liabilities” table refers to the total undisbursed portion of signed TA contracts. </w:t>
      </w:r>
      <w:r w:rsidRPr="00316086">
        <w:rPr>
          <w:rFonts w:ascii="Arial" w:hAnsi="Arial"/>
          <w:noProof/>
          <w:sz w:val="16"/>
          <w:szCs w:val="16"/>
          <w:lang w:eastAsia="ar-SA"/>
        </w:rPr>
        <w:t xml:space="preserve">The disbursement time pattern is subject to a significant degree of uncertainty. </w:t>
      </w:r>
      <w:r w:rsidRPr="00535B99">
        <w:rPr>
          <w:rFonts w:ascii="Arial" w:hAnsi="Arial"/>
          <w:noProof/>
          <w:sz w:val="16"/>
          <w:szCs w:val="16"/>
          <w:lang w:eastAsia="ar-SA"/>
        </w:rPr>
        <w:t xml:space="preserve">Cash outflows classified in the “3 months or less” bucket represent the amount of outstanding invoices received by the reporting date. </w:t>
      </w:r>
    </w:p>
    <w:p w14:paraId="69088C87"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08040C4F"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Pr>
          <w:rFonts w:ascii="Arial" w:hAnsi="Arial"/>
          <w:noProof/>
          <w:sz w:val="16"/>
          <w:szCs w:val="16"/>
          <w:lang w:eastAsia="ar-SA"/>
        </w:rPr>
        <w:t>Commitments</w:t>
      </w:r>
      <w:r w:rsidRPr="00C73739">
        <w:rPr>
          <w:rFonts w:ascii="Arial" w:hAnsi="Arial"/>
          <w:noProof/>
          <w:sz w:val="16"/>
          <w:szCs w:val="16"/>
          <w:lang w:eastAsia="ar-SA"/>
        </w:rPr>
        <w:t xml:space="preserve"> for</w:t>
      </w:r>
      <w:r>
        <w:rPr>
          <w:rFonts w:ascii="Arial" w:hAnsi="Arial"/>
          <w:noProof/>
          <w:sz w:val="16"/>
          <w:szCs w:val="16"/>
          <w:lang w:eastAsia="ar-SA"/>
        </w:rPr>
        <w:t xml:space="preserve"> </w:t>
      </w:r>
      <w:r w:rsidRPr="00535B99">
        <w:rPr>
          <w:rFonts w:ascii="Arial" w:hAnsi="Arial"/>
          <w:noProof/>
          <w:sz w:val="16"/>
          <w:szCs w:val="16"/>
          <w:lang w:eastAsia="ar-SA"/>
        </w:rPr>
        <w:t>non-derivative financial liabilities for</w:t>
      </w:r>
      <w:r w:rsidRPr="00C73739">
        <w:rPr>
          <w:rFonts w:ascii="Arial" w:hAnsi="Arial"/>
          <w:noProof/>
          <w:sz w:val="16"/>
          <w:szCs w:val="16"/>
          <w:lang w:eastAsia="ar-SA"/>
        </w:rPr>
        <w:t xml:space="preserve"> which there is no defined contractual maturity date are classified under “Maturity Undefined”. Commitments, for which there is a recorded cash disbursement request at the reporting date, are classified under the relevant time bucket.</w:t>
      </w:r>
    </w:p>
    <w:p w14:paraId="1E58F071" w14:textId="77777777" w:rsidR="00FD1E19" w:rsidRPr="00527867"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550CEC4D"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lang w:val="en-US" w:eastAsia="ar-SA"/>
        </w:rPr>
      </w:pPr>
      <w:r w:rsidRPr="00C73739">
        <w:rPr>
          <w:rFonts w:ascii="Arial" w:hAnsi="Arial"/>
          <w:noProof/>
          <w:sz w:val="16"/>
          <w:szCs w:val="16"/>
          <w:lang w:val="en-US" w:eastAsia="ar-SA"/>
        </w:rPr>
        <w:t xml:space="preserve">In terms of derivative financial liabilities, the maturity profile represents the contractual undiscounted gross cash flows of swap contracts including cross currency swaps (CCS), cross currency interest rate swaps (CCIRS), </w:t>
      </w:r>
      <w:r w:rsidRPr="00535B99">
        <w:rPr>
          <w:rFonts w:ascii="Arial" w:hAnsi="Arial"/>
          <w:noProof/>
          <w:sz w:val="16"/>
          <w:szCs w:val="16"/>
          <w:lang w:eastAsia="ar-SA"/>
        </w:rPr>
        <w:t>short</w:t>
      </w:r>
      <w:r>
        <w:rPr>
          <w:rFonts w:ascii="Arial" w:hAnsi="Arial"/>
          <w:noProof/>
          <w:sz w:val="16"/>
          <w:szCs w:val="16"/>
          <w:lang w:eastAsia="ar-SA"/>
        </w:rPr>
        <w:t>-</w:t>
      </w:r>
      <w:r w:rsidRPr="00535B99">
        <w:rPr>
          <w:rFonts w:ascii="Arial" w:hAnsi="Arial"/>
          <w:noProof/>
          <w:sz w:val="16"/>
          <w:szCs w:val="16"/>
          <w:lang w:eastAsia="ar-SA"/>
        </w:rPr>
        <w:t xml:space="preserve">term currency swaps </w:t>
      </w:r>
      <w:r w:rsidRPr="00C73739">
        <w:rPr>
          <w:rFonts w:ascii="Arial" w:hAnsi="Arial"/>
          <w:noProof/>
          <w:sz w:val="16"/>
          <w:szCs w:val="16"/>
          <w:lang w:val="en-US" w:eastAsia="ar-SA"/>
        </w:rPr>
        <w:t>and interest rate swaps.</w:t>
      </w:r>
    </w:p>
    <w:p w14:paraId="6BD22A39"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val="en-US" w:eastAsia="ar-SA"/>
        </w:rPr>
      </w:pPr>
      <w:r>
        <w:rPr>
          <w:rFonts w:ascii="Arial" w:hAnsi="Arial"/>
          <w:noProof/>
          <w:sz w:val="16"/>
          <w:szCs w:val="16"/>
          <w:lang w:val="en-US" w:eastAsia="ar-SA"/>
        </w:rPr>
        <w:t xml:space="preserve"> </w:t>
      </w:r>
    </w:p>
    <w:p w14:paraId="78AACE41"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val="en-US" w:eastAsia="ar-SA"/>
        </w:rPr>
      </w:pPr>
    </w:p>
    <w:tbl>
      <w:tblPr>
        <w:tblStyle w:val="CDMRange1"/>
        <w:tblW w:w="5000" w:type="pct"/>
        <w:tblLayout w:type="fixed"/>
        <w:tblLook w:val="0600" w:firstRow="0" w:lastRow="0" w:firstColumn="0" w:lastColumn="0" w:noHBand="1" w:noVBand="1"/>
      </w:tblPr>
      <w:tblGrid>
        <w:gridCol w:w="4278"/>
        <w:gridCol w:w="916"/>
        <w:gridCol w:w="888"/>
        <w:gridCol w:w="916"/>
        <w:gridCol w:w="859"/>
        <w:gridCol w:w="945"/>
        <w:gridCol w:w="916"/>
      </w:tblGrid>
      <w:tr w:rsidR="00FD1E19" w14:paraId="5F07D065" w14:textId="77777777" w:rsidTr="00BE7E4A">
        <w:trPr>
          <w:trHeight w:hRule="exact" w:val="570"/>
        </w:trPr>
        <w:tc>
          <w:tcPr>
            <w:tcW w:w="4500" w:type="dxa"/>
            <w:tcBorders>
              <w:top w:val="single" w:sz="4" w:space="0" w:color="000000"/>
              <w:left w:val="nil"/>
              <w:bottom w:val="nil"/>
              <w:right w:val="nil"/>
              <w:tl2br w:val="nil"/>
              <w:tr2bl w:val="nil"/>
            </w:tcBorders>
            <w:tcMar>
              <w:left w:w="40" w:type="dxa"/>
              <w:right w:w="40" w:type="dxa"/>
            </w:tcMar>
            <w:vAlign w:val="center"/>
          </w:tcPr>
          <w:p w14:paraId="4BB79610" w14:textId="77777777" w:rsidR="00FD1E19" w:rsidRDefault="00FD1E19" w:rsidP="00BE7E4A">
            <w:pPr>
              <w:suppressAutoHyphens/>
              <w:rPr>
                <w:rFonts w:ascii="Arial" w:eastAsia="Arial" w:hAnsi="Arial" w:cs="Arial"/>
                <w:b/>
                <w:noProof/>
                <w:color w:val="000000"/>
                <w:sz w:val="16"/>
                <w:lang w:eastAsia="ar-SA"/>
              </w:rPr>
            </w:pPr>
            <w:bookmarkStart w:id="254" w:name="RG_MARKER_90136"/>
            <w:r>
              <w:rPr>
                <w:rFonts w:ascii="Arial" w:eastAsia="Arial" w:hAnsi="Arial" w:cs="Arial"/>
                <w:b/>
                <w:noProof/>
                <w:color w:val="000000"/>
                <w:sz w:val="16"/>
                <w:lang w:eastAsia="ar-SA"/>
              </w:rPr>
              <w:t>Maturity profile of non-derivative financial liabilities</w:t>
            </w:r>
            <w:bookmarkEnd w:id="254"/>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14:paraId="5D04C6C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 3 months or less</w:t>
            </w:r>
          </w:p>
        </w:tc>
        <w:tc>
          <w:tcPr>
            <w:tcW w:w="930" w:type="dxa"/>
            <w:vMerge w:val="restart"/>
            <w:tcBorders>
              <w:top w:val="single" w:sz="4" w:space="0" w:color="000000"/>
              <w:left w:val="nil"/>
              <w:bottom w:val="nil"/>
              <w:right w:val="nil"/>
              <w:tl2br w:val="nil"/>
              <w:tr2bl w:val="nil"/>
            </w:tcBorders>
            <w:tcMar>
              <w:left w:w="40" w:type="dxa"/>
              <w:right w:w="40" w:type="dxa"/>
            </w:tcMar>
            <w:vAlign w:val="center"/>
          </w:tcPr>
          <w:p w14:paraId="1B4B31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3 months to 1 year</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14:paraId="2EB936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1 year to 5 years</w:t>
            </w:r>
          </w:p>
        </w:tc>
        <w:tc>
          <w:tcPr>
            <w:tcW w:w="900" w:type="dxa"/>
            <w:vMerge w:val="restart"/>
            <w:tcBorders>
              <w:top w:val="single" w:sz="4" w:space="0" w:color="000000"/>
              <w:left w:val="nil"/>
              <w:bottom w:val="nil"/>
              <w:right w:val="nil"/>
              <w:tl2br w:val="nil"/>
              <w:tr2bl w:val="nil"/>
            </w:tcBorders>
            <w:tcMar>
              <w:left w:w="40" w:type="dxa"/>
              <w:right w:w="40" w:type="dxa"/>
            </w:tcMar>
            <w:vAlign w:val="center"/>
          </w:tcPr>
          <w:p w14:paraId="1272A09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5 years</w:t>
            </w:r>
          </w:p>
        </w:tc>
        <w:tc>
          <w:tcPr>
            <w:tcW w:w="990" w:type="dxa"/>
            <w:vMerge w:val="restart"/>
            <w:tcBorders>
              <w:top w:val="single" w:sz="4" w:space="0" w:color="000000"/>
              <w:left w:val="nil"/>
              <w:bottom w:val="nil"/>
              <w:right w:val="nil"/>
              <w:tl2br w:val="nil"/>
              <w:tr2bl w:val="nil"/>
            </w:tcBorders>
            <w:tcMar>
              <w:left w:w="40" w:type="dxa"/>
              <w:right w:w="40" w:type="dxa"/>
            </w:tcMar>
            <w:vAlign w:val="center"/>
          </w:tcPr>
          <w:p w14:paraId="5287F80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Maturity Undefined</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14:paraId="45440F3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Gross nominal outflow</w:t>
            </w:r>
          </w:p>
        </w:tc>
      </w:tr>
      <w:tr w:rsidR="00FD1E19" w14:paraId="51B3E97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40" w:type="dxa"/>
              <w:right w:w="40" w:type="dxa"/>
            </w:tcMar>
            <w:vAlign w:val="center"/>
          </w:tcPr>
          <w:p w14:paraId="49D2ADB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 as at 31.12.2025</w:t>
            </w:r>
          </w:p>
        </w:tc>
        <w:tc>
          <w:tcPr>
            <w:tcW w:w="960" w:type="dxa"/>
            <w:vMerge/>
            <w:tcBorders>
              <w:top w:val="nil"/>
              <w:left w:val="nil"/>
              <w:bottom w:val="single" w:sz="4" w:space="0" w:color="000000"/>
              <w:right w:val="nil"/>
              <w:tl2br w:val="nil"/>
              <w:tr2bl w:val="nil"/>
            </w:tcBorders>
            <w:tcMar>
              <w:left w:w="0" w:type="dxa"/>
              <w:right w:w="0" w:type="dxa"/>
            </w:tcMar>
            <w:vAlign w:val="center"/>
          </w:tcPr>
          <w:p w14:paraId="325F75CA" w14:textId="77777777" w:rsidR="00FD1E19" w:rsidRDefault="00FD1E19" w:rsidP="00BE7E4A">
            <w:pPr>
              <w:suppressAutoHyphens/>
              <w:jc w:val="right"/>
              <w:rPr>
                <w:rFonts w:ascii="Arial" w:eastAsia="Arial" w:hAnsi="Arial" w:cs="Arial"/>
                <w:b/>
                <w:noProof/>
                <w:color w:val="000000"/>
                <w:sz w:val="16"/>
                <w:lang w:eastAsia="ar-SA"/>
              </w:rPr>
            </w:pPr>
          </w:p>
        </w:tc>
        <w:tc>
          <w:tcPr>
            <w:tcW w:w="930" w:type="dxa"/>
            <w:vMerge/>
            <w:tcBorders>
              <w:top w:val="nil"/>
              <w:left w:val="nil"/>
              <w:bottom w:val="single" w:sz="4" w:space="0" w:color="000000"/>
              <w:right w:val="nil"/>
              <w:tl2br w:val="nil"/>
              <w:tr2bl w:val="nil"/>
            </w:tcBorders>
            <w:tcMar>
              <w:left w:w="0" w:type="dxa"/>
              <w:right w:w="0" w:type="dxa"/>
            </w:tcMar>
            <w:vAlign w:val="center"/>
          </w:tcPr>
          <w:p w14:paraId="13368939"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14:paraId="2E3B0415"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vMerge/>
            <w:tcBorders>
              <w:top w:val="nil"/>
              <w:left w:val="nil"/>
              <w:bottom w:val="single" w:sz="4" w:space="0" w:color="000000"/>
              <w:right w:val="nil"/>
              <w:tl2br w:val="nil"/>
              <w:tr2bl w:val="nil"/>
            </w:tcBorders>
            <w:tcMar>
              <w:left w:w="0" w:type="dxa"/>
              <w:right w:w="0" w:type="dxa"/>
            </w:tcMar>
            <w:vAlign w:val="center"/>
          </w:tcPr>
          <w:p w14:paraId="29187232" w14:textId="77777777" w:rsidR="00FD1E19" w:rsidRDefault="00FD1E19" w:rsidP="00BE7E4A">
            <w:pPr>
              <w:suppressAutoHyphens/>
              <w:jc w:val="right"/>
              <w:rPr>
                <w:rFonts w:ascii="Arial" w:eastAsia="Arial" w:hAnsi="Arial" w:cs="Arial"/>
                <w:b/>
                <w:noProof/>
                <w:color w:val="000000"/>
                <w:sz w:val="16"/>
                <w:lang w:eastAsia="ar-SA"/>
              </w:rPr>
            </w:pPr>
          </w:p>
        </w:tc>
        <w:tc>
          <w:tcPr>
            <w:tcW w:w="990" w:type="dxa"/>
            <w:vMerge/>
            <w:tcBorders>
              <w:top w:val="nil"/>
              <w:left w:val="nil"/>
              <w:bottom w:val="single" w:sz="4" w:space="0" w:color="000000"/>
              <w:right w:val="nil"/>
              <w:tl2br w:val="nil"/>
              <w:tr2bl w:val="nil"/>
            </w:tcBorders>
            <w:tcMar>
              <w:left w:w="0" w:type="dxa"/>
              <w:right w:w="0" w:type="dxa"/>
            </w:tcMar>
            <w:vAlign w:val="center"/>
          </w:tcPr>
          <w:p w14:paraId="29E1B677"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14:paraId="5321C5F3"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684E06A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single" w:sz="4" w:space="0" w:color="000000"/>
              <w:left w:val="nil"/>
              <w:bottom w:val="nil"/>
              <w:right w:val="nil"/>
              <w:tl2br w:val="nil"/>
              <w:tr2bl w:val="nil"/>
            </w:tcBorders>
            <w:tcMar>
              <w:left w:w="40" w:type="dxa"/>
              <w:right w:w="40" w:type="dxa"/>
            </w:tcMar>
            <w:vAlign w:val="center"/>
          </w:tcPr>
          <w:p w14:paraId="7E118E6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committed but undisbursed loans</w:t>
            </w:r>
          </w:p>
        </w:tc>
        <w:tc>
          <w:tcPr>
            <w:tcW w:w="960" w:type="dxa"/>
            <w:tcBorders>
              <w:top w:val="single" w:sz="4" w:space="0" w:color="000000"/>
              <w:left w:val="nil"/>
              <w:bottom w:val="nil"/>
              <w:right w:val="nil"/>
              <w:tl2br w:val="nil"/>
              <w:tr2bl w:val="nil"/>
            </w:tcBorders>
            <w:tcMar>
              <w:left w:w="40" w:type="dxa"/>
              <w:right w:w="40" w:type="dxa"/>
            </w:tcMar>
            <w:vAlign w:val="center"/>
          </w:tcPr>
          <w:p w14:paraId="029089B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122,352</w:t>
            </w:r>
          </w:p>
        </w:tc>
        <w:tc>
          <w:tcPr>
            <w:tcW w:w="930" w:type="dxa"/>
            <w:tcBorders>
              <w:top w:val="single" w:sz="4" w:space="0" w:color="000000"/>
              <w:left w:val="nil"/>
              <w:bottom w:val="nil"/>
              <w:right w:val="nil"/>
              <w:tl2br w:val="nil"/>
              <w:tr2bl w:val="nil"/>
            </w:tcBorders>
            <w:tcMar>
              <w:left w:w="40" w:type="dxa"/>
              <w:right w:w="40" w:type="dxa"/>
            </w:tcMar>
            <w:vAlign w:val="center"/>
          </w:tcPr>
          <w:p w14:paraId="7DFF0C6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single" w:sz="4" w:space="0" w:color="000000"/>
              <w:left w:val="nil"/>
              <w:bottom w:val="nil"/>
              <w:right w:val="nil"/>
              <w:tl2br w:val="nil"/>
              <w:tr2bl w:val="nil"/>
            </w:tcBorders>
            <w:tcMar>
              <w:left w:w="40" w:type="dxa"/>
              <w:right w:w="40" w:type="dxa"/>
            </w:tcMar>
            <w:vAlign w:val="center"/>
          </w:tcPr>
          <w:p w14:paraId="3C8C126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single" w:sz="4" w:space="0" w:color="000000"/>
              <w:left w:val="nil"/>
              <w:bottom w:val="nil"/>
              <w:right w:val="nil"/>
              <w:tl2br w:val="nil"/>
              <w:tr2bl w:val="nil"/>
            </w:tcBorders>
            <w:tcMar>
              <w:left w:w="40" w:type="dxa"/>
              <w:right w:w="40" w:type="dxa"/>
            </w:tcMar>
            <w:vAlign w:val="center"/>
          </w:tcPr>
          <w:p w14:paraId="64ABE1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single" w:sz="4" w:space="0" w:color="000000"/>
              <w:left w:val="nil"/>
              <w:bottom w:val="nil"/>
              <w:right w:val="nil"/>
              <w:tl2br w:val="nil"/>
              <w:tr2bl w:val="nil"/>
            </w:tcBorders>
            <w:tcMar>
              <w:left w:w="40" w:type="dxa"/>
              <w:right w:w="40" w:type="dxa"/>
            </w:tcMar>
            <w:vAlign w:val="center"/>
          </w:tcPr>
          <w:p w14:paraId="30EF0A8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231,835</w:t>
            </w:r>
          </w:p>
        </w:tc>
        <w:tc>
          <w:tcPr>
            <w:tcW w:w="960" w:type="dxa"/>
            <w:tcBorders>
              <w:top w:val="single" w:sz="4" w:space="0" w:color="000000"/>
              <w:left w:val="nil"/>
              <w:bottom w:val="nil"/>
              <w:right w:val="nil"/>
              <w:tl2br w:val="nil"/>
              <w:tr2bl w:val="nil"/>
            </w:tcBorders>
            <w:tcMar>
              <w:left w:w="40" w:type="dxa"/>
              <w:right w:w="40" w:type="dxa"/>
            </w:tcMar>
            <w:vAlign w:val="center"/>
          </w:tcPr>
          <w:p w14:paraId="5D74E3A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354,187</w:t>
            </w:r>
          </w:p>
        </w:tc>
      </w:tr>
      <w:tr w:rsidR="00FD1E19" w14:paraId="1BCAED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4500" w:type="dxa"/>
            <w:tcBorders>
              <w:top w:val="nil"/>
              <w:left w:val="nil"/>
              <w:bottom w:val="nil"/>
              <w:right w:val="nil"/>
              <w:tl2br w:val="nil"/>
              <w:tr2bl w:val="nil"/>
            </w:tcBorders>
            <w:tcMar>
              <w:left w:w="40" w:type="dxa"/>
              <w:right w:w="40" w:type="dxa"/>
            </w:tcMar>
            <w:vAlign w:val="center"/>
          </w:tcPr>
          <w:p w14:paraId="1462537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committed investment funds and share subscription</w:t>
            </w:r>
          </w:p>
        </w:tc>
        <w:tc>
          <w:tcPr>
            <w:tcW w:w="960" w:type="dxa"/>
            <w:tcBorders>
              <w:top w:val="nil"/>
              <w:left w:val="nil"/>
              <w:bottom w:val="nil"/>
              <w:right w:val="nil"/>
              <w:tl2br w:val="nil"/>
              <w:tr2bl w:val="nil"/>
            </w:tcBorders>
            <w:tcMar>
              <w:left w:w="40" w:type="dxa"/>
              <w:right w:w="40" w:type="dxa"/>
            </w:tcMar>
            <w:vAlign w:val="center"/>
          </w:tcPr>
          <w:p w14:paraId="1B27EBE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165</w:t>
            </w:r>
          </w:p>
        </w:tc>
        <w:tc>
          <w:tcPr>
            <w:tcW w:w="930" w:type="dxa"/>
            <w:tcBorders>
              <w:top w:val="nil"/>
              <w:left w:val="nil"/>
              <w:bottom w:val="nil"/>
              <w:right w:val="nil"/>
              <w:tl2br w:val="nil"/>
              <w:tr2bl w:val="nil"/>
            </w:tcBorders>
            <w:tcMar>
              <w:left w:w="40" w:type="dxa"/>
              <w:right w:w="40" w:type="dxa"/>
            </w:tcMar>
            <w:vAlign w:val="center"/>
          </w:tcPr>
          <w:p w14:paraId="6592765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3ED34E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4B7E704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4CA74D4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184,676</w:t>
            </w:r>
          </w:p>
        </w:tc>
        <w:tc>
          <w:tcPr>
            <w:tcW w:w="960" w:type="dxa"/>
            <w:tcBorders>
              <w:top w:val="nil"/>
              <w:left w:val="nil"/>
              <w:bottom w:val="nil"/>
              <w:right w:val="nil"/>
              <w:tl2br w:val="nil"/>
              <w:tr2bl w:val="nil"/>
            </w:tcBorders>
            <w:tcMar>
              <w:left w:w="40" w:type="dxa"/>
              <w:right w:w="40" w:type="dxa"/>
            </w:tcMar>
            <w:vAlign w:val="center"/>
          </w:tcPr>
          <w:p w14:paraId="494CA10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184,841</w:t>
            </w:r>
          </w:p>
        </w:tc>
      </w:tr>
      <w:tr w:rsidR="00FD1E19" w14:paraId="4B5086D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52FF6A2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Others (signed non-issued guarantees, issued guarantees)</w:t>
            </w:r>
          </w:p>
        </w:tc>
        <w:tc>
          <w:tcPr>
            <w:tcW w:w="960" w:type="dxa"/>
            <w:tcBorders>
              <w:top w:val="nil"/>
              <w:left w:val="nil"/>
              <w:bottom w:val="nil"/>
              <w:right w:val="nil"/>
              <w:tl2br w:val="nil"/>
              <w:tr2bl w:val="nil"/>
            </w:tcBorders>
            <w:tcMar>
              <w:left w:w="40" w:type="dxa"/>
              <w:right w:w="40" w:type="dxa"/>
            </w:tcMar>
            <w:vAlign w:val="center"/>
          </w:tcPr>
          <w:p w14:paraId="2B996F8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30" w:type="dxa"/>
            <w:tcBorders>
              <w:top w:val="nil"/>
              <w:left w:val="nil"/>
              <w:bottom w:val="nil"/>
              <w:right w:val="nil"/>
              <w:tl2br w:val="nil"/>
              <w:tr2bl w:val="nil"/>
            </w:tcBorders>
            <w:tcMar>
              <w:left w:w="40" w:type="dxa"/>
              <w:right w:w="40" w:type="dxa"/>
            </w:tcMar>
            <w:vAlign w:val="center"/>
          </w:tcPr>
          <w:p w14:paraId="385881C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3678AE0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4EB915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2D7A392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c>
          <w:tcPr>
            <w:tcW w:w="960" w:type="dxa"/>
            <w:tcBorders>
              <w:top w:val="nil"/>
              <w:left w:val="nil"/>
              <w:bottom w:val="nil"/>
              <w:right w:val="nil"/>
              <w:tl2br w:val="nil"/>
              <w:tr2bl w:val="nil"/>
            </w:tcBorders>
            <w:tcMar>
              <w:left w:w="40" w:type="dxa"/>
              <w:right w:w="40" w:type="dxa"/>
            </w:tcMar>
            <w:vAlign w:val="center"/>
          </w:tcPr>
          <w:p w14:paraId="44F021E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r>
      <w:tr w:rsidR="00FD1E19" w14:paraId="04E1603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6B5282C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committed interest subsidies</w:t>
            </w:r>
          </w:p>
        </w:tc>
        <w:tc>
          <w:tcPr>
            <w:tcW w:w="960" w:type="dxa"/>
            <w:tcBorders>
              <w:top w:val="nil"/>
              <w:left w:val="nil"/>
              <w:bottom w:val="nil"/>
              <w:right w:val="nil"/>
              <w:tl2br w:val="nil"/>
              <w:tr2bl w:val="nil"/>
            </w:tcBorders>
            <w:tcMar>
              <w:left w:w="40" w:type="dxa"/>
              <w:right w:w="40" w:type="dxa"/>
            </w:tcMar>
            <w:vAlign w:val="center"/>
          </w:tcPr>
          <w:p w14:paraId="576F285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30" w:type="dxa"/>
            <w:tcBorders>
              <w:top w:val="nil"/>
              <w:left w:val="nil"/>
              <w:bottom w:val="nil"/>
              <w:right w:val="nil"/>
              <w:tl2br w:val="nil"/>
              <w:tr2bl w:val="nil"/>
            </w:tcBorders>
            <w:tcMar>
              <w:left w:w="40" w:type="dxa"/>
              <w:right w:w="40" w:type="dxa"/>
            </w:tcMar>
            <w:vAlign w:val="center"/>
          </w:tcPr>
          <w:p w14:paraId="5E6B5FC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58455A4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77A48C6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7EAC85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239,148</w:t>
            </w:r>
          </w:p>
        </w:tc>
        <w:tc>
          <w:tcPr>
            <w:tcW w:w="960" w:type="dxa"/>
            <w:tcBorders>
              <w:top w:val="nil"/>
              <w:left w:val="nil"/>
              <w:bottom w:val="nil"/>
              <w:right w:val="nil"/>
              <w:tl2br w:val="nil"/>
              <w:tr2bl w:val="nil"/>
            </w:tcBorders>
            <w:tcMar>
              <w:left w:w="40" w:type="dxa"/>
              <w:right w:w="40" w:type="dxa"/>
            </w:tcMar>
            <w:vAlign w:val="center"/>
          </w:tcPr>
          <w:p w14:paraId="3B7EA73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239,148</w:t>
            </w:r>
          </w:p>
        </w:tc>
      </w:tr>
      <w:tr w:rsidR="00FD1E19" w14:paraId="67DC2C8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5534EE2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amounts owed to the EIB</w:t>
            </w:r>
          </w:p>
        </w:tc>
        <w:tc>
          <w:tcPr>
            <w:tcW w:w="960" w:type="dxa"/>
            <w:tcBorders>
              <w:top w:val="nil"/>
              <w:left w:val="nil"/>
              <w:bottom w:val="nil"/>
              <w:right w:val="nil"/>
              <w:tl2br w:val="nil"/>
              <w:tr2bl w:val="nil"/>
            </w:tcBorders>
            <w:tcMar>
              <w:left w:w="40" w:type="dxa"/>
              <w:right w:w="40" w:type="dxa"/>
            </w:tcMar>
            <w:vAlign w:val="center"/>
          </w:tcPr>
          <w:p w14:paraId="6AA135A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3,199</w:t>
            </w:r>
          </w:p>
        </w:tc>
        <w:tc>
          <w:tcPr>
            <w:tcW w:w="930" w:type="dxa"/>
            <w:tcBorders>
              <w:top w:val="nil"/>
              <w:left w:val="nil"/>
              <w:bottom w:val="nil"/>
              <w:right w:val="nil"/>
              <w:tl2br w:val="nil"/>
              <w:tr2bl w:val="nil"/>
            </w:tcBorders>
            <w:tcMar>
              <w:left w:w="40" w:type="dxa"/>
              <w:right w:w="40" w:type="dxa"/>
            </w:tcMar>
            <w:vAlign w:val="center"/>
          </w:tcPr>
          <w:p w14:paraId="4593CED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19,942</w:t>
            </w:r>
          </w:p>
        </w:tc>
        <w:tc>
          <w:tcPr>
            <w:tcW w:w="960" w:type="dxa"/>
            <w:tcBorders>
              <w:top w:val="nil"/>
              <w:left w:val="nil"/>
              <w:bottom w:val="nil"/>
              <w:right w:val="nil"/>
              <w:tl2br w:val="nil"/>
              <w:tr2bl w:val="nil"/>
            </w:tcBorders>
            <w:tcMar>
              <w:left w:w="40" w:type="dxa"/>
              <w:right w:w="40" w:type="dxa"/>
            </w:tcMar>
            <w:vAlign w:val="center"/>
          </w:tcPr>
          <w:p w14:paraId="5273B8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3C7B98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6C97E37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19FF07D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23,141</w:t>
            </w:r>
          </w:p>
        </w:tc>
      </w:tr>
      <w:tr w:rsidR="00FD1E19" w14:paraId="02080FC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04A6039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amounts owed to the EC</w:t>
            </w:r>
          </w:p>
        </w:tc>
        <w:tc>
          <w:tcPr>
            <w:tcW w:w="960" w:type="dxa"/>
            <w:tcBorders>
              <w:top w:val="nil"/>
              <w:left w:val="nil"/>
              <w:bottom w:val="nil"/>
              <w:right w:val="nil"/>
              <w:tl2br w:val="nil"/>
              <w:tr2bl w:val="nil"/>
            </w:tcBorders>
            <w:tcMar>
              <w:left w:w="40" w:type="dxa"/>
              <w:right w:w="40" w:type="dxa"/>
            </w:tcMar>
            <w:vAlign w:val="center"/>
          </w:tcPr>
          <w:p w14:paraId="6FE3FCE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30" w:type="dxa"/>
            <w:tcBorders>
              <w:top w:val="nil"/>
              <w:left w:val="nil"/>
              <w:bottom w:val="nil"/>
              <w:right w:val="nil"/>
              <w:tl2br w:val="nil"/>
              <w:tr2bl w:val="nil"/>
            </w:tcBorders>
            <w:tcMar>
              <w:left w:w="40" w:type="dxa"/>
              <w:right w:w="40" w:type="dxa"/>
            </w:tcMar>
            <w:vAlign w:val="center"/>
          </w:tcPr>
          <w:p w14:paraId="18696C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243,853</w:t>
            </w:r>
          </w:p>
        </w:tc>
        <w:tc>
          <w:tcPr>
            <w:tcW w:w="960" w:type="dxa"/>
            <w:tcBorders>
              <w:top w:val="nil"/>
              <w:left w:val="nil"/>
              <w:bottom w:val="nil"/>
              <w:right w:val="nil"/>
              <w:tl2br w:val="nil"/>
              <w:tr2bl w:val="nil"/>
            </w:tcBorders>
            <w:tcMar>
              <w:left w:w="40" w:type="dxa"/>
              <w:right w:w="40" w:type="dxa"/>
            </w:tcMar>
            <w:vAlign w:val="center"/>
          </w:tcPr>
          <w:p w14:paraId="1F67E0C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F26F16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440714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5E9E82A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243,853</w:t>
            </w:r>
          </w:p>
        </w:tc>
      </w:tr>
      <w:tr w:rsidR="00FD1E19" w14:paraId="2AE143A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0A50F79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Outflows for committed TA </w:t>
            </w:r>
          </w:p>
        </w:tc>
        <w:tc>
          <w:tcPr>
            <w:tcW w:w="960" w:type="dxa"/>
            <w:tcBorders>
              <w:top w:val="nil"/>
              <w:left w:val="nil"/>
              <w:bottom w:val="nil"/>
              <w:right w:val="nil"/>
              <w:tl2br w:val="nil"/>
              <w:tr2bl w:val="nil"/>
            </w:tcBorders>
            <w:tcMar>
              <w:left w:w="40" w:type="dxa"/>
              <w:right w:w="40" w:type="dxa"/>
            </w:tcMar>
            <w:vAlign w:val="center"/>
          </w:tcPr>
          <w:p w14:paraId="5F382B1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844</w:t>
            </w:r>
          </w:p>
        </w:tc>
        <w:tc>
          <w:tcPr>
            <w:tcW w:w="930" w:type="dxa"/>
            <w:tcBorders>
              <w:top w:val="nil"/>
              <w:left w:val="nil"/>
              <w:bottom w:val="nil"/>
              <w:right w:val="nil"/>
              <w:tl2br w:val="nil"/>
              <w:tr2bl w:val="nil"/>
            </w:tcBorders>
            <w:tcMar>
              <w:left w:w="40" w:type="dxa"/>
              <w:right w:w="40" w:type="dxa"/>
            </w:tcMar>
            <w:vAlign w:val="center"/>
          </w:tcPr>
          <w:p w14:paraId="08D9CE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26DEE3D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4FD77B6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18A534F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10,465</w:t>
            </w:r>
          </w:p>
        </w:tc>
        <w:tc>
          <w:tcPr>
            <w:tcW w:w="960" w:type="dxa"/>
            <w:tcBorders>
              <w:top w:val="nil"/>
              <w:left w:val="nil"/>
              <w:bottom w:val="nil"/>
              <w:right w:val="nil"/>
              <w:tl2br w:val="nil"/>
              <w:tr2bl w:val="nil"/>
            </w:tcBorders>
            <w:tcMar>
              <w:left w:w="40" w:type="dxa"/>
              <w:right w:w="40" w:type="dxa"/>
            </w:tcMar>
            <w:vAlign w:val="center"/>
          </w:tcPr>
          <w:p w14:paraId="14EEDEA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11,309</w:t>
            </w:r>
          </w:p>
        </w:tc>
      </w:tr>
      <w:tr w:rsidR="00FD1E19" w14:paraId="0BD8B5E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tcMar>
              <w:left w:w="40" w:type="dxa"/>
              <w:right w:w="40" w:type="dxa"/>
            </w:tcMar>
            <w:vAlign w:val="center"/>
          </w:tcPr>
          <w:p w14:paraId="1EEC347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960" w:type="dxa"/>
            <w:tcBorders>
              <w:top w:val="nil"/>
              <w:left w:val="nil"/>
              <w:bottom w:val="nil"/>
              <w:right w:val="nil"/>
              <w:tl2br w:val="nil"/>
              <w:tr2bl w:val="nil"/>
            </w:tcBorders>
            <w:shd w:val="clear" w:color="FFFFFF" w:fill="C0C0C0"/>
            <w:tcMar>
              <w:left w:w="40" w:type="dxa"/>
              <w:right w:w="40" w:type="dxa"/>
            </w:tcMar>
            <w:vAlign w:val="center"/>
          </w:tcPr>
          <w:p w14:paraId="66A626F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126,560</w:t>
            </w:r>
          </w:p>
        </w:tc>
        <w:tc>
          <w:tcPr>
            <w:tcW w:w="930" w:type="dxa"/>
            <w:tcBorders>
              <w:top w:val="nil"/>
              <w:left w:val="nil"/>
              <w:bottom w:val="nil"/>
              <w:right w:val="nil"/>
              <w:tl2br w:val="nil"/>
              <w:tr2bl w:val="nil"/>
            </w:tcBorders>
            <w:shd w:val="clear" w:color="FFFFFF" w:fill="C0C0C0"/>
            <w:tcMar>
              <w:left w:w="40" w:type="dxa"/>
              <w:right w:w="40" w:type="dxa"/>
            </w:tcMar>
            <w:vAlign w:val="center"/>
          </w:tcPr>
          <w:p w14:paraId="0F322BE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263,795</w:t>
            </w:r>
          </w:p>
        </w:tc>
        <w:tc>
          <w:tcPr>
            <w:tcW w:w="960" w:type="dxa"/>
            <w:tcBorders>
              <w:top w:val="nil"/>
              <w:left w:val="nil"/>
              <w:bottom w:val="nil"/>
              <w:right w:val="nil"/>
              <w:tl2br w:val="nil"/>
              <w:tr2bl w:val="nil"/>
            </w:tcBorders>
            <w:shd w:val="clear" w:color="FFFFFF" w:fill="C0C0C0"/>
            <w:tcMar>
              <w:left w:w="40" w:type="dxa"/>
              <w:right w:w="40" w:type="dxa"/>
            </w:tcMar>
            <w:vAlign w:val="center"/>
          </w:tcPr>
          <w:p w14:paraId="12CBD42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nil"/>
              <w:left w:val="nil"/>
              <w:bottom w:val="nil"/>
              <w:right w:val="nil"/>
              <w:tl2br w:val="nil"/>
              <w:tr2bl w:val="nil"/>
            </w:tcBorders>
            <w:shd w:val="clear" w:color="FFFFFF" w:fill="C0C0C0"/>
            <w:tcMar>
              <w:left w:w="40" w:type="dxa"/>
              <w:right w:w="40" w:type="dxa"/>
            </w:tcMar>
            <w:vAlign w:val="center"/>
          </w:tcPr>
          <w:p w14:paraId="30979B3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90" w:type="dxa"/>
            <w:tcBorders>
              <w:top w:val="nil"/>
              <w:left w:val="nil"/>
              <w:bottom w:val="nil"/>
              <w:right w:val="nil"/>
              <w:tl2br w:val="nil"/>
              <w:tr2bl w:val="nil"/>
            </w:tcBorders>
            <w:shd w:val="clear" w:color="FFFFFF" w:fill="C0C0C0"/>
            <w:tcMar>
              <w:left w:w="40" w:type="dxa"/>
              <w:right w:w="40" w:type="dxa"/>
            </w:tcMar>
            <w:vAlign w:val="center"/>
          </w:tcPr>
          <w:p w14:paraId="432A50C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668,624</w:t>
            </w:r>
          </w:p>
        </w:tc>
        <w:tc>
          <w:tcPr>
            <w:tcW w:w="960" w:type="dxa"/>
            <w:tcBorders>
              <w:top w:val="nil"/>
              <w:left w:val="nil"/>
              <w:bottom w:val="nil"/>
              <w:right w:val="nil"/>
              <w:tl2br w:val="nil"/>
              <w:tr2bl w:val="nil"/>
            </w:tcBorders>
            <w:shd w:val="clear" w:color="FFFFFF" w:fill="C0C0C0"/>
            <w:tcMar>
              <w:left w:w="40" w:type="dxa"/>
              <w:right w:w="40" w:type="dxa"/>
            </w:tcMar>
            <w:vAlign w:val="center"/>
          </w:tcPr>
          <w:p w14:paraId="496A3DF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1,058,979</w:t>
            </w:r>
          </w:p>
        </w:tc>
      </w:tr>
      <w:tr w:rsidR="00FD1E19" w14:paraId="4E58952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0" w:type="dxa"/>
              <w:right w:w="0" w:type="dxa"/>
            </w:tcMar>
            <w:vAlign w:val="bottom"/>
          </w:tcPr>
          <w:p w14:paraId="13C73217" w14:textId="77777777" w:rsidR="00FD1E19" w:rsidRDefault="00FD1E19" w:rsidP="00BE7E4A">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14:paraId="5BD967A8" w14:textId="77777777" w:rsidR="00FD1E19" w:rsidRDefault="00FD1E19" w:rsidP="00BE7E4A">
            <w:pPr>
              <w:suppressAutoHyphens/>
              <w:rPr>
                <w:rFonts w:ascii="Arial" w:eastAsia="Arial" w:hAnsi="Arial" w:cs="Arial"/>
                <w:noProof/>
                <w:color w:val="000000"/>
                <w:lang w:eastAsia="ar-SA"/>
              </w:rPr>
            </w:pPr>
          </w:p>
        </w:tc>
        <w:tc>
          <w:tcPr>
            <w:tcW w:w="930" w:type="dxa"/>
            <w:tcBorders>
              <w:top w:val="nil"/>
              <w:left w:val="nil"/>
              <w:bottom w:val="single" w:sz="4" w:space="0" w:color="000000"/>
              <w:right w:val="nil"/>
              <w:tl2br w:val="nil"/>
              <w:tr2bl w:val="nil"/>
            </w:tcBorders>
            <w:noWrap/>
            <w:tcMar>
              <w:left w:w="0" w:type="dxa"/>
              <w:right w:w="0" w:type="dxa"/>
            </w:tcMar>
            <w:vAlign w:val="bottom"/>
          </w:tcPr>
          <w:p w14:paraId="3E6A86ED" w14:textId="77777777" w:rsidR="00FD1E19" w:rsidRDefault="00FD1E19" w:rsidP="00BE7E4A">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14:paraId="17C70559"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single" w:sz="4" w:space="0" w:color="000000"/>
              <w:right w:val="nil"/>
              <w:tl2br w:val="nil"/>
              <w:tr2bl w:val="nil"/>
            </w:tcBorders>
            <w:noWrap/>
            <w:tcMar>
              <w:left w:w="0" w:type="dxa"/>
              <w:right w:w="0" w:type="dxa"/>
            </w:tcMar>
            <w:vAlign w:val="bottom"/>
          </w:tcPr>
          <w:p w14:paraId="4924D33D" w14:textId="77777777" w:rsidR="00FD1E19" w:rsidRDefault="00FD1E19" w:rsidP="00BE7E4A">
            <w:pPr>
              <w:suppressAutoHyphens/>
              <w:rPr>
                <w:rFonts w:ascii="Arial" w:eastAsia="Arial" w:hAnsi="Arial" w:cs="Arial"/>
                <w:noProof/>
                <w:color w:val="000000"/>
                <w:lang w:eastAsia="ar-SA"/>
              </w:rPr>
            </w:pPr>
          </w:p>
        </w:tc>
        <w:tc>
          <w:tcPr>
            <w:tcW w:w="990" w:type="dxa"/>
            <w:tcBorders>
              <w:top w:val="nil"/>
              <w:left w:val="nil"/>
              <w:bottom w:val="single" w:sz="4" w:space="0" w:color="000000"/>
              <w:right w:val="nil"/>
              <w:tl2br w:val="nil"/>
              <w:tr2bl w:val="nil"/>
            </w:tcBorders>
            <w:noWrap/>
            <w:tcMar>
              <w:left w:w="0" w:type="dxa"/>
              <w:right w:w="0" w:type="dxa"/>
            </w:tcMar>
            <w:vAlign w:val="bottom"/>
          </w:tcPr>
          <w:p w14:paraId="24C8B5EF" w14:textId="77777777" w:rsidR="00FD1E19" w:rsidRDefault="00FD1E19" w:rsidP="00BE7E4A">
            <w:pPr>
              <w:suppressAutoHyphens/>
              <w:rPr>
                <w:rFonts w:ascii="Arial" w:eastAsia="Arial" w:hAnsi="Arial" w:cs="Arial"/>
                <w:noProof/>
                <w:color w:val="000000"/>
                <w:lang w:eastAsia="ar-SA"/>
              </w:rPr>
            </w:pPr>
          </w:p>
        </w:tc>
        <w:tc>
          <w:tcPr>
            <w:tcW w:w="960" w:type="dxa"/>
            <w:tcBorders>
              <w:top w:val="nil"/>
              <w:left w:val="nil"/>
              <w:bottom w:val="single" w:sz="4" w:space="0" w:color="000000"/>
              <w:right w:val="nil"/>
              <w:tl2br w:val="nil"/>
              <w:tr2bl w:val="nil"/>
            </w:tcBorders>
            <w:noWrap/>
            <w:tcMar>
              <w:left w:w="0" w:type="dxa"/>
              <w:right w:w="0" w:type="dxa"/>
            </w:tcMar>
            <w:vAlign w:val="bottom"/>
          </w:tcPr>
          <w:p w14:paraId="42F86572" w14:textId="77777777" w:rsidR="00FD1E19" w:rsidRDefault="00FD1E19" w:rsidP="00BE7E4A">
            <w:pPr>
              <w:suppressAutoHyphens/>
              <w:rPr>
                <w:rFonts w:ascii="Arial" w:eastAsia="Arial" w:hAnsi="Arial" w:cs="Arial"/>
                <w:noProof/>
                <w:color w:val="000000"/>
                <w:lang w:eastAsia="ar-SA"/>
              </w:rPr>
            </w:pPr>
          </w:p>
        </w:tc>
      </w:tr>
      <w:tr w:rsidR="00FD1E19" w14:paraId="7AE28B3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70"/>
        </w:trPr>
        <w:tc>
          <w:tcPr>
            <w:tcW w:w="4500" w:type="dxa"/>
            <w:tcBorders>
              <w:top w:val="single" w:sz="4" w:space="0" w:color="000000"/>
              <w:left w:val="nil"/>
              <w:bottom w:val="nil"/>
              <w:right w:val="nil"/>
              <w:tl2br w:val="nil"/>
              <w:tr2bl w:val="nil"/>
            </w:tcBorders>
            <w:tcMar>
              <w:left w:w="40" w:type="dxa"/>
              <w:right w:w="40" w:type="dxa"/>
            </w:tcMar>
            <w:vAlign w:val="center"/>
          </w:tcPr>
          <w:p w14:paraId="375F426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Maturity profile of non-derivative financial liabilities</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14:paraId="5C84251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 3 months or less</w:t>
            </w:r>
          </w:p>
        </w:tc>
        <w:tc>
          <w:tcPr>
            <w:tcW w:w="930" w:type="dxa"/>
            <w:vMerge w:val="restart"/>
            <w:tcBorders>
              <w:top w:val="single" w:sz="4" w:space="0" w:color="000000"/>
              <w:left w:val="nil"/>
              <w:bottom w:val="nil"/>
              <w:right w:val="nil"/>
              <w:tl2br w:val="nil"/>
              <w:tr2bl w:val="nil"/>
            </w:tcBorders>
            <w:tcMar>
              <w:left w:w="40" w:type="dxa"/>
              <w:right w:w="40" w:type="dxa"/>
            </w:tcMar>
            <w:vAlign w:val="center"/>
          </w:tcPr>
          <w:p w14:paraId="548FC6D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3 months to 1 year</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14:paraId="2ACCC82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1 year to 5 years</w:t>
            </w:r>
          </w:p>
        </w:tc>
        <w:tc>
          <w:tcPr>
            <w:tcW w:w="900" w:type="dxa"/>
            <w:vMerge w:val="restart"/>
            <w:tcBorders>
              <w:top w:val="single" w:sz="4" w:space="0" w:color="000000"/>
              <w:left w:val="nil"/>
              <w:bottom w:val="nil"/>
              <w:right w:val="nil"/>
              <w:tl2br w:val="nil"/>
              <w:tr2bl w:val="nil"/>
            </w:tcBorders>
            <w:tcMar>
              <w:left w:w="40" w:type="dxa"/>
              <w:right w:w="40" w:type="dxa"/>
            </w:tcMar>
            <w:vAlign w:val="center"/>
          </w:tcPr>
          <w:p w14:paraId="0D275F0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5 years</w:t>
            </w:r>
          </w:p>
        </w:tc>
        <w:tc>
          <w:tcPr>
            <w:tcW w:w="990" w:type="dxa"/>
            <w:vMerge w:val="restart"/>
            <w:tcBorders>
              <w:top w:val="single" w:sz="4" w:space="0" w:color="000000"/>
              <w:left w:val="nil"/>
              <w:bottom w:val="nil"/>
              <w:right w:val="nil"/>
              <w:tl2br w:val="nil"/>
              <w:tr2bl w:val="nil"/>
            </w:tcBorders>
            <w:tcMar>
              <w:left w:w="40" w:type="dxa"/>
              <w:right w:w="40" w:type="dxa"/>
            </w:tcMar>
            <w:vAlign w:val="center"/>
          </w:tcPr>
          <w:p w14:paraId="3A7567B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Maturity Undefined</w:t>
            </w:r>
          </w:p>
        </w:tc>
        <w:tc>
          <w:tcPr>
            <w:tcW w:w="960" w:type="dxa"/>
            <w:vMerge w:val="restart"/>
            <w:tcBorders>
              <w:top w:val="single" w:sz="4" w:space="0" w:color="000000"/>
              <w:left w:val="nil"/>
              <w:bottom w:val="nil"/>
              <w:right w:val="nil"/>
              <w:tl2br w:val="nil"/>
              <w:tr2bl w:val="nil"/>
            </w:tcBorders>
            <w:tcMar>
              <w:left w:w="40" w:type="dxa"/>
              <w:right w:w="40" w:type="dxa"/>
            </w:tcMar>
            <w:vAlign w:val="center"/>
          </w:tcPr>
          <w:p w14:paraId="4519691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Gross nominal outflow</w:t>
            </w:r>
          </w:p>
        </w:tc>
      </w:tr>
      <w:tr w:rsidR="00FD1E19" w14:paraId="050FB46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single" w:sz="4" w:space="0" w:color="000000"/>
              <w:right w:val="nil"/>
              <w:tl2br w:val="nil"/>
              <w:tr2bl w:val="nil"/>
            </w:tcBorders>
            <w:tcMar>
              <w:left w:w="40" w:type="dxa"/>
              <w:right w:w="40" w:type="dxa"/>
            </w:tcMar>
            <w:vAlign w:val="center"/>
          </w:tcPr>
          <w:p w14:paraId="6003F60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 as at 31.12.2024</w:t>
            </w:r>
          </w:p>
        </w:tc>
        <w:tc>
          <w:tcPr>
            <w:tcW w:w="960" w:type="dxa"/>
            <w:vMerge/>
            <w:tcBorders>
              <w:top w:val="nil"/>
              <w:left w:val="nil"/>
              <w:bottom w:val="single" w:sz="4" w:space="0" w:color="000000"/>
              <w:right w:val="nil"/>
              <w:tl2br w:val="nil"/>
              <w:tr2bl w:val="nil"/>
            </w:tcBorders>
            <w:tcMar>
              <w:left w:w="0" w:type="dxa"/>
              <w:right w:w="0" w:type="dxa"/>
            </w:tcMar>
            <w:vAlign w:val="center"/>
          </w:tcPr>
          <w:p w14:paraId="130343BE" w14:textId="77777777" w:rsidR="00FD1E19" w:rsidRDefault="00FD1E19" w:rsidP="00BE7E4A">
            <w:pPr>
              <w:suppressAutoHyphens/>
              <w:jc w:val="right"/>
              <w:rPr>
                <w:rFonts w:ascii="Arial" w:eastAsia="Arial" w:hAnsi="Arial" w:cs="Arial"/>
                <w:b/>
                <w:noProof/>
                <w:color w:val="000000"/>
                <w:sz w:val="16"/>
                <w:lang w:eastAsia="ar-SA"/>
              </w:rPr>
            </w:pPr>
          </w:p>
        </w:tc>
        <w:tc>
          <w:tcPr>
            <w:tcW w:w="930" w:type="dxa"/>
            <w:vMerge/>
            <w:tcBorders>
              <w:top w:val="nil"/>
              <w:left w:val="nil"/>
              <w:bottom w:val="single" w:sz="4" w:space="0" w:color="000000"/>
              <w:right w:val="nil"/>
              <w:tl2br w:val="nil"/>
              <w:tr2bl w:val="nil"/>
            </w:tcBorders>
            <w:tcMar>
              <w:left w:w="0" w:type="dxa"/>
              <w:right w:w="0" w:type="dxa"/>
            </w:tcMar>
            <w:vAlign w:val="center"/>
          </w:tcPr>
          <w:p w14:paraId="7F4A7C87"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14:paraId="67984332"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vMerge/>
            <w:tcBorders>
              <w:top w:val="nil"/>
              <w:left w:val="nil"/>
              <w:bottom w:val="single" w:sz="4" w:space="0" w:color="000000"/>
              <w:right w:val="nil"/>
              <w:tl2br w:val="nil"/>
              <w:tr2bl w:val="nil"/>
            </w:tcBorders>
            <w:tcMar>
              <w:left w:w="0" w:type="dxa"/>
              <w:right w:w="0" w:type="dxa"/>
            </w:tcMar>
            <w:vAlign w:val="center"/>
          </w:tcPr>
          <w:p w14:paraId="5756D49E" w14:textId="77777777" w:rsidR="00FD1E19" w:rsidRDefault="00FD1E19" w:rsidP="00BE7E4A">
            <w:pPr>
              <w:suppressAutoHyphens/>
              <w:jc w:val="right"/>
              <w:rPr>
                <w:rFonts w:ascii="Arial" w:eastAsia="Arial" w:hAnsi="Arial" w:cs="Arial"/>
                <w:b/>
                <w:noProof/>
                <w:color w:val="000000"/>
                <w:sz w:val="16"/>
                <w:lang w:eastAsia="ar-SA"/>
              </w:rPr>
            </w:pPr>
          </w:p>
        </w:tc>
        <w:tc>
          <w:tcPr>
            <w:tcW w:w="990" w:type="dxa"/>
            <w:vMerge/>
            <w:tcBorders>
              <w:top w:val="nil"/>
              <w:left w:val="nil"/>
              <w:bottom w:val="single" w:sz="4" w:space="0" w:color="000000"/>
              <w:right w:val="nil"/>
              <w:tl2br w:val="nil"/>
              <w:tr2bl w:val="nil"/>
            </w:tcBorders>
            <w:tcMar>
              <w:left w:w="0" w:type="dxa"/>
              <w:right w:w="0" w:type="dxa"/>
            </w:tcMar>
            <w:vAlign w:val="center"/>
          </w:tcPr>
          <w:p w14:paraId="39278A1D"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vMerge/>
            <w:tcBorders>
              <w:top w:val="nil"/>
              <w:left w:val="nil"/>
              <w:bottom w:val="single" w:sz="4" w:space="0" w:color="000000"/>
              <w:right w:val="nil"/>
              <w:tl2br w:val="nil"/>
              <w:tr2bl w:val="nil"/>
            </w:tcBorders>
            <w:tcMar>
              <w:left w:w="0" w:type="dxa"/>
              <w:right w:w="0" w:type="dxa"/>
            </w:tcMar>
            <w:vAlign w:val="center"/>
          </w:tcPr>
          <w:p w14:paraId="3CEA56C6"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23C16C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single" w:sz="4" w:space="0" w:color="000000"/>
              <w:left w:val="nil"/>
              <w:bottom w:val="nil"/>
              <w:right w:val="nil"/>
              <w:tl2br w:val="nil"/>
              <w:tr2bl w:val="nil"/>
            </w:tcBorders>
            <w:tcMar>
              <w:left w:w="40" w:type="dxa"/>
              <w:right w:w="40" w:type="dxa"/>
            </w:tcMar>
            <w:vAlign w:val="center"/>
          </w:tcPr>
          <w:p w14:paraId="4688E8C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committed but undisbursed loans</w:t>
            </w:r>
          </w:p>
        </w:tc>
        <w:tc>
          <w:tcPr>
            <w:tcW w:w="960" w:type="dxa"/>
            <w:tcBorders>
              <w:top w:val="single" w:sz="4" w:space="0" w:color="000000"/>
              <w:left w:val="nil"/>
              <w:bottom w:val="nil"/>
              <w:right w:val="nil"/>
              <w:tl2br w:val="nil"/>
              <w:tr2bl w:val="nil"/>
            </w:tcBorders>
            <w:tcMar>
              <w:left w:w="40" w:type="dxa"/>
              <w:right w:w="40" w:type="dxa"/>
            </w:tcMar>
            <w:vAlign w:val="center"/>
          </w:tcPr>
          <w:p w14:paraId="0D55E7F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80,913</w:t>
            </w:r>
          </w:p>
        </w:tc>
        <w:tc>
          <w:tcPr>
            <w:tcW w:w="930" w:type="dxa"/>
            <w:tcBorders>
              <w:top w:val="single" w:sz="4" w:space="0" w:color="000000"/>
              <w:left w:val="nil"/>
              <w:bottom w:val="nil"/>
              <w:right w:val="nil"/>
              <w:tl2br w:val="nil"/>
              <w:tr2bl w:val="nil"/>
            </w:tcBorders>
            <w:tcMar>
              <w:left w:w="40" w:type="dxa"/>
              <w:right w:w="40" w:type="dxa"/>
            </w:tcMar>
            <w:vAlign w:val="center"/>
          </w:tcPr>
          <w:p w14:paraId="33B0BCE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20,208</w:t>
            </w:r>
          </w:p>
        </w:tc>
        <w:tc>
          <w:tcPr>
            <w:tcW w:w="960" w:type="dxa"/>
            <w:tcBorders>
              <w:top w:val="single" w:sz="4" w:space="0" w:color="000000"/>
              <w:left w:val="nil"/>
              <w:bottom w:val="nil"/>
              <w:right w:val="nil"/>
              <w:tl2br w:val="nil"/>
              <w:tr2bl w:val="nil"/>
            </w:tcBorders>
            <w:tcMar>
              <w:left w:w="40" w:type="dxa"/>
              <w:right w:w="40" w:type="dxa"/>
            </w:tcMar>
            <w:vAlign w:val="center"/>
          </w:tcPr>
          <w:p w14:paraId="1E4AEEE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single" w:sz="4" w:space="0" w:color="000000"/>
              <w:left w:val="nil"/>
              <w:bottom w:val="nil"/>
              <w:right w:val="nil"/>
              <w:tl2br w:val="nil"/>
              <w:tr2bl w:val="nil"/>
            </w:tcBorders>
            <w:tcMar>
              <w:left w:w="40" w:type="dxa"/>
              <w:right w:w="40" w:type="dxa"/>
            </w:tcMar>
            <w:vAlign w:val="center"/>
          </w:tcPr>
          <w:p w14:paraId="3BBB4A9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single" w:sz="4" w:space="0" w:color="000000"/>
              <w:left w:val="nil"/>
              <w:bottom w:val="nil"/>
              <w:right w:val="nil"/>
              <w:tl2br w:val="nil"/>
              <w:tr2bl w:val="nil"/>
            </w:tcBorders>
            <w:tcMar>
              <w:left w:w="40" w:type="dxa"/>
              <w:right w:w="40" w:type="dxa"/>
            </w:tcMar>
            <w:vAlign w:val="center"/>
          </w:tcPr>
          <w:p w14:paraId="1B2856D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575,108</w:t>
            </w:r>
          </w:p>
        </w:tc>
        <w:tc>
          <w:tcPr>
            <w:tcW w:w="960" w:type="dxa"/>
            <w:tcBorders>
              <w:top w:val="single" w:sz="4" w:space="0" w:color="000000"/>
              <w:left w:val="nil"/>
              <w:bottom w:val="nil"/>
              <w:right w:val="nil"/>
              <w:tl2br w:val="nil"/>
              <w:tr2bl w:val="nil"/>
            </w:tcBorders>
            <w:tcMar>
              <w:left w:w="40" w:type="dxa"/>
              <w:right w:w="40" w:type="dxa"/>
            </w:tcMar>
            <w:vAlign w:val="center"/>
          </w:tcPr>
          <w:p w14:paraId="75978E5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676,229</w:t>
            </w:r>
          </w:p>
        </w:tc>
      </w:tr>
      <w:tr w:rsidR="00FD1E19" w14:paraId="73683AF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5"/>
        </w:trPr>
        <w:tc>
          <w:tcPr>
            <w:tcW w:w="4500" w:type="dxa"/>
            <w:tcBorders>
              <w:top w:val="nil"/>
              <w:left w:val="nil"/>
              <w:bottom w:val="nil"/>
              <w:right w:val="nil"/>
              <w:tl2br w:val="nil"/>
              <w:tr2bl w:val="nil"/>
            </w:tcBorders>
            <w:tcMar>
              <w:left w:w="40" w:type="dxa"/>
              <w:right w:w="40" w:type="dxa"/>
            </w:tcMar>
            <w:vAlign w:val="center"/>
          </w:tcPr>
          <w:p w14:paraId="6642268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committed investment funds and share subscription</w:t>
            </w:r>
          </w:p>
        </w:tc>
        <w:tc>
          <w:tcPr>
            <w:tcW w:w="960" w:type="dxa"/>
            <w:tcBorders>
              <w:top w:val="nil"/>
              <w:left w:val="nil"/>
              <w:bottom w:val="nil"/>
              <w:right w:val="nil"/>
              <w:tl2br w:val="nil"/>
              <w:tr2bl w:val="nil"/>
            </w:tcBorders>
            <w:tcMar>
              <w:left w:w="40" w:type="dxa"/>
              <w:right w:w="40" w:type="dxa"/>
            </w:tcMar>
            <w:vAlign w:val="center"/>
          </w:tcPr>
          <w:p w14:paraId="12CE0F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4,190</w:t>
            </w:r>
          </w:p>
        </w:tc>
        <w:tc>
          <w:tcPr>
            <w:tcW w:w="930" w:type="dxa"/>
            <w:tcBorders>
              <w:top w:val="nil"/>
              <w:left w:val="nil"/>
              <w:bottom w:val="nil"/>
              <w:right w:val="nil"/>
              <w:tl2br w:val="nil"/>
              <w:tr2bl w:val="nil"/>
            </w:tcBorders>
            <w:tcMar>
              <w:left w:w="40" w:type="dxa"/>
              <w:right w:w="40" w:type="dxa"/>
            </w:tcMar>
            <w:vAlign w:val="center"/>
          </w:tcPr>
          <w:p w14:paraId="0626E39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1CF4FA3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7D2F96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25AD7EC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233,696</w:t>
            </w:r>
          </w:p>
        </w:tc>
        <w:tc>
          <w:tcPr>
            <w:tcW w:w="960" w:type="dxa"/>
            <w:tcBorders>
              <w:top w:val="nil"/>
              <w:left w:val="nil"/>
              <w:bottom w:val="nil"/>
              <w:right w:val="nil"/>
              <w:tl2br w:val="nil"/>
              <w:tr2bl w:val="nil"/>
            </w:tcBorders>
            <w:tcMar>
              <w:left w:w="40" w:type="dxa"/>
              <w:right w:w="40" w:type="dxa"/>
            </w:tcMar>
            <w:vAlign w:val="center"/>
          </w:tcPr>
          <w:p w14:paraId="0BE5367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237,886</w:t>
            </w:r>
          </w:p>
        </w:tc>
      </w:tr>
      <w:tr w:rsidR="00FD1E19" w14:paraId="3DACAC3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00AB029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Others (signed non-issued guarantees, issued guarantees)</w:t>
            </w:r>
          </w:p>
        </w:tc>
        <w:tc>
          <w:tcPr>
            <w:tcW w:w="960" w:type="dxa"/>
            <w:tcBorders>
              <w:top w:val="nil"/>
              <w:left w:val="nil"/>
              <w:bottom w:val="nil"/>
              <w:right w:val="nil"/>
              <w:tl2br w:val="nil"/>
              <w:tr2bl w:val="nil"/>
            </w:tcBorders>
            <w:tcMar>
              <w:left w:w="40" w:type="dxa"/>
              <w:right w:w="40" w:type="dxa"/>
            </w:tcMar>
            <w:vAlign w:val="center"/>
          </w:tcPr>
          <w:p w14:paraId="3B8FA4F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30" w:type="dxa"/>
            <w:tcBorders>
              <w:top w:val="nil"/>
              <w:left w:val="nil"/>
              <w:bottom w:val="nil"/>
              <w:right w:val="nil"/>
              <w:tl2br w:val="nil"/>
              <w:tr2bl w:val="nil"/>
            </w:tcBorders>
            <w:tcMar>
              <w:left w:w="40" w:type="dxa"/>
              <w:right w:w="40" w:type="dxa"/>
            </w:tcMar>
            <w:vAlign w:val="center"/>
          </w:tcPr>
          <w:p w14:paraId="10B7609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6602024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761F6F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2EF37A0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c>
          <w:tcPr>
            <w:tcW w:w="960" w:type="dxa"/>
            <w:tcBorders>
              <w:top w:val="nil"/>
              <w:left w:val="nil"/>
              <w:bottom w:val="nil"/>
              <w:right w:val="nil"/>
              <w:tl2br w:val="nil"/>
              <w:tr2bl w:val="nil"/>
            </w:tcBorders>
            <w:tcMar>
              <w:left w:w="40" w:type="dxa"/>
              <w:right w:w="40" w:type="dxa"/>
            </w:tcMar>
            <w:vAlign w:val="center"/>
          </w:tcPr>
          <w:p w14:paraId="4D9DE6D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r>
      <w:tr w:rsidR="00FD1E19" w14:paraId="12771FB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24571D4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Outflows for committed interest subsidies</w:t>
            </w:r>
          </w:p>
        </w:tc>
        <w:tc>
          <w:tcPr>
            <w:tcW w:w="960" w:type="dxa"/>
            <w:tcBorders>
              <w:top w:val="nil"/>
              <w:left w:val="nil"/>
              <w:bottom w:val="nil"/>
              <w:right w:val="nil"/>
              <w:tl2br w:val="nil"/>
              <w:tr2bl w:val="nil"/>
            </w:tcBorders>
            <w:tcMar>
              <w:left w:w="40" w:type="dxa"/>
              <w:right w:w="40" w:type="dxa"/>
            </w:tcMar>
            <w:vAlign w:val="center"/>
          </w:tcPr>
          <w:p w14:paraId="3D0B3D8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30" w:type="dxa"/>
            <w:tcBorders>
              <w:top w:val="nil"/>
              <w:left w:val="nil"/>
              <w:bottom w:val="nil"/>
              <w:right w:val="nil"/>
              <w:tl2br w:val="nil"/>
              <w:tr2bl w:val="nil"/>
            </w:tcBorders>
            <w:tcMar>
              <w:left w:w="40" w:type="dxa"/>
              <w:right w:w="40" w:type="dxa"/>
            </w:tcMar>
            <w:vAlign w:val="center"/>
          </w:tcPr>
          <w:p w14:paraId="734547B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43DD8D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259A91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35CE502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334,754</w:t>
            </w:r>
          </w:p>
        </w:tc>
        <w:tc>
          <w:tcPr>
            <w:tcW w:w="960" w:type="dxa"/>
            <w:tcBorders>
              <w:top w:val="nil"/>
              <w:left w:val="nil"/>
              <w:bottom w:val="nil"/>
              <w:right w:val="nil"/>
              <w:tl2br w:val="nil"/>
              <w:tr2bl w:val="nil"/>
            </w:tcBorders>
            <w:tcMar>
              <w:left w:w="40" w:type="dxa"/>
              <w:right w:w="40" w:type="dxa"/>
            </w:tcMar>
            <w:vAlign w:val="center"/>
          </w:tcPr>
          <w:p w14:paraId="46E6772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334,754</w:t>
            </w:r>
          </w:p>
        </w:tc>
      </w:tr>
      <w:tr w:rsidR="00FD1E19" w14:paraId="38D2254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tcMar>
              <w:left w:w="40" w:type="dxa"/>
              <w:right w:w="40" w:type="dxa"/>
            </w:tcMar>
            <w:vAlign w:val="center"/>
          </w:tcPr>
          <w:p w14:paraId="7F07861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Outflows for committed TA </w:t>
            </w:r>
          </w:p>
        </w:tc>
        <w:tc>
          <w:tcPr>
            <w:tcW w:w="960" w:type="dxa"/>
            <w:tcBorders>
              <w:top w:val="nil"/>
              <w:left w:val="nil"/>
              <w:bottom w:val="nil"/>
              <w:right w:val="nil"/>
              <w:tl2br w:val="nil"/>
              <w:tr2bl w:val="nil"/>
            </w:tcBorders>
            <w:tcMar>
              <w:left w:w="40" w:type="dxa"/>
              <w:right w:w="40" w:type="dxa"/>
            </w:tcMar>
            <w:vAlign w:val="center"/>
          </w:tcPr>
          <w:p w14:paraId="5EAF1F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1,859</w:t>
            </w:r>
          </w:p>
        </w:tc>
        <w:tc>
          <w:tcPr>
            <w:tcW w:w="930" w:type="dxa"/>
            <w:tcBorders>
              <w:top w:val="nil"/>
              <w:left w:val="nil"/>
              <w:bottom w:val="nil"/>
              <w:right w:val="nil"/>
              <w:tl2br w:val="nil"/>
              <w:tr2bl w:val="nil"/>
            </w:tcBorders>
            <w:tcMar>
              <w:left w:w="40" w:type="dxa"/>
              <w:right w:w="40" w:type="dxa"/>
            </w:tcMar>
            <w:vAlign w:val="center"/>
          </w:tcPr>
          <w:p w14:paraId="7F68BAB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60" w:type="dxa"/>
            <w:tcBorders>
              <w:top w:val="nil"/>
              <w:left w:val="nil"/>
              <w:bottom w:val="nil"/>
              <w:right w:val="nil"/>
              <w:tl2br w:val="nil"/>
              <w:tr2bl w:val="nil"/>
            </w:tcBorders>
            <w:tcMar>
              <w:left w:w="40" w:type="dxa"/>
              <w:right w:w="40" w:type="dxa"/>
            </w:tcMar>
            <w:vAlign w:val="center"/>
          </w:tcPr>
          <w:p w14:paraId="6FCFBC5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0F7A63D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90" w:type="dxa"/>
            <w:tcBorders>
              <w:top w:val="nil"/>
              <w:left w:val="nil"/>
              <w:bottom w:val="nil"/>
              <w:right w:val="nil"/>
              <w:tl2br w:val="nil"/>
              <w:tr2bl w:val="nil"/>
            </w:tcBorders>
            <w:tcMar>
              <w:left w:w="40" w:type="dxa"/>
              <w:right w:w="40" w:type="dxa"/>
            </w:tcMar>
            <w:vAlign w:val="center"/>
          </w:tcPr>
          <w:p w14:paraId="655565D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18,341</w:t>
            </w:r>
          </w:p>
        </w:tc>
        <w:tc>
          <w:tcPr>
            <w:tcW w:w="960" w:type="dxa"/>
            <w:tcBorders>
              <w:top w:val="nil"/>
              <w:left w:val="nil"/>
              <w:bottom w:val="nil"/>
              <w:right w:val="nil"/>
              <w:tl2br w:val="nil"/>
              <w:tr2bl w:val="nil"/>
            </w:tcBorders>
            <w:tcMar>
              <w:left w:w="40" w:type="dxa"/>
              <w:right w:w="40" w:type="dxa"/>
            </w:tcMar>
            <w:vAlign w:val="center"/>
          </w:tcPr>
          <w:p w14:paraId="18315D3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20,200</w:t>
            </w:r>
          </w:p>
        </w:tc>
      </w:tr>
      <w:tr w:rsidR="00FD1E19" w14:paraId="216FE5F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500" w:type="dxa"/>
            <w:tcBorders>
              <w:top w:val="nil"/>
              <w:left w:val="nil"/>
              <w:bottom w:val="nil"/>
              <w:right w:val="nil"/>
              <w:tl2br w:val="nil"/>
              <w:tr2bl w:val="nil"/>
            </w:tcBorders>
            <w:shd w:val="clear" w:color="FFFFFF" w:fill="C0C0C0"/>
            <w:tcMar>
              <w:left w:w="40" w:type="dxa"/>
              <w:right w:w="40" w:type="dxa"/>
            </w:tcMar>
            <w:vAlign w:val="center"/>
          </w:tcPr>
          <w:p w14:paraId="70EDF3C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960" w:type="dxa"/>
            <w:tcBorders>
              <w:top w:val="nil"/>
              <w:left w:val="nil"/>
              <w:bottom w:val="nil"/>
              <w:right w:val="nil"/>
              <w:tl2br w:val="nil"/>
              <w:tr2bl w:val="nil"/>
            </w:tcBorders>
            <w:shd w:val="clear" w:color="FFFFFF" w:fill="C0C0C0"/>
            <w:tcMar>
              <w:left w:w="40" w:type="dxa"/>
              <w:right w:w="40" w:type="dxa"/>
            </w:tcMar>
            <w:vAlign w:val="center"/>
          </w:tcPr>
          <w:p w14:paraId="73AD2BD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86,962</w:t>
            </w:r>
          </w:p>
        </w:tc>
        <w:tc>
          <w:tcPr>
            <w:tcW w:w="930" w:type="dxa"/>
            <w:tcBorders>
              <w:top w:val="nil"/>
              <w:left w:val="nil"/>
              <w:bottom w:val="nil"/>
              <w:right w:val="nil"/>
              <w:tl2br w:val="nil"/>
              <w:tr2bl w:val="nil"/>
            </w:tcBorders>
            <w:shd w:val="clear" w:color="FFFFFF" w:fill="C0C0C0"/>
            <w:tcMar>
              <w:left w:w="40" w:type="dxa"/>
              <w:right w:w="40" w:type="dxa"/>
            </w:tcMar>
            <w:vAlign w:val="center"/>
          </w:tcPr>
          <w:p w14:paraId="5577091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20,208</w:t>
            </w:r>
          </w:p>
        </w:tc>
        <w:tc>
          <w:tcPr>
            <w:tcW w:w="960" w:type="dxa"/>
            <w:tcBorders>
              <w:top w:val="nil"/>
              <w:left w:val="nil"/>
              <w:bottom w:val="nil"/>
              <w:right w:val="nil"/>
              <w:tl2br w:val="nil"/>
              <w:tr2bl w:val="nil"/>
            </w:tcBorders>
            <w:shd w:val="clear" w:color="FFFFFF" w:fill="C0C0C0"/>
            <w:tcMar>
              <w:left w:w="40" w:type="dxa"/>
              <w:right w:w="40" w:type="dxa"/>
            </w:tcMar>
            <w:vAlign w:val="center"/>
          </w:tcPr>
          <w:p w14:paraId="52A5275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nil"/>
              <w:left w:val="nil"/>
              <w:bottom w:val="nil"/>
              <w:right w:val="nil"/>
              <w:tl2br w:val="nil"/>
              <w:tr2bl w:val="nil"/>
            </w:tcBorders>
            <w:shd w:val="clear" w:color="FFFFFF" w:fill="C0C0C0"/>
            <w:tcMar>
              <w:left w:w="40" w:type="dxa"/>
              <w:right w:w="40" w:type="dxa"/>
            </w:tcMar>
            <w:vAlign w:val="center"/>
          </w:tcPr>
          <w:p w14:paraId="24E379A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90" w:type="dxa"/>
            <w:tcBorders>
              <w:top w:val="nil"/>
              <w:left w:val="nil"/>
              <w:bottom w:val="nil"/>
              <w:right w:val="nil"/>
              <w:tl2br w:val="nil"/>
              <w:tr2bl w:val="nil"/>
            </w:tcBorders>
            <w:shd w:val="clear" w:color="FFFFFF" w:fill="C0C0C0"/>
            <w:tcMar>
              <w:left w:w="40" w:type="dxa"/>
              <w:right w:w="40" w:type="dxa"/>
            </w:tcMar>
            <w:vAlign w:val="center"/>
          </w:tcPr>
          <w:p w14:paraId="45BF640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1,164,399</w:t>
            </w:r>
          </w:p>
        </w:tc>
        <w:tc>
          <w:tcPr>
            <w:tcW w:w="960" w:type="dxa"/>
            <w:tcBorders>
              <w:top w:val="nil"/>
              <w:left w:val="nil"/>
              <w:bottom w:val="nil"/>
              <w:right w:val="nil"/>
              <w:tl2br w:val="nil"/>
              <w:tr2bl w:val="nil"/>
            </w:tcBorders>
            <w:shd w:val="clear" w:color="FFFFFF" w:fill="C0C0C0"/>
            <w:tcMar>
              <w:left w:w="40" w:type="dxa"/>
              <w:right w:w="40" w:type="dxa"/>
            </w:tcMar>
            <w:vAlign w:val="center"/>
          </w:tcPr>
          <w:p w14:paraId="5A6CF7E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1,271,569</w:t>
            </w:r>
          </w:p>
        </w:tc>
      </w:tr>
      <w:tr w:rsidR="00FD1E19" w14:paraId="10FA590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tcMar>
              <w:left w:w="0" w:type="dxa"/>
              <w:right w:w="0" w:type="dxa"/>
            </w:tcMar>
            <w:vAlign w:val="center"/>
          </w:tcPr>
          <w:p w14:paraId="5CD6D8CD" w14:textId="77777777" w:rsidR="00FD1E19" w:rsidRDefault="00FD1E19" w:rsidP="00BE7E4A">
            <w:pPr>
              <w:suppressAutoHyphens/>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14:paraId="39480BA9" w14:textId="77777777" w:rsidR="00FD1E19" w:rsidRDefault="00FD1E19" w:rsidP="00BE7E4A">
            <w:pPr>
              <w:suppressAutoHyphens/>
              <w:jc w:val="right"/>
              <w:rPr>
                <w:rFonts w:ascii="Arial" w:eastAsia="Arial" w:hAnsi="Arial" w:cs="Arial"/>
                <w:b/>
                <w:noProof/>
                <w:color w:val="000000"/>
                <w:sz w:val="16"/>
                <w:lang w:eastAsia="ar-SA"/>
              </w:rPr>
            </w:pPr>
          </w:p>
        </w:tc>
        <w:tc>
          <w:tcPr>
            <w:tcW w:w="930" w:type="dxa"/>
            <w:tcBorders>
              <w:top w:val="nil"/>
              <w:left w:val="nil"/>
              <w:bottom w:val="nil"/>
              <w:right w:val="nil"/>
              <w:tl2br w:val="nil"/>
              <w:tr2bl w:val="nil"/>
            </w:tcBorders>
            <w:tcMar>
              <w:left w:w="0" w:type="dxa"/>
              <w:right w:w="0" w:type="dxa"/>
            </w:tcMar>
            <w:vAlign w:val="center"/>
          </w:tcPr>
          <w:p w14:paraId="1BF42E69"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14:paraId="01A527B9"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tcMar>
              <w:left w:w="0" w:type="dxa"/>
              <w:right w:w="0" w:type="dxa"/>
            </w:tcMar>
            <w:vAlign w:val="center"/>
          </w:tcPr>
          <w:p w14:paraId="37F192D0" w14:textId="77777777" w:rsidR="00FD1E19" w:rsidRDefault="00FD1E19" w:rsidP="00BE7E4A">
            <w:pPr>
              <w:suppressAutoHyphens/>
              <w:jc w:val="right"/>
              <w:rPr>
                <w:rFonts w:ascii="Arial" w:eastAsia="Arial" w:hAnsi="Arial" w:cs="Arial"/>
                <w:b/>
                <w:noProof/>
                <w:color w:val="000000"/>
                <w:sz w:val="16"/>
                <w:lang w:eastAsia="ar-SA"/>
              </w:rPr>
            </w:pPr>
          </w:p>
        </w:tc>
        <w:tc>
          <w:tcPr>
            <w:tcW w:w="990" w:type="dxa"/>
            <w:tcBorders>
              <w:top w:val="nil"/>
              <w:left w:val="nil"/>
              <w:bottom w:val="nil"/>
              <w:right w:val="nil"/>
              <w:tl2br w:val="nil"/>
              <w:tr2bl w:val="nil"/>
            </w:tcBorders>
            <w:tcMar>
              <w:left w:w="0" w:type="dxa"/>
              <w:right w:w="0" w:type="dxa"/>
            </w:tcMar>
            <w:vAlign w:val="center"/>
          </w:tcPr>
          <w:p w14:paraId="499A0EA7"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14:paraId="363100D9"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06C2A1A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tcMar>
              <w:left w:w="0" w:type="dxa"/>
              <w:right w:w="0" w:type="dxa"/>
            </w:tcMar>
            <w:vAlign w:val="center"/>
          </w:tcPr>
          <w:p w14:paraId="6F3727DA" w14:textId="77777777" w:rsidR="00FD1E19" w:rsidRDefault="00FD1E19" w:rsidP="00BE7E4A">
            <w:pPr>
              <w:suppressAutoHyphens/>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14:paraId="3200D81F" w14:textId="77777777" w:rsidR="00FD1E19" w:rsidRDefault="00FD1E19" w:rsidP="00BE7E4A">
            <w:pPr>
              <w:suppressAutoHyphens/>
              <w:jc w:val="right"/>
              <w:rPr>
                <w:rFonts w:ascii="Arial" w:eastAsia="Arial" w:hAnsi="Arial" w:cs="Arial"/>
                <w:b/>
                <w:noProof/>
                <w:color w:val="000000"/>
                <w:sz w:val="16"/>
                <w:lang w:eastAsia="ar-SA"/>
              </w:rPr>
            </w:pPr>
          </w:p>
        </w:tc>
        <w:tc>
          <w:tcPr>
            <w:tcW w:w="930" w:type="dxa"/>
            <w:tcBorders>
              <w:top w:val="nil"/>
              <w:left w:val="nil"/>
              <w:bottom w:val="nil"/>
              <w:right w:val="nil"/>
              <w:tl2br w:val="nil"/>
              <w:tr2bl w:val="nil"/>
            </w:tcBorders>
            <w:tcMar>
              <w:left w:w="0" w:type="dxa"/>
              <w:right w:w="0" w:type="dxa"/>
            </w:tcMar>
            <w:vAlign w:val="center"/>
          </w:tcPr>
          <w:p w14:paraId="656FF5E6"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14:paraId="13397430"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tcMar>
              <w:left w:w="0" w:type="dxa"/>
              <w:right w:w="0" w:type="dxa"/>
            </w:tcMar>
            <w:vAlign w:val="center"/>
          </w:tcPr>
          <w:p w14:paraId="1E2B240A" w14:textId="77777777" w:rsidR="00FD1E19" w:rsidRDefault="00FD1E19" w:rsidP="00BE7E4A">
            <w:pPr>
              <w:suppressAutoHyphens/>
              <w:jc w:val="right"/>
              <w:rPr>
                <w:rFonts w:ascii="Arial" w:eastAsia="Arial" w:hAnsi="Arial" w:cs="Arial"/>
                <w:b/>
                <w:noProof/>
                <w:color w:val="000000"/>
                <w:sz w:val="16"/>
                <w:lang w:eastAsia="ar-SA"/>
              </w:rPr>
            </w:pPr>
          </w:p>
        </w:tc>
        <w:tc>
          <w:tcPr>
            <w:tcW w:w="990" w:type="dxa"/>
            <w:tcBorders>
              <w:top w:val="nil"/>
              <w:left w:val="nil"/>
              <w:bottom w:val="nil"/>
              <w:right w:val="nil"/>
              <w:tl2br w:val="nil"/>
              <w:tr2bl w:val="nil"/>
            </w:tcBorders>
            <w:tcMar>
              <w:left w:w="0" w:type="dxa"/>
              <w:right w:w="0" w:type="dxa"/>
            </w:tcMar>
            <w:vAlign w:val="center"/>
          </w:tcPr>
          <w:p w14:paraId="78125BDC" w14:textId="77777777" w:rsidR="00FD1E19" w:rsidRDefault="00FD1E19" w:rsidP="00BE7E4A">
            <w:pPr>
              <w:suppressAutoHyphens/>
              <w:jc w:val="right"/>
              <w:rPr>
                <w:rFonts w:ascii="Arial" w:eastAsia="Arial" w:hAnsi="Arial" w:cs="Arial"/>
                <w:b/>
                <w:noProof/>
                <w:color w:val="000000"/>
                <w:sz w:val="16"/>
                <w:lang w:eastAsia="ar-SA"/>
              </w:rPr>
            </w:pPr>
          </w:p>
        </w:tc>
        <w:tc>
          <w:tcPr>
            <w:tcW w:w="960" w:type="dxa"/>
            <w:tcBorders>
              <w:top w:val="nil"/>
              <w:left w:val="nil"/>
              <w:bottom w:val="nil"/>
              <w:right w:val="nil"/>
              <w:tl2br w:val="nil"/>
              <w:tr2bl w:val="nil"/>
            </w:tcBorders>
            <w:tcMar>
              <w:left w:w="0" w:type="dxa"/>
              <w:right w:w="0" w:type="dxa"/>
            </w:tcMar>
            <w:vAlign w:val="center"/>
          </w:tcPr>
          <w:p w14:paraId="735B0B05" w14:textId="77777777" w:rsidR="00FD1E19" w:rsidRDefault="00FD1E19" w:rsidP="00BE7E4A">
            <w:pPr>
              <w:suppressAutoHyphens/>
              <w:jc w:val="right"/>
              <w:rPr>
                <w:rFonts w:ascii="Arial" w:eastAsia="Arial" w:hAnsi="Arial" w:cs="Arial"/>
                <w:b/>
                <w:noProof/>
                <w:color w:val="000000"/>
                <w:sz w:val="16"/>
                <w:lang w:eastAsia="ar-SA"/>
              </w:rPr>
            </w:pPr>
          </w:p>
        </w:tc>
      </w:tr>
    </w:tbl>
    <w:tbl>
      <w:tblPr>
        <w:tblStyle w:val="CDMRange2"/>
        <w:tblW w:w="5000" w:type="pct"/>
        <w:tblLayout w:type="fixed"/>
        <w:tblLook w:val="0600" w:firstRow="0" w:lastRow="0" w:firstColumn="0" w:lastColumn="0" w:noHBand="1" w:noVBand="1"/>
      </w:tblPr>
      <w:tblGrid>
        <w:gridCol w:w="3919"/>
        <w:gridCol w:w="1159"/>
        <w:gridCol w:w="1160"/>
        <w:gridCol w:w="1160"/>
        <w:gridCol w:w="1160"/>
        <w:gridCol w:w="1160"/>
      </w:tblGrid>
      <w:tr w:rsidR="00FD1E19" w14:paraId="68B208DA" w14:textId="77777777" w:rsidTr="00BE7E4A">
        <w:trPr>
          <w:trHeight w:hRule="exact" w:val="559"/>
        </w:trPr>
        <w:tc>
          <w:tcPr>
            <w:tcW w:w="4065" w:type="dxa"/>
            <w:tcBorders>
              <w:top w:val="single" w:sz="4" w:space="0" w:color="000000"/>
              <w:left w:val="nil"/>
              <w:bottom w:val="nil"/>
              <w:right w:val="nil"/>
              <w:tl2br w:val="nil"/>
              <w:tr2bl w:val="nil"/>
            </w:tcBorders>
            <w:tcMar>
              <w:left w:w="40" w:type="dxa"/>
              <w:right w:w="40" w:type="dxa"/>
            </w:tcMar>
            <w:vAlign w:val="center"/>
          </w:tcPr>
          <w:p w14:paraId="73C02742" w14:textId="77777777" w:rsidR="00FD1E19" w:rsidRDefault="00FD1E19" w:rsidP="00BE7E4A">
            <w:pPr>
              <w:suppressAutoHyphens/>
              <w:rPr>
                <w:rFonts w:ascii="Arial" w:eastAsia="Arial" w:hAnsi="Arial" w:cs="Arial"/>
                <w:b/>
                <w:noProof/>
                <w:color w:val="000000"/>
                <w:sz w:val="16"/>
                <w:lang w:eastAsia="ar-SA"/>
              </w:rPr>
            </w:pPr>
            <w:bookmarkStart w:id="255" w:name="RG_MARKER_90137"/>
            <w:r>
              <w:rPr>
                <w:rFonts w:ascii="Arial" w:eastAsia="Arial" w:hAnsi="Arial" w:cs="Arial"/>
                <w:b/>
                <w:noProof/>
                <w:color w:val="000000"/>
                <w:sz w:val="16"/>
                <w:lang w:eastAsia="ar-SA"/>
              </w:rPr>
              <w:t>Maturity profile of derivative financial liabilities</w:t>
            </w:r>
            <w:bookmarkEnd w:id="255"/>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2DAEF38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 3 months or less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2BC1794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3 months to 1 year</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38558C1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1 year to 5 years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44EBB07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5 years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20DD668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Gross nominal inflow/outflow</w:t>
            </w:r>
          </w:p>
        </w:tc>
      </w:tr>
      <w:tr w:rsidR="00FD1E19" w14:paraId="38EB457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single" w:sz="4" w:space="0" w:color="000000"/>
              <w:right w:val="nil"/>
              <w:tl2br w:val="nil"/>
              <w:tr2bl w:val="nil"/>
            </w:tcBorders>
            <w:tcMar>
              <w:left w:w="40" w:type="dxa"/>
              <w:right w:w="40" w:type="dxa"/>
            </w:tcMar>
            <w:vAlign w:val="center"/>
          </w:tcPr>
          <w:p w14:paraId="110A708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 as at 31.12.2025</w:t>
            </w:r>
          </w:p>
        </w:tc>
        <w:tc>
          <w:tcPr>
            <w:tcW w:w="1200" w:type="dxa"/>
            <w:vMerge/>
            <w:tcBorders>
              <w:top w:val="nil"/>
              <w:left w:val="nil"/>
              <w:bottom w:val="single" w:sz="4" w:space="0" w:color="000000"/>
              <w:right w:val="nil"/>
              <w:tl2br w:val="nil"/>
              <w:tr2bl w:val="nil"/>
            </w:tcBorders>
            <w:tcMar>
              <w:left w:w="0" w:type="dxa"/>
              <w:right w:w="0" w:type="dxa"/>
            </w:tcMar>
            <w:vAlign w:val="center"/>
          </w:tcPr>
          <w:p w14:paraId="588CDDDD"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2F283ECE"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35FE1E4F"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70DD7C63"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7BF9CAF0"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89F713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34D4857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CCS and CCIRS – Inflows</w:t>
            </w:r>
          </w:p>
        </w:tc>
        <w:tc>
          <w:tcPr>
            <w:tcW w:w="1200" w:type="dxa"/>
            <w:tcBorders>
              <w:top w:val="single" w:sz="4" w:space="0" w:color="000000"/>
              <w:left w:val="nil"/>
              <w:bottom w:val="nil"/>
              <w:right w:val="nil"/>
              <w:tl2br w:val="nil"/>
              <w:tr2bl w:val="nil"/>
            </w:tcBorders>
            <w:tcMar>
              <w:left w:w="40" w:type="dxa"/>
              <w:right w:w="40" w:type="dxa"/>
            </w:tcMar>
            <w:vAlign w:val="center"/>
          </w:tcPr>
          <w:p w14:paraId="5811695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131</w:t>
            </w:r>
          </w:p>
        </w:tc>
        <w:tc>
          <w:tcPr>
            <w:tcW w:w="1200" w:type="dxa"/>
            <w:tcBorders>
              <w:top w:val="single" w:sz="4" w:space="0" w:color="000000"/>
              <w:left w:val="nil"/>
              <w:bottom w:val="nil"/>
              <w:right w:val="nil"/>
              <w:tl2br w:val="nil"/>
              <w:tr2bl w:val="nil"/>
            </w:tcBorders>
            <w:tcMar>
              <w:left w:w="40" w:type="dxa"/>
              <w:right w:w="40" w:type="dxa"/>
            </w:tcMar>
            <w:vAlign w:val="center"/>
          </w:tcPr>
          <w:p w14:paraId="2F032E8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10,242</w:t>
            </w:r>
          </w:p>
        </w:tc>
        <w:tc>
          <w:tcPr>
            <w:tcW w:w="1200" w:type="dxa"/>
            <w:tcBorders>
              <w:top w:val="single" w:sz="4" w:space="0" w:color="000000"/>
              <w:left w:val="nil"/>
              <w:bottom w:val="nil"/>
              <w:right w:val="nil"/>
              <w:tl2br w:val="nil"/>
              <w:tr2bl w:val="nil"/>
            </w:tcBorders>
            <w:tcMar>
              <w:left w:w="40" w:type="dxa"/>
              <w:right w:w="40" w:type="dxa"/>
            </w:tcMar>
            <w:vAlign w:val="center"/>
          </w:tcPr>
          <w:p w14:paraId="281C0D6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13,126</w:t>
            </w:r>
          </w:p>
        </w:tc>
        <w:tc>
          <w:tcPr>
            <w:tcW w:w="1200" w:type="dxa"/>
            <w:tcBorders>
              <w:top w:val="single" w:sz="4" w:space="0" w:color="000000"/>
              <w:left w:val="nil"/>
              <w:bottom w:val="nil"/>
              <w:right w:val="nil"/>
              <w:tl2br w:val="nil"/>
              <w:tr2bl w:val="nil"/>
            </w:tcBorders>
            <w:tcMar>
              <w:left w:w="40" w:type="dxa"/>
              <w:right w:w="40" w:type="dxa"/>
            </w:tcMar>
            <w:vAlign w:val="center"/>
          </w:tcPr>
          <w:p w14:paraId="573A78D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793A9CD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23,499</w:t>
            </w:r>
          </w:p>
        </w:tc>
      </w:tr>
      <w:tr w:rsidR="00FD1E19" w14:paraId="71046A0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14:paraId="77C7431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CCS and CCIRS – Outflows</w:t>
            </w:r>
          </w:p>
        </w:tc>
        <w:tc>
          <w:tcPr>
            <w:tcW w:w="1200" w:type="dxa"/>
            <w:tcBorders>
              <w:top w:val="nil"/>
              <w:left w:val="nil"/>
              <w:bottom w:val="nil"/>
              <w:right w:val="nil"/>
              <w:tl2br w:val="nil"/>
              <w:tr2bl w:val="nil"/>
            </w:tcBorders>
            <w:tcMar>
              <w:left w:w="40" w:type="dxa"/>
              <w:right w:w="40" w:type="dxa"/>
            </w:tcMar>
            <w:vAlign w:val="center"/>
          </w:tcPr>
          <w:p w14:paraId="3265A9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-81</w:t>
            </w:r>
          </w:p>
        </w:tc>
        <w:tc>
          <w:tcPr>
            <w:tcW w:w="1200" w:type="dxa"/>
            <w:tcBorders>
              <w:top w:val="nil"/>
              <w:left w:val="nil"/>
              <w:bottom w:val="nil"/>
              <w:right w:val="nil"/>
              <w:tl2br w:val="nil"/>
              <w:tr2bl w:val="nil"/>
            </w:tcBorders>
            <w:tcMar>
              <w:left w:w="40" w:type="dxa"/>
              <w:right w:w="40" w:type="dxa"/>
            </w:tcMar>
            <w:vAlign w:val="center"/>
          </w:tcPr>
          <w:p w14:paraId="012C9B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-10,451</w:t>
            </w:r>
          </w:p>
        </w:tc>
        <w:tc>
          <w:tcPr>
            <w:tcW w:w="1200" w:type="dxa"/>
            <w:tcBorders>
              <w:top w:val="nil"/>
              <w:left w:val="nil"/>
              <w:bottom w:val="nil"/>
              <w:right w:val="nil"/>
              <w:tl2br w:val="nil"/>
              <w:tr2bl w:val="nil"/>
            </w:tcBorders>
            <w:tcMar>
              <w:left w:w="40" w:type="dxa"/>
              <w:right w:w="40" w:type="dxa"/>
            </w:tcMar>
            <w:vAlign w:val="center"/>
          </w:tcPr>
          <w:p w14:paraId="275F555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-13,026</w:t>
            </w:r>
          </w:p>
        </w:tc>
        <w:tc>
          <w:tcPr>
            <w:tcW w:w="1200" w:type="dxa"/>
            <w:tcBorders>
              <w:top w:val="nil"/>
              <w:left w:val="nil"/>
              <w:bottom w:val="nil"/>
              <w:right w:val="nil"/>
              <w:tl2br w:val="nil"/>
              <w:tr2bl w:val="nil"/>
            </w:tcBorders>
            <w:tcMar>
              <w:left w:w="40" w:type="dxa"/>
              <w:right w:w="40" w:type="dxa"/>
            </w:tcMar>
            <w:vAlign w:val="center"/>
          </w:tcPr>
          <w:p w14:paraId="0F5A910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079858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-23,558</w:t>
            </w:r>
          </w:p>
        </w:tc>
      </w:tr>
      <w:tr w:rsidR="00FD1E19" w14:paraId="4B48DDE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14:paraId="5164E99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Short-term currency swaps – Inflows</w:t>
            </w:r>
          </w:p>
        </w:tc>
        <w:tc>
          <w:tcPr>
            <w:tcW w:w="1200" w:type="dxa"/>
            <w:tcBorders>
              <w:top w:val="nil"/>
              <w:left w:val="nil"/>
              <w:bottom w:val="nil"/>
              <w:right w:val="nil"/>
              <w:tl2br w:val="nil"/>
              <w:tr2bl w:val="nil"/>
            </w:tcBorders>
            <w:tcMar>
              <w:left w:w="40" w:type="dxa"/>
              <w:right w:w="40" w:type="dxa"/>
            </w:tcMar>
            <w:vAlign w:val="center"/>
          </w:tcPr>
          <w:p w14:paraId="27625A4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1,060,000</w:t>
            </w:r>
          </w:p>
        </w:tc>
        <w:tc>
          <w:tcPr>
            <w:tcW w:w="1200" w:type="dxa"/>
            <w:tcBorders>
              <w:top w:val="nil"/>
              <w:left w:val="nil"/>
              <w:bottom w:val="nil"/>
              <w:right w:val="nil"/>
              <w:tl2br w:val="nil"/>
              <w:tr2bl w:val="nil"/>
            </w:tcBorders>
            <w:tcMar>
              <w:left w:w="40" w:type="dxa"/>
              <w:right w:w="40" w:type="dxa"/>
            </w:tcMar>
            <w:vAlign w:val="center"/>
          </w:tcPr>
          <w:p w14:paraId="032E9C3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E2B502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EADE8A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0C2C6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1,060,000</w:t>
            </w:r>
          </w:p>
        </w:tc>
      </w:tr>
      <w:tr w:rsidR="00FD1E19" w14:paraId="3A8E6B3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14:paraId="4576B5D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Short-term currency swaps – Outflows</w:t>
            </w:r>
          </w:p>
        </w:tc>
        <w:tc>
          <w:tcPr>
            <w:tcW w:w="1200" w:type="dxa"/>
            <w:tcBorders>
              <w:top w:val="nil"/>
              <w:left w:val="nil"/>
              <w:bottom w:val="nil"/>
              <w:right w:val="nil"/>
              <w:tl2br w:val="nil"/>
              <w:tr2bl w:val="nil"/>
            </w:tcBorders>
            <w:tcMar>
              <w:left w:w="40" w:type="dxa"/>
              <w:right w:w="40" w:type="dxa"/>
            </w:tcMar>
            <w:vAlign w:val="center"/>
          </w:tcPr>
          <w:p w14:paraId="762B289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-1,056,455</w:t>
            </w:r>
          </w:p>
        </w:tc>
        <w:tc>
          <w:tcPr>
            <w:tcW w:w="1200" w:type="dxa"/>
            <w:tcBorders>
              <w:top w:val="nil"/>
              <w:left w:val="nil"/>
              <w:bottom w:val="nil"/>
              <w:right w:val="nil"/>
              <w:tl2br w:val="nil"/>
              <w:tr2bl w:val="nil"/>
            </w:tcBorders>
            <w:tcMar>
              <w:left w:w="40" w:type="dxa"/>
              <w:right w:w="40" w:type="dxa"/>
            </w:tcMar>
            <w:vAlign w:val="center"/>
          </w:tcPr>
          <w:p w14:paraId="70C0EBC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34219FF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903620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1D4C4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-1,056,455</w:t>
            </w:r>
          </w:p>
        </w:tc>
      </w:tr>
      <w:tr w:rsidR="00FD1E19" w14:paraId="2463BF7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shd w:val="clear" w:color="FFFFFF" w:fill="C0C0C0"/>
            <w:tcMar>
              <w:left w:w="40" w:type="dxa"/>
              <w:right w:w="40" w:type="dxa"/>
            </w:tcMar>
            <w:vAlign w:val="center"/>
          </w:tcPr>
          <w:p w14:paraId="04B35A0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6F9056A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3,595</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0F58A49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-209</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56AF654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21CE7ED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09E4AA3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3,486</w:t>
            </w:r>
          </w:p>
        </w:tc>
      </w:tr>
      <w:tr w:rsidR="00FD1E19" w14:paraId="10F132F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5"/>
        </w:trPr>
        <w:tc>
          <w:tcPr>
            <w:tcW w:w="4065" w:type="dxa"/>
            <w:tcBorders>
              <w:top w:val="nil"/>
              <w:left w:val="nil"/>
              <w:bottom w:val="single" w:sz="4" w:space="0" w:color="000000"/>
              <w:right w:val="nil"/>
              <w:tl2br w:val="nil"/>
              <w:tr2bl w:val="nil"/>
            </w:tcBorders>
            <w:tcMar>
              <w:left w:w="0" w:type="dxa"/>
              <w:right w:w="0" w:type="dxa"/>
            </w:tcMar>
            <w:vAlign w:val="center"/>
          </w:tcPr>
          <w:p w14:paraId="21B57294" w14:textId="77777777" w:rsidR="00FD1E19" w:rsidRDefault="00FD1E19" w:rsidP="00BE7E4A">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48F967A4" w14:textId="77777777" w:rsidR="00FD1E19" w:rsidRDefault="00FD1E19" w:rsidP="00BE7E4A">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2309CA2F" w14:textId="77777777" w:rsidR="00FD1E19" w:rsidRDefault="00FD1E19" w:rsidP="00BE7E4A">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499E2B1D" w14:textId="77777777" w:rsidR="00FD1E19" w:rsidRDefault="00FD1E19" w:rsidP="00BE7E4A">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53E8E0A9" w14:textId="77777777" w:rsidR="00FD1E19" w:rsidRDefault="00FD1E19" w:rsidP="00BE7E4A">
            <w:pPr>
              <w:suppressAutoHyphens/>
              <w:rPr>
                <w:noProof/>
                <w:color w:val="000000"/>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27FF872B" w14:textId="77777777" w:rsidR="00FD1E19" w:rsidRDefault="00FD1E19" w:rsidP="00BE7E4A">
            <w:pPr>
              <w:suppressAutoHyphens/>
              <w:rPr>
                <w:noProof/>
                <w:color w:val="000000"/>
                <w:lang w:eastAsia="ar-SA"/>
              </w:rPr>
            </w:pPr>
          </w:p>
        </w:tc>
      </w:tr>
      <w:tr w:rsidR="00FD1E19" w14:paraId="63FD220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9"/>
        </w:trPr>
        <w:tc>
          <w:tcPr>
            <w:tcW w:w="4065" w:type="dxa"/>
            <w:tcBorders>
              <w:top w:val="single" w:sz="4" w:space="0" w:color="000000"/>
              <w:left w:val="nil"/>
              <w:bottom w:val="nil"/>
              <w:right w:val="nil"/>
              <w:tl2br w:val="nil"/>
              <w:tr2bl w:val="nil"/>
            </w:tcBorders>
            <w:tcMar>
              <w:left w:w="40" w:type="dxa"/>
              <w:right w:w="40" w:type="dxa"/>
            </w:tcMar>
            <w:vAlign w:val="center"/>
          </w:tcPr>
          <w:p w14:paraId="103C3BD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Maturity profile of derivative financial liabilities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71D07D5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 3 months or less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66659BC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3 months to 1 year</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63169A4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1 year to 5 years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7529865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More than 5 years</w:t>
            </w:r>
          </w:p>
        </w:tc>
        <w:tc>
          <w:tcPr>
            <w:tcW w:w="1200" w:type="dxa"/>
            <w:vMerge w:val="restart"/>
            <w:tcBorders>
              <w:top w:val="single" w:sz="4" w:space="0" w:color="000000"/>
              <w:left w:val="nil"/>
              <w:bottom w:val="nil"/>
              <w:right w:val="nil"/>
              <w:tl2br w:val="nil"/>
              <w:tr2bl w:val="nil"/>
            </w:tcBorders>
            <w:tcMar>
              <w:left w:w="40" w:type="dxa"/>
              <w:right w:w="40" w:type="dxa"/>
            </w:tcMar>
            <w:vAlign w:val="center"/>
          </w:tcPr>
          <w:p w14:paraId="5513645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Gross nominal inflow/outflow</w:t>
            </w:r>
          </w:p>
        </w:tc>
      </w:tr>
      <w:tr w:rsidR="00FD1E19" w14:paraId="30FA6DB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single" w:sz="4" w:space="0" w:color="000000"/>
              <w:right w:val="nil"/>
              <w:tl2br w:val="nil"/>
              <w:tr2bl w:val="nil"/>
            </w:tcBorders>
            <w:tcMar>
              <w:left w:w="40" w:type="dxa"/>
              <w:right w:w="40" w:type="dxa"/>
            </w:tcMar>
            <w:vAlign w:val="center"/>
          </w:tcPr>
          <w:p w14:paraId="010EC71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 as at 31.12.2024</w:t>
            </w:r>
          </w:p>
        </w:tc>
        <w:tc>
          <w:tcPr>
            <w:tcW w:w="1200" w:type="dxa"/>
            <w:vMerge/>
            <w:tcBorders>
              <w:top w:val="nil"/>
              <w:left w:val="nil"/>
              <w:bottom w:val="single" w:sz="4" w:space="0" w:color="000000"/>
              <w:right w:val="nil"/>
              <w:tl2br w:val="nil"/>
              <w:tr2bl w:val="nil"/>
            </w:tcBorders>
            <w:tcMar>
              <w:left w:w="0" w:type="dxa"/>
              <w:right w:w="0" w:type="dxa"/>
            </w:tcMar>
            <w:vAlign w:val="center"/>
          </w:tcPr>
          <w:p w14:paraId="2EF7F2A7"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7924C6D5"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12ECE0BD"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24767E91"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vMerge/>
            <w:tcBorders>
              <w:top w:val="nil"/>
              <w:left w:val="nil"/>
              <w:bottom w:val="single" w:sz="4" w:space="0" w:color="000000"/>
              <w:right w:val="nil"/>
              <w:tl2br w:val="nil"/>
              <w:tr2bl w:val="nil"/>
            </w:tcBorders>
            <w:tcMar>
              <w:left w:w="0" w:type="dxa"/>
              <w:right w:w="0" w:type="dxa"/>
            </w:tcMar>
            <w:vAlign w:val="center"/>
          </w:tcPr>
          <w:p w14:paraId="70E23439"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8085B0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single" w:sz="4" w:space="0" w:color="000000"/>
              <w:left w:val="nil"/>
              <w:bottom w:val="nil"/>
              <w:right w:val="nil"/>
              <w:tl2br w:val="nil"/>
              <w:tr2bl w:val="nil"/>
            </w:tcBorders>
            <w:tcMar>
              <w:left w:w="40" w:type="dxa"/>
              <w:right w:w="40" w:type="dxa"/>
            </w:tcMar>
            <w:vAlign w:val="center"/>
          </w:tcPr>
          <w:p w14:paraId="124FB47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CCS and CCIRS – Inflows</w:t>
            </w:r>
          </w:p>
        </w:tc>
        <w:tc>
          <w:tcPr>
            <w:tcW w:w="1200" w:type="dxa"/>
            <w:tcBorders>
              <w:top w:val="single" w:sz="4" w:space="0" w:color="000000"/>
              <w:left w:val="nil"/>
              <w:bottom w:val="nil"/>
              <w:right w:val="nil"/>
              <w:tl2br w:val="nil"/>
              <w:tr2bl w:val="nil"/>
            </w:tcBorders>
            <w:tcMar>
              <w:left w:w="40" w:type="dxa"/>
              <w:right w:w="40" w:type="dxa"/>
            </w:tcMar>
            <w:vAlign w:val="center"/>
          </w:tcPr>
          <w:p w14:paraId="16CAE8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157</w:t>
            </w:r>
          </w:p>
        </w:tc>
        <w:tc>
          <w:tcPr>
            <w:tcW w:w="1200" w:type="dxa"/>
            <w:tcBorders>
              <w:top w:val="single" w:sz="4" w:space="0" w:color="000000"/>
              <w:left w:val="nil"/>
              <w:bottom w:val="nil"/>
              <w:right w:val="nil"/>
              <w:tl2br w:val="nil"/>
              <w:tr2bl w:val="nil"/>
            </w:tcBorders>
            <w:tcMar>
              <w:left w:w="40" w:type="dxa"/>
              <w:right w:w="40" w:type="dxa"/>
            </w:tcMar>
            <w:vAlign w:val="center"/>
          </w:tcPr>
          <w:p w14:paraId="0143D4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10,405</w:t>
            </w:r>
          </w:p>
        </w:tc>
        <w:tc>
          <w:tcPr>
            <w:tcW w:w="1200" w:type="dxa"/>
            <w:tcBorders>
              <w:top w:val="single" w:sz="4" w:space="0" w:color="000000"/>
              <w:left w:val="nil"/>
              <w:bottom w:val="nil"/>
              <w:right w:val="nil"/>
              <w:tl2br w:val="nil"/>
              <w:tr2bl w:val="nil"/>
            </w:tcBorders>
            <w:tcMar>
              <w:left w:w="40" w:type="dxa"/>
              <w:right w:w="40" w:type="dxa"/>
            </w:tcMar>
            <w:vAlign w:val="center"/>
          </w:tcPr>
          <w:p w14:paraId="2247743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22,613</w:t>
            </w:r>
          </w:p>
        </w:tc>
        <w:tc>
          <w:tcPr>
            <w:tcW w:w="1200" w:type="dxa"/>
            <w:tcBorders>
              <w:top w:val="single" w:sz="4" w:space="0" w:color="000000"/>
              <w:left w:val="nil"/>
              <w:bottom w:val="nil"/>
              <w:right w:val="nil"/>
              <w:tl2br w:val="nil"/>
              <w:tr2bl w:val="nil"/>
            </w:tcBorders>
            <w:tcMar>
              <w:left w:w="40" w:type="dxa"/>
              <w:right w:w="40" w:type="dxa"/>
            </w:tcMar>
            <w:vAlign w:val="center"/>
          </w:tcPr>
          <w:p w14:paraId="2A4267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832</w:t>
            </w:r>
          </w:p>
        </w:tc>
        <w:tc>
          <w:tcPr>
            <w:tcW w:w="1200" w:type="dxa"/>
            <w:tcBorders>
              <w:top w:val="single" w:sz="4" w:space="0" w:color="000000"/>
              <w:left w:val="nil"/>
              <w:bottom w:val="nil"/>
              <w:right w:val="nil"/>
              <w:tl2br w:val="nil"/>
              <w:tr2bl w:val="nil"/>
            </w:tcBorders>
            <w:tcMar>
              <w:left w:w="40" w:type="dxa"/>
              <w:right w:w="40" w:type="dxa"/>
            </w:tcMar>
            <w:vAlign w:val="center"/>
          </w:tcPr>
          <w:p w14:paraId="508C78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34,007</w:t>
            </w:r>
          </w:p>
        </w:tc>
      </w:tr>
      <w:tr w:rsidR="00FD1E19" w14:paraId="6A7223A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14:paraId="3399EB5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CCS and CCIRS – Outflows</w:t>
            </w:r>
          </w:p>
        </w:tc>
        <w:tc>
          <w:tcPr>
            <w:tcW w:w="1200" w:type="dxa"/>
            <w:tcBorders>
              <w:top w:val="nil"/>
              <w:left w:val="nil"/>
              <w:bottom w:val="nil"/>
              <w:right w:val="nil"/>
              <w:tl2br w:val="nil"/>
              <w:tr2bl w:val="nil"/>
            </w:tcBorders>
            <w:tcMar>
              <w:left w:w="40" w:type="dxa"/>
              <w:right w:w="40" w:type="dxa"/>
            </w:tcMar>
            <w:vAlign w:val="center"/>
          </w:tcPr>
          <w:p w14:paraId="32E779B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-87</w:t>
            </w:r>
          </w:p>
        </w:tc>
        <w:tc>
          <w:tcPr>
            <w:tcW w:w="1200" w:type="dxa"/>
            <w:tcBorders>
              <w:top w:val="nil"/>
              <w:left w:val="nil"/>
              <w:bottom w:val="nil"/>
              <w:right w:val="nil"/>
              <w:tl2br w:val="nil"/>
              <w:tr2bl w:val="nil"/>
            </w:tcBorders>
            <w:tcMar>
              <w:left w:w="40" w:type="dxa"/>
              <w:right w:w="40" w:type="dxa"/>
            </w:tcMar>
            <w:vAlign w:val="center"/>
          </w:tcPr>
          <w:p w14:paraId="753487D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-12,310</w:t>
            </w:r>
          </w:p>
        </w:tc>
        <w:tc>
          <w:tcPr>
            <w:tcW w:w="1200" w:type="dxa"/>
            <w:tcBorders>
              <w:top w:val="nil"/>
              <w:left w:val="nil"/>
              <w:bottom w:val="nil"/>
              <w:right w:val="nil"/>
              <w:tl2br w:val="nil"/>
              <w:tr2bl w:val="nil"/>
            </w:tcBorders>
            <w:tcMar>
              <w:left w:w="40" w:type="dxa"/>
              <w:right w:w="40" w:type="dxa"/>
            </w:tcMar>
            <w:vAlign w:val="center"/>
          </w:tcPr>
          <w:p w14:paraId="7B4D20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-24,852</w:t>
            </w:r>
          </w:p>
        </w:tc>
        <w:tc>
          <w:tcPr>
            <w:tcW w:w="1200" w:type="dxa"/>
            <w:tcBorders>
              <w:top w:val="nil"/>
              <w:left w:val="nil"/>
              <w:bottom w:val="nil"/>
              <w:right w:val="nil"/>
              <w:tl2br w:val="nil"/>
              <w:tr2bl w:val="nil"/>
            </w:tcBorders>
            <w:tcMar>
              <w:left w:w="40" w:type="dxa"/>
              <w:right w:w="40" w:type="dxa"/>
            </w:tcMar>
            <w:vAlign w:val="center"/>
          </w:tcPr>
          <w:p w14:paraId="58D902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-899</w:t>
            </w:r>
          </w:p>
        </w:tc>
        <w:tc>
          <w:tcPr>
            <w:tcW w:w="1200" w:type="dxa"/>
            <w:tcBorders>
              <w:top w:val="nil"/>
              <w:left w:val="nil"/>
              <w:bottom w:val="nil"/>
              <w:right w:val="nil"/>
              <w:tl2br w:val="nil"/>
              <w:tr2bl w:val="nil"/>
            </w:tcBorders>
            <w:tcMar>
              <w:left w:w="40" w:type="dxa"/>
              <w:right w:w="40" w:type="dxa"/>
            </w:tcMar>
            <w:vAlign w:val="center"/>
          </w:tcPr>
          <w:p w14:paraId="1835FE8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-38,148</w:t>
            </w:r>
          </w:p>
        </w:tc>
      </w:tr>
      <w:tr w:rsidR="00FD1E19" w14:paraId="6A3F6B7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14:paraId="37CEE11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Short-term currency swaps – Inflows</w:t>
            </w:r>
          </w:p>
        </w:tc>
        <w:tc>
          <w:tcPr>
            <w:tcW w:w="1200" w:type="dxa"/>
            <w:tcBorders>
              <w:top w:val="nil"/>
              <w:left w:val="nil"/>
              <w:bottom w:val="nil"/>
              <w:right w:val="nil"/>
              <w:tl2br w:val="nil"/>
              <w:tr2bl w:val="nil"/>
            </w:tcBorders>
            <w:tcMar>
              <w:left w:w="40" w:type="dxa"/>
              <w:right w:w="40" w:type="dxa"/>
            </w:tcMar>
            <w:vAlign w:val="center"/>
          </w:tcPr>
          <w:p w14:paraId="169DE8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1,330,000</w:t>
            </w:r>
          </w:p>
        </w:tc>
        <w:tc>
          <w:tcPr>
            <w:tcW w:w="1200" w:type="dxa"/>
            <w:tcBorders>
              <w:top w:val="nil"/>
              <w:left w:val="nil"/>
              <w:bottom w:val="nil"/>
              <w:right w:val="nil"/>
              <w:tl2br w:val="nil"/>
              <w:tr2bl w:val="nil"/>
            </w:tcBorders>
            <w:tcMar>
              <w:left w:w="40" w:type="dxa"/>
              <w:right w:w="40" w:type="dxa"/>
            </w:tcMar>
            <w:vAlign w:val="center"/>
          </w:tcPr>
          <w:p w14:paraId="42FCAC9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7275684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D2D723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7382568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1,330,000</w:t>
            </w:r>
          </w:p>
        </w:tc>
      </w:tr>
      <w:tr w:rsidR="00FD1E19" w14:paraId="7FF164F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4065" w:type="dxa"/>
            <w:tcBorders>
              <w:top w:val="nil"/>
              <w:left w:val="nil"/>
              <w:bottom w:val="nil"/>
              <w:right w:val="nil"/>
              <w:tl2br w:val="nil"/>
              <w:tr2bl w:val="nil"/>
            </w:tcBorders>
            <w:tcMar>
              <w:left w:w="40" w:type="dxa"/>
              <w:right w:w="40" w:type="dxa"/>
            </w:tcMar>
            <w:vAlign w:val="center"/>
          </w:tcPr>
          <w:p w14:paraId="1E0B757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Short-term currency swaps – Outflows</w:t>
            </w:r>
          </w:p>
        </w:tc>
        <w:tc>
          <w:tcPr>
            <w:tcW w:w="1200" w:type="dxa"/>
            <w:tcBorders>
              <w:top w:val="nil"/>
              <w:left w:val="nil"/>
              <w:bottom w:val="nil"/>
              <w:right w:val="nil"/>
              <w:tl2br w:val="nil"/>
              <w:tr2bl w:val="nil"/>
            </w:tcBorders>
            <w:tcMar>
              <w:left w:w="40" w:type="dxa"/>
              <w:right w:w="40" w:type="dxa"/>
            </w:tcMar>
            <w:vAlign w:val="center"/>
          </w:tcPr>
          <w:p w14:paraId="38A58AD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-1,371,666</w:t>
            </w:r>
          </w:p>
        </w:tc>
        <w:tc>
          <w:tcPr>
            <w:tcW w:w="1200" w:type="dxa"/>
            <w:tcBorders>
              <w:top w:val="nil"/>
              <w:left w:val="nil"/>
              <w:bottom w:val="nil"/>
              <w:right w:val="nil"/>
              <w:tl2br w:val="nil"/>
              <w:tr2bl w:val="nil"/>
            </w:tcBorders>
            <w:tcMar>
              <w:left w:w="40" w:type="dxa"/>
              <w:right w:w="40" w:type="dxa"/>
            </w:tcMar>
            <w:vAlign w:val="center"/>
          </w:tcPr>
          <w:p w14:paraId="41CCB16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4BD84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55816CD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139C2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-1,371,666</w:t>
            </w:r>
          </w:p>
        </w:tc>
      </w:tr>
      <w:tr w:rsidR="00FD1E19" w14:paraId="31B6687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shd w:val="clear" w:color="FFFFFF" w:fill="C0C0C0"/>
            <w:tcMar>
              <w:left w:w="40" w:type="dxa"/>
              <w:right w:w="40" w:type="dxa"/>
            </w:tcMar>
            <w:vAlign w:val="center"/>
          </w:tcPr>
          <w:p w14:paraId="6ABB456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2D633D7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-41,596</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5338DF8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-1,905</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47E4492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-2,239</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1BD875A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5A27536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-45,807</w:t>
            </w:r>
          </w:p>
        </w:tc>
      </w:tr>
      <w:tr w:rsidR="00FD1E19" w14:paraId="5A07629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065" w:type="dxa"/>
            <w:tcBorders>
              <w:top w:val="nil"/>
              <w:left w:val="nil"/>
              <w:bottom w:val="nil"/>
              <w:right w:val="nil"/>
              <w:tl2br w:val="nil"/>
              <w:tr2bl w:val="nil"/>
            </w:tcBorders>
            <w:noWrap/>
            <w:tcMar>
              <w:left w:w="0" w:type="dxa"/>
              <w:right w:w="0" w:type="dxa"/>
            </w:tcMar>
            <w:vAlign w:val="bottom"/>
          </w:tcPr>
          <w:p w14:paraId="3DD14D01" w14:textId="77777777" w:rsidR="00FD1E19" w:rsidRDefault="00FD1E19" w:rsidP="00BE7E4A">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14:paraId="218401AC" w14:textId="77777777" w:rsidR="00FD1E19" w:rsidRDefault="00FD1E19" w:rsidP="00BE7E4A">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14:paraId="6040E2F2" w14:textId="77777777" w:rsidR="00FD1E19" w:rsidRDefault="00FD1E19" w:rsidP="00BE7E4A">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14:paraId="344F5859" w14:textId="77777777" w:rsidR="00FD1E19" w:rsidRDefault="00FD1E19" w:rsidP="00BE7E4A">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14:paraId="62FD2087" w14:textId="77777777" w:rsidR="00FD1E19" w:rsidRDefault="00FD1E19" w:rsidP="00BE7E4A">
            <w:pPr>
              <w:suppressAutoHyphens/>
              <w:rPr>
                <w:rFonts w:ascii="Calibri" w:eastAsia="Calibri" w:hAnsi="Calibri" w:cs="Calibri"/>
                <w:noProof/>
                <w:color w:val="000000"/>
                <w:sz w:val="22"/>
                <w:lang w:eastAsia="ar-SA"/>
              </w:rPr>
            </w:pPr>
          </w:p>
        </w:tc>
        <w:tc>
          <w:tcPr>
            <w:tcW w:w="1200" w:type="dxa"/>
            <w:tcBorders>
              <w:top w:val="nil"/>
              <w:left w:val="nil"/>
              <w:bottom w:val="nil"/>
              <w:right w:val="nil"/>
              <w:tl2br w:val="nil"/>
              <w:tr2bl w:val="nil"/>
            </w:tcBorders>
            <w:noWrap/>
            <w:tcMar>
              <w:left w:w="0" w:type="dxa"/>
              <w:right w:w="0" w:type="dxa"/>
            </w:tcMar>
            <w:vAlign w:val="bottom"/>
          </w:tcPr>
          <w:p w14:paraId="23D5BED9" w14:textId="77777777" w:rsidR="00FD1E19" w:rsidRDefault="00FD1E19" w:rsidP="00BE7E4A">
            <w:pPr>
              <w:suppressAutoHyphens/>
              <w:rPr>
                <w:rFonts w:ascii="Calibri" w:eastAsia="Calibri" w:hAnsi="Calibri" w:cs="Calibri"/>
                <w:noProof/>
                <w:color w:val="000000"/>
                <w:sz w:val="22"/>
                <w:lang w:eastAsia="ar-SA"/>
              </w:rPr>
            </w:pPr>
          </w:p>
        </w:tc>
      </w:tr>
    </w:tbl>
    <w:p w14:paraId="685D6FC6" w14:textId="77777777" w:rsidR="00FD1E19" w:rsidRPr="005F0AA8" w:rsidRDefault="00FD1E19" w:rsidP="00FD1E19">
      <w:pPr>
        <w:pageBreakBefore/>
        <w:numPr>
          <w:ilvl w:val="2"/>
          <w:numId w:val="64"/>
        </w:numPr>
        <w:pBdr>
          <w:top w:val="nil"/>
          <w:left w:val="nil"/>
          <w:bottom w:val="nil"/>
          <w:right w:val="nil"/>
          <w:between w:val="nil"/>
          <w:bar w:val="nil"/>
        </w:pBdr>
        <w:tabs>
          <w:tab w:val="right" w:pos="-2700"/>
          <w:tab w:val="right" w:pos="720"/>
        </w:tabs>
        <w:suppressAutoHyphens/>
        <w:spacing w:after="0" w:line="240" w:lineRule="auto"/>
        <w:jc w:val="both"/>
        <w:rPr>
          <w:rFonts w:ascii="Arial" w:hAnsi="Arial"/>
          <w:b/>
          <w:noProof/>
          <w:sz w:val="16"/>
          <w:szCs w:val="16"/>
          <w:bdr w:val="nil"/>
          <w:lang w:eastAsia="ar-SA"/>
        </w:rPr>
      </w:pPr>
      <w:bookmarkStart w:id="256" w:name="RG_MARKER_90138"/>
      <w:r w:rsidRPr="005F0AA8">
        <w:rPr>
          <w:rFonts w:ascii="Arial" w:hAnsi="Arial"/>
          <w:b/>
          <w:noProof/>
          <w:sz w:val="16"/>
          <w:szCs w:val="16"/>
          <w:lang w:eastAsia="ar-SA"/>
        </w:rPr>
        <w:t xml:space="preserve"> </w:t>
      </w:r>
      <w:bookmarkEnd w:id="256"/>
      <w:r w:rsidRPr="005F0AA8">
        <w:rPr>
          <w:rFonts w:ascii="Arial" w:hAnsi="Arial"/>
          <w:b/>
          <w:noProof/>
          <w:sz w:val="16"/>
          <w:szCs w:val="16"/>
          <w:lang w:eastAsia="ar-SA"/>
        </w:rPr>
        <w:tab/>
        <w:t>Long term financial assets and liabilities</w:t>
      </w:r>
    </w:p>
    <w:p w14:paraId="6395FEFB"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0C63CD49"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ind w:hanging="6"/>
        <w:jc w:val="both"/>
        <w:rPr>
          <w:rFonts w:ascii="Arial" w:hAnsi="Arial"/>
          <w:noProof/>
          <w:sz w:val="16"/>
          <w:szCs w:val="16"/>
          <w:bdr w:val="nil"/>
          <w:lang w:eastAsia="ar-SA"/>
        </w:rPr>
      </w:pPr>
      <w:r w:rsidRPr="00F47D7E">
        <w:rPr>
          <w:rFonts w:ascii="Arial" w:hAnsi="Arial"/>
          <w:noProof/>
          <w:sz w:val="16"/>
          <w:szCs w:val="16"/>
          <w:lang w:eastAsia="ar-SA"/>
        </w:rPr>
        <w:t>The following table sets out the non-derivative financial assets and financial</w:t>
      </w:r>
      <w:r>
        <w:rPr>
          <w:rFonts w:ascii="Arial" w:hAnsi="Arial"/>
          <w:noProof/>
          <w:sz w:val="16"/>
          <w:szCs w:val="16"/>
          <w:lang w:eastAsia="ar-SA"/>
        </w:rPr>
        <w:t xml:space="preserve"> </w:t>
      </w:r>
      <w:r w:rsidRPr="00F47D7E">
        <w:rPr>
          <w:rFonts w:ascii="Arial" w:hAnsi="Arial"/>
          <w:noProof/>
          <w:sz w:val="16"/>
          <w:szCs w:val="16"/>
          <w:lang w:eastAsia="ar-SA"/>
        </w:rPr>
        <w:t>liabilities expected to be recovered or settled more than 12 months after the reporting date.</w:t>
      </w:r>
    </w:p>
    <w:tbl>
      <w:tblPr>
        <w:tblStyle w:val="CDMRange1"/>
        <w:tblW w:w="5000" w:type="pct"/>
        <w:tblLayout w:type="fixed"/>
        <w:tblLook w:val="0600" w:firstRow="0" w:lastRow="0" w:firstColumn="0" w:lastColumn="0" w:noHBand="1" w:noVBand="1"/>
      </w:tblPr>
      <w:tblGrid>
        <w:gridCol w:w="6792"/>
        <w:gridCol w:w="1463"/>
        <w:gridCol w:w="1463"/>
      </w:tblGrid>
      <w:tr w:rsidR="00FD1E19" w14:paraId="30EB5969" w14:textId="77777777" w:rsidTr="00BE7E4A">
        <w:trPr>
          <w:trHeight w:hRule="exact" w:val="46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6BC724C9" w14:textId="77777777" w:rsidR="00FD1E19" w:rsidRDefault="00FD1E19" w:rsidP="00BE7E4A">
            <w:pPr>
              <w:suppressAutoHyphens/>
              <w:rPr>
                <w:rFonts w:ascii="Arial" w:eastAsia="Arial" w:hAnsi="Arial" w:cs="Arial"/>
                <w:b/>
                <w:noProof/>
                <w:color w:val="000000"/>
                <w:sz w:val="16"/>
                <w:lang w:eastAsia="ar-SA"/>
              </w:rPr>
            </w:pPr>
            <w:bookmarkStart w:id="257" w:name="RG_MARKER_90139"/>
            <w:r>
              <w:rPr>
                <w:rFonts w:ascii="Arial" w:eastAsia="Arial" w:hAnsi="Arial" w:cs="Arial"/>
                <w:b/>
                <w:noProof/>
                <w:color w:val="000000"/>
                <w:sz w:val="16"/>
                <w:lang w:eastAsia="ar-SA"/>
              </w:rPr>
              <w:t>in EUR’000</w:t>
            </w:r>
            <w:bookmarkEnd w:id="257"/>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51DB26D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5F6E98D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08E3052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0" w:type="dxa"/>
              <w:right w:w="0" w:type="dxa"/>
            </w:tcMar>
            <w:vAlign w:val="center"/>
          </w:tcPr>
          <w:p w14:paraId="4FD1E60A"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14:paraId="4272DFC1"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14:paraId="4BFECBF3" w14:textId="77777777" w:rsidR="00FD1E19" w:rsidRDefault="00FD1E19" w:rsidP="00BE7E4A">
            <w:pPr>
              <w:suppressAutoHyphens/>
              <w:rPr>
                <w:rFonts w:ascii="Arial" w:eastAsia="Arial" w:hAnsi="Arial" w:cs="Arial"/>
                <w:b/>
                <w:noProof/>
                <w:color w:val="000000"/>
                <w:sz w:val="16"/>
                <w:lang w:eastAsia="ar-SA"/>
              </w:rPr>
            </w:pPr>
          </w:p>
        </w:tc>
      </w:tr>
      <w:tr w:rsidR="00FD1E19" w14:paraId="2DA1A33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0849041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assets:</w:t>
            </w:r>
          </w:p>
        </w:tc>
        <w:tc>
          <w:tcPr>
            <w:tcW w:w="1500" w:type="dxa"/>
            <w:tcBorders>
              <w:top w:val="nil"/>
              <w:left w:val="nil"/>
              <w:bottom w:val="nil"/>
              <w:right w:val="nil"/>
              <w:tl2br w:val="nil"/>
              <w:tr2bl w:val="nil"/>
            </w:tcBorders>
            <w:tcMar>
              <w:left w:w="0" w:type="dxa"/>
              <w:right w:w="0" w:type="dxa"/>
            </w:tcMar>
            <w:vAlign w:val="center"/>
          </w:tcPr>
          <w:p w14:paraId="742E5079"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2FD230A9" w14:textId="77777777" w:rsidR="00FD1E19" w:rsidRDefault="00FD1E19" w:rsidP="00BE7E4A">
            <w:pPr>
              <w:suppressAutoHyphens/>
              <w:rPr>
                <w:rFonts w:ascii="Arial" w:eastAsia="Arial" w:hAnsi="Arial" w:cs="Arial"/>
                <w:b/>
                <w:noProof/>
                <w:color w:val="000000"/>
                <w:sz w:val="16"/>
                <w:lang w:eastAsia="ar-SA"/>
              </w:rPr>
            </w:pPr>
          </w:p>
        </w:tc>
      </w:tr>
      <w:tr w:rsidR="00FD1E19" w14:paraId="5F4C1E3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2CFFCE2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500" w:type="dxa"/>
            <w:tcBorders>
              <w:top w:val="nil"/>
              <w:left w:val="nil"/>
              <w:bottom w:val="nil"/>
              <w:right w:val="nil"/>
              <w:tl2br w:val="nil"/>
              <w:tr2bl w:val="nil"/>
            </w:tcBorders>
            <w:tcMar>
              <w:left w:w="40" w:type="dxa"/>
              <w:right w:w="40" w:type="dxa"/>
            </w:tcMar>
            <w:vAlign w:val="center"/>
          </w:tcPr>
          <w:p w14:paraId="6C93643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1,126,057</w:t>
            </w:r>
          </w:p>
        </w:tc>
        <w:tc>
          <w:tcPr>
            <w:tcW w:w="1500" w:type="dxa"/>
            <w:tcBorders>
              <w:top w:val="nil"/>
              <w:left w:val="nil"/>
              <w:bottom w:val="nil"/>
              <w:right w:val="nil"/>
              <w:tl2br w:val="nil"/>
              <w:tr2bl w:val="nil"/>
            </w:tcBorders>
            <w:tcMar>
              <w:left w:w="40" w:type="dxa"/>
              <w:right w:w="40" w:type="dxa"/>
            </w:tcMar>
            <w:vAlign w:val="center"/>
          </w:tcPr>
          <w:p w14:paraId="6D793DF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1,551,776</w:t>
            </w:r>
          </w:p>
        </w:tc>
      </w:tr>
      <w:tr w:rsidR="00FD1E19" w14:paraId="0B89673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062F7E2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500" w:type="dxa"/>
            <w:tcBorders>
              <w:top w:val="nil"/>
              <w:left w:val="nil"/>
              <w:bottom w:val="nil"/>
              <w:right w:val="nil"/>
              <w:tl2br w:val="nil"/>
              <w:tr2bl w:val="nil"/>
            </w:tcBorders>
            <w:tcMar>
              <w:left w:w="40" w:type="dxa"/>
              <w:right w:w="40" w:type="dxa"/>
            </w:tcMar>
            <w:vAlign w:val="center"/>
          </w:tcPr>
          <w:p w14:paraId="67070F5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745,934</w:t>
            </w:r>
          </w:p>
        </w:tc>
        <w:tc>
          <w:tcPr>
            <w:tcW w:w="1500" w:type="dxa"/>
            <w:tcBorders>
              <w:top w:val="nil"/>
              <w:left w:val="nil"/>
              <w:bottom w:val="nil"/>
              <w:right w:val="nil"/>
              <w:tl2br w:val="nil"/>
              <w:tr2bl w:val="nil"/>
            </w:tcBorders>
            <w:tcMar>
              <w:left w:w="40" w:type="dxa"/>
              <w:right w:w="40" w:type="dxa"/>
            </w:tcMar>
            <w:vAlign w:val="center"/>
          </w:tcPr>
          <w:p w14:paraId="14E40B1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834,621</w:t>
            </w:r>
          </w:p>
        </w:tc>
      </w:tr>
      <w:tr w:rsidR="00FD1E19" w14:paraId="15DCC8A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14:paraId="3148786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443ECFD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1,871,991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38B86A8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2,386,397</w:t>
            </w:r>
          </w:p>
        </w:tc>
      </w:tr>
      <w:tr w:rsidR="00FD1E19" w14:paraId="7998B41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0" w:type="dxa"/>
              <w:right w:w="0" w:type="dxa"/>
            </w:tcMar>
            <w:vAlign w:val="center"/>
          </w:tcPr>
          <w:p w14:paraId="520AFDFE" w14:textId="77777777" w:rsidR="00FD1E19" w:rsidRDefault="00FD1E19" w:rsidP="00BE7E4A">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0ABEEA1E" w14:textId="77777777" w:rsidR="00FD1E19" w:rsidRDefault="00FD1E19" w:rsidP="00BE7E4A">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59284981" w14:textId="77777777" w:rsidR="00FD1E19" w:rsidRDefault="00FD1E19" w:rsidP="00BE7E4A">
            <w:pPr>
              <w:suppressAutoHyphens/>
              <w:jc w:val="right"/>
              <w:rPr>
                <w:rFonts w:ascii="Arial" w:eastAsia="Arial" w:hAnsi="Arial" w:cs="Arial"/>
                <w:noProof/>
                <w:color w:val="000000"/>
                <w:sz w:val="16"/>
                <w:lang w:eastAsia="ar-SA"/>
              </w:rPr>
            </w:pPr>
          </w:p>
        </w:tc>
      </w:tr>
      <w:tr w:rsidR="00FD1E19" w14:paraId="1639EF4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7241316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liabilities:</w:t>
            </w:r>
          </w:p>
        </w:tc>
        <w:tc>
          <w:tcPr>
            <w:tcW w:w="1500" w:type="dxa"/>
            <w:tcBorders>
              <w:top w:val="nil"/>
              <w:left w:val="nil"/>
              <w:bottom w:val="nil"/>
              <w:right w:val="nil"/>
              <w:tl2br w:val="nil"/>
              <w:tr2bl w:val="nil"/>
            </w:tcBorders>
            <w:tcMar>
              <w:left w:w="0" w:type="dxa"/>
              <w:right w:w="0" w:type="dxa"/>
            </w:tcMar>
            <w:vAlign w:val="center"/>
          </w:tcPr>
          <w:p w14:paraId="4A119ABB"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2069CF14"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419328A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479C8B4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 owed to third parties*</w:t>
            </w:r>
          </w:p>
        </w:tc>
        <w:tc>
          <w:tcPr>
            <w:tcW w:w="1500" w:type="dxa"/>
            <w:tcBorders>
              <w:top w:val="nil"/>
              <w:left w:val="nil"/>
              <w:bottom w:val="nil"/>
              <w:right w:val="nil"/>
              <w:tl2br w:val="nil"/>
              <w:tr2bl w:val="nil"/>
            </w:tcBorders>
            <w:tcMar>
              <w:left w:w="40" w:type="dxa"/>
              <w:right w:w="40" w:type="dxa"/>
            </w:tcMar>
            <w:vAlign w:val="center"/>
          </w:tcPr>
          <w:p w14:paraId="5B97BD2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797</w:t>
            </w:r>
          </w:p>
        </w:tc>
        <w:tc>
          <w:tcPr>
            <w:tcW w:w="1500" w:type="dxa"/>
            <w:tcBorders>
              <w:top w:val="nil"/>
              <w:left w:val="nil"/>
              <w:bottom w:val="nil"/>
              <w:right w:val="nil"/>
              <w:tl2br w:val="nil"/>
              <w:tr2bl w:val="nil"/>
            </w:tcBorders>
            <w:tcMar>
              <w:left w:w="40" w:type="dxa"/>
              <w:right w:w="40" w:type="dxa"/>
            </w:tcMar>
            <w:vAlign w:val="center"/>
          </w:tcPr>
          <w:p w14:paraId="6740F20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534,569</w:t>
            </w:r>
          </w:p>
        </w:tc>
      </w:tr>
      <w:tr w:rsidR="00FD1E19" w14:paraId="3970913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458C5F0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Provisions for loan commitments</w:t>
            </w:r>
          </w:p>
        </w:tc>
        <w:tc>
          <w:tcPr>
            <w:tcW w:w="1500" w:type="dxa"/>
            <w:tcBorders>
              <w:top w:val="nil"/>
              <w:left w:val="nil"/>
              <w:bottom w:val="nil"/>
              <w:right w:val="nil"/>
              <w:tl2br w:val="nil"/>
              <w:tr2bl w:val="nil"/>
            </w:tcBorders>
            <w:tcMar>
              <w:left w:w="40" w:type="dxa"/>
              <w:right w:w="40" w:type="dxa"/>
            </w:tcMar>
            <w:vAlign w:val="center"/>
          </w:tcPr>
          <w:p w14:paraId="35262B6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17,585</w:t>
            </w:r>
          </w:p>
        </w:tc>
        <w:tc>
          <w:tcPr>
            <w:tcW w:w="1500" w:type="dxa"/>
            <w:tcBorders>
              <w:top w:val="nil"/>
              <w:left w:val="nil"/>
              <w:bottom w:val="nil"/>
              <w:right w:val="nil"/>
              <w:tl2br w:val="nil"/>
              <w:tr2bl w:val="nil"/>
            </w:tcBorders>
            <w:tcMar>
              <w:left w:w="40" w:type="dxa"/>
              <w:right w:w="40" w:type="dxa"/>
            </w:tcMar>
            <w:vAlign w:val="center"/>
          </w:tcPr>
          <w:p w14:paraId="145C713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18,320</w:t>
            </w:r>
          </w:p>
        </w:tc>
      </w:tr>
      <w:tr w:rsidR="00FD1E19" w14:paraId="4E14331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14:paraId="2E80C2D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1CBF078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18,382</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6791591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552,889</w:t>
            </w:r>
          </w:p>
        </w:tc>
      </w:tr>
      <w:tr w:rsidR="00FD1E19" w14:paraId="1115604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975" w:type="dxa"/>
            <w:gridSpan w:val="3"/>
            <w:tcBorders>
              <w:top w:val="nil"/>
              <w:left w:val="nil"/>
              <w:bottom w:val="nil"/>
              <w:right w:val="nil"/>
              <w:tl2br w:val="nil"/>
              <w:tr2bl w:val="nil"/>
            </w:tcBorders>
            <w:tcMar>
              <w:left w:w="40" w:type="dxa"/>
              <w:right w:w="40" w:type="dxa"/>
            </w:tcMar>
          </w:tcPr>
          <w:p w14:paraId="77F87109" w14:textId="77777777" w:rsidR="00FD1E19" w:rsidRDefault="00FD1E19" w:rsidP="00BE7E4A">
            <w:pPr>
              <w:suppressAutoHyphens/>
              <w:jc w:val="both"/>
              <w:rPr>
                <w:rFonts w:ascii="Arial" w:eastAsia="Arial" w:hAnsi="Arial" w:cs="Arial"/>
                <w:noProof/>
                <w:color w:val="000000"/>
                <w:sz w:val="14"/>
                <w:lang w:eastAsia="ar-SA"/>
              </w:rPr>
            </w:pPr>
            <w:r>
              <w:rPr>
                <w:rFonts w:ascii="Arial" w:eastAsia="Arial" w:hAnsi="Arial" w:cs="Arial"/>
                <w:noProof/>
                <w:color w:val="000000"/>
                <w:sz w:val="14"/>
                <w:lang w:eastAsia="ar-SA"/>
              </w:rPr>
              <w:t>* The amounts owed to third parties are including the Interest subsidies and TA not yet disbursed owed to Member States, where the maturity is mainly undefined.</w:t>
            </w:r>
          </w:p>
        </w:tc>
      </w:tr>
    </w:tbl>
    <w:p w14:paraId="7C1A6C5C" w14:textId="77777777" w:rsidR="00FD1E19" w:rsidRDefault="00FD1E19" w:rsidP="00FD1E19">
      <w:pPr>
        <w:pBdr>
          <w:top w:val="nil"/>
          <w:left w:val="nil"/>
          <w:bottom w:val="nil"/>
          <w:right w:val="nil"/>
          <w:between w:val="nil"/>
          <w:bar w:val="nil"/>
        </w:pBdr>
        <w:tabs>
          <w:tab w:val="right" w:pos="-2700"/>
          <w:tab w:val="right" w:pos="426"/>
        </w:tabs>
        <w:suppressAutoHyphens/>
        <w:jc w:val="both"/>
        <w:rPr>
          <w:rFonts w:ascii="Arial" w:hAnsi="Arial"/>
          <w:b/>
          <w:noProof/>
          <w:sz w:val="16"/>
          <w:szCs w:val="16"/>
          <w:bdr w:val="nil"/>
          <w:lang w:eastAsia="ar-SA"/>
        </w:rPr>
      </w:pPr>
      <w:bookmarkStart w:id="258" w:name="RG_MARKER_90082"/>
      <w:bookmarkStart w:id="259" w:name="RG_MARKER_90140"/>
      <w:bookmarkEnd w:id="258"/>
      <w:bookmarkEnd w:id="259"/>
    </w:p>
    <w:p w14:paraId="1CBC01F5" w14:textId="77777777" w:rsidR="00FD1E19" w:rsidRPr="006E5C2A" w:rsidRDefault="00FD1E19" w:rsidP="00FD1E19">
      <w:pPr>
        <w:pBdr>
          <w:top w:val="nil"/>
          <w:left w:val="nil"/>
          <w:bottom w:val="nil"/>
          <w:right w:val="nil"/>
          <w:between w:val="nil"/>
          <w:bar w:val="nil"/>
        </w:pBdr>
        <w:tabs>
          <w:tab w:val="right" w:pos="-2700"/>
          <w:tab w:val="right" w:pos="426"/>
        </w:tabs>
        <w:suppressAutoHyphens/>
        <w:spacing w:before="60" w:after="60"/>
        <w:ind w:left="357" w:hanging="357"/>
        <w:jc w:val="both"/>
        <w:rPr>
          <w:rFonts w:ascii="Arial" w:hAnsi="Arial"/>
          <w:b/>
          <w:noProof/>
          <w:sz w:val="16"/>
          <w:szCs w:val="16"/>
          <w:bdr w:val="nil"/>
          <w:lang w:eastAsia="ar-SA"/>
        </w:rPr>
      </w:pPr>
      <w:r>
        <w:rPr>
          <w:rFonts w:ascii="Arial" w:hAnsi="Arial"/>
          <w:b/>
          <w:noProof/>
          <w:sz w:val="16"/>
          <w:szCs w:val="16"/>
          <w:lang w:eastAsia="ar-SA"/>
        </w:rPr>
        <w:t>3.4</w:t>
      </w:r>
      <w:r>
        <w:rPr>
          <w:rFonts w:ascii="Arial" w:hAnsi="Arial"/>
          <w:b/>
          <w:noProof/>
          <w:sz w:val="16"/>
          <w:szCs w:val="16"/>
          <w:lang w:eastAsia="ar-SA"/>
        </w:rPr>
        <w:tab/>
      </w:r>
      <w:r w:rsidRPr="006E5C2A">
        <w:rPr>
          <w:rFonts w:ascii="Arial" w:hAnsi="Arial"/>
          <w:b/>
          <w:noProof/>
          <w:sz w:val="16"/>
          <w:szCs w:val="16"/>
          <w:lang w:eastAsia="ar-SA"/>
        </w:rPr>
        <w:t>Market risk</w:t>
      </w:r>
    </w:p>
    <w:p w14:paraId="73A3C348" w14:textId="77777777" w:rsidR="00FD1E19" w:rsidRPr="00BD134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6C879298" w14:textId="77777777" w:rsidR="00FD1E19" w:rsidRPr="00B06687"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r w:rsidRPr="00C73739">
        <w:rPr>
          <w:rFonts w:ascii="Arial" w:hAnsi="Arial"/>
          <w:noProof/>
          <w:sz w:val="16"/>
          <w:szCs w:val="16"/>
          <w:lang w:eastAsia="ar-SA"/>
        </w:rPr>
        <w:t>Market risk represents the risk that changes in market prices and rates, such as interest rates, equity prices and foreign exchange rates will affect an entity’s income or the value of its holdings in financial instruments.</w:t>
      </w:r>
    </w:p>
    <w:p w14:paraId="280FD1B9" w14:textId="77777777" w:rsidR="00FD1E19" w:rsidRPr="00316086" w:rsidRDefault="00FD1E19" w:rsidP="00FD1E19">
      <w:pPr>
        <w:pBdr>
          <w:top w:val="nil"/>
          <w:left w:val="nil"/>
          <w:bottom w:val="nil"/>
          <w:right w:val="nil"/>
          <w:between w:val="nil"/>
          <w:bar w:val="nil"/>
        </w:pBdr>
        <w:tabs>
          <w:tab w:val="right" w:pos="-2700"/>
          <w:tab w:val="right" w:pos="720"/>
        </w:tabs>
        <w:suppressAutoHyphens/>
        <w:spacing w:before="60" w:after="60"/>
        <w:jc w:val="both"/>
        <w:rPr>
          <w:rFonts w:ascii="Arial" w:hAnsi="Arial"/>
          <w:noProof/>
          <w:sz w:val="16"/>
          <w:szCs w:val="16"/>
          <w:bdr w:val="nil"/>
          <w:lang w:eastAsia="ar-SA"/>
        </w:rPr>
      </w:pPr>
    </w:p>
    <w:p w14:paraId="01ED6D78" w14:textId="77777777" w:rsidR="00FD1E19" w:rsidRPr="0063550A" w:rsidRDefault="00FD1E19" w:rsidP="00FD1E19">
      <w:pPr>
        <w:numPr>
          <w:ilvl w:val="2"/>
          <w:numId w:val="65"/>
        </w:numPr>
        <w:pBdr>
          <w:top w:val="nil"/>
          <w:left w:val="nil"/>
          <w:bottom w:val="nil"/>
          <w:right w:val="nil"/>
          <w:between w:val="nil"/>
          <w:bar w:val="nil"/>
        </w:pBdr>
        <w:tabs>
          <w:tab w:val="right" w:pos="-2700"/>
          <w:tab w:val="right" w:pos="720"/>
        </w:tabs>
        <w:suppressAutoHyphens/>
        <w:spacing w:after="0" w:line="240" w:lineRule="auto"/>
        <w:ind w:left="357" w:hanging="357"/>
        <w:jc w:val="both"/>
        <w:rPr>
          <w:rFonts w:ascii="Arial" w:hAnsi="Arial"/>
          <w:b/>
          <w:noProof/>
          <w:sz w:val="16"/>
          <w:szCs w:val="16"/>
          <w:bdr w:val="nil"/>
          <w:lang w:eastAsia="ar-SA"/>
        </w:rPr>
      </w:pPr>
      <w:r w:rsidRPr="0063550A">
        <w:rPr>
          <w:rFonts w:ascii="Arial" w:hAnsi="Arial"/>
          <w:b/>
          <w:noProof/>
          <w:sz w:val="16"/>
          <w:szCs w:val="16"/>
          <w:lang w:eastAsia="ar-SA"/>
        </w:rPr>
        <w:tab/>
        <w:t>Interest rate risk</w:t>
      </w:r>
    </w:p>
    <w:p w14:paraId="0C8D3E1C" w14:textId="77777777" w:rsidR="00FD1E19" w:rsidRPr="0031608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1945D6A"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 xml:space="preserve">Interest rate risk </w:t>
      </w:r>
      <w:r>
        <w:rPr>
          <w:rFonts w:ascii="Arial" w:hAnsi="Arial"/>
          <w:noProof/>
          <w:sz w:val="16"/>
          <w:szCs w:val="16"/>
          <w:lang w:eastAsia="ar-SA"/>
        </w:rPr>
        <w:t>arises from</w:t>
      </w:r>
      <w:r w:rsidRPr="00316086">
        <w:rPr>
          <w:rFonts w:ascii="Arial" w:hAnsi="Arial"/>
          <w:noProof/>
          <w:sz w:val="16"/>
          <w:szCs w:val="16"/>
          <w:lang w:eastAsia="ar-SA"/>
        </w:rPr>
        <w:t xml:space="preserve"> the volatility in the economic value of, or in the income derived from, </w:t>
      </w:r>
      <w:r>
        <w:rPr>
          <w:rFonts w:ascii="Arial" w:hAnsi="Arial"/>
          <w:noProof/>
          <w:sz w:val="16"/>
          <w:szCs w:val="16"/>
          <w:lang w:eastAsia="ar-SA"/>
        </w:rPr>
        <w:t xml:space="preserve">interest rate bearing </w:t>
      </w:r>
      <w:r w:rsidRPr="00316086">
        <w:rPr>
          <w:rFonts w:ascii="Arial" w:hAnsi="Arial"/>
          <w:noProof/>
          <w:sz w:val="16"/>
          <w:szCs w:val="16"/>
          <w:lang w:eastAsia="ar-SA"/>
        </w:rPr>
        <w:t xml:space="preserve">positions due to adverse movements in interest rates. </w:t>
      </w:r>
    </w:p>
    <w:p w14:paraId="53D0808B"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00E0254F" w14:textId="77777777" w:rsidR="00FD1E19" w:rsidRPr="00DB437D"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DB437D">
        <w:rPr>
          <w:rFonts w:ascii="Arial" w:hAnsi="Arial"/>
          <w:noProof/>
          <w:sz w:val="16"/>
          <w:szCs w:val="16"/>
          <w:lang w:eastAsia="ar-SA"/>
        </w:rPr>
        <w:t>The Facility is not directly impacted by the fluctuation of its economic value or to pricing mismatches between different assets, liabilities and hedge instruments because it does not have interest rate bearing liabilities. The Facility measures its interest rate risk, on an annual basis, by applying EBA standardised shock scenari</w:t>
      </w:r>
      <w:r>
        <w:rPr>
          <w:rFonts w:ascii="Arial" w:hAnsi="Arial"/>
          <w:noProof/>
          <w:sz w:val="16"/>
          <w:szCs w:val="16"/>
          <w:lang w:eastAsia="ar-SA"/>
        </w:rPr>
        <w:t>os</w:t>
      </w:r>
      <w:r>
        <w:rPr>
          <w:rFonts w:ascii="Arial" w:hAnsi="Arial"/>
          <w:noProof/>
          <w:sz w:val="16"/>
          <w:szCs w:val="16"/>
          <w:bdr w:val="nil"/>
          <w:vertAlign w:val="superscript"/>
          <w:lang w:eastAsia="ar-SA"/>
        </w:rPr>
        <w:footnoteReference w:id="23"/>
      </w:r>
      <w:r>
        <w:rPr>
          <w:rFonts w:ascii="Arial" w:hAnsi="Arial"/>
          <w:noProof/>
          <w:sz w:val="16"/>
          <w:szCs w:val="16"/>
          <w:lang w:eastAsia="ar-SA"/>
        </w:rPr>
        <w:t xml:space="preserve"> </w:t>
      </w:r>
      <w:r w:rsidRPr="00DB437D">
        <w:rPr>
          <w:rFonts w:ascii="Arial" w:hAnsi="Arial"/>
          <w:noProof/>
          <w:sz w:val="16"/>
          <w:szCs w:val="16"/>
          <w:lang w:eastAsia="ar-SA"/>
        </w:rPr>
        <w:t xml:space="preserve">that show the impacts on both the economic value of equity and the net interest income from adverse movements in interest rates. </w:t>
      </w:r>
    </w:p>
    <w:p w14:paraId="32040A89" w14:textId="77777777" w:rsidR="00FD1E19" w:rsidRPr="0031608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60150482" w14:textId="77777777" w:rsidR="00FD1E19" w:rsidRPr="00DB437D" w:rsidRDefault="00FD1E19" w:rsidP="00FD1E19">
      <w:pPr>
        <w:pBdr>
          <w:top w:val="nil"/>
          <w:left w:val="nil"/>
          <w:bottom w:val="nil"/>
          <w:right w:val="nil"/>
          <w:between w:val="nil"/>
          <w:bar w:val="nil"/>
        </w:pBdr>
        <w:suppressAutoHyphens/>
        <w:spacing w:before="60" w:after="60"/>
        <w:jc w:val="both"/>
        <w:rPr>
          <w:rFonts w:ascii="Arial" w:hAnsi="Arial"/>
          <w:noProof/>
          <w:sz w:val="16"/>
          <w:szCs w:val="16"/>
          <w:u w:val="single"/>
          <w:bdr w:val="nil"/>
          <w:lang w:eastAsia="ar-SA"/>
        </w:rPr>
      </w:pPr>
      <w:r w:rsidRPr="00DB437D">
        <w:rPr>
          <w:rFonts w:ascii="Arial" w:hAnsi="Arial"/>
          <w:noProof/>
          <w:sz w:val="16"/>
          <w:szCs w:val="16"/>
          <w:u w:val="single"/>
          <w:lang w:eastAsia="ar-SA"/>
        </w:rPr>
        <w:t>Interest rate risk on the Economic Value of Equity</w:t>
      </w:r>
    </w:p>
    <w:p w14:paraId="215AD34C"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val="en-US" w:eastAsia="ar-SA"/>
        </w:rPr>
      </w:pPr>
      <w:r>
        <w:rPr>
          <w:rFonts w:ascii="Arial" w:hAnsi="Arial"/>
          <w:noProof/>
          <w:sz w:val="16"/>
          <w:szCs w:val="16"/>
          <w:bdr w:val="none" w:sz="0" w:space="0" w:color="auto" w:frame="1"/>
          <w:lang w:val="en-US" w:eastAsia="ar-SA"/>
        </w:rPr>
        <w:t xml:space="preserve">To determine the net present value (“NPV“) of the loans and hedging swaps cash flows denominated in EUR, the Facility uses the EURIBOR 3-month curve. The NPV of the loans’ cash flows denominated in non-EUR currencies is determined by using the EURIBOR 3-month curve </w:t>
      </w:r>
      <w:r w:rsidRPr="0032464D">
        <w:rPr>
          <w:rFonts w:ascii="Arial" w:hAnsi="Arial"/>
          <w:noProof/>
          <w:sz w:val="16"/>
          <w:szCs w:val="16"/>
          <w:bdr w:val="none" w:sz="0" w:space="0" w:color="auto" w:frame="1"/>
          <w:lang w:val="en-US" w:eastAsia="ar-SA"/>
        </w:rPr>
        <w:t>adjusted with the cross-currency basis spread for the respective currency</w:t>
      </w:r>
      <w:r>
        <w:rPr>
          <w:rFonts w:ascii="Arial" w:hAnsi="Arial"/>
          <w:noProof/>
          <w:sz w:val="16"/>
          <w:szCs w:val="16"/>
          <w:bdr w:val="none" w:sz="0" w:space="0" w:color="auto" w:frame="1"/>
          <w:lang w:val="en-US" w:eastAsia="ar-SA"/>
        </w:rPr>
        <w:t>. For those non-EUR currencies for which a reliable and sufficiently complete discount curve is not available, either the EUR or USD discount curve is used instead.</w:t>
      </w:r>
    </w:p>
    <w:p w14:paraId="3468C129" w14:textId="77777777" w:rsidR="00FD1E19" w:rsidRPr="00A65A8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val="en-US" w:eastAsia="ar-SA"/>
        </w:rPr>
      </w:pPr>
    </w:p>
    <w:p w14:paraId="31C6FE5D" w14:textId="77777777" w:rsidR="00FD1E19" w:rsidRDefault="00FD1E19" w:rsidP="00FD1E19">
      <w:pPr>
        <w:pBdr>
          <w:top w:val="nil"/>
          <w:left w:val="nil"/>
          <w:bottom w:val="nil"/>
          <w:right w:val="nil"/>
          <w:between w:val="nil"/>
          <w:bar w:val="nil"/>
        </w:pBdr>
        <w:rPr>
          <w:rFonts w:ascii="Arial" w:hAnsi="Arial" w:cs="Arial"/>
          <w:noProof/>
          <w:color w:val="000000"/>
          <w:sz w:val="16"/>
          <w:szCs w:val="16"/>
          <w:bdr w:val="nil"/>
        </w:rPr>
      </w:pPr>
      <w:r w:rsidRPr="00B71ED1">
        <w:rPr>
          <w:rFonts w:ascii="Arial" w:hAnsi="Arial" w:cs="Arial"/>
          <w:noProof/>
          <w:color w:val="000000"/>
          <w:sz w:val="16"/>
          <w:szCs w:val="16"/>
        </w:rPr>
        <w:t xml:space="preserve">As at 31 December 2025, the worst impact of the EBA supervisory outlier test scenarios would reduce the economic value of equity by </w:t>
      </w:r>
      <w:r w:rsidRPr="00B71ED1">
        <w:rPr>
          <w:rFonts w:ascii="Arial" w:hAnsi="Arial" w:cs="Arial"/>
          <w:b/>
          <w:bCs/>
          <w:noProof/>
          <w:color w:val="000000"/>
          <w:sz w:val="16"/>
          <w:szCs w:val="16"/>
        </w:rPr>
        <w:t xml:space="preserve">EUR 60.2 million </w:t>
      </w:r>
      <w:r w:rsidRPr="00B71ED1">
        <w:rPr>
          <w:rFonts w:ascii="Arial" w:hAnsi="Arial" w:cs="Arial"/>
          <w:noProof/>
          <w:color w:val="000000"/>
          <w:sz w:val="16"/>
          <w:szCs w:val="16"/>
        </w:rPr>
        <w:t>(2024: EUR 81.0 million).</w:t>
      </w:r>
    </w:p>
    <w:p w14:paraId="3A18FFAA" w14:textId="77777777" w:rsidR="00FD1E19" w:rsidRDefault="00FD1E19" w:rsidP="00FD1E19">
      <w:pPr>
        <w:pBdr>
          <w:top w:val="nil"/>
          <w:left w:val="nil"/>
          <w:bottom w:val="nil"/>
          <w:right w:val="nil"/>
          <w:between w:val="nil"/>
          <w:bar w:val="nil"/>
        </w:pBdr>
        <w:rPr>
          <w:rFonts w:ascii="Arial" w:hAnsi="Arial" w:cs="Arial"/>
          <w:noProof/>
          <w:color w:val="000000"/>
          <w:sz w:val="16"/>
          <w:szCs w:val="16"/>
          <w:bdr w:val="nil"/>
        </w:rPr>
      </w:pPr>
    </w:p>
    <w:p w14:paraId="6C14FA57" w14:textId="77777777" w:rsidR="00FD1E19" w:rsidRPr="00DB437D" w:rsidRDefault="00FD1E19" w:rsidP="00FD1E19">
      <w:pPr>
        <w:pBdr>
          <w:top w:val="nil"/>
          <w:left w:val="nil"/>
          <w:bottom w:val="nil"/>
          <w:right w:val="nil"/>
          <w:between w:val="nil"/>
          <w:bar w:val="nil"/>
        </w:pBdr>
        <w:rPr>
          <w:rFonts w:ascii="Arial" w:hAnsi="Arial" w:cs="Arial"/>
          <w:noProof/>
          <w:color w:val="000000"/>
          <w:sz w:val="16"/>
          <w:szCs w:val="16"/>
          <w:u w:val="single"/>
          <w:bdr w:val="nil"/>
        </w:rPr>
      </w:pPr>
      <w:r w:rsidRPr="00DB437D">
        <w:rPr>
          <w:rFonts w:ascii="Arial" w:hAnsi="Arial" w:cs="Arial"/>
          <w:noProof/>
          <w:color w:val="000000"/>
          <w:sz w:val="16"/>
          <w:szCs w:val="16"/>
          <w:u w:val="single"/>
        </w:rPr>
        <w:t>Interest rate risk on the Earnings</w:t>
      </w:r>
    </w:p>
    <w:p w14:paraId="7BD4D6C9" w14:textId="77777777" w:rsidR="00FD1E19" w:rsidRDefault="00FD1E19" w:rsidP="00FD1E19">
      <w:pPr>
        <w:pBdr>
          <w:top w:val="nil"/>
          <w:left w:val="nil"/>
          <w:bottom w:val="nil"/>
          <w:right w:val="nil"/>
          <w:between w:val="nil"/>
          <w:bar w:val="nil"/>
        </w:pBdr>
        <w:rPr>
          <w:rFonts w:ascii="Arial" w:hAnsi="Arial"/>
          <w:noProof/>
          <w:sz w:val="16"/>
          <w:szCs w:val="16"/>
          <w:bdr w:val="nil"/>
          <w:lang w:eastAsia="ar-SA"/>
        </w:rPr>
      </w:pPr>
    </w:p>
    <w:p w14:paraId="2F40CE8A" w14:textId="77777777" w:rsidR="00FD1E19" w:rsidRDefault="00FD1E19" w:rsidP="00FD1E19">
      <w:pPr>
        <w:pBdr>
          <w:top w:val="nil"/>
          <w:left w:val="nil"/>
          <w:bottom w:val="nil"/>
          <w:right w:val="nil"/>
          <w:between w:val="nil"/>
          <w:bar w:val="nil"/>
        </w:pBdr>
        <w:rPr>
          <w:rFonts w:ascii="Arial" w:hAnsi="Arial" w:cs="Arial"/>
          <w:noProof/>
          <w:color w:val="000000"/>
          <w:sz w:val="16"/>
          <w:szCs w:val="16"/>
          <w:bdr w:val="nil"/>
        </w:rPr>
      </w:pPr>
      <w:r w:rsidRPr="00B71ED1">
        <w:rPr>
          <w:rFonts w:ascii="Arial" w:hAnsi="Arial" w:cs="Arial"/>
          <w:noProof/>
          <w:color w:val="000000"/>
          <w:sz w:val="16"/>
          <w:szCs w:val="16"/>
        </w:rPr>
        <w:t>It quantifies the amount of net interest income that would change during the forthcoming 12 months if all interest rate curves would decrease by two percentage points and if no existing commitments are effectively being disbursed. With the positions in place as of 31 December 2025, the net interest income would decrease by EUR 33.3 million (2024: EUR 34.7 million) if interest rates were to decrease by 200 basis points.</w:t>
      </w:r>
    </w:p>
    <w:p w14:paraId="64403ECD" w14:textId="77777777" w:rsidR="00FD1E19" w:rsidRDefault="00FD1E19" w:rsidP="00FD1E19">
      <w:pPr>
        <w:pBdr>
          <w:top w:val="nil"/>
          <w:left w:val="nil"/>
          <w:bottom w:val="nil"/>
          <w:right w:val="nil"/>
          <w:between w:val="nil"/>
          <w:bar w:val="nil"/>
        </w:pBdr>
        <w:rPr>
          <w:rFonts w:ascii="Arial" w:hAnsi="Arial" w:cs="Arial"/>
          <w:noProof/>
          <w:color w:val="000000"/>
          <w:sz w:val="16"/>
          <w:szCs w:val="16"/>
          <w:bdr w:val="nil"/>
        </w:rPr>
      </w:pPr>
    </w:p>
    <w:p w14:paraId="0FB620EF" w14:textId="77777777" w:rsidR="00FD1E19" w:rsidRPr="00B71ED1" w:rsidRDefault="00FD1E19" w:rsidP="00FD1E19">
      <w:pPr>
        <w:pBdr>
          <w:top w:val="nil"/>
          <w:left w:val="nil"/>
          <w:bottom w:val="nil"/>
          <w:right w:val="nil"/>
          <w:between w:val="nil"/>
          <w:bar w:val="nil"/>
        </w:pBdr>
        <w:rPr>
          <w:rFonts w:ascii="Arial" w:hAnsi="Arial" w:cs="Arial"/>
          <w:noProof/>
          <w:color w:val="000000"/>
          <w:sz w:val="16"/>
          <w:szCs w:val="16"/>
          <w:bdr w:val="nil"/>
        </w:rPr>
      </w:pPr>
      <w:r w:rsidRPr="00B71ED1">
        <w:rPr>
          <w:rFonts w:ascii="Arial" w:hAnsi="Arial" w:cs="Arial"/>
          <w:noProof/>
          <w:color w:val="000000"/>
          <w:sz w:val="16"/>
          <w:szCs w:val="16"/>
        </w:rPr>
        <w:t>For enriching the analysis of the net interest income’s sensitivity, the net interest income would increase by EUR 33.7 million (2024: EUR 35.1 million) if interest rates were to increase by 200 basis points.</w:t>
      </w:r>
    </w:p>
    <w:p w14:paraId="591A17DC" w14:textId="77777777" w:rsidR="00FD1E19" w:rsidRDefault="00FD1E19" w:rsidP="00FD1E19">
      <w:pPr>
        <w:rPr>
          <w:rFonts w:ascii="Arial" w:hAnsi="Arial" w:cs="Arial"/>
          <w:noProof/>
          <w:sz w:val="16"/>
          <w:szCs w:val="16"/>
          <w:bdr w:val="nil"/>
          <w:lang w:eastAsia="ar-SA"/>
        </w:rPr>
      </w:pPr>
      <w:bookmarkStart w:id="260" w:name="RG_MARKER_90143"/>
      <w:bookmarkEnd w:id="260"/>
      <w:r>
        <w:rPr>
          <w:rFonts w:ascii="Arial" w:hAnsi="Arial" w:cs="Arial"/>
          <w:noProof/>
          <w:sz w:val="16"/>
          <w:szCs w:val="16"/>
          <w:lang w:eastAsia="ar-SA"/>
        </w:rPr>
        <w:br w:type="page"/>
      </w:r>
    </w:p>
    <w:p w14:paraId="5912451D" w14:textId="77777777" w:rsidR="00FD1E19" w:rsidRPr="00EF2EB2" w:rsidRDefault="00FD1E19" w:rsidP="00FD1E19">
      <w:pPr>
        <w:numPr>
          <w:ilvl w:val="2"/>
          <w:numId w:val="66"/>
        </w:numPr>
        <w:pBdr>
          <w:top w:val="nil"/>
          <w:left w:val="nil"/>
          <w:bottom w:val="nil"/>
          <w:right w:val="nil"/>
          <w:between w:val="nil"/>
          <w:bar w:val="nil"/>
        </w:pBdr>
        <w:spacing w:before="60" w:after="60" w:line="240" w:lineRule="auto"/>
        <w:jc w:val="both"/>
        <w:rPr>
          <w:rFonts w:ascii="Arial" w:hAnsi="Arial"/>
          <w:b/>
          <w:noProof/>
          <w:sz w:val="16"/>
          <w:szCs w:val="16"/>
          <w:bdr w:val="nil"/>
          <w:lang w:eastAsia="ar-SA"/>
        </w:rPr>
      </w:pPr>
      <w:r w:rsidRPr="00EF2EB2">
        <w:rPr>
          <w:rFonts w:ascii="Arial" w:hAnsi="Arial"/>
          <w:b/>
          <w:noProof/>
          <w:sz w:val="16"/>
          <w:szCs w:val="16"/>
          <w:lang w:eastAsia="ar-SA"/>
        </w:rPr>
        <w:t>Foreign exchange risk</w:t>
      </w:r>
    </w:p>
    <w:p w14:paraId="2CF23C7B" w14:textId="77777777" w:rsidR="00FD1E19" w:rsidRPr="00316086" w:rsidRDefault="00FD1E19" w:rsidP="00FD1E19">
      <w:pPr>
        <w:pBdr>
          <w:top w:val="nil"/>
          <w:left w:val="nil"/>
          <w:bottom w:val="nil"/>
          <w:right w:val="nil"/>
          <w:between w:val="nil"/>
          <w:bar w:val="nil"/>
        </w:pBdr>
        <w:tabs>
          <w:tab w:val="right" w:pos="-2700"/>
          <w:tab w:val="left" w:pos="2115"/>
        </w:tabs>
        <w:suppressAutoHyphens/>
        <w:spacing w:before="60" w:after="60"/>
        <w:jc w:val="both"/>
        <w:rPr>
          <w:rFonts w:ascii="Arial" w:hAnsi="Arial"/>
          <w:noProof/>
          <w:sz w:val="16"/>
          <w:szCs w:val="16"/>
          <w:bdr w:val="nil"/>
          <w:lang w:eastAsia="ar-SA"/>
        </w:rPr>
      </w:pPr>
      <w:r>
        <w:rPr>
          <w:rFonts w:ascii="Arial" w:hAnsi="Arial"/>
          <w:noProof/>
          <w:sz w:val="16"/>
          <w:szCs w:val="16"/>
          <w:lang w:eastAsia="ar-SA"/>
        </w:rPr>
        <w:tab/>
      </w:r>
    </w:p>
    <w:p w14:paraId="64071771"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316086">
        <w:rPr>
          <w:rFonts w:ascii="Arial" w:hAnsi="Arial"/>
          <w:noProof/>
          <w:sz w:val="16"/>
          <w:szCs w:val="16"/>
          <w:lang w:eastAsia="ar-SA"/>
        </w:rPr>
        <w:t>Foreign exchange (“FX”) risk</w:t>
      </w:r>
      <w:r>
        <w:rPr>
          <w:rFonts w:ascii="Arial" w:hAnsi="Arial"/>
          <w:noProof/>
          <w:sz w:val="16"/>
          <w:szCs w:val="16"/>
          <w:lang w:eastAsia="ar-SA"/>
        </w:rPr>
        <w:t xml:space="preserve"> </w:t>
      </w:r>
      <w:r w:rsidRPr="00316086">
        <w:rPr>
          <w:rFonts w:ascii="Arial" w:hAnsi="Arial"/>
          <w:noProof/>
          <w:sz w:val="16"/>
          <w:szCs w:val="16"/>
          <w:lang w:eastAsia="ar-SA"/>
        </w:rPr>
        <w:t xml:space="preserve">is the </w:t>
      </w:r>
      <w:r>
        <w:rPr>
          <w:rFonts w:ascii="Arial" w:hAnsi="Arial"/>
          <w:noProof/>
          <w:sz w:val="16"/>
          <w:szCs w:val="16"/>
          <w:lang w:eastAsia="ar-SA"/>
        </w:rPr>
        <w:t xml:space="preserve">risk </w:t>
      </w:r>
      <w:r w:rsidRPr="00EB67D8">
        <w:rPr>
          <w:rFonts w:ascii="Arial" w:hAnsi="Arial"/>
          <w:noProof/>
          <w:sz w:val="16"/>
          <w:szCs w:val="16"/>
          <w:lang w:eastAsia="ar-SA"/>
        </w:rPr>
        <w:t>to the economic value or to the income derived from the IF’s positions due to</w:t>
      </w:r>
      <w:r>
        <w:rPr>
          <w:rFonts w:ascii="Arial" w:hAnsi="Arial"/>
          <w:noProof/>
          <w:sz w:val="16"/>
          <w:szCs w:val="16"/>
          <w:lang w:eastAsia="ar-SA"/>
        </w:rPr>
        <w:t xml:space="preserve"> </w:t>
      </w:r>
      <w:r w:rsidRPr="00316086">
        <w:rPr>
          <w:rFonts w:ascii="Arial" w:hAnsi="Arial"/>
          <w:noProof/>
          <w:sz w:val="16"/>
          <w:szCs w:val="16"/>
          <w:lang w:eastAsia="ar-SA"/>
        </w:rPr>
        <w:t xml:space="preserve">adverse movements of </w:t>
      </w:r>
      <w:r>
        <w:rPr>
          <w:rFonts w:ascii="Arial" w:hAnsi="Arial"/>
          <w:noProof/>
          <w:sz w:val="16"/>
          <w:szCs w:val="16"/>
          <w:lang w:eastAsia="ar-SA"/>
        </w:rPr>
        <w:t>FX</w:t>
      </w:r>
      <w:r w:rsidRPr="00316086">
        <w:rPr>
          <w:rFonts w:ascii="Arial" w:hAnsi="Arial"/>
          <w:noProof/>
          <w:sz w:val="16"/>
          <w:szCs w:val="16"/>
          <w:lang w:eastAsia="ar-SA"/>
        </w:rPr>
        <w:t xml:space="preserve"> rates.</w:t>
      </w:r>
    </w:p>
    <w:p w14:paraId="7F1B454E" w14:textId="77777777" w:rsidR="00FD1E19" w:rsidRPr="00316086"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543EB9D2"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4D0A4B">
        <w:rPr>
          <w:rFonts w:ascii="Arial" w:hAnsi="Arial"/>
          <w:noProof/>
          <w:sz w:val="16"/>
          <w:szCs w:val="16"/>
          <w:lang w:eastAsia="ar-SA"/>
        </w:rPr>
        <w:t>Given a reference accounting currency (EUR for the</w:t>
      </w:r>
      <w:r>
        <w:rPr>
          <w:rFonts w:ascii="Arial" w:hAnsi="Arial"/>
          <w:noProof/>
          <w:sz w:val="16"/>
          <w:szCs w:val="16"/>
          <w:lang w:eastAsia="ar-SA"/>
        </w:rPr>
        <w:t xml:space="preserve"> IF), the Facility is exposed</w:t>
      </w:r>
      <w:r w:rsidRPr="004D0A4B">
        <w:rPr>
          <w:rFonts w:ascii="Arial" w:hAnsi="Arial"/>
          <w:noProof/>
          <w:sz w:val="16"/>
          <w:szCs w:val="16"/>
          <w:lang w:eastAsia="ar-SA"/>
        </w:rPr>
        <w:t xml:space="preserve"> to FX risk whenever there is a </w:t>
      </w:r>
      <w:r>
        <w:rPr>
          <w:rFonts w:ascii="Arial" w:hAnsi="Arial"/>
          <w:noProof/>
          <w:sz w:val="16"/>
          <w:szCs w:val="16"/>
          <w:lang w:eastAsia="ar-SA"/>
        </w:rPr>
        <w:t xml:space="preserve">currency </w:t>
      </w:r>
      <w:r w:rsidRPr="004D0A4B">
        <w:rPr>
          <w:rFonts w:ascii="Arial" w:hAnsi="Arial"/>
          <w:noProof/>
          <w:sz w:val="16"/>
          <w:szCs w:val="16"/>
          <w:lang w:eastAsia="ar-SA"/>
        </w:rPr>
        <w:t>mismatch between assets</w:t>
      </w:r>
      <w:r>
        <w:rPr>
          <w:rFonts w:ascii="Arial" w:hAnsi="Arial"/>
          <w:noProof/>
          <w:sz w:val="16"/>
          <w:szCs w:val="16"/>
          <w:lang w:eastAsia="ar-SA"/>
        </w:rPr>
        <w:t xml:space="preserve">, </w:t>
      </w:r>
      <w:r w:rsidRPr="004D0A4B">
        <w:rPr>
          <w:rFonts w:ascii="Arial" w:hAnsi="Arial"/>
          <w:noProof/>
          <w:sz w:val="16"/>
          <w:szCs w:val="16"/>
          <w:lang w:eastAsia="ar-SA"/>
        </w:rPr>
        <w:t>liabilities</w:t>
      </w:r>
      <w:r>
        <w:rPr>
          <w:rFonts w:ascii="Arial" w:hAnsi="Arial"/>
          <w:noProof/>
          <w:sz w:val="16"/>
          <w:szCs w:val="16"/>
          <w:lang w:eastAsia="ar-SA"/>
        </w:rPr>
        <w:t xml:space="preserve"> and hedging instruments.</w:t>
      </w:r>
    </w:p>
    <w:p w14:paraId="056B8A21" w14:textId="77777777" w:rsidR="00FD1E19" w:rsidRPr="00A7235E" w:rsidRDefault="00FD1E19" w:rsidP="00FD1E19">
      <w:pPr>
        <w:pBdr>
          <w:top w:val="nil"/>
          <w:left w:val="nil"/>
          <w:bottom w:val="nil"/>
          <w:right w:val="nil"/>
          <w:between w:val="nil"/>
          <w:bar w:val="nil"/>
        </w:pBdr>
        <w:spacing w:before="60" w:after="60"/>
        <w:jc w:val="both"/>
        <w:rPr>
          <w:rFonts w:ascii="Arial" w:hAnsi="Arial"/>
          <w:noProof/>
          <w:sz w:val="16"/>
          <w:szCs w:val="16"/>
          <w:highlight w:val="green"/>
          <w:bdr w:val="nil"/>
          <w:lang w:eastAsia="ar-SA"/>
        </w:rPr>
      </w:pPr>
    </w:p>
    <w:p w14:paraId="099EC97E" w14:textId="77777777" w:rsidR="00FD1E19" w:rsidRPr="00EF2EB2" w:rsidRDefault="00FD1E19" w:rsidP="00FD1E19">
      <w:pPr>
        <w:numPr>
          <w:ilvl w:val="3"/>
          <w:numId w:val="66"/>
        </w:numPr>
        <w:pBdr>
          <w:top w:val="nil"/>
          <w:left w:val="nil"/>
          <w:bottom w:val="nil"/>
          <w:right w:val="nil"/>
          <w:between w:val="nil"/>
          <w:bar w:val="nil"/>
        </w:pBdr>
        <w:spacing w:before="60" w:after="60" w:line="240" w:lineRule="auto"/>
        <w:jc w:val="both"/>
        <w:rPr>
          <w:rFonts w:ascii="Arial" w:hAnsi="Arial"/>
          <w:b/>
          <w:noProof/>
          <w:sz w:val="16"/>
          <w:szCs w:val="16"/>
          <w:bdr w:val="nil"/>
          <w:lang w:eastAsia="ar-SA"/>
        </w:rPr>
      </w:pPr>
      <w:r w:rsidRPr="00EF2EB2">
        <w:rPr>
          <w:rFonts w:ascii="Arial" w:hAnsi="Arial"/>
          <w:b/>
          <w:noProof/>
          <w:sz w:val="16"/>
          <w:szCs w:val="16"/>
          <w:lang w:eastAsia="ar-SA"/>
        </w:rPr>
        <w:t>Foreign exchange risk and treasury assets</w:t>
      </w:r>
    </w:p>
    <w:p w14:paraId="2BA48E69"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u w:val="single"/>
          <w:bdr w:val="nil"/>
          <w:lang w:eastAsia="ar-SA"/>
        </w:rPr>
      </w:pPr>
    </w:p>
    <w:p w14:paraId="62F82F5B"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80FDF">
        <w:rPr>
          <w:rFonts w:ascii="Arial" w:hAnsi="Arial"/>
          <w:noProof/>
          <w:sz w:val="16"/>
          <w:szCs w:val="16"/>
          <w:lang w:eastAsia="ar-SA"/>
        </w:rPr>
        <w:t>The IF’s treasury assets are denominated in either EUR or USD.</w:t>
      </w:r>
    </w:p>
    <w:p w14:paraId="663D8E66"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628CBED0"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80FDF">
        <w:rPr>
          <w:rFonts w:ascii="Arial" w:hAnsi="Arial"/>
          <w:noProof/>
          <w:sz w:val="16"/>
          <w:szCs w:val="16"/>
          <w:lang w:eastAsia="ar-SA"/>
        </w:rPr>
        <w:t>FX risk is hedged by means of FX</w:t>
      </w:r>
      <w:r>
        <w:rPr>
          <w:rFonts w:ascii="Arial" w:hAnsi="Arial"/>
          <w:noProof/>
          <w:sz w:val="16"/>
          <w:szCs w:val="16"/>
          <w:lang w:eastAsia="ar-SA"/>
        </w:rPr>
        <w:t xml:space="preserve"> </w:t>
      </w:r>
      <w:r w:rsidRPr="00B80FDF">
        <w:rPr>
          <w:rFonts w:ascii="Arial" w:hAnsi="Arial"/>
          <w:noProof/>
          <w:sz w:val="16"/>
          <w:szCs w:val="16"/>
          <w:lang w:eastAsia="ar-SA"/>
        </w:rPr>
        <w:t>spot or forward transactions, FX swaps or cross-currency swaps. The EIB’s Treasury Department can, where deemed necessary and appropriate, use any other instrument, in line with the Bank’s policy, that provide protection against market risks incurred in connection with the IF’s financial activities.</w:t>
      </w:r>
    </w:p>
    <w:p w14:paraId="4C8110A5"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0E68770A" w14:textId="77777777" w:rsidR="00FD1E19" w:rsidRPr="00EF2EB2" w:rsidRDefault="00FD1E19" w:rsidP="00FD1E19">
      <w:pPr>
        <w:numPr>
          <w:ilvl w:val="3"/>
          <w:numId w:val="66"/>
        </w:numPr>
        <w:pBdr>
          <w:top w:val="nil"/>
          <w:left w:val="nil"/>
          <w:bottom w:val="nil"/>
          <w:right w:val="nil"/>
          <w:between w:val="nil"/>
          <w:bar w:val="nil"/>
        </w:pBdr>
        <w:spacing w:before="60" w:after="60" w:line="240" w:lineRule="auto"/>
        <w:jc w:val="both"/>
        <w:rPr>
          <w:rFonts w:ascii="Arial" w:hAnsi="Arial"/>
          <w:b/>
          <w:noProof/>
          <w:sz w:val="16"/>
          <w:szCs w:val="16"/>
          <w:bdr w:val="nil"/>
          <w:lang w:eastAsia="ar-SA"/>
        </w:rPr>
      </w:pPr>
      <w:r w:rsidRPr="00EF2EB2">
        <w:rPr>
          <w:rFonts w:ascii="Arial" w:hAnsi="Arial"/>
          <w:b/>
          <w:noProof/>
          <w:sz w:val="16"/>
          <w:szCs w:val="16"/>
          <w:lang w:eastAsia="ar-SA"/>
        </w:rPr>
        <w:t>Foreign exchange risk and operations financed or guaranteed by the IF</w:t>
      </w:r>
    </w:p>
    <w:p w14:paraId="58AB8017"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u w:val="single"/>
          <w:bdr w:val="nil"/>
          <w:lang w:eastAsia="ar-SA"/>
        </w:rPr>
      </w:pPr>
    </w:p>
    <w:p w14:paraId="465DDACE"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sidRPr="00B80FDF">
        <w:rPr>
          <w:rFonts w:ascii="Arial" w:hAnsi="Arial"/>
          <w:noProof/>
          <w:sz w:val="16"/>
          <w:szCs w:val="16"/>
        </w:rPr>
        <w:t xml:space="preserve">Member States’ IF contributions are received in EUR. The operations financed or guaranteed by the IF as well as </w:t>
      </w:r>
      <w:r>
        <w:rPr>
          <w:rFonts w:ascii="Arial" w:hAnsi="Arial"/>
          <w:noProof/>
          <w:sz w:val="16"/>
          <w:szCs w:val="16"/>
        </w:rPr>
        <w:t>i</w:t>
      </w:r>
      <w:r w:rsidRPr="00B80FDF">
        <w:rPr>
          <w:rFonts w:ascii="Arial" w:hAnsi="Arial"/>
          <w:noProof/>
          <w:sz w:val="16"/>
          <w:szCs w:val="16"/>
        </w:rPr>
        <w:t xml:space="preserve">nterest </w:t>
      </w:r>
      <w:r>
        <w:rPr>
          <w:rFonts w:ascii="Arial" w:hAnsi="Arial"/>
          <w:noProof/>
          <w:sz w:val="16"/>
          <w:szCs w:val="16"/>
        </w:rPr>
        <w:t>s</w:t>
      </w:r>
      <w:r w:rsidRPr="00B80FDF">
        <w:rPr>
          <w:rFonts w:ascii="Arial" w:hAnsi="Arial"/>
          <w:noProof/>
          <w:sz w:val="16"/>
          <w:szCs w:val="16"/>
        </w:rPr>
        <w:t>ubsidies can be denominated in EUR, USD or any other authori</w:t>
      </w:r>
      <w:r>
        <w:rPr>
          <w:rFonts w:ascii="Arial" w:hAnsi="Arial"/>
          <w:noProof/>
          <w:sz w:val="16"/>
          <w:szCs w:val="16"/>
        </w:rPr>
        <w:t>s</w:t>
      </w:r>
      <w:r w:rsidRPr="00B80FDF">
        <w:rPr>
          <w:rFonts w:ascii="Arial" w:hAnsi="Arial"/>
          <w:noProof/>
          <w:sz w:val="16"/>
          <w:szCs w:val="16"/>
        </w:rPr>
        <w:t>ed currency.</w:t>
      </w:r>
    </w:p>
    <w:p w14:paraId="199FF29F"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282B72D0"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sidRPr="00B80FDF">
        <w:rPr>
          <w:rFonts w:ascii="Arial" w:hAnsi="Arial"/>
          <w:noProof/>
          <w:sz w:val="16"/>
          <w:szCs w:val="16"/>
        </w:rPr>
        <w:t>A foreign exchange risk exposure (against the EUR reference currency) arises whenever transactions denominated in currencies other than the EUR are left un-hedged. The IF’s foreign exchange risk hedging guidelines are set out below. </w:t>
      </w:r>
    </w:p>
    <w:p w14:paraId="25E0601E"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2BD42E79" w14:textId="77777777" w:rsidR="00FD1E19" w:rsidRPr="00EF2EB2" w:rsidRDefault="00FD1E19" w:rsidP="00FD1E19">
      <w:pPr>
        <w:numPr>
          <w:ilvl w:val="4"/>
          <w:numId w:val="67"/>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EF2EB2">
        <w:rPr>
          <w:rFonts w:ascii="Arial" w:hAnsi="Arial"/>
          <w:b/>
          <w:noProof/>
          <w:sz w:val="16"/>
          <w:szCs w:val="16"/>
          <w:lang w:eastAsia="ar-SA"/>
        </w:rPr>
        <w:t>Hedging of operations denominated in USD</w:t>
      </w:r>
    </w:p>
    <w:p w14:paraId="0607AE0E"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6FACF73F"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szCs w:val="16"/>
        </w:rPr>
        <w:t>The FX risk generated by IF operations denominated in USD shall be covered on an aggregated basis via the use of EUR/USD FX swaps, rolled over and adjusted in terms of amount on a periodic basis. The use of FX swaps serves a dual purpose. On one side the necessary liquidity for new disbursements (loans and equity) is generated and on the other side an FX macro hedge is maintained.</w:t>
      </w:r>
    </w:p>
    <w:p w14:paraId="59961383"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szCs w:val="16"/>
        </w:rPr>
        <w:t xml:space="preserve">At the beginning of each period, the cash flows to be received or paid in USD during the next period shall be estimated on the basis of planned or expected reflows/disbursements. Subsequently, the maturing FX swaps shall be rolled over, their amount being adjusted to cover at least the USD liquidity needs projected over the next period. </w:t>
      </w:r>
    </w:p>
    <w:p w14:paraId="6D776A85"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193E59AB"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szCs w:val="16"/>
        </w:rPr>
        <w:t>On a monthly basis, the USD FX position shall be hedged, if exceeding the relevant limits, by means of a spot or forward operation.</w:t>
      </w:r>
    </w:p>
    <w:p w14:paraId="0802B796"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6B49AD63"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rPr>
      </w:pPr>
      <w:r>
        <w:rPr>
          <w:rFonts w:ascii="Arial" w:hAnsi="Arial"/>
          <w:noProof/>
          <w:sz w:val="16"/>
          <w:szCs w:val="16"/>
        </w:rPr>
        <w:t xml:space="preserve">Within a roll-over period, unexpected USD liquidity deficits shall be covered by means of ad hoc FX swap operations while liquidity surpluses shall either be invested in treasury assets or converted into EUR if occurred from an increase of the FX position. </w:t>
      </w:r>
    </w:p>
    <w:p w14:paraId="048D9C24"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47ABB737" w14:textId="77777777" w:rsidR="00FD1E19" w:rsidRPr="00EF2EB2" w:rsidRDefault="00FD1E19" w:rsidP="00FD1E19">
      <w:pPr>
        <w:numPr>
          <w:ilvl w:val="4"/>
          <w:numId w:val="67"/>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EF2EB2">
        <w:rPr>
          <w:rFonts w:ascii="Arial" w:hAnsi="Arial"/>
          <w:b/>
          <w:noProof/>
          <w:sz w:val="16"/>
          <w:szCs w:val="16"/>
          <w:lang w:eastAsia="ar-SA"/>
        </w:rPr>
        <w:t>Hedging of operations denominated in currencies other than EUR or USD</w:t>
      </w:r>
    </w:p>
    <w:p w14:paraId="21A0A448"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2ACB15D4" w14:textId="77777777" w:rsidR="00FD1E19" w:rsidRPr="006B5BAB"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sidRPr="00B80FDF">
        <w:rPr>
          <w:rFonts w:ascii="Arial" w:hAnsi="Arial"/>
          <w:noProof/>
          <w:sz w:val="16"/>
          <w:szCs w:val="16"/>
        </w:rPr>
        <w:t xml:space="preserve">IF </w:t>
      </w:r>
      <w:r>
        <w:rPr>
          <w:rFonts w:ascii="Arial" w:hAnsi="Arial"/>
          <w:noProof/>
          <w:sz w:val="16"/>
          <w:szCs w:val="16"/>
        </w:rPr>
        <w:t>operations</w:t>
      </w:r>
      <w:r w:rsidRPr="00B80FDF">
        <w:rPr>
          <w:rFonts w:ascii="Arial" w:hAnsi="Arial"/>
          <w:noProof/>
          <w:sz w:val="16"/>
          <w:szCs w:val="16"/>
        </w:rPr>
        <w:t xml:space="preserve"> </w:t>
      </w:r>
      <w:r>
        <w:rPr>
          <w:rFonts w:ascii="Arial" w:hAnsi="Arial"/>
          <w:noProof/>
          <w:sz w:val="16"/>
          <w:szCs w:val="16"/>
        </w:rPr>
        <w:t>denominated</w:t>
      </w:r>
      <w:r w:rsidRPr="00B80FDF">
        <w:rPr>
          <w:rFonts w:ascii="Arial" w:hAnsi="Arial"/>
          <w:noProof/>
          <w:sz w:val="16"/>
          <w:szCs w:val="16"/>
        </w:rPr>
        <w:t xml:space="preserve"> in currencies other than EUR and USD shall be hedged through cross-currency swap contracts with the same financial profile as the underlying </w:t>
      </w:r>
      <w:r>
        <w:rPr>
          <w:rFonts w:ascii="Arial" w:hAnsi="Arial"/>
          <w:noProof/>
          <w:sz w:val="16"/>
          <w:szCs w:val="16"/>
        </w:rPr>
        <w:t>l</w:t>
      </w:r>
      <w:r w:rsidRPr="00B80FDF">
        <w:rPr>
          <w:rFonts w:ascii="Arial" w:hAnsi="Arial"/>
          <w:noProof/>
          <w:sz w:val="16"/>
          <w:szCs w:val="16"/>
        </w:rPr>
        <w:t>oan, provided that a swap market is operational.</w:t>
      </w:r>
    </w:p>
    <w:p w14:paraId="4C113E48" w14:textId="77777777" w:rsidR="00FD1E19" w:rsidRPr="00B80FDF"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4C8F28F2"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szCs w:val="16"/>
        </w:rPr>
        <w:t>IF has operations</w:t>
      </w:r>
      <w:r w:rsidRPr="00C67204">
        <w:rPr>
          <w:rFonts w:ascii="Arial" w:hAnsi="Arial"/>
          <w:noProof/>
          <w:sz w:val="16"/>
          <w:szCs w:val="16"/>
        </w:rPr>
        <w:t xml:space="preserve"> denominated in currencies for which</w:t>
      </w:r>
      <w:r>
        <w:rPr>
          <w:rFonts w:ascii="Arial" w:hAnsi="Arial"/>
          <w:noProof/>
          <w:sz w:val="16"/>
          <w:szCs w:val="16"/>
        </w:rPr>
        <w:t xml:space="preserve"> hedging possibilities are either not available or available at a high cost</w:t>
      </w:r>
      <w:r w:rsidRPr="00C67204">
        <w:rPr>
          <w:rFonts w:ascii="Arial" w:hAnsi="Arial"/>
          <w:noProof/>
          <w:sz w:val="16"/>
          <w:szCs w:val="16"/>
        </w:rPr>
        <w:t xml:space="preserve">. </w:t>
      </w:r>
      <w:r>
        <w:rPr>
          <w:rFonts w:ascii="Arial" w:hAnsi="Arial"/>
          <w:noProof/>
          <w:sz w:val="16"/>
          <w:szCs w:val="16"/>
        </w:rPr>
        <w:t xml:space="preserve">These </w:t>
      </w:r>
      <w:r w:rsidRPr="00C67204">
        <w:rPr>
          <w:rFonts w:ascii="Arial" w:hAnsi="Arial"/>
          <w:noProof/>
          <w:sz w:val="16"/>
          <w:szCs w:val="16"/>
        </w:rPr>
        <w:t xml:space="preserve">operations </w:t>
      </w:r>
      <w:r>
        <w:rPr>
          <w:rFonts w:ascii="Arial" w:hAnsi="Arial"/>
          <w:noProof/>
          <w:sz w:val="16"/>
          <w:szCs w:val="16"/>
        </w:rPr>
        <w:t xml:space="preserve">are </w:t>
      </w:r>
      <w:r w:rsidRPr="00C67204">
        <w:rPr>
          <w:rFonts w:ascii="Arial" w:hAnsi="Arial"/>
          <w:noProof/>
          <w:sz w:val="16"/>
          <w:szCs w:val="16"/>
        </w:rPr>
        <w:t>denominated in local currencies (</w:t>
      </w:r>
      <w:r w:rsidRPr="00CD33F7">
        <w:rPr>
          <w:rFonts w:ascii="Arial" w:hAnsi="Arial"/>
          <w:noProof/>
          <w:sz w:val="16"/>
          <w:szCs w:val="16"/>
        </w:rPr>
        <w:t>“</w:t>
      </w:r>
      <w:r w:rsidRPr="00C67204">
        <w:rPr>
          <w:rFonts w:ascii="Arial" w:hAnsi="Arial"/>
          <w:noProof/>
          <w:sz w:val="16"/>
          <w:szCs w:val="16"/>
        </w:rPr>
        <w:t>LCs</w:t>
      </w:r>
      <w:r w:rsidRPr="00CD33F7">
        <w:rPr>
          <w:rFonts w:ascii="Arial" w:hAnsi="Arial"/>
          <w:noProof/>
          <w:sz w:val="16"/>
          <w:szCs w:val="16"/>
        </w:rPr>
        <w:t>“</w:t>
      </w:r>
      <w:r w:rsidRPr="00C67204">
        <w:rPr>
          <w:rFonts w:ascii="Arial" w:hAnsi="Arial"/>
          <w:noProof/>
          <w:sz w:val="16"/>
          <w:szCs w:val="16"/>
        </w:rPr>
        <w:t>) but settled in EUR or USD.</w:t>
      </w:r>
      <w:r w:rsidRPr="00D568C7">
        <w:rPr>
          <w:rFonts w:ascii="Arial" w:hAnsi="Arial"/>
          <w:noProof/>
          <w:sz w:val="16"/>
          <w:szCs w:val="16"/>
        </w:rPr>
        <w:t xml:space="preserve"> </w:t>
      </w:r>
      <w:r>
        <w:rPr>
          <w:rFonts w:ascii="Arial" w:hAnsi="Arial"/>
          <w:noProof/>
          <w:sz w:val="16"/>
          <w:szCs w:val="16"/>
        </w:rPr>
        <w:t xml:space="preserve">IF’s financial risk framework, which was approved by the IF Committee on 22 January 2015, offers the possibility to hedge the FX exposure in LCs, that exhibit a significant positive correlation with the USD, synthetically via USD-denominated derivatives. </w:t>
      </w:r>
      <w:r w:rsidRPr="00B45D8A">
        <w:rPr>
          <w:rFonts w:ascii="Arial" w:hAnsi="Arial"/>
          <w:noProof/>
          <w:sz w:val="16"/>
          <w:szCs w:val="16"/>
        </w:rPr>
        <w:t>The L</w:t>
      </w:r>
      <w:r>
        <w:rPr>
          <w:rFonts w:ascii="Arial" w:hAnsi="Arial"/>
          <w:noProof/>
          <w:sz w:val="16"/>
          <w:szCs w:val="16"/>
        </w:rPr>
        <w:t>C</w:t>
      </w:r>
      <w:r w:rsidRPr="00B45D8A">
        <w:rPr>
          <w:rFonts w:ascii="Arial" w:hAnsi="Arial"/>
          <w:noProof/>
          <w:sz w:val="16"/>
          <w:szCs w:val="16"/>
        </w:rPr>
        <w:t>s hedged synthetically with USD</w:t>
      </w:r>
      <w:r>
        <w:rPr>
          <w:rFonts w:ascii="Arial" w:hAnsi="Arial"/>
          <w:noProof/>
          <w:sz w:val="16"/>
          <w:szCs w:val="16"/>
        </w:rPr>
        <w:t>-</w:t>
      </w:r>
      <w:r w:rsidRPr="00B45D8A">
        <w:rPr>
          <w:rFonts w:ascii="Arial" w:hAnsi="Arial"/>
          <w:noProof/>
          <w:sz w:val="16"/>
          <w:szCs w:val="16"/>
        </w:rPr>
        <w:t>denominated derivatives are reported in the table in section 3.4.2.2.3 below under item “Local currencies (under synthetic hedge)”</w:t>
      </w:r>
      <w:r>
        <w:rPr>
          <w:rFonts w:ascii="Arial" w:hAnsi="Arial"/>
          <w:noProof/>
          <w:sz w:val="16"/>
          <w:szCs w:val="16"/>
        </w:rPr>
        <w:t>,</w:t>
      </w:r>
      <w:r w:rsidRPr="00B45D8A">
        <w:rPr>
          <w:rFonts w:ascii="Arial" w:hAnsi="Arial"/>
          <w:noProof/>
          <w:sz w:val="16"/>
          <w:szCs w:val="16"/>
        </w:rPr>
        <w:t xml:space="preserve"> while the L</w:t>
      </w:r>
      <w:r>
        <w:rPr>
          <w:rFonts w:ascii="Arial" w:hAnsi="Arial"/>
          <w:noProof/>
          <w:sz w:val="16"/>
          <w:szCs w:val="16"/>
        </w:rPr>
        <w:t>C</w:t>
      </w:r>
      <w:r w:rsidRPr="00B45D8A">
        <w:rPr>
          <w:rFonts w:ascii="Arial" w:hAnsi="Arial"/>
          <w:noProof/>
          <w:sz w:val="16"/>
          <w:szCs w:val="16"/>
        </w:rPr>
        <w:t>s not hedged synthetically with the USD are reported in the same table under item</w:t>
      </w:r>
      <w:r>
        <w:rPr>
          <w:rFonts w:ascii="Arial" w:hAnsi="Arial"/>
          <w:noProof/>
          <w:sz w:val="16"/>
          <w:szCs w:val="16"/>
        </w:rPr>
        <w:t xml:space="preserve"> </w:t>
      </w:r>
      <w:r w:rsidRPr="00B45D8A">
        <w:rPr>
          <w:rFonts w:ascii="Arial" w:hAnsi="Arial"/>
          <w:noProof/>
          <w:sz w:val="16"/>
          <w:szCs w:val="16"/>
        </w:rPr>
        <w:t>“Local currencies (not under synthetic hedge)”.</w:t>
      </w:r>
    </w:p>
    <w:p w14:paraId="2B22AF1F"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p>
    <w:p w14:paraId="6CA4FE9E"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eastAsia="ar-SA"/>
        </w:rPr>
      </w:pPr>
      <w:r w:rsidRPr="00BA01DB">
        <w:rPr>
          <w:rFonts w:ascii="Arial" w:hAnsi="Arial"/>
          <w:noProof/>
          <w:sz w:val="16"/>
          <w:szCs w:val="16"/>
          <w:lang w:eastAsia="ar-SA"/>
        </w:rPr>
        <w:t>In addition, for loans denominated in currencies other than EUR, USD or currencies for which hedging through cross-currency swap contracts is</w:t>
      </w:r>
      <w:r>
        <w:rPr>
          <w:rFonts w:ascii="Arial" w:hAnsi="Arial"/>
          <w:noProof/>
          <w:sz w:val="16"/>
          <w:szCs w:val="16"/>
          <w:lang w:eastAsia="ar-SA"/>
        </w:rPr>
        <w:t xml:space="preserve"> not</w:t>
      </w:r>
      <w:r w:rsidRPr="00BA01DB">
        <w:rPr>
          <w:rFonts w:ascii="Arial" w:hAnsi="Arial"/>
          <w:noProof/>
          <w:sz w:val="16"/>
          <w:szCs w:val="16"/>
          <w:lang w:eastAsia="ar-SA"/>
        </w:rPr>
        <w:t xml:space="preserve"> possible, the IF charges an additional interest component called “FX premium” to mitigate the risk of potential local currency depreciation</w:t>
      </w:r>
      <w:r>
        <w:rPr>
          <w:rFonts w:ascii="Arial" w:hAnsi="Arial"/>
          <w:noProof/>
          <w:sz w:val="16"/>
          <w:szCs w:val="16"/>
          <w:lang w:eastAsia="ar-SA"/>
        </w:rPr>
        <w:t>.</w:t>
      </w:r>
    </w:p>
    <w:p w14:paraId="10C8E2BF" w14:textId="77777777" w:rsidR="00FD1E19" w:rsidRDefault="00FD1E19" w:rsidP="00FD1E19">
      <w:pPr>
        <w:rPr>
          <w:rFonts w:ascii="Arial" w:hAnsi="Arial" w:cs="Arial"/>
          <w:noProof/>
          <w:sz w:val="16"/>
          <w:szCs w:val="16"/>
          <w:bdr w:val="nil"/>
          <w:lang w:eastAsia="ar-SA"/>
        </w:rPr>
      </w:pPr>
      <w:bookmarkStart w:id="261" w:name="RG_MARKER_90144"/>
      <w:bookmarkEnd w:id="261"/>
      <w:r>
        <w:rPr>
          <w:rFonts w:ascii="Arial" w:hAnsi="Arial" w:cs="Arial"/>
          <w:noProof/>
          <w:sz w:val="16"/>
          <w:szCs w:val="16"/>
          <w:lang w:eastAsia="ar-SA"/>
        </w:rPr>
        <w:br w:type="page"/>
      </w:r>
    </w:p>
    <w:p w14:paraId="05AF69DF" w14:textId="77777777" w:rsidR="00FD1E19" w:rsidRPr="00CE6726" w:rsidRDefault="00FD1E19" w:rsidP="00FD1E19">
      <w:pPr>
        <w:numPr>
          <w:ilvl w:val="4"/>
          <w:numId w:val="68"/>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val="en-US" w:eastAsia="ar-SA"/>
        </w:rPr>
      </w:pPr>
      <w:r w:rsidRPr="00CE6726">
        <w:rPr>
          <w:rFonts w:ascii="Arial" w:hAnsi="Arial"/>
          <w:b/>
          <w:noProof/>
          <w:sz w:val="16"/>
          <w:szCs w:val="16"/>
          <w:lang w:eastAsia="ar-SA"/>
        </w:rPr>
        <w:t xml:space="preserve">Foreign exchange position </w:t>
      </w:r>
      <w:r w:rsidRPr="00B9244E">
        <w:rPr>
          <w:rFonts w:ascii="Arial" w:hAnsi="Arial"/>
          <w:b/>
          <w:noProof/>
          <w:sz w:val="16"/>
          <w:szCs w:val="16"/>
          <w:lang w:eastAsia="ar-SA"/>
        </w:rPr>
        <w:t>(in EUR’000)</w:t>
      </w:r>
    </w:p>
    <w:p w14:paraId="357D3122" w14:textId="77777777" w:rsidR="00FD1E19" w:rsidRPr="00CE6726" w:rsidRDefault="00FD1E19" w:rsidP="00FD1E19">
      <w:pPr>
        <w:pBdr>
          <w:top w:val="nil"/>
          <w:left w:val="nil"/>
          <w:bottom w:val="nil"/>
          <w:right w:val="nil"/>
          <w:between w:val="nil"/>
          <w:bar w:val="nil"/>
        </w:pBdr>
        <w:tabs>
          <w:tab w:val="right" w:pos="-2700"/>
        </w:tabs>
        <w:suppressAutoHyphens/>
        <w:spacing w:before="60" w:after="60"/>
        <w:ind w:left="1021"/>
        <w:jc w:val="both"/>
        <w:rPr>
          <w:rFonts w:ascii="Arial" w:hAnsi="Arial"/>
          <w:b/>
          <w:noProof/>
          <w:sz w:val="16"/>
          <w:szCs w:val="16"/>
          <w:bdr w:val="nil"/>
          <w:lang w:val="en-US" w:eastAsia="ar-SA"/>
        </w:rPr>
      </w:pPr>
    </w:p>
    <w:p w14:paraId="1ED2A3C5"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r>
        <w:rPr>
          <w:rFonts w:ascii="Arial" w:hAnsi="Arial"/>
          <w:noProof/>
          <w:sz w:val="16"/>
          <w:szCs w:val="16"/>
          <w:lang w:eastAsia="ar-SA"/>
        </w:rPr>
        <w:t>The tables of this note show the IF’s foreign exchange position.</w:t>
      </w:r>
    </w:p>
    <w:p w14:paraId="11E17BCF" w14:textId="77777777" w:rsidR="00FD1E19" w:rsidRDefault="00FD1E19" w:rsidP="00FD1E19">
      <w:pPr>
        <w:pBdr>
          <w:top w:val="nil"/>
          <w:left w:val="nil"/>
          <w:bottom w:val="nil"/>
          <w:right w:val="nil"/>
          <w:between w:val="nil"/>
          <w:bar w:val="nil"/>
        </w:pBdr>
        <w:tabs>
          <w:tab w:val="right" w:pos="-2700"/>
          <w:tab w:val="center" w:pos="4320"/>
          <w:tab w:val="right" w:pos="8640"/>
        </w:tabs>
        <w:suppressAutoHyphens/>
        <w:spacing w:before="60" w:after="60"/>
        <w:jc w:val="both"/>
        <w:rPr>
          <w:rFonts w:ascii="Arial" w:hAnsi="Arial"/>
          <w:noProof/>
          <w:sz w:val="16"/>
          <w:szCs w:val="16"/>
          <w:bdr w:val="nil"/>
          <w:lang w:eastAsia="ar-SA"/>
        </w:rPr>
      </w:pPr>
    </w:p>
    <w:p w14:paraId="1257735E"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szCs w:val="16"/>
        </w:rPr>
        <w:t>The foreign exchange position is presented in the tables below in accordance with the IF’s Risk Policies (as described in the IF’s financial risk framework). The FX position as per Risk Policies is based on accounting figures and defined as the balance between selected assets and liabilities. The assets and liabilities defined in the FX position as per Risk Policies are selected to ensure that the earnings will only be converted into the reporting currency (EUR) when received.</w:t>
      </w:r>
    </w:p>
    <w:p w14:paraId="3FF19558"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p>
    <w:p w14:paraId="31FB33A7"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rPr>
      </w:pPr>
      <w:r>
        <w:rPr>
          <w:rFonts w:ascii="Arial" w:hAnsi="Arial"/>
          <w:noProof/>
          <w:sz w:val="16"/>
          <w:szCs w:val="16"/>
        </w:rPr>
        <w:t>The fair value change on shares and other variable yield securities are included in the FX position as per Risk Policies, as well as impairments on loans and advances. Derivatives included in the FX position as per Risk Policies are considered at their nominal value instead of their fair value, in order to be aligned with the retained value of the assets, considered also at their nominal value adjusted by the impairment for loans.</w:t>
      </w:r>
    </w:p>
    <w:p w14:paraId="0CF9499D" w14:textId="77777777" w:rsidR="00FD1E19" w:rsidRDefault="00FD1E19" w:rsidP="00FD1E19">
      <w:pPr>
        <w:pBdr>
          <w:top w:val="nil"/>
          <w:left w:val="nil"/>
          <w:bottom w:val="nil"/>
          <w:right w:val="nil"/>
          <w:between w:val="nil"/>
          <w:bar w:val="nil"/>
        </w:pBdr>
        <w:suppressAutoHyphens/>
        <w:jc w:val="both"/>
        <w:rPr>
          <w:noProof/>
          <w:bdr w:val="nil"/>
          <w:lang w:eastAsia="ar-SA"/>
        </w:rPr>
      </w:pPr>
    </w:p>
    <w:p w14:paraId="5289CB80" w14:textId="77777777" w:rsidR="00FD1E19" w:rsidRPr="003E4190" w:rsidRDefault="00FD1E19" w:rsidP="00FD1E19">
      <w:pPr>
        <w:pBdr>
          <w:top w:val="nil"/>
          <w:left w:val="nil"/>
          <w:bottom w:val="nil"/>
          <w:right w:val="nil"/>
          <w:between w:val="nil"/>
          <w:bar w:val="nil"/>
        </w:pBdr>
        <w:jc w:val="both"/>
        <w:rPr>
          <w:rFonts w:ascii="Arial" w:hAnsi="Arial"/>
          <w:noProof/>
          <w:sz w:val="16"/>
          <w:szCs w:val="16"/>
          <w:bdr w:val="nil"/>
          <w:lang w:eastAsia="ar-SA"/>
        </w:rPr>
      </w:pPr>
      <w:r>
        <w:rPr>
          <w:rFonts w:ascii="Arial" w:hAnsi="Arial"/>
          <w:noProof/>
          <w:sz w:val="16"/>
          <w:szCs w:val="16"/>
        </w:rPr>
        <w:t>In the tables below, the remaining part of the assets and liabilities, which includes mainly interest accruals on loans, derivatives and subsidies, are presented under “FX position excluded from Risk Policies”.</w:t>
      </w:r>
    </w:p>
    <w:tbl>
      <w:tblPr>
        <w:tblStyle w:val="CDMRange2"/>
        <w:tblW w:w="5000" w:type="pct"/>
        <w:tblLayout w:type="fixed"/>
        <w:tblLook w:val="0600" w:firstRow="0" w:lastRow="0" w:firstColumn="0" w:lastColumn="0" w:noHBand="1" w:noVBand="1"/>
      </w:tblPr>
      <w:tblGrid>
        <w:gridCol w:w="2597"/>
        <w:gridCol w:w="1781"/>
        <w:gridCol w:w="1780"/>
        <w:gridCol w:w="1780"/>
        <w:gridCol w:w="1780"/>
      </w:tblGrid>
      <w:tr w:rsidR="00FD1E19" w14:paraId="0D3DF8B1" w14:textId="77777777" w:rsidTr="00BE7E4A">
        <w:trPr>
          <w:trHeight w:hRule="exact" w:val="420"/>
        </w:trPr>
        <w:tc>
          <w:tcPr>
            <w:tcW w:w="26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B50C193" w14:textId="77777777" w:rsidR="00FD1E19" w:rsidRDefault="00FD1E19" w:rsidP="00BE7E4A">
            <w:pPr>
              <w:suppressAutoHyphens/>
              <w:rPr>
                <w:rFonts w:ascii="Arial" w:eastAsia="Arial" w:hAnsi="Arial" w:cs="Arial"/>
                <w:b/>
                <w:noProof/>
                <w:color w:val="000000"/>
                <w:sz w:val="16"/>
                <w:lang w:eastAsia="ar-SA"/>
              </w:rPr>
            </w:pPr>
            <w:bookmarkStart w:id="262" w:name="RG_MARKER_90145"/>
            <w:r>
              <w:rPr>
                <w:rFonts w:ascii="Arial" w:eastAsia="Arial" w:hAnsi="Arial" w:cs="Arial"/>
                <w:b/>
                <w:noProof/>
                <w:color w:val="000000"/>
                <w:sz w:val="16"/>
                <w:lang w:eastAsia="ar-SA"/>
              </w:rPr>
              <w:t>As at 31 December 2025</w:t>
            </w:r>
            <w:bookmarkEnd w:id="262"/>
          </w:p>
        </w:tc>
        <w:tc>
          <w:tcPr>
            <w:tcW w:w="5400" w:type="dxa"/>
            <w:gridSpan w:val="3"/>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41ED03D"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Assets and liabilities</w:t>
            </w:r>
          </w:p>
        </w:tc>
        <w:tc>
          <w:tcPr>
            <w:tcW w:w="18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D27719B"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Commitments and contingent liabilities</w:t>
            </w:r>
          </w:p>
        </w:tc>
      </w:tr>
      <w:tr w:rsidR="00FD1E19" w14:paraId="52CBD18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6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D7A465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Currencies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76E844C0"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FX position as per Risk Policies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47A263D9"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FX position excluded from Risk Policies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3BDD5D77"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Balance sheet FX position</w:t>
            </w:r>
          </w:p>
        </w:tc>
        <w:tc>
          <w:tcPr>
            <w:tcW w:w="1800" w:type="dxa"/>
            <w:tcBorders>
              <w:top w:val="single" w:sz="4" w:space="0" w:color="000000"/>
              <w:left w:val="nil"/>
              <w:bottom w:val="nil"/>
              <w:right w:val="nil"/>
              <w:tl2br w:val="nil"/>
              <w:tr2bl w:val="nil"/>
            </w:tcBorders>
            <w:shd w:val="clear" w:color="FFFFFF" w:fill="FFFFFF"/>
            <w:tcMar>
              <w:left w:w="0" w:type="dxa"/>
              <w:right w:w="0" w:type="dxa"/>
            </w:tcMar>
            <w:vAlign w:val="center"/>
          </w:tcPr>
          <w:p w14:paraId="36576BB5" w14:textId="77777777" w:rsidR="00FD1E19" w:rsidRDefault="00FD1E19" w:rsidP="00BE7E4A">
            <w:pPr>
              <w:suppressAutoHyphens/>
              <w:jc w:val="center"/>
              <w:rPr>
                <w:rFonts w:ascii="Arial" w:eastAsia="Arial" w:hAnsi="Arial" w:cs="Arial"/>
                <w:b/>
                <w:noProof/>
                <w:color w:val="000000"/>
                <w:sz w:val="16"/>
                <w:lang w:eastAsia="ar-SA"/>
              </w:rPr>
            </w:pPr>
          </w:p>
        </w:tc>
      </w:tr>
      <w:tr w:rsidR="00FD1E19" w14:paraId="5A5C70D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14:paraId="7032DD0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USD</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6A56F27E"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1,294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24A1C396"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-31,642</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6CD915F9"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-30,348</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5F2CF268"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164,405</w:t>
            </w:r>
          </w:p>
        </w:tc>
      </w:tr>
      <w:tr w:rsidR="00FD1E19" w14:paraId="75455EC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0"/>
        </w:trPr>
        <w:tc>
          <w:tcPr>
            <w:tcW w:w="2625" w:type="dxa"/>
            <w:tcBorders>
              <w:top w:val="nil"/>
              <w:left w:val="nil"/>
              <w:bottom w:val="nil"/>
              <w:right w:val="nil"/>
              <w:tl2br w:val="nil"/>
              <w:tr2bl w:val="nil"/>
            </w:tcBorders>
            <w:shd w:val="clear" w:color="FFFFFF" w:fill="FFFFFF"/>
            <w:tcMar>
              <w:left w:w="40" w:type="dxa"/>
              <w:right w:w="40" w:type="dxa"/>
            </w:tcMar>
            <w:vAlign w:val="center"/>
          </w:tcPr>
          <w:p w14:paraId="27621258" w14:textId="77777777" w:rsidR="00FD1E19" w:rsidRDefault="00FD1E19" w:rsidP="00BE7E4A">
            <w:pPr>
              <w:suppressAutoHyphens/>
              <w:rPr>
                <w:rFonts w:ascii="Arial" w:eastAsia="Arial" w:hAnsi="Arial" w:cs="Arial"/>
                <w:i/>
                <w:noProof/>
                <w:color w:val="000000"/>
                <w:sz w:val="16"/>
                <w:lang w:eastAsia="ar-SA"/>
              </w:rPr>
            </w:pPr>
            <w:r>
              <w:rPr>
                <w:rFonts w:ascii="Arial" w:eastAsia="Arial" w:hAnsi="Arial" w:cs="Arial"/>
                <w:i/>
                <w:noProof/>
                <w:color w:val="000000"/>
                <w:sz w:val="16"/>
                <w:lang w:eastAsia="ar-SA"/>
              </w:rPr>
              <w:t xml:space="preserve">Local currencies </w:t>
            </w:r>
          </w:p>
          <w:p w14:paraId="786687D1" w14:textId="77777777" w:rsidR="00FD1E19" w:rsidRDefault="00FD1E19" w:rsidP="00BE7E4A">
            <w:pPr>
              <w:suppressAutoHyphens/>
              <w:rPr>
                <w:rFonts w:ascii="Arial" w:eastAsia="Arial" w:hAnsi="Arial" w:cs="Arial"/>
                <w:i/>
                <w:noProof/>
                <w:color w:val="000000"/>
                <w:sz w:val="16"/>
                <w:lang w:eastAsia="ar-SA"/>
              </w:rPr>
            </w:pPr>
            <w:r>
              <w:rPr>
                <w:rFonts w:ascii="Arial" w:eastAsia="Arial" w:hAnsi="Arial" w:cs="Arial"/>
                <w:i/>
                <w:noProof/>
                <w:color w:val="000000"/>
                <w:sz w:val="16"/>
                <w:lang w:eastAsia="ar-SA"/>
              </w:rPr>
              <w:t>(under synthetic hedge)*</w:t>
            </w: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10755291"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7FED3F0B"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4B9875F1"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bottom"/>
          </w:tcPr>
          <w:p w14:paraId="32F17C96" w14:textId="77777777" w:rsidR="00FD1E19" w:rsidRDefault="00FD1E19" w:rsidP="00BE7E4A">
            <w:pPr>
              <w:suppressAutoHyphens/>
              <w:jc w:val="center"/>
              <w:rPr>
                <w:rFonts w:ascii="Arial" w:eastAsia="Arial" w:hAnsi="Arial" w:cs="Arial"/>
                <w:noProof/>
                <w:color w:val="000000"/>
                <w:sz w:val="16"/>
                <w:lang w:eastAsia="ar-SA"/>
              </w:rPr>
            </w:pPr>
          </w:p>
        </w:tc>
      </w:tr>
      <w:tr w:rsidR="00FD1E19" w14:paraId="533162B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14:paraId="0151114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TZS</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1E1040FC"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7099D0DF"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57EEF1BC"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04BC9F2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51C1FF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14:paraId="28A418D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DOP</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3A5A93BA"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4,775</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3FE21E50"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82</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60B1B170"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4,857</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1BF0EF6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8E084B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30"/>
        </w:trPr>
        <w:tc>
          <w:tcPr>
            <w:tcW w:w="2625" w:type="dxa"/>
            <w:tcBorders>
              <w:top w:val="nil"/>
              <w:left w:val="nil"/>
              <w:bottom w:val="nil"/>
              <w:right w:val="nil"/>
              <w:tl2br w:val="nil"/>
              <w:tr2bl w:val="nil"/>
            </w:tcBorders>
            <w:shd w:val="clear" w:color="FFFFFF" w:fill="FFFFFF"/>
            <w:tcMar>
              <w:left w:w="40" w:type="dxa"/>
              <w:right w:w="40" w:type="dxa"/>
            </w:tcMar>
            <w:vAlign w:val="center"/>
          </w:tcPr>
          <w:p w14:paraId="23037517" w14:textId="77777777" w:rsidR="00FD1E19" w:rsidRDefault="00FD1E19" w:rsidP="00BE7E4A">
            <w:pPr>
              <w:suppressAutoHyphens/>
              <w:rPr>
                <w:rFonts w:ascii="Arial" w:eastAsia="Arial" w:hAnsi="Arial" w:cs="Arial"/>
                <w:i/>
                <w:noProof/>
                <w:color w:val="000000"/>
                <w:sz w:val="16"/>
                <w:lang w:eastAsia="ar-SA"/>
              </w:rPr>
            </w:pPr>
            <w:r>
              <w:rPr>
                <w:rFonts w:ascii="Arial" w:eastAsia="Arial" w:hAnsi="Arial" w:cs="Arial"/>
                <w:i/>
                <w:noProof/>
                <w:color w:val="000000"/>
                <w:sz w:val="16"/>
                <w:lang w:eastAsia="ar-SA"/>
              </w:rPr>
              <w:t xml:space="preserve">Local currencies </w:t>
            </w:r>
          </w:p>
          <w:p w14:paraId="56AFC0D5" w14:textId="77777777" w:rsidR="00FD1E19" w:rsidRDefault="00FD1E19" w:rsidP="00BE7E4A">
            <w:pPr>
              <w:suppressAutoHyphens/>
              <w:rPr>
                <w:rFonts w:ascii="Arial" w:eastAsia="Arial" w:hAnsi="Arial" w:cs="Arial"/>
                <w:i/>
                <w:noProof/>
                <w:color w:val="000000"/>
                <w:sz w:val="16"/>
                <w:lang w:eastAsia="ar-SA"/>
              </w:rPr>
            </w:pPr>
            <w:r>
              <w:rPr>
                <w:rFonts w:ascii="Arial" w:eastAsia="Arial" w:hAnsi="Arial" w:cs="Arial"/>
                <w:i/>
                <w:noProof/>
                <w:color w:val="000000"/>
                <w:sz w:val="16"/>
                <w:lang w:eastAsia="ar-SA"/>
              </w:rPr>
              <w:t>(not under synthetic hedge)*</w:t>
            </w: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2F857E2D"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2F46532C"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37F19C1F"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4AFF22A2" w14:textId="77777777" w:rsidR="00FD1E19" w:rsidRDefault="00FD1E19" w:rsidP="00BE7E4A">
            <w:pPr>
              <w:suppressAutoHyphens/>
              <w:jc w:val="center"/>
              <w:rPr>
                <w:rFonts w:ascii="Arial" w:eastAsia="Arial" w:hAnsi="Arial" w:cs="Arial"/>
                <w:noProof/>
                <w:color w:val="000000"/>
                <w:sz w:val="16"/>
                <w:lang w:eastAsia="ar-SA"/>
              </w:rPr>
            </w:pPr>
          </w:p>
        </w:tc>
      </w:tr>
      <w:tr w:rsidR="00FD1E19" w14:paraId="30D01BE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0"/>
        </w:trPr>
        <w:tc>
          <w:tcPr>
            <w:tcW w:w="2625" w:type="dxa"/>
            <w:tcBorders>
              <w:top w:val="nil"/>
              <w:left w:val="nil"/>
              <w:bottom w:val="nil"/>
              <w:right w:val="nil"/>
              <w:tl2br w:val="nil"/>
              <w:tr2bl w:val="nil"/>
            </w:tcBorders>
            <w:shd w:val="clear" w:color="FFFFFF" w:fill="FFFFFF"/>
            <w:tcMar>
              <w:left w:w="40" w:type="dxa"/>
              <w:right w:w="40" w:type="dxa"/>
            </w:tcMar>
            <w:vAlign w:val="center"/>
          </w:tcPr>
          <w:p w14:paraId="1850D8A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BWP, HTG, JMD, KES, MUR, MZN, NGN, RWF, UGX, XOF, ZAR, ZMW</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7093FC3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146,528</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783EE43A"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-2,514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1FC66BCD"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144,014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1A224C26"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2CCE976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C4C4C4"/>
            <w:tcMar>
              <w:left w:w="40" w:type="dxa"/>
              <w:right w:w="40" w:type="dxa"/>
            </w:tcMar>
            <w:vAlign w:val="center"/>
          </w:tcPr>
          <w:p w14:paraId="3ACA6AE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non-EUR currencies</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14:paraId="02748D98"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152,597</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14:paraId="4C68B9FD"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-34,074</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14:paraId="68B3FA79"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118,523</w:t>
            </w:r>
          </w:p>
        </w:tc>
        <w:tc>
          <w:tcPr>
            <w:tcW w:w="1800" w:type="dxa"/>
            <w:tcBorders>
              <w:top w:val="nil"/>
              <w:left w:val="nil"/>
              <w:bottom w:val="nil"/>
              <w:right w:val="nil"/>
              <w:tl2br w:val="nil"/>
              <w:tr2bl w:val="nil"/>
            </w:tcBorders>
            <w:shd w:val="clear" w:color="FFFFFF" w:fill="C4C4C4"/>
            <w:noWrap/>
            <w:tcMar>
              <w:left w:w="40" w:type="dxa"/>
              <w:right w:w="40" w:type="dxa"/>
            </w:tcMar>
            <w:vAlign w:val="center"/>
          </w:tcPr>
          <w:p w14:paraId="5B9CE373"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164,405</w:t>
            </w:r>
          </w:p>
        </w:tc>
      </w:tr>
      <w:tr w:rsidR="00FD1E19" w14:paraId="100139E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262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C93487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EUR</w:t>
            </w:r>
          </w:p>
        </w:tc>
        <w:tc>
          <w:tcPr>
            <w:tcW w:w="1800" w:type="dxa"/>
            <w:tcBorders>
              <w:top w:val="nil"/>
              <w:left w:val="nil"/>
              <w:bottom w:val="single" w:sz="4" w:space="0" w:color="000000"/>
              <w:right w:val="nil"/>
              <w:tl2br w:val="nil"/>
              <w:tr2bl w:val="nil"/>
            </w:tcBorders>
            <w:shd w:val="clear" w:color="FFFFFF" w:fill="FFFFFF"/>
            <w:tcMar>
              <w:left w:w="0" w:type="dxa"/>
              <w:right w:w="0" w:type="dxa"/>
            </w:tcMar>
            <w:vAlign w:val="center"/>
          </w:tcPr>
          <w:p w14:paraId="094F2B30"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D3887E3"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2,676,672</w:t>
            </w: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CC1D2D3"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2,676,672</w:t>
            </w:r>
          </w:p>
        </w:tc>
        <w:tc>
          <w:tcPr>
            <w:tcW w:w="18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2C1CDCE"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636,494</w:t>
            </w:r>
          </w:p>
        </w:tc>
      </w:tr>
      <w:tr w:rsidR="00FD1E19" w14:paraId="0A8505C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0"/>
        </w:trPr>
        <w:tc>
          <w:tcPr>
            <w:tcW w:w="2625" w:type="dxa"/>
            <w:tcBorders>
              <w:top w:val="single" w:sz="4" w:space="0" w:color="000000"/>
              <w:left w:val="nil"/>
              <w:bottom w:val="single" w:sz="4" w:space="0" w:color="000000"/>
              <w:right w:val="nil"/>
              <w:tl2br w:val="nil"/>
              <w:tr2bl w:val="nil"/>
            </w:tcBorders>
            <w:noWrap/>
            <w:tcMar>
              <w:left w:w="40" w:type="dxa"/>
              <w:right w:w="40" w:type="dxa"/>
            </w:tcMar>
            <w:vAlign w:val="center"/>
          </w:tcPr>
          <w:p w14:paraId="1A17BD5F" w14:textId="77777777" w:rsidR="00FD1E19" w:rsidRPr="00816843" w:rsidRDefault="00FD1E19" w:rsidP="00BE7E4A">
            <w:pPr>
              <w:suppressAutoHyphens/>
              <w:rPr>
                <w:rFonts w:ascii="Arial" w:eastAsia="Arial" w:hAnsi="Arial" w:cs="Arial"/>
                <w:b/>
                <w:noProof/>
                <w:color w:val="000000"/>
                <w:sz w:val="16"/>
                <w:lang w:val="fr-BE" w:eastAsia="ar-SA"/>
              </w:rPr>
            </w:pPr>
            <w:r w:rsidRPr="00816843">
              <w:rPr>
                <w:rFonts w:ascii="Arial" w:eastAsia="Arial" w:hAnsi="Arial" w:cs="Arial"/>
                <w:b/>
                <w:noProof/>
                <w:color w:val="000000"/>
                <w:sz w:val="16"/>
                <w:lang w:val="fr-BE" w:eastAsia="ar-SA"/>
              </w:rPr>
              <w:t>Total EUR and non-EUR</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1BC8A68D"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152,597</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7BAA3C2C"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2,642,598</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4CD352BA"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2,795,195</w:t>
            </w:r>
          </w:p>
        </w:tc>
        <w:tc>
          <w:tcPr>
            <w:tcW w:w="18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62199564"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800,899</w:t>
            </w:r>
          </w:p>
        </w:tc>
      </w:tr>
      <w:tr w:rsidR="00FD1E19" w14:paraId="026D055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55"/>
        </w:trPr>
        <w:tc>
          <w:tcPr>
            <w:tcW w:w="9825" w:type="dxa"/>
            <w:gridSpan w:val="5"/>
            <w:tcBorders>
              <w:top w:val="single" w:sz="4" w:space="0" w:color="000000"/>
              <w:left w:val="nil"/>
              <w:bottom w:val="nil"/>
              <w:right w:val="nil"/>
              <w:tl2br w:val="nil"/>
              <w:tr2bl w:val="nil"/>
            </w:tcBorders>
            <w:tcMar>
              <w:left w:w="40" w:type="dxa"/>
              <w:right w:w="40" w:type="dxa"/>
            </w:tcMar>
            <w:vAlign w:val="center"/>
          </w:tcPr>
          <w:p w14:paraId="2C3B851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 See section 3.4.2.2.2 for explanations on synthetic hedge. </w:t>
            </w:r>
          </w:p>
        </w:tc>
      </w:tr>
    </w:tbl>
    <w:tbl>
      <w:tblPr>
        <w:tblStyle w:val="CDMRange1"/>
        <w:tblW w:w="5000" w:type="pct"/>
        <w:tblLayout w:type="fixed"/>
        <w:tblLook w:val="0600" w:firstRow="0" w:lastRow="0" w:firstColumn="0" w:lastColumn="0" w:noHBand="1" w:noVBand="1"/>
      </w:tblPr>
      <w:tblGrid>
        <w:gridCol w:w="2567"/>
        <w:gridCol w:w="1762"/>
        <w:gridCol w:w="1762"/>
        <w:gridCol w:w="1762"/>
        <w:gridCol w:w="103"/>
        <w:gridCol w:w="1762"/>
      </w:tblGrid>
      <w:tr w:rsidR="00FD1E19" w14:paraId="45B872C2" w14:textId="77777777" w:rsidTr="00BE7E4A">
        <w:trPr>
          <w:trHeight w:hRule="exact" w:val="300"/>
        </w:trPr>
        <w:tc>
          <w:tcPr>
            <w:tcW w:w="9930" w:type="dxa"/>
            <w:gridSpan w:val="6"/>
            <w:tcBorders>
              <w:top w:val="nil"/>
              <w:left w:val="nil"/>
              <w:bottom w:val="nil"/>
              <w:right w:val="nil"/>
              <w:tl2br w:val="nil"/>
              <w:tr2bl w:val="nil"/>
            </w:tcBorders>
            <w:shd w:val="clear" w:color="FFFFFF" w:fill="FFFFFF"/>
            <w:noWrap/>
            <w:tcMar>
              <w:left w:w="40" w:type="dxa"/>
              <w:right w:w="40" w:type="dxa"/>
            </w:tcMar>
            <w:vAlign w:val="center"/>
          </w:tcPr>
          <w:p w14:paraId="2B71BEFB" w14:textId="77777777" w:rsidR="00FD1E19" w:rsidRDefault="00FD1E19" w:rsidP="00BE7E4A">
            <w:pPr>
              <w:pageBreakBefore/>
              <w:suppressAutoHyphens/>
              <w:rPr>
                <w:rFonts w:ascii="Arial" w:eastAsia="Arial" w:hAnsi="Arial" w:cs="Arial"/>
                <w:b/>
                <w:noProof/>
                <w:color w:val="000000"/>
                <w:sz w:val="16"/>
                <w:lang w:eastAsia="ar-SA"/>
              </w:rPr>
            </w:pPr>
            <w:bookmarkStart w:id="263" w:name="RG_MARKER_90146"/>
            <w:r>
              <w:rPr>
                <w:rFonts w:ascii="Arial" w:eastAsia="Arial" w:hAnsi="Arial" w:cs="Arial"/>
                <w:b/>
                <w:noProof/>
                <w:color w:val="000000"/>
                <w:sz w:val="16"/>
                <w:lang w:eastAsia="ar-SA"/>
              </w:rPr>
              <w:t>3.4.2.2.3        Foreign exchange position (in EUR’000) (continued)</w:t>
            </w:r>
            <w:bookmarkEnd w:id="263"/>
          </w:p>
        </w:tc>
      </w:tr>
      <w:tr w:rsidR="00FD1E19" w14:paraId="68262DD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26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0176992" w14:textId="77777777" w:rsidR="00FD1E19" w:rsidRDefault="00FD1E19" w:rsidP="00BE7E4A">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D39F1DD" w14:textId="77777777" w:rsidR="00FD1E19" w:rsidRDefault="00FD1E19" w:rsidP="00BE7E4A">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3006D60" w14:textId="77777777" w:rsidR="00FD1E19" w:rsidRDefault="00FD1E19" w:rsidP="00BE7E4A">
            <w:pPr>
              <w:suppressAutoHyphens/>
              <w:rPr>
                <w:rFonts w:ascii="Arial" w:eastAsia="Arial" w:hAnsi="Arial" w:cs="Arial"/>
                <w:b/>
                <w:noProof/>
                <w:color w:val="000000"/>
                <w:sz w:val="16"/>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270B74B" w14:textId="77777777" w:rsidR="00FD1E19" w:rsidRDefault="00FD1E19" w:rsidP="00BE7E4A">
            <w:pPr>
              <w:suppressAutoHyphens/>
              <w:rPr>
                <w:rFonts w:ascii="Arial" w:eastAsia="Arial" w:hAnsi="Arial" w:cs="Arial"/>
                <w:b/>
                <w:noProof/>
                <w:color w:val="000000"/>
                <w:sz w:val="16"/>
                <w:lang w:eastAsia="ar-SA"/>
              </w:rPr>
            </w:pPr>
          </w:p>
        </w:tc>
        <w:tc>
          <w:tcPr>
            <w:tcW w:w="1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93493A9" w14:textId="77777777" w:rsidR="00FD1E19" w:rsidRDefault="00FD1E19" w:rsidP="00BE7E4A">
            <w:pPr>
              <w:suppressAutoHyphens/>
              <w:jc w:val="center"/>
              <w:rPr>
                <w:rFonts w:ascii="Trebuchet MS" w:eastAsia="Trebuchet MS" w:hAnsi="Trebuchet MS" w:cs="Trebuchet MS"/>
                <w:noProof/>
                <w:color w:val="000000"/>
                <w:sz w:val="18"/>
                <w:lang w:eastAsia="ar-SA"/>
              </w:rPr>
            </w:pPr>
          </w:p>
        </w:tc>
        <w:tc>
          <w:tcPr>
            <w:tcW w:w="18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11184F4" w14:textId="77777777" w:rsidR="00FD1E19" w:rsidRDefault="00FD1E19" w:rsidP="00BE7E4A">
            <w:pPr>
              <w:suppressAutoHyphens/>
              <w:rPr>
                <w:rFonts w:ascii="Trebuchet MS" w:eastAsia="Trebuchet MS" w:hAnsi="Trebuchet MS" w:cs="Trebuchet MS"/>
                <w:noProof/>
                <w:color w:val="000000"/>
                <w:sz w:val="18"/>
                <w:lang w:eastAsia="ar-SA"/>
              </w:rPr>
            </w:pPr>
          </w:p>
        </w:tc>
      </w:tr>
      <w:tr w:rsidR="00FD1E19" w14:paraId="5D9E229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6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BB9DA4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As at 31 December 2024</w:t>
            </w:r>
          </w:p>
        </w:tc>
        <w:tc>
          <w:tcPr>
            <w:tcW w:w="5400" w:type="dxa"/>
            <w:gridSpan w:val="3"/>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3F81768"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Assets and liabilities</w:t>
            </w:r>
          </w:p>
        </w:tc>
        <w:tc>
          <w:tcPr>
            <w:tcW w:w="1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FA6D869" w14:textId="77777777" w:rsidR="00FD1E19" w:rsidRDefault="00FD1E19" w:rsidP="00BE7E4A">
            <w:pPr>
              <w:suppressAutoHyphens/>
              <w:rPr>
                <w:rFonts w:ascii="Arial" w:eastAsia="Arial" w:hAnsi="Arial" w:cs="Arial"/>
                <w:b/>
                <w:noProof/>
                <w:color w:val="000000"/>
                <w:sz w:val="16"/>
                <w:lang w:eastAsia="ar-SA"/>
              </w:rPr>
            </w:pPr>
          </w:p>
        </w:tc>
        <w:tc>
          <w:tcPr>
            <w:tcW w:w="18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EC8EFA3"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Commitments and contingent liabilities</w:t>
            </w:r>
          </w:p>
        </w:tc>
      </w:tr>
      <w:tr w:rsidR="00FD1E19" w14:paraId="03EDA3C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262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6A20E0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Currencies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62007F66"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FX position as per Risk Policies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482464FD"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FX position excluded from Risk Policies</w:t>
            </w:r>
          </w:p>
        </w:tc>
        <w:tc>
          <w:tcPr>
            <w:tcW w:w="1800" w:type="dxa"/>
            <w:tcBorders>
              <w:top w:val="single" w:sz="4" w:space="0" w:color="000000"/>
              <w:left w:val="nil"/>
              <w:bottom w:val="nil"/>
              <w:right w:val="nil"/>
              <w:tl2br w:val="nil"/>
              <w:tr2bl w:val="nil"/>
            </w:tcBorders>
            <w:shd w:val="clear" w:color="FFFFFF" w:fill="FFFFFF"/>
            <w:tcMar>
              <w:left w:w="40" w:type="dxa"/>
              <w:right w:w="40" w:type="dxa"/>
            </w:tcMar>
            <w:vAlign w:val="center"/>
          </w:tcPr>
          <w:p w14:paraId="37431E32"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Balance sheet FX position</w:t>
            </w:r>
          </w:p>
        </w:tc>
        <w:tc>
          <w:tcPr>
            <w:tcW w:w="105" w:type="dxa"/>
            <w:tcBorders>
              <w:top w:val="single" w:sz="4" w:space="0" w:color="000000"/>
              <w:left w:val="nil"/>
              <w:bottom w:val="nil"/>
              <w:right w:val="nil"/>
              <w:tl2br w:val="nil"/>
              <w:tr2bl w:val="nil"/>
            </w:tcBorders>
            <w:shd w:val="clear" w:color="FFFFFF" w:fill="FFFFFF"/>
            <w:tcMar>
              <w:left w:w="0" w:type="dxa"/>
              <w:right w:w="0" w:type="dxa"/>
            </w:tcMar>
            <w:vAlign w:val="center"/>
          </w:tcPr>
          <w:p w14:paraId="24EA274D"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5F28539" w14:textId="77777777" w:rsidR="00FD1E19" w:rsidRDefault="00FD1E19" w:rsidP="00BE7E4A">
            <w:pPr>
              <w:suppressAutoHyphens/>
              <w:rPr>
                <w:rFonts w:ascii="Arial" w:eastAsia="Arial" w:hAnsi="Arial" w:cs="Arial"/>
                <w:b/>
                <w:i/>
                <w:noProof/>
                <w:color w:val="000000"/>
                <w:sz w:val="16"/>
                <w:lang w:eastAsia="ar-SA"/>
              </w:rPr>
            </w:pPr>
          </w:p>
        </w:tc>
      </w:tr>
      <w:tr w:rsidR="00FD1E19" w14:paraId="7A642B9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9"/>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14:paraId="4EB14C2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USD</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02C46BB6"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-45,774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4464E747"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-21,740</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6E09778B"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-67,514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14:paraId="7C3BFDCA"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2484169C"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235,603</w:t>
            </w:r>
          </w:p>
        </w:tc>
      </w:tr>
      <w:tr w:rsidR="00FD1E19" w14:paraId="597134C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2"/>
        </w:trPr>
        <w:tc>
          <w:tcPr>
            <w:tcW w:w="2625" w:type="dxa"/>
            <w:tcBorders>
              <w:top w:val="nil"/>
              <w:left w:val="nil"/>
              <w:bottom w:val="nil"/>
              <w:right w:val="nil"/>
              <w:tl2br w:val="nil"/>
              <w:tr2bl w:val="nil"/>
            </w:tcBorders>
            <w:shd w:val="clear" w:color="FFFFFF" w:fill="FFFFFF"/>
            <w:tcMar>
              <w:left w:w="40" w:type="dxa"/>
              <w:right w:w="40" w:type="dxa"/>
            </w:tcMar>
            <w:vAlign w:val="center"/>
          </w:tcPr>
          <w:p w14:paraId="6FEA618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Local currencies </w:t>
            </w:r>
          </w:p>
          <w:p w14:paraId="0DAB7DB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(under synthetic hedge)*</w:t>
            </w:r>
          </w:p>
        </w:tc>
        <w:tc>
          <w:tcPr>
            <w:tcW w:w="1800" w:type="dxa"/>
            <w:tcBorders>
              <w:top w:val="nil"/>
              <w:left w:val="nil"/>
              <w:bottom w:val="nil"/>
              <w:right w:val="nil"/>
              <w:tl2br w:val="nil"/>
              <w:tr2bl w:val="nil"/>
            </w:tcBorders>
            <w:shd w:val="clear" w:color="FFFFFF" w:fill="FFFFFF"/>
            <w:tcMar>
              <w:left w:w="0" w:type="dxa"/>
              <w:right w:w="0" w:type="dxa"/>
            </w:tcMar>
            <w:vAlign w:val="center"/>
          </w:tcPr>
          <w:p w14:paraId="07018B1A" w14:textId="77777777" w:rsidR="00FD1E19" w:rsidRDefault="00FD1E19" w:rsidP="00BE7E4A">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tcMar>
              <w:left w:w="0" w:type="dxa"/>
              <w:right w:w="0" w:type="dxa"/>
            </w:tcMar>
            <w:vAlign w:val="center"/>
          </w:tcPr>
          <w:p w14:paraId="614226D4" w14:textId="77777777" w:rsidR="00FD1E19" w:rsidRDefault="00FD1E19" w:rsidP="00BE7E4A">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tcMar>
              <w:left w:w="0" w:type="dxa"/>
              <w:right w:w="0" w:type="dxa"/>
            </w:tcMar>
            <w:vAlign w:val="center"/>
          </w:tcPr>
          <w:p w14:paraId="41D890AC" w14:textId="77777777" w:rsidR="00FD1E19" w:rsidRDefault="00FD1E19" w:rsidP="00BE7E4A">
            <w:pPr>
              <w:suppressAutoHyphens/>
              <w:rPr>
                <w:rFonts w:ascii="Arial" w:eastAsia="Arial" w:hAnsi="Arial" w:cs="Arial"/>
                <w:i/>
                <w:noProof/>
                <w:color w:val="000000"/>
                <w:sz w:val="16"/>
                <w:lang w:eastAsia="ar-SA"/>
              </w:rPr>
            </w:pPr>
          </w:p>
        </w:tc>
        <w:tc>
          <w:tcPr>
            <w:tcW w:w="105" w:type="dxa"/>
            <w:tcBorders>
              <w:top w:val="nil"/>
              <w:left w:val="nil"/>
              <w:bottom w:val="nil"/>
              <w:right w:val="nil"/>
              <w:tl2br w:val="nil"/>
              <w:tr2bl w:val="nil"/>
            </w:tcBorders>
            <w:shd w:val="clear" w:color="FFFFFF" w:fill="FFFFFF"/>
            <w:tcMar>
              <w:left w:w="0" w:type="dxa"/>
              <w:right w:w="0" w:type="dxa"/>
            </w:tcMar>
            <w:vAlign w:val="center"/>
          </w:tcPr>
          <w:p w14:paraId="2C32E16A" w14:textId="77777777" w:rsidR="00FD1E19" w:rsidRDefault="00FD1E19" w:rsidP="00BE7E4A">
            <w:pPr>
              <w:suppressAutoHyphens/>
              <w:rPr>
                <w:rFonts w:ascii="Arial" w:eastAsia="Arial" w:hAnsi="Arial" w:cs="Arial"/>
                <w:i/>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0" w:type="dxa"/>
              <w:right w:w="0" w:type="dxa"/>
            </w:tcMar>
            <w:vAlign w:val="center"/>
          </w:tcPr>
          <w:p w14:paraId="36FE6B90" w14:textId="77777777" w:rsidR="00FD1E19" w:rsidRDefault="00FD1E19" w:rsidP="00BE7E4A">
            <w:pPr>
              <w:suppressAutoHyphens/>
              <w:jc w:val="center"/>
              <w:rPr>
                <w:rFonts w:ascii="Arial" w:eastAsia="Arial" w:hAnsi="Arial" w:cs="Arial"/>
                <w:noProof/>
                <w:color w:val="000000"/>
                <w:sz w:val="16"/>
                <w:lang w:eastAsia="ar-SA"/>
              </w:rPr>
            </w:pPr>
          </w:p>
        </w:tc>
      </w:tr>
      <w:tr w:rsidR="00FD1E19" w14:paraId="2EA4029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14:paraId="67036CD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DOP</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09747D08"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10,884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54ED6376"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133</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320D919E"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11,017</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14:paraId="4D981584"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5E7E4EDB"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3CD938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25"/>
        </w:trPr>
        <w:tc>
          <w:tcPr>
            <w:tcW w:w="2625" w:type="dxa"/>
            <w:tcBorders>
              <w:top w:val="nil"/>
              <w:left w:val="nil"/>
              <w:bottom w:val="nil"/>
              <w:right w:val="nil"/>
              <w:tl2br w:val="nil"/>
              <w:tr2bl w:val="nil"/>
            </w:tcBorders>
            <w:shd w:val="clear" w:color="FFFFFF" w:fill="FFFFFF"/>
            <w:tcMar>
              <w:left w:w="40" w:type="dxa"/>
              <w:right w:w="40" w:type="dxa"/>
            </w:tcMar>
            <w:vAlign w:val="center"/>
          </w:tcPr>
          <w:p w14:paraId="650475A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KES, RWF, UGX, HTG, MUR, MZN, XOF, ZMW, BWP, JMD, NGN, ZAR</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77229235"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225,877</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044FF5D7"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-3,763</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0A96F2E1"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222,114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14:paraId="5BF056F0"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2E440DAE"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4808E67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2"/>
        </w:trPr>
        <w:tc>
          <w:tcPr>
            <w:tcW w:w="2625" w:type="dxa"/>
            <w:tcBorders>
              <w:top w:val="nil"/>
              <w:left w:val="nil"/>
              <w:bottom w:val="nil"/>
              <w:right w:val="nil"/>
              <w:tl2br w:val="nil"/>
              <w:tr2bl w:val="nil"/>
            </w:tcBorders>
            <w:shd w:val="clear" w:color="FFFFFF" w:fill="C0C0C0"/>
            <w:tcMar>
              <w:left w:w="40" w:type="dxa"/>
              <w:right w:w="40" w:type="dxa"/>
            </w:tcMar>
            <w:vAlign w:val="center"/>
          </w:tcPr>
          <w:p w14:paraId="00A2125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non-EUR currencies</w:t>
            </w: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64A65B16"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190,987</w:t>
            </w: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5D013FC5"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-25,370</w:t>
            </w: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13F859A3"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165,617</w:t>
            </w:r>
          </w:p>
        </w:tc>
        <w:tc>
          <w:tcPr>
            <w:tcW w:w="105" w:type="dxa"/>
            <w:tcBorders>
              <w:top w:val="nil"/>
              <w:left w:val="nil"/>
              <w:bottom w:val="nil"/>
              <w:right w:val="nil"/>
              <w:tl2br w:val="nil"/>
              <w:tr2bl w:val="nil"/>
            </w:tcBorders>
            <w:shd w:val="clear" w:color="FFFFFF" w:fill="C0C0C0"/>
            <w:tcMar>
              <w:left w:w="0" w:type="dxa"/>
              <w:right w:w="0" w:type="dxa"/>
            </w:tcMar>
            <w:vAlign w:val="center"/>
          </w:tcPr>
          <w:p w14:paraId="3993795D" w14:textId="77777777" w:rsidR="00FD1E19" w:rsidRDefault="00FD1E19" w:rsidP="00BE7E4A">
            <w:pPr>
              <w:suppressAutoHyphens/>
              <w:jc w:val="center"/>
              <w:rPr>
                <w:rFonts w:ascii="Arial" w:eastAsia="Arial" w:hAnsi="Arial" w:cs="Arial"/>
                <w:b/>
                <w:noProof/>
                <w:color w:val="000000"/>
                <w:sz w:val="16"/>
                <w:lang w:eastAsia="ar-SA"/>
              </w:rPr>
            </w:pP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69A3B2A2"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235,603</w:t>
            </w:r>
          </w:p>
        </w:tc>
      </w:tr>
      <w:tr w:rsidR="00FD1E19" w14:paraId="726D076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FFFFFF"/>
            <w:noWrap/>
            <w:tcMar>
              <w:left w:w="40" w:type="dxa"/>
              <w:right w:w="40" w:type="dxa"/>
            </w:tcMar>
            <w:vAlign w:val="center"/>
          </w:tcPr>
          <w:p w14:paraId="187F29F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EUR</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617AD448"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402EB449"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3,139,294</w:t>
            </w: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5AC71E19"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3,139,294</w:t>
            </w:r>
          </w:p>
        </w:tc>
        <w:tc>
          <w:tcPr>
            <w:tcW w:w="105" w:type="dxa"/>
            <w:tcBorders>
              <w:top w:val="nil"/>
              <w:left w:val="nil"/>
              <w:bottom w:val="nil"/>
              <w:right w:val="nil"/>
              <w:tl2br w:val="nil"/>
              <w:tr2bl w:val="nil"/>
            </w:tcBorders>
            <w:shd w:val="clear" w:color="FFFFFF" w:fill="FFFFFF"/>
            <w:noWrap/>
            <w:tcMar>
              <w:left w:w="0" w:type="dxa"/>
              <w:right w:w="0" w:type="dxa"/>
            </w:tcMar>
            <w:vAlign w:val="bottom"/>
          </w:tcPr>
          <w:p w14:paraId="23DA8D29" w14:textId="77777777" w:rsidR="00FD1E19" w:rsidRDefault="00FD1E19" w:rsidP="00BE7E4A">
            <w:pPr>
              <w:suppressAutoHyphens/>
              <w:jc w:val="center"/>
              <w:rPr>
                <w:rFonts w:ascii="Arial" w:eastAsia="Arial" w:hAnsi="Arial" w:cs="Arial"/>
                <w:noProof/>
                <w:color w:val="000000"/>
                <w:sz w:val="16"/>
                <w:lang w:eastAsia="ar-SA"/>
              </w:rPr>
            </w:pPr>
          </w:p>
        </w:tc>
        <w:tc>
          <w:tcPr>
            <w:tcW w:w="1800" w:type="dxa"/>
            <w:tcBorders>
              <w:top w:val="nil"/>
              <w:left w:val="nil"/>
              <w:bottom w:val="nil"/>
              <w:right w:val="nil"/>
              <w:tl2br w:val="nil"/>
              <w:tr2bl w:val="nil"/>
            </w:tcBorders>
            <w:shd w:val="clear" w:color="FFFFFF" w:fill="FFFFFF"/>
            <w:noWrap/>
            <w:tcMar>
              <w:left w:w="40" w:type="dxa"/>
              <w:right w:w="40" w:type="dxa"/>
            </w:tcMar>
            <w:vAlign w:val="center"/>
          </w:tcPr>
          <w:p w14:paraId="12661CD6" w14:textId="77777777" w:rsidR="00FD1E19" w:rsidRDefault="00FD1E19" w:rsidP="00BE7E4A">
            <w:pPr>
              <w:suppressAutoHyphens/>
              <w:jc w:val="center"/>
              <w:rPr>
                <w:rFonts w:ascii="Arial" w:eastAsia="Arial" w:hAnsi="Arial" w:cs="Arial"/>
                <w:noProof/>
                <w:color w:val="000000"/>
                <w:sz w:val="16"/>
                <w:lang w:eastAsia="ar-SA"/>
              </w:rPr>
            </w:pPr>
            <w:r>
              <w:rPr>
                <w:rFonts w:ascii="Arial" w:eastAsia="Arial" w:hAnsi="Arial" w:cs="Arial"/>
                <w:noProof/>
                <w:color w:val="000000"/>
                <w:sz w:val="16"/>
                <w:lang w:eastAsia="ar-SA"/>
              </w:rPr>
              <w:t>1,043,860</w:t>
            </w:r>
          </w:p>
        </w:tc>
      </w:tr>
      <w:tr w:rsidR="00FD1E19" w14:paraId="38831FF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30"/>
        </w:trPr>
        <w:tc>
          <w:tcPr>
            <w:tcW w:w="2625" w:type="dxa"/>
            <w:tcBorders>
              <w:top w:val="nil"/>
              <w:left w:val="nil"/>
              <w:bottom w:val="nil"/>
              <w:right w:val="nil"/>
              <w:tl2br w:val="nil"/>
              <w:tr2bl w:val="nil"/>
            </w:tcBorders>
            <w:shd w:val="clear" w:color="FFFFFF" w:fill="C0C0C0"/>
            <w:tcMar>
              <w:left w:w="40" w:type="dxa"/>
              <w:right w:w="40" w:type="dxa"/>
            </w:tcMar>
            <w:vAlign w:val="center"/>
          </w:tcPr>
          <w:p w14:paraId="5BC19CBC" w14:textId="77777777" w:rsidR="00FD1E19" w:rsidRPr="00816843" w:rsidRDefault="00FD1E19" w:rsidP="00BE7E4A">
            <w:pPr>
              <w:suppressAutoHyphens/>
              <w:rPr>
                <w:rFonts w:ascii="Arial" w:eastAsia="Arial" w:hAnsi="Arial" w:cs="Arial"/>
                <w:b/>
                <w:noProof/>
                <w:color w:val="000000"/>
                <w:sz w:val="16"/>
                <w:lang w:val="fr-BE" w:eastAsia="ar-SA"/>
              </w:rPr>
            </w:pPr>
            <w:r w:rsidRPr="00816843">
              <w:rPr>
                <w:rFonts w:ascii="Arial" w:eastAsia="Arial" w:hAnsi="Arial" w:cs="Arial"/>
                <w:b/>
                <w:noProof/>
                <w:color w:val="000000"/>
                <w:sz w:val="16"/>
                <w:lang w:val="fr-BE" w:eastAsia="ar-SA"/>
              </w:rPr>
              <w:t>Total EUR and non-EUR</w:t>
            </w: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2DA6B9A1"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190,987</w:t>
            </w: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702C2D74"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3,113,924</w:t>
            </w: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69D89E6B"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3,304,911</w:t>
            </w:r>
          </w:p>
        </w:tc>
        <w:tc>
          <w:tcPr>
            <w:tcW w:w="105" w:type="dxa"/>
            <w:tcBorders>
              <w:top w:val="nil"/>
              <w:left w:val="nil"/>
              <w:bottom w:val="nil"/>
              <w:right w:val="nil"/>
              <w:tl2br w:val="nil"/>
              <w:tr2bl w:val="nil"/>
            </w:tcBorders>
            <w:shd w:val="clear" w:color="FFFFFF" w:fill="C0C0C0"/>
            <w:tcMar>
              <w:left w:w="0" w:type="dxa"/>
              <w:right w:w="0" w:type="dxa"/>
            </w:tcMar>
            <w:vAlign w:val="center"/>
          </w:tcPr>
          <w:p w14:paraId="364262A3" w14:textId="77777777" w:rsidR="00FD1E19" w:rsidRDefault="00FD1E19" w:rsidP="00BE7E4A">
            <w:pPr>
              <w:suppressAutoHyphens/>
              <w:jc w:val="center"/>
              <w:rPr>
                <w:rFonts w:ascii="Arial" w:eastAsia="Arial" w:hAnsi="Arial" w:cs="Arial"/>
                <w:b/>
                <w:noProof/>
                <w:color w:val="000000"/>
                <w:sz w:val="16"/>
                <w:lang w:eastAsia="ar-SA"/>
              </w:rPr>
            </w:pPr>
          </w:p>
        </w:tc>
        <w:tc>
          <w:tcPr>
            <w:tcW w:w="1800" w:type="dxa"/>
            <w:tcBorders>
              <w:top w:val="nil"/>
              <w:left w:val="nil"/>
              <w:bottom w:val="nil"/>
              <w:right w:val="nil"/>
              <w:tl2br w:val="nil"/>
              <w:tr2bl w:val="nil"/>
            </w:tcBorders>
            <w:shd w:val="clear" w:color="FFFFFF" w:fill="C0C0C0"/>
            <w:tcMar>
              <w:left w:w="40" w:type="dxa"/>
              <w:right w:w="40" w:type="dxa"/>
            </w:tcMar>
            <w:vAlign w:val="center"/>
          </w:tcPr>
          <w:p w14:paraId="2BCED30B"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1,279,463</w:t>
            </w:r>
          </w:p>
        </w:tc>
      </w:tr>
      <w:tr w:rsidR="00FD1E19" w14:paraId="0ED5FAF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2"/>
        </w:trPr>
        <w:tc>
          <w:tcPr>
            <w:tcW w:w="9930" w:type="dxa"/>
            <w:gridSpan w:val="6"/>
            <w:tcBorders>
              <w:top w:val="nil"/>
              <w:left w:val="nil"/>
              <w:bottom w:val="nil"/>
              <w:right w:val="nil"/>
              <w:tl2br w:val="nil"/>
              <w:tr2bl w:val="nil"/>
            </w:tcBorders>
            <w:tcMar>
              <w:left w:w="40" w:type="dxa"/>
              <w:right w:w="40" w:type="dxa"/>
            </w:tcMar>
            <w:vAlign w:val="center"/>
          </w:tcPr>
          <w:p w14:paraId="196D3D5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 See section 3.4.2.2.2 for explanations on synthetic hedge. </w:t>
            </w:r>
          </w:p>
        </w:tc>
      </w:tr>
    </w:tbl>
    <w:p w14:paraId="42095B20" w14:textId="77777777" w:rsidR="00FD1E19" w:rsidRDefault="00FD1E19" w:rsidP="00FD1E19">
      <w:pPr>
        <w:pBdr>
          <w:top w:val="nil"/>
          <w:left w:val="nil"/>
          <w:bottom w:val="nil"/>
          <w:right w:val="nil"/>
          <w:between w:val="nil"/>
          <w:bar w:val="nil"/>
        </w:pBdr>
        <w:suppressAutoHyphens/>
        <w:rPr>
          <w:noProof/>
          <w:bdr w:val="nil"/>
          <w:lang w:eastAsia="ar-SA"/>
        </w:rPr>
      </w:pPr>
    </w:p>
    <w:p w14:paraId="7BF9B775" w14:textId="77777777" w:rsidR="00FD1E19" w:rsidRDefault="00FD1E19" w:rsidP="00FD1E19">
      <w:pPr>
        <w:pBdr>
          <w:top w:val="nil"/>
          <w:left w:val="nil"/>
          <w:bottom w:val="nil"/>
          <w:right w:val="nil"/>
          <w:between w:val="nil"/>
          <w:bar w:val="nil"/>
        </w:pBdr>
        <w:suppressAutoHyphens/>
        <w:jc w:val="both"/>
        <w:rPr>
          <w:rFonts w:ascii="Arial" w:hAnsi="Arial"/>
          <w:noProof/>
          <w:sz w:val="16"/>
          <w:szCs w:val="16"/>
          <w:bdr w:val="nil"/>
          <w:lang w:eastAsia="ar-SA"/>
        </w:rPr>
      </w:pPr>
      <w:bookmarkStart w:id="264" w:name="RG_MARKER_90148"/>
      <w:bookmarkEnd w:id="264"/>
    </w:p>
    <w:p w14:paraId="360005BB" w14:textId="77777777" w:rsidR="00FD1E19" w:rsidRPr="0014584F" w:rsidRDefault="00FD1E19" w:rsidP="00FD1E19">
      <w:pPr>
        <w:numPr>
          <w:ilvl w:val="3"/>
          <w:numId w:val="69"/>
        </w:numPr>
        <w:pBdr>
          <w:top w:val="nil"/>
          <w:left w:val="nil"/>
          <w:bottom w:val="nil"/>
          <w:right w:val="nil"/>
          <w:between w:val="nil"/>
          <w:bar w:val="nil"/>
        </w:pBdr>
        <w:suppressAutoHyphens/>
        <w:spacing w:after="0" w:line="240" w:lineRule="auto"/>
        <w:contextualSpacing/>
        <w:jc w:val="both"/>
        <w:rPr>
          <w:rFonts w:ascii="Arial" w:hAnsi="Arial"/>
          <w:b/>
          <w:noProof/>
          <w:sz w:val="16"/>
          <w:szCs w:val="16"/>
          <w:bdr w:val="nil"/>
          <w:lang w:eastAsia="ar-SA"/>
        </w:rPr>
      </w:pPr>
      <w:r w:rsidRPr="0014584F">
        <w:rPr>
          <w:rFonts w:ascii="Arial" w:hAnsi="Arial"/>
          <w:b/>
          <w:noProof/>
          <w:sz w:val="16"/>
          <w:szCs w:val="16"/>
          <w:lang w:eastAsia="ar-SA"/>
        </w:rPr>
        <w:t>Foreign exchange sensitivity analysis</w:t>
      </w:r>
    </w:p>
    <w:p w14:paraId="39E8A516" w14:textId="77777777" w:rsidR="00FD1E19" w:rsidRPr="00BD1346" w:rsidRDefault="00FD1E19" w:rsidP="00FD1E19">
      <w:pPr>
        <w:pBdr>
          <w:top w:val="nil"/>
          <w:left w:val="nil"/>
          <w:bottom w:val="nil"/>
          <w:right w:val="nil"/>
          <w:between w:val="nil"/>
          <w:bar w:val="nil"/>
        </w:pBdr>
        <w:suppressAutoHyphens/>
        <w:jc w:val="both"/>
        <w:rPr>
          <w:rFonts w:ascii="Arial" w:hAnsi="Arial"/>
          <w:noProof/>
          <w:sz w:val="16"/>
          <w:szCs w:val="16"/>
          <w:bdr w:val="nil"/>
          <w:lang w:eastAsia="ar-SA"/>
        </w:rPr>
      </w:pPr>
    </w:p>
    <w:p w14:paraId="2D1201C7"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A0238C">
        <w:rPr>
          <w:rFonts w:ascii="Arial" w:hAnsi="Arial"/>
          <w:noProof/>
          <w:sz w:val="16"/>
          <w:szCs w:val="16"/>
          <w:lang w:eastAsia="ar-SA"/>
        </w:rPr>
        <w:t xml:space="preserve">As at 31 December </w:t>
      </w:r>
      <w:r w:rsidRPr="00850C58">
        <w:rPr>
          <w:rFonts w:ascii="Arial" w:hAnsi="Arial"/>
          <w:noProof/>
          <w:sz w:val="16"/>
          <w:szCs w:val="16"/>
          <w:lang w:eastAsia="ar-SA"/>
        </w:rPr>
        <w:t>2025</w:t>
      </w:r>
      <w:r>
        <w:rPr>
          <w:rFonts w:ascii="Arial" w:hAnsi="Arial"/>
          <w:noProof/>
          <w:sz w:val="16"/>
          <w:szCs w:val="16"/>
          <w:lang w:eastAsia="ar-SA"/>
        </w:rPr>
        <w:t xml:space="preserve"> </w:t>
      </w:r>
      <w:r w:rsidRPr="00A0238C">
        <w:rPr>
          <w:rFonts w:ascii="Arial" w:hAnsi="Arial"/>
          <w:noProof/>
          <w:sz w:val="16"/>
          <w:szCs w:val="16"/>
          <w:lang w:eastAsia="ar-SA"/>
        </w:rPr>
        <w:t>a 10</w:t>
      </w:r>
      <w:r>
        <w:rPr>
          <w:rFonts w:ascii="Arial" w:hAnsi="Arial"/>
          <w:noProof/>
          <w:sz w:val="16"/>
          <w:szCs w:val="16"/>
          <w:lang w:eastAsia="ar-SA"/>
        </w:rPr>
        <w:t xml:space="preserve">% depreciation of EUR versus </w:t>
      </w:r>
      <w:r w:rsidRPr="00A0238C">
        <w:rPr>
          <w:rFonts w:ascii="Arial" w:hAnsi="Arial"/>
          <w:noProof/>
          <w:sz w:val="16"/>
          <w:szCs w:val="16"/>
          <w:lang w:eastAsia="ar-SA"/>
        </w:rPr>
        <w:t>all non</w:t>
      </w:r>
      <w:r>
        <w:rPr>
          <w:rFonts w:ascii="Arial" w:hAnsi="Arial"/>
          <w:noProof/>
          <w:sz w:val="16"/>
          <w:szCs w:val="16"/>
          <w:lang w:eastAsia="ar-SA"/>
        </w:rPr>
        <w:t xml:space="preserve"> EUR currencies would result in an increase of the </w:t>
      </w:r>
      <w:r w:rsidRPr="00A0238C">
        <w:rPr>
          <w:rFonts w:ascii="Arial" w:hAnsi="Arial"/>
          <w:noProof/>
          <w:sz w:val="16"/>
          <w:szCs w:val="16"/>
          <w:lang w:eastAsia="ar-SA"/>
        </w:rPr>
        <w:t xml:space="preserve">contributors’ resources </w:t>
      </w:r>
      <w:r>
        <w:rPr>
          <w:rFonts w:ascii="Arial" w:hAnsi="Arial"/>
          <w:noProof/>
          <w:sz w:val="16"/>
          <w:szCs w:val="16"/>
          <w:lang w:eastAsia="ar-SA"/>
        </w:rPr>
        <w:t xml:space="preserve">and profit </w:t>
      </w:r>
      <w:r w:rsidRPr="00A0238C">
        <w:rPr>
          <w:rFonts w:ascii="Arial" w:hAnsi="Arial"/>
          <w:noProof/>
          <w:sz w:val="16"/>
          <w:szCs w:val="16"/>
          <w:lang w:eastAsia="ar-SA"/>
        </w:rPr>
        <w:t xml:space="preserve">amounting to EUR </w:t>
      </w:r>
      <w:r w:rsidRPr="00850C58">
        <w:rPr>
          <w:rFonts w:ascii="Arial" w:hAnsi="Arial"/>
          <w:noProof/>
          <w:sz w:val="16"/>
          <w:szCs w:val="16"/>
          <w:lang w:eastAsia="ar-SA"/>
        </w:rPr>
        <w:t>13.2</w:t>
      </w:r>
      <w:r>
        <w:rPr>
          <w:rFonts w:ascii="Arial" w:hAnsi="Arial"/>
          <w:noProof/>
          <w:sz w:val="16"/>
          <w:szCs w:val="16"/>
          <w:lang w:eastAsia="ar-SA"/>
        </w:rPr>
        <w:t xml:space="preserve"> </w:t>
      </w:r>
      <w:r w:rsidRPr="00A0238C">
        <w:rPr>
          <w:rFonts w:ascii="Arial" w:hAnsi="Arial"/>
          <w:noProof/>
          <w:sz w:val="16"/>
          <w:szCs w:val="16"/>
          <w:lang w:eastAsia="ar-SA"/>
        </w:rPr>
        <w:t>m</w:t>
      </w:r>
      <w:r>
        <w:rPr>
          <w:rFonts w:ascii="Arial" w:hAnsi="Arial"/>
          <w:noProof/>
          <w:sz w:val="16"/>
          <w:szCs w:val="16"/>
          <w:lang w:eastAsia="ar-SA"/>
        </w:rPr>
        <w:t>illion</w:t>
      </w:r>
      <w:r w:rsidRPr="00A0238C">
        <w:rPr>
          <w:rFonts w:ascii="Arial" w:hAnsi="Arial"/>
          <w:noProof/>
          <w:sz w:val="16"/>
          <w:szCs w:val="16"/>
          <w:lang w:eastAsia="ar-SA"/>
        </w:rPr>
        <w:t xml:space="preserve"> (31 December </w:t>
      </w:r>
      <w:r w:rsidRPr="00850C58">
        <w:rPr>
          <w:rFonts w:ascii="Arial" w:hAnsi="Arial"/>
          <w:noProof/>
          <w:sz w:val="16"/>
          <w:szCs w:val="16"/>
          <w:lang w:eastAsia="ar-SA"/>
        </w:rPr>
        <w:t>2024</w:t>
      </w:r>
      <w:r w:rsidRPr="00A0238C">
        <w:rPr>
          <w:rFonts w:ascii="Arial" w:hAnsi="Arial"/>
          <w:noProof/>
          <w:sz w:val="16"/>
          <w:szCs w:val="16"/>
          <w:lang w:eastAsia="ar-SA"/>
        </w:rPr>
        <w:t>: EUR </w:t>
      </w:r>
      <w:r w:rsidRPr="00850C58">
        <w:rPr>
          <w:rFonts w:ascii="Arial" w:hAnsi="Arial"/>
          <w:noProof/>
          <w:sz w:val="16"/>
          <w:szCs w:val="16"/>
          <w:lang w:eastAsia="ar-SA"/>
        </w:rPr>
        <w:t>18.4</w:t>
      </w:r>
      <w:r>
        <w:rPr>
          <w:rFonts w:ascii="Arial" w:hAnsi="Arial"/>
          <w:noProof/>
          <w:sz w:val="16"/>
          <w:szCs w:val="16"/>
          <w:lang w:eastAsia="ar-SA"/>
        </w:rPr>
        <w:t xml:space="preserve"> </w:t>
      </w:r>
      <w:r w:rsidRPr="00A0238C">
        <w:rPr>
          <w:rFonts w:ascii="Arial" w:hAnsi="Arial"/>
          <w:noProof/>
          <w:sz w:val="16"/>
          <w:szCs w:val="16"/>
          <w:lang w:eastAsia="ar-SA"/>
        </w:rPr>
        <w:t>m</w:t>
      </w:r>
      <w:r>
        <w:rPr>
          <w:rFonts w:ascii="Arial" w:hAnsi="Arial"/>
          <w:noProof/>
          <w:sz w:val="16"/>
          <w:szCs w:val="16"/>
          <w:lang w:eastAsia="ar-SA"/>
        </w:rPr>
        <w:t>illion</w:t>
      </w:r>
      <w:r w:rsidRPr="00A0238C">
        <w:rPr>
          <w:rFonts w:ascii="Arial" w:hAnsi="Arial"/>
          <w:noProof/>
          <w:sz w:val="16"/>
          <w:szCs w:val="16"/>
          <w:lang w:eastAsia="ar-SA"/>
        </w:rPr>
        <w:t>). A 10</w:t>
      </w:r>
      <w:r>
        <w:rPr>
          <w:rFonts w:ascii="Arial" w:hAnsi="Arial"/>
          <w:noProof/>
          <w:sz w:val="16"/>
          <w:szCs w:val="16"/>
          <w:lang w:eastAsia="ar-SA"/>
        </w:rPr>
        <w:t xml:space="preserve">% </w:t>
      </w:r>
      <w:r w:rsidRPr="00A0238C">
        <w:rPr>
          <w:rFonts w:ascii="Arial" w:hAnsi="Arial"/>
          <w:noProof/>
          <w:sz w:val="16"/>
          <w:szCs w:val="16"/>
          <w:lang w:eastAsia="ar-SA"/>
        </w:rPr>
        <w:t xml:space="preserve">appreciation of the EUR versus all non EUR currencies would result in a decrease of the contributors’ resources </w:t>
      </w:r>
      <w:r>
        <w:rPr>
          <w:rFonts w:ascii="Arial" w:hAnsi="Arial"/>
          <w:noProof/>
          <w:sz w:val="16"/>
          <w:szCs w:val="16"/>
          <w:lang w:eastAsia="ar-SA"/>
        </w:rPr>
        <w:t xml:space="preserve">and profit </w:t>
      </w:r>
      <w:r w:rsidRPr="00A0238C">
        <w:rPr>
          <w:rFonts w:ascii="Arial" w:hAnsi="Arial"/>
          <w:noProof/>
          <w:sz w:val="16"/>
          <w:szCs w:val="16"/>
          <w:lang w:eastAsia="ar-SA"/>
        </w:rPr>
        <w:t xml:space="preserve">amounting to EUR </w:t>
      </w:r>
      <w:r w:rsidRPr="00850C58">
        <w:rPr>
          <w:rFonts w:ascii="Arial" w:hAnsi="Arial"/>
          <w:noProof/>
          <w:sz w:val="16"/>
          <w:szCs w:val="16"/>
          <w:lang w:eastAsia="ar-SA"/>
        </w:rPr>
        <w:t>-10.8</w:t>
      </w:r>
      <w:r>
        <w:rPr>
          <w:rFonts w:ascii="Arial" w:hAnsi="Arial"/>
          <w:noProof/>
          <w:sz w:val="16"/>
          <w:szCs w:val="16"/>
          <w:lang w:eastAsia="ar-SA"/>
        </w:rPr>
        <w:t xml:space="preserve"> </w:t>
      </w:r>
      <w:r w:rsidRPr="00A0238C">
        <w:rPr>
          <w:rFonts w:ascii="Arial" w:hAnsi="Arial"/>
          <w:noProof/>
          <w:sz w:val="16"/>
          <w:szCs w:val="16"/>
          <w:lang w:eastAsia="ar-SA"/>
        </w:rPr>
        <w:t>m</w:t>
      </w:r>
      <w:r>
        <w:rPr>
          <w:rFonts w:ascii="Arial" w:hAnsi="Arial"/>
          <w:noProof/>
          <w:sz w:val="16"/>
          <w:szCs w:val="16"/>
          <w:lang w:eastAsia="ar-SA"/>
        </w:rPr>
        <w:t>illion</w:t>
      </w:r>
      <w:r w:rsidRPr="00A0238C">
        <w:rPr>
          <w:rFonts w:ascii="Arial" w:hAnsi="Arial"/>
          <w:noProof/>
          <w:sz w:val="16"/>
          <w:szCs w:val="16"/>
          <w:lang w:eastAsia="ar-SA"/>
        </w:rPr>
        <w:t xml:space="preserve"> (31 December </w:t>
      </w:r>
      <w:r w:rsidRPr="00850C58">
        <w:rPr>
          <w:rFonts w:ascii="Arial" w:hAnsi="Arial"/>
          <w:noProof/>
          <w:sz w:val="16"/>
          <w:szCs w:val="16"/>
          <w:lang w:eastAsia="ar-SA"/>
        </w:rPr>
        <w:t>2024</w:t>
      </w:r>
      <w:r w:rsidRPr="00A0238C">
        <w:rPr>
          <w:rFonts w:ascii="Arial" w:hAnsi="Arial"/>
          <w:noProof/>
          <w:sz w:val="16"/>
          <w:szCs w:val="16"/>
          <w:lang w:eastAsia="ar-SA"/>
        </w:rPr>
        <w:t xml:space="preserve">: </w:t>
      </w:r>
      <w:r>
        <w:rPr>
          <w:rFonts w:ascii="Arial" w:hAnsi="Arial"/>
          <w:noProof/>
          <w:sz w:val="16"/>
          <w:szCs w:val="16"/>
          <w:lang w:eastAsia="ar-SA"/>
        </w:rPr>
        <w:br/>
      </w:r>
      <w:r w:rsidRPr="00A0238C">
        <w:rPr>
          <w:rFonts w:ascii="Arial" w:hAnsi="Arial"/>
          <w:noProof/>
          <w:sz w:val="16"/>
          <w:szCs w:val="16"/>
          <w:lang w:eastAsia="ar-SA"/>
        </w:rPr>
        <w:t>EUR </w:t>
      </w:r>
      <w:r w:rsidRPr="00850C58">
        <w:rPr>
          <w:rFonts w:ascii="Arial" w:hAnsi="Arial"/>
          <w:noProof/>
          <w:sz w:val="16"/>
          <w:szCs w:val="16"/>
          <w:lang w:eastAsia="ar-SA"/>
        </w:rPr>
        <w:t>-15.1</w:t>
      </w:r>
      <w:r>
        <w:rPr>
          <w:rFonts w:ascii="Arial" w:hAnsi="Arial"/>
          <w:noProof/>
          <w:sz w:val="16"/>
          <w:szCs w:val="16"/>
          <w:lang w:eastAsia="ar-SA"/>
        </w:rPr>
        <w:t xml:space="preserve"> </w:t>
      </w:r>
      <w:r w:rsidRPr="00A0238C">
        <w:rPr>
          <w:rFonts w:ascii="Arial" w:hAnsi="Arial"/>
          <w:noProof/>
          <w:sz w:val="16"/>
          <w:szCs w:val="16"/>
          <w:lang w:eastAsia="ar-SA"/>
        </w:rPr>
        <w:t>m</w:t>
      </w:r>
      <w:r>
        <w:rPr>
          <w:rFonts w:ascii="Arial" w:hAnsi="Arial"/>
          <w:noProof/>
          <w:sz w:val="16"/>
          <w:szCs w:val="16"/>
          <w:lang w:eastAsia="ar-SA"/>
        </w:rPr>
        <w:t>illion</w:t>
      </w:r>
      <w:r w:rsidRPr="00A0238C">
        <w:rPr>
          <w:rFonts w:ascii="Arial" w:hAnsi="Arial"/>
          <w:noProof/>
          <w:sz w:val="16"/>
          <w:szCs w:val="16"/>
          <w:lang w:eastAsia="ar-SA"/>
        </w:rPr>
        <w:t>).</w:t>
      </w:r>
    </w:p>
    <w:p w14:paraId="26DAFF65" w14:textId="77777777" w:rsidR="00FD1E19" w:rsidRPr="00BD1346"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3A847FD6" w14:textId="77777777" w:rsidR="00FD1E19" w:rsidRPr="00BF0193" w:rsidRDefault="00FD1E19" w:rsidP="00FD1E19">
      <w:pPr>
        <w:pageBreakBefore/>
        <w:numPr>
          <w:ilvl w:val="3"/>
          <w:numId w:val="70"/>
        </w:numPr>
        <w:pBdr>
          <w:top w:val="nil"/>
          <w:left w:val="nil"/>
          <w:bottom w:val="nil"/>
          <w:right w:val="nil"/>
          <w:between w:val="nil"/>
          <w:bar w:val="nil"/>
        </w:pBdr>
        <w:suppressAutoHyphens/>
        <w:spacing w:after="0" w:line="240" w:lineRule="auto"/>
        <w:contextualSpacing/>
        <w:jc w:val="both"/>
        <w:rPr>
          <w:rFonts w:ascii="Arial" w:hAnsi="Arial"/>
          <w:b/>
          <w:noProof/>
          <w:sz w:val="16"/>
          <w:szCs w:val="16"/>
          <w:bdr w:val="nil"/>
          <w:lang w:eastAsia="ar-SA"/>
        </w:rPr>
      </w:pPr>
      <w:bookmarkStart w:id="265" w:name="RG_MARKER_90150"/>
      <w:r w:rsidRPr="00BF0193">
        <w:rPr>
          <w:rFonts w:ascii="Arial" w:hAnsi="Arial"/>
          <w:b/>
          <w:noProof/>
          <w:sz w:val="16"/>
          <w:szCs w:val="16"/>
          <w:lang w:eastAsia="ar-SA"/>
        </w:rPr>
        <w:t>Conversion rates</w:t>
      </w:r>
      <w:bookmarkEnd w:id="265"/>
    </w:p>
    <w:p w14:paraId="08290CC9" w14:textId="77777777" w:rsidR="00FD1E19" w:rsidRPr="00934CA9" w:rsidRDefault="00FD1E19" w:rsidP="00FD1E19">
      <w:pPr>
        <w:pBdr>
          <w:top w:val="nil"/>
          <w:left w:val="nil"/>
          <w:bottom w:val="nil"/>
          <w:right w:val="nil"/>
          <w:between w:val="nil"/>
          <w:bar w:val="nil"/>
        </w:pBdr>
        <w:suppressAutoHyphens/>
        <w:ind w:left="794"/>
        <w:contextualSpacing/>
        <w:jc w:val="both"/>
        <w:rPr>
          <w:rFonts w:ascii="Arial" w:hAnsi="Arial"/>
          <w:noProof/>
          <w:sz w:val="16"/>
          <w:szCs w:val="16"/>
          <w:bdr w:val="nil"/>
          <w:lang w:eastAsia="ar-SA"/>
        </w:rPr>
      </w:pPr>
    </w:p>
    <w:p w14:paraId="29DC3EE8" w14:textId="77777777" w:rsidR="00FD1E19" w:rsidRPr="00BD1346" w:rsidRDefault="00FD1E19" w:rsidP="00FD1E19">
      <w:pPr>
        <w:pBdr>
          <w:top w:val="nil"/>
          <w:left w:val="nil"/>
          <w:bottom w:val="nil"/>
          <w:right w:val="nil"/>
          <w:between w:val="nil"/>
          <w:bar w:val="nil"/>
        </w:pBdr>
        <w:suppressAutoHyphens/>
        <w:spacing w:after="60"/>
        <w:jc w:val="both"/>
        <w:rPr>
          <w:rFonts w:ascii="Arial" w:hAnsi="Arial"/>
          <w:noProof/>
          <w:sz w:val="16"/>
          <w:szCs w:val="16"/>
          <w:bdr w:val="nil"/>
          <w:lang w:eastAsia="ar-SA"/>
        </w:rPr>
      </w:pPr>
      <w:r w:rsidRPr="00BD1346">
        <w:rPr>
          <w:rFonts w:ascii="Arial" w:hAnsi="Arial"/>
          <w:noProof/>
          <w:sz w:val="16"/>
          <w:szCs w:val="16"/>
          <w:lang w:eastAsia="ar-SA"/>
        </w:rPr>
        <w:t xml:space="preserve">The following conversion rates were used for establishing the balance sheet at 31 December </w:t>
      </w:r>
      <w:r w:rsidRPr="00046EDF">
        <w:rPr>
          <w:rFonts w:ascii="Arial" w:hAnsi="Arial"/>
          <w:noProof/>
          <w:sz w:val="16"/>
          <w:szCs w:val="16"/>
          <w:lang w:eastAsia="ar-SA"/>
        </w:rPr>
        <w:t>2025</w:t>
      </w:r>
      <w:r>
        <w:rPr>
          <w:rFonts w:ascii="Arial" w:hAnsi="Arial"/>
          <w:noProof/>
          <w:sz w:val="16"/>
          <w:szCs w:val="16"/>
          <w:lang w:eastAsia="ar-SA"/>
        </w:rPr>
        <w:t xml:space="preserve"> </w:t>
      </w:r>
      <w:r w:rsidRPr="00BD1346">
        <w:rPr>
          <w:rFonts w:ascii="Arial" w:hAnsi="Arial"/>
          <w:noProof/>
          <w:sz w:val="16"/>
          <w:szCs w:val="16"/>
          <w:lang w:eastAsia="ar-SA"/>
        </w:rPr>
        <w:t xml:space="preserve">and 31 December </w:t>
      </w:r>
      <w:r w:rsidRPr="00046EDF">
        <w:rPr>
          <w:rFonts w:ascii="Arial" w:hAnsi="Arial"/>
          <w:noProof/>
          <w:sz w:val="16"/>
          <w:szCs w:val="16"/>
          <w:lang w:eastAsia="ar-SA"/>
        </w:rPr>
        <w:t>2024</w:t>
      </w:r>
      <w:r>
        <w:rPr>
          <w:rFonts w:ascii="Arial" w:hAnsi="Arial"/>
          <w:noProof/>
          <w:sz w:val="16"/>
          <w:szCs w:val="16"/>
          <w:lang w:eastAsia="ar-SA"/>
        </w:rPr>
        <w:t>:</w:t>
      </w:r>
    </w:p>
    <w:tbl>
      <w:tblPr>
        <w:tblStyle w:val="CDMRange2"/>
        <w:tblW w:w="5000" w:type="pct"/>
        <w:tblLayout w:type="fixed"/>
        <w:tblLook w:val="0600" w:firstRow="0" w:lastRow="0" w:firstColumn="0" w:lastColumn="0" w:noHBand="1" w:noVBand="1"/>
      </w:tblPr>
      <w:tblGrid>
        <w:gridCol w:w="5600"/>
        <w:gridCol w:w="2039"/>
        <w:gridCol w:w="2039"/>
      </w:tblGrid>
      <w:tr w:rsidR="00FD1E19" w14:paraId="06C3A6A9" w14:textId="77777777" w:rsidTr="00BE7E4A">
        <w:trPr>
          <w:trHeight w:hRule="exact" w:val="54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14:paraId="0166137E" w14:textId="77777777" w:rsidR="00FD1E19" w:rsidRDefault="00FD1E19" w:rsidP="00BE7E4A">
            <w:pPr>
              <w:suppressAutoHyphens/>
              <w:jc w:val="right"/>
              <w:rPr>
                <w:rFonts w:ascii="Arial" w:eastAsia="Arial" w:hAnsi="Arial" w:cs="Arial"/>
                <w:b/>
                <w:noProof/>
                <w:color w:val="000000"/>
                <w:sz w:val="16"/>
                <w:lang w:eastAsia="ar-SA"/>
              </w:rPr>
            </w:pPr>
            <w:bookmarkStart w:id="266" w:name="RG_MARKER_90151"/>
            <w:bookmarkEnd w:id="266"/>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14:paraId="440667A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 December 2025</w:t>
            </w:r>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14:paraId="44C2F87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 December 2024</w:t>
            </w:r>
          </w:p>
        </w:tc>
      </w:tr>
      <w:tr w:rsidR="00FD1E19" w14:paraId="617F77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single" w:sz="4" w:space="0" w:color="000000"/>
              <w:left w:val="nil"/>
              <w:bottom w:val="nil"/>
              <w:right w:val="nil"/>
              <w:tl2br w:val="nil"/>
              <w:tr2bl w:val="nil"/>
            </w:tcBorders>
            <w:tcMar>
              <w:left w:w="40" w:type="dxa"/>
              <w:right w:w="40" w:type="dxa"/>
            </w:tcMar>
            <w:vAlign w:val="center"/>
          </w:tcPr>
          <w:p w14:paraId="1ADD4D4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Non-EU currencies</w:t>
            </w:r>
          </w:p>
        </w:tc>
        <w:tc>
          <w:tcPr>
            <w:tcW w:w="2100" w:type="dxa"/>
            <w:tcBorders>
              <w:top w:val="single" w:sz="4" w:space="0" w:color="000000"/>
              <w:left w:val="nil"/>
              <w:bottom w:val="nil"/>
              <w:right w:val="nil"/>
              <w:tl2br w:val="nil"/>
              <w:tr2bl w:val="nil"/>
            </w:tcBorders>
            <w:tcMar>
              <w:left w:w="0" w:type="dxa"/>
              <w:right w:w="0" w:type="dxa"/>
            </w:tcMar>
            <w:vAlign w:val="center"/>
          </w:tcPr>
          <w:p w14:paraId="36EB6DBF" w14:textId="77777777" w:rsidR="00FD1E19" w:rsidRDefault="00FD1E19" w:rsidP="00BE7E4A">
            <w:pPr>
              <w:suppressAutoHyphens/>
              <w:jc w:val="right"/>
              <w:rPr>
                <w:rFonts w:ascii="Arial" w:eastAsia="Arial" w:hAnsi="Arial" w:cs="Arial"/>
                <w:b/>
                <w:noProof/>
                <w:color w:val="000000"/>
                <w:sz w:val="16"/>
                <w:lang w:eastAsia="ar-SA"/>
              </w:rPr>
            </w:pPr>
          </w:p>
        </w:tc>
        <w:tc>
          <w:tcPr>
            <w:tcW w:w="2100" w:type="dxa"/>
            <w:tcBorders>
              <w:top w:val="single" w:sz="4" w:space="0" w:color="000000"/>
              <w:left w:val="nil"/>
              <w:bottom w:val="nil"/>
              <w:right w:val="nil"/>
              <w:tl2br w:val="nil"/>
              <w:tr2bl w:val="nil"/>
            </w:tcBorders>
            <w:tcMar>
              <w:left w:w="0" w:type="dxa"/>
              <w:right w:w="0" w:type="dxa"/>
            </w:tcMar>
            <w:vAlign w:val="center"/>
          </w:tcPr>
          <w:p w14:paraId="00DE0C03"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4CB4C47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7217597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Botswana Pula (BWP)</w:t>
            </w:r>
          </w:p>
        </w:tc>
        <w:tc>
          <w:tcPr>
            <w:tcW w:w="2100" w:type="dxa"/>
            <w:tcBorders>
              <w:top w:val="nil"/>
              <w:left w:val="nil"/>
              <w:bottom w:val="nil"/>
              <w:right w:val="nil"/>
              <w:tl2br w:val="nil"/>
              <w:tr2bl w:val="nil"/>
            </w:tcBorders>
            <w:noWrap/>
            <w:tcMar>
              <w:left w:w="40" w:type="dxa"/>
              <w:right w:w="40" w:type="dxa"/>
            </w:tcMar>
            <w:vAlign w:val="center"/>
          </w:tcPr>
          <w:p w14:paraId="04D0F15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16.18</w:t>
            </w:r>
          </w:p>
        </w:tc>
        <w:tc>
          <w:tcPr>
            <w:tcW w:w="2100" w:type="dxa"/>
            <w:tcBorders>
              <w:top w:val="nil"/>
              <w:left w:val="nil"/>
              <w:bottom w:val="nil"/>
              <w:right w:val="nil"/>
              <w:tl2br w:val="nil"/>
              <w:tr2bl w:val="nil"/>
            </w:tcBorders>
            <w:noWrap/>
            <w:tcMar>
              <w:left w:w="40" w:type="dxa"/>
              <w:right w:w="40" w:type="dxa"/>
            </w:tcMar>
            <w:vAlign w:val="center"/>
          </w:tcPr>
          <w:p w14:paraId="5EC87E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14.49</w:t>
            </w:r>
          </w:p>
        </w:tc>
      </w:tr>
      <w:tr w:rsidR="00FD1E19" w14:paraId="534DBCF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4DE265E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Dominican Republic Pesos (DOP)</w:t>
            </w:r>
          </w:p>
        </w:tc>
        <w:tc>
          <w:tcPr>
            <w:tcW w:w="2100" w:type="dxa"/>
            <w:tcBorders>
              <w:top w:val="nil"/>
              <w:left w:val="nil"/>
              <w:bottom w:val="nil"/>
              <w:right w:val="nil"/>
              <w:tl2br w:val="nil"/>
              <w:tr2bl w:val="nil"/>
            </w:tcBorders>
            <w:noWrap/>
            <w:tcMar>
              <w:left w:w="40" w:type="dxa"/>
              <w:right w:w="40" w:type="dxa"/>
            </w:tcMar>
            <w:vAlign w:val="center"/>
          </w:tcPr>
          <w:p w14:paraId="016BD96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73.78</w:t>
            </w:r>
          </w:p>
        </w:tc>
        <w:tc>
          <w:tcPr>
            <w:tcW w:w="2100" w:type="dxa"/>
            <w:tcBorders>
              <w:top w:val="nil"/>
              <w:left w:val="nil"/>
              <w:bottom w:val="nil"/>
              <w:right w:val="nil"/>
              <w:tl2br w:val="nil"/>
              <w:tr2bl w:val="nil"/>
            </w:tcBorders>
            <w:noWrap/>
            <w:tcMar>
              <w:left w:w="40" w:type="dxa"/>
              <w:right w:w="40" w:type="dxa"/>
            </w:tcMar>
            <w:vAlign w:val="center"/>
          </w:tcPr>
          <w:p w14:paraId="2180551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63.09</w:t>
            </w:r>
          </w:p>
        </w:tc>
      </w:tr>
      <w:tr w:rsidR="00FD1E19" w14:paraId="3FD90BB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6857DC2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Fiji Dollars (FJD)</w:t>
            </w:r>
          </w:p>
        </w:tc>
        <w:tc>
          <w:tcPr>
            <w:tcW w:w="2100" w:type="dxa"/>
            <w:tcBorders>
              <w:top w:val="nil"/>
              <w:left w:val="nil"/>
              <w:bottom w:val="nil"/>
              <w:right w:val="nil"/>
              <w:tl2br w:val="nil"/>
              <w:tr2bl w:val="nil"/>
            </w:tcBorders>
            <w:noWrap/>
            <w:tcMar>
              <w:left w:w="40" w:type="dxa"/>
              <w:right w:w="40" w:type="dxa"/>
            </w:tcMar>
            <w:vAlign w:val="center"/>
          </w:tcPr>
          <w:p w14:paraId="0DA5F38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2.62</w:t>
            </w:r>
          </w:p>
        </w:tc>
        <w:tc>
          <w:tcPr>
            <w:tcW w:w="2100" w:type="dxa"/>
            <w:tcBorders>
              <w:top w:val="nil"/>
              <w:left w:val="nil"/>
              <w:bottom w:val="nil"/>
              <w:right w:val="nil"/>
              <w:tl2br w:val="nil"/>
              <w:tr2bl w:val="nil"/>
            </w:tcBorders>
            <w:noWrap/>
            <w:tcMar>
              <w:left w:w="40" w:type="dxa"/>
              <w:right w:w="40" w:type="dxa"/>
            </w:tcMar>
            <w:vAlign w:val="center"/>
          </w:tcPr>
          <w:p w14:paraId="327B50D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2.38</w:t>
            </w:r>
          </w:p>
        </w:tc>
      </w:tr>
      <w:tr w:rsidR="00FD1E19" w14:paraId="53E786A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04A2590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Haitian Gourde (HTG)</w:t>
            </w:r>
          </w:p>
        </w:tc>
        <w:tc>
          <w:tcPr>
            <w:tcW w:w="2100" w:type="dxa"/>
            <w:tcBorders>
              <w:top w:val="nil"/>
              <w:left w:val="nil"/>
              <w:bottom w:val="nil"/>
              <w:right w:val="nil"/>
              <w:tl2br w:val="nil"/>
              <w:tr2bl w:val="nil"/>
            </w:tcBorders>
            <w:noWrap/>
            <w:tcMar>
              <w:left w:w="40" w:type="dxa"/>
              <w:right w:w="40" w:type="dxa"/>
            </w:tcMar>
            <w:vAlign w:val="center"/>
          </w:tcPr>
          <w:p w14:paraId="633D045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153.14</w:t>
            </w:r>
          </w:p>
        </w:tc>
        <w:tc>
          <w:tcPr>
            <w:tcW w:w="2100" w:type="dxa"/>
            <w:tcBorders>
              <w:top w:val="nil"/>
              <w:left w:val="nil"/>
              <w:bottom w:val="nil"/>
              <w:right w:val="nil"/>
              <w:tl2br w:val="nil"/>
              <w:tr2bl w:val="nil"/>
            </w:tcBorders>
            <w:noWrap/>
            <w:tcMar>
              <w:left w:w="40" w:type="dxa"/>
              <w:right w:w="40" w:type="dxa"/>
            </w:tcMar>
            <w:vAlign w:val="center"/>
          </w:tcPr>
          <w:p w14:paraId="36DCE91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135.09</w:t>
            </w:r>
          </w:p>
        </w:tc>
      </w:tr>
      <w:tr w:rsidR="00FD1E19" w14:paraId="2198B3A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74267AD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Jamaican Dollar (JMD)</w:t>
            </w:r>
          </w:p>
        </w:tc>
        <w:tc>
          <w:tcPr>
            <w:tcW w:w="2100" w:type="dxa"/>
            <w:tcBorders>
              <w:top w:val="nil"/>
              <w:left w:val="nil"/>
              <w:bottom w:val="nil"/>
              <w:right w:val="nil"/>
              <w:tl2br w:val="nil"/>
              <w:tr2bl w:val="nil"/>
            </w:tcBorders>
            <w:noWrap/>
            <w:tcMar>
              <w:left w:w="40" w:type="dxa"/>
              <w:right w:w="40" w:type="dxa"/>
            </w:tcMar>
            <w:vAlign w:val="center"/>
          </w:tcPr>
          <w:p w14:paraId="03430B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185.35</w:t>
            </w:r>
          </w:p>
        </w:tc>
        <w:tc>
          <w:tcPr>
            <w:tcW w:w="2100" w:type="dxa"/>
            <w:tcBorders>
              <w:top w:val="nil"/>
              <w:left w:val="nil"/>
              <w:bottom w:val="nil"/>
              <w:right w:val="nil"/>
              <w:tl2br w:val="nil"/>
              <w:tr2bl w:val="nil"/>
            </w:tcBorders>
            <w:noWrap/>
            <w:tcMar>
              <w:left w:w="40" w:type="dxa"/>
              <w:right w:w="40" w:type="dxa"/>
            </w:tcMar>
            <w:vAlign w:val="center"/>
          </w:tcPr>
          <w:p w14:paraId="3E0A061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161.15</w:t>
            </w:r>
          </w:p>
        </w:tc>
      </w:tr>
      <w:tr w:rsidR="00FD1E19" w14:paraId="46A681A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7A3175A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Kenya Shillings (KES)</w:t>
            </w:r>
          </w:p>
        </w:tc>
        <w:tc>
          <w:tcPr>
            <w:tcW w:w="2100" w:type="dxa"/>
            <w:tcBorders>
              <w:top w:val="nil"/>
              <w:left w:val="nil"/>
              <w:bottom w:val="nil"/>
              <w:right w:val="nil"/>
              <w:tl2br w:val="nil"/>
              <w:tr2bl w:val="nil"/>
            </w:tcBorders>
            <w:noWrap/>
            <w:tcMar>
              <w:left w:w="40" w:type="dxa"/>
              <w:right w:w="40" w:type="dxa"/>
            </w:tcMar>
            <w:vAlign w:val="center"/>
          </w:tcPr>
          <w:p w14:paraId="567B229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151.20</w:t>
            </w:r>
          </w:p>
        </w:tc>
        <w:tc>
          <w:tcPr>
            <w:tcW w:w="2100" w:type="dxa"/>
            <w:tcBorders>
              <w:top w:val="nil"/>
              <w:left w:val="nil"/>
              <w:bottom w:val="nil"/>
              <w:right w:val="nil"/>
              <w:tl2br w:val="nil"/>
              <w:tr2bl w:val="nil"/>
            </w:tcBorders>
            <w:noWrap/>
            <w:tcMar>
              <w:left w:w="40" w:type="dxa"/>
              <w:right w:w="40" w:type="dxa"/>
            </w:tcMar>
            <w:vAlign w:val="center"/>
          </w:tcPr>
          <w:p w14:paraId="4CE9F69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133.69</w:t>
            </w:r>
          </w:p>
        </w:tc>
      </w:tr>
      <w:tr w:rsidR="00FD1E19" w14:paraId="09F2EF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7CC8F2B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Mauritania Ouguiyas (MRU)</w:t>
            </w:r>
          </w:p>
        </w:tc>
        <w:tc>
          <w:tcPr>
            <w:tcW w:w="2100" w:type="dxa"/>
            <w:tcBorders>
              <w:top w:val="nil"/>
              <w:left w:val="nil"/>
              <w:bottom w:val="nil"/>
              <w:right w:val="nil"/>
              <w:tl2br w:val="nil"/>
              <w:tr2bl w:val="nil"/>
            </w:tcBorders>
            <w:noWrap/>
            <w:tcMar>
              <w:left w:w="40" w:type="dxa"/>
              <w:right w:w="40" w:type="dxa"/>
            </w:tcMar>
            <w:vAlign w:val="center"/>
          </w:tcPr>
          <w:p w14:paraId="4413DA1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46.70</w:t>
            </w:r>
          </w:p>
        </w:tc>
        <w:tc>
          <w:tcPr>
            <w:tcW w:w="2100" w:type="dxa"/>
            <w:tcBorders>
              <w:top w:val="nil"/>
              <w:left w:val="nil"/>
              <w:bottom w:val="nil"/>
              <w:right w:val="nil"/>
              <w:tl2br w:val="nil"/>
              <w:tr2bl w:val="nil"/>
            </w:tcBorders>
            <w:noWrap/>
            <w:tcMar>
              <w:left w:w="40" w:type="dxa"/>
              <w:right w:w="40" w:type="dxa"/>
            </w:tcMar>
            <w:vAlign w:val="center"/>
          </w:tcPr>
          <w:p w14:paraId="48A200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41.30</w:t>
            </w:r>
          </w:p>
        </w:tc>
      </w:tr>
      <w:tr w:rsidR="00FD1E19" w14:paraId="495C6E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47CBA3D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Mauritius Rupees (MUR)</w:t>
            </w:r>
          </w:p>
        </w:tc>
        <w:tc>
          <w:tcPr>
            <w:tcW w:w="2100" w:type="dxa"/>
            <w:tcBorders>
              <w:top w:val="nil"/>
              <w:left w:val="nil"/>
              <w:bottom w:val="nil"/>
              <w:right w:val="nil"/>
              <w:tl2br w:val="nil"/>
              <w:tr2bl w:val="nil"/>
            </w:tcBorders>
            <w:noWrap/>
            <w:tcMar>
              <w:left w:w="40" w:type="dxa"/>
              <w:right w:w="40" w:type="dxa"/>
            </w:tcMar>
            <w:vAlign w:val="center"/>
          </w:tcPr>
          <w:p w14:paraId="6A586D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54.08</w:t>
            </w:r>
          </w:p>
        </w:tc>
        <w:tc>
          <w:tcPr>
            <w:tcW w:w="2100" w:type="dxa"/>
            <w:tcBorders>
              <w:top w:val="nil"/>
              <w:left w:val="nil"/>
              <w:bottom w:val="nil"/>
              <w:right w:val="nil"/>
              <w:tl2br w:val="nil"/>
              <w:tr2bl w:val="nil"/>
            </w:tcBorders>
            <w:noWrap/>
            <w:tcMar>
              <w:left w:w="40" w:type="dxa"/>
              <w:right w:w="40" w:type="dxa"/>
            </w:tcMar>
            <w:vAlign w:val="center"/>
          </w:tcPr>
          <w:p w14:paraId="5D7E179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48.56</w:t>
            </w:r>
          </w:p>
        </w:tc>
      </w:tr>
      <w:tr w:rsidR="00FD1E19" w14:paraId="019BC47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7A06F7A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Mozambican Metical (MZN)</w:t>
            </w:r>
          </w:p>
        </w:tc>
        <w:tc>
          <w:tcPr>
            <w:tcW w:w="2100" w:type="dxa"/>
            <w:tcBorders>
              <w:top w:val="nil"/>
              <w:left w:val="nil"/>
              <w:bottom w:val="nil"/>
              <w:right w:val="nil"/>
              <w:tl2br w:val="nil"/>
              <w:tr2bl w:val="nil"/>
            </w:tcBorders>
            <w:noWrap/>
            <w:tcMar>
              <w:left w:w="40" w:type="dxa"/>
              <w:right w:w="40" w:type="dxa"/>
            </w:tcMar>
            <w:vAlign w:val="center"/>
          </w:tcPr>
          <w:p w14:paraId="785726B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74.22</w:t>
            </w:r>
          </w:p>
        </w:tc>
        <w:tc>
          <w:tcPr>
            <w:tcW w:w="2100" w:type="dxa"/>
            <w:tcBorders>
              <w:top w:val="nil"/>
              <w:left w:val="nil"/>
              <w:bottom w:val="nil"/>
              <w:right w:val="nil"/>
              <w:tl2br w:val="nil"/>
              <w:tr2bl w:val="nil"/>
            </w:tcBorders>
            <w:noWrap/>
            <w:tcMar>
              <w:left w:w="40" w:type="dxa"/>
              <w:right w:w="40" w:type="dxa"/>
            </w:tcMar>
            <w:vAlign w:val="center"/>
          </w:tcPr>
          <w:p w14:paraId="427445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65.65</w:t>
            </w:r>
          </w:p>
        </w:tc>
      </w:tr>
      <w:tr w:rsidR="00FD1E19" w14:paraId="7A3F4AB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4FCD48E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Nigerian Naira (NGN)</w:t>
            </w:r>
          </w:p>
        </w:tc>
        <w:tc>
          <w:tcPr>
            <w:tcW w:w="2100" w:type="dxa"/>
            <w:tcBorders>
              <w:top w:val="nil"/>
              <w:left w:val="nil"/>
              <w:bottom w:val="nil"/>
              <w:right w:val="nil"/>
              <w:tl2br w:val="nil"/>
              <w:tr2bl w:val="nil"/>
            </w:tcBorders>
            <w:noWrap/>
            <w:tcMar>
              <w:left w:w="40" w:type="dxa"/>
              <w:right w:w="40" w:type="dxa"/>
            </w:tcMar>
            <w:vAlign w:val="center"/>
          </w:tcPr>
          <w:p w14:paraId="11726B7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1,693.57</w:t>
            </w:r>
          </w:p>
        </w:tc>
        <w:tc>
          <w:tcPr>
            <w:tcW w:w="2100" w:type="dxa"/>
            <w:tcBorders>
              <w:top w:val="nil"/>
              <w:left w:val="nil"/>
              <w:bottom w:val="nil"/>
              <w:right w:val="nil"/>
              <w:tl2br w:val="nil"/>
              <w:tr2bl w:val="nil"/>
            </w:tcBorders>
            <w:noWrap/>
            <w:tcMar>
              <w:left w:w="40" w:type="dxa"/>
              <w:right w:w="40" w:type="dxa"/>
            </w:tcMar>
            <w:vAlign w:val="center"/>
          </w:tcPr>
          <w:p w14:paraId="6D914CE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1,591.68</w:t>
            </w:r>
          </w:p>
        </w:tc>
      </w:tr>
      <w:tr w:rsidR="00FD1E19" w14:paraId="366CBD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6922862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Rwanda Francs (RWF)</w:t>
            </w:r>
          </w:p>
        </w:tc>
        <w:tc>
          <w:tcPr>
            <w:tcW w:w="2100" w:type="dxa"/>
            <w:tcBorders>
              <w:top w:val="nil"/>
              <w:left w:val="nil"/>
              <w:bottom w:val="nil"/>
              <w:right w:val="nil"/>
              <w:tl2br w:val="nil"/>
              <w:tr2bl w:val="nil"/>
            </w:tcBorders>
            <w:noWrap/>
            <w:tcMar>
              <w:left w:w="40" w:type="dxa"/>
              <w:right w:w="40" w:type="dxa"/>
            </w:tcMar>
            <w:vAlign w:val="center"/>
          </w:tcPr>
          <w:p w14:paraId="6C80819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1,698.60</w:t>
            </w:r>
          </w:p>
        </w:tc>
        <w:tc>
          <w:tcPr>
            <w:tcW w:w="2100" w:type="dxa"/>
            <w:tcBorders>
              <w:top w:val="nil"/>
              <w:left w:val="nil"/>
              <w:bottom w:val="nil"/>
              <w:right w:val="nil"/>
              <w:tl2br w:val="nil"/>
              <w:tr2bl w:val="nil"/>
            </w:tcBorders>
            <w:noWrap/>
            <w:tcMar>
              <w:left w:w="40" w:type="dxa"/>
              <w:right w:w="40" w:type="dxa"/>
            </w:tcMar>
            <w:vAlign w:val="center"/>
          </w:tcPr>
          <w:p w14:paraId="18F97E3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1,419.85</w:t>
            </w:r>
          </w:p>
        </w:tc>
      </w:tr>
      <w:tr w:rsidR="00FD1E19" w14:paraId="702EECB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049F919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Tanzania Shillings (TZS)</w:t>
            </w:r>
          </w:p>
        </w:tc>
        <w:tc>
          <w:tcPr>
            <w:tcW w:w="2100" w:type="dxa"/>
            <w:tcBorders>
              <w:top w:val="nil"/>
              <w:left w:val="nil"/>
              <w:bottom w:val="nil"/>
              <w:right w:val="nil"/>
              <w:tl2br w:val="nil"/>
              <w:tr2bl w:val="nil"/>
            </w:tcBorders>
            <w:noWrap/>
            <w:tcMar>
              <w:left w:w="40" w:type="dxa"/>
              <w:right w:w="40" w:type="dxa"/>
            </w:tcMar>
            <w:vAlign w:val="center"/>
          </w:tcPr>
          <w:p w14:paraId="78A062E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2,862.12</w:t>
            </w:r>
          </w:p>
        </w:tc>
        <w:tc>
          <w:tcPr>
            <w:tcW w:w="2100" w:type="dxa"/>
            <w:tcBorders>
              <w:top w:val="nil"/>
              <w:left w:val="nil"/>
              <w:bottom w:val="nil"/>
              <w:right w:val="nil"/>
              <w:tl2br w:val="nil"/>
              <w:tr2bl w:val="nil"/>
            </w:tcBorders>
            <w:noWrap/>
            <w:tcMar>
              <w:left w:w="40" w:type="dxa"/>
              <w:right w:w="40" w:type="dxa"/>
            </w:tcMar>
            <w:vAlign w:val="center"/>
          </w:tcPr>
          <w:p w14:paraId="3C003C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2,490.24</w:t>
            </w:r>
          </w:p>
        </w:tc>
      </w:tr>
      <w:tr w:rsidR="00FD1E19" w14:paraId="2CFC46F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533D5D9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Uganda Shillings (UGX)</w:t>
            </w:r>
          </w:p>
        </w:tc>
        <w:tc>
          <w:tcPr>
            <w:tcW w:w="2100" w:type="dxa"/>
            <w:tcBorders>
              <w:top w:val="nil"/>
              <w:left w:val="nil"/>
              <w:bottom w:val="nil"/>
              <w:right w:val="nil"/>
              <w:tl2br w:val="nil"/>
              <w:tr2bl w:val="nil"/>
            </w:tcBorders>
            <w:noWrap/>
            <w:tcMar>
              <w:left w:w="40" w:type="dxa"/>
              <w:right w:w="40" w:type="dxa"/>
            </w:tcMar>
            <w:vAlign w:val="center"/>
          </w:tcPr>
          <w:p w14:paraId="743D1E2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4,240.00</w:t>
            </w:r>
          </w:p>
        </w:tc>
        <w:tc>
          <w:tcPr>
            <w:tcW w:w="2100" w:type="dxa"/>
            <w:tcBorders>
              <w:top w:val="nil"/>
              <w:left w:val="nil"/>
              <w:bottom w:val="nil"/>
              <w:right w:val="nil"/>
              <w:tl2br w:val="nil"/>
              <w:tr2bl w:val="nil"/>
            </w:tcBorders>
            <w:noWrap/>
            <w:tcMar>
              <w:left w:w="40" w:type="dxa"/>
              <w:right w:w="40" w:type="dxa"/>
            </w:tcMar>
            <w:vAlign w:val="center"/>
          </w:tcPr>
          <w:p w14:paraId="67BBDC3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3,812.00</w:t>
            </w:r>
          </w:p>
        </w:tc>
      </w:tr>
      <w:tr w:rsidR="00FD1E19" w14:paraId="05CEB5C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653AED1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United States Dollars (USD)</w:t>
            </w:r>
          </w:p>
        </w:tc>
        <w:tc>
          <w:tcPr>
            <w:tcW w:w="2100" w:type="dxa"/>
            <w:tcBorders>
              <w:top w:val="nil"/>
              <w:left w:val="nil"/>
              <w:bottom w:val="nil"/>
              <w:right w:val="nil"/>
              <w:tl2br w:val="nil"/>
              <w:tr2bl w:val="nil"/>
            </w:tcBorders>
            <w:noWrap/>
            <w:tcMar>
              <w:left w:w="40" w:type="dxa"/>
              <w:right w:w="40" w:type="dxa"/>
            </w:tcMar>
            <w:vAlign w:val="center"/>
          </w:tcPr>
          <w:p w14:paraId="20A634C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1.18</w:t>
            </w:r>
          </w:p>
        </w:tc>
        <w:tc>
          <w:tcPr>
            <w:tcW w:w="2100" w:type="dxa"/>
            <w:tcBorders>
              <w:top w:val="nil"/>
              <w:left w:val="nil"/>
              <w:bottom w:val="nil"/>
              <w:right w:val="nil"/>
              <w:tl2br w:val="nil"/>
              <w:tr2bl w:val="nil"/>
            </w:tcBorders>
            <w:noWrap/>
            <w:tcMar>
              <w:left w:w="40" w:type="dxa"/>
              <w:right w:w="40" w:type="dxa"/>
            </w:tcMar>
            <w:vAlign w:val="center"/>
          </w:tcPr>
          <w:p w14:paraId="2344146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1.04</w:t>
            </w:r>
          </w:p>
        </w:tc>
      </w:tr>
      <w:tr w:rsidR="00FD1E19" w14:paraId="62E8A65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661FE296" w14:textId="77777777" w:rsidR="00FD1E19" w:rsidRPr="00816843" w:rsidRDefault="00FD1E19" w:rsidP="00BE7E4A">
            <w:pPr>
              <w:suppressAutoHyphens/>
              <w:rPr>
                <w:rFonts w:ascii="Arial" w:eastAsia="Arial" w:hAnsi="Arial" w:cs="Arial"/>
                <w:noProof/>
                <w:color w:val="000000"/>
                <w:sz w:val="16"/>
                <w:lang w:val="fr-BE" w:eastAsia="ar-SA"/>
              </w:rPr>
            </w:pPr>
            <w:r w:rsidRPr="00816843">
              <w:rPr>
                <w:rFonts w:ascii="Arial" w:eastAsia="Arial" w:hAnsi="Arial" w:cs="Arial"/>
                <w:noProof/>
                <w:color w:val="000000"/>
                <w:sz w:val="16"/>
                <w:lang w:val="fr-BE" w:eastAsia="ar-SA"/>
              </w:rPr>
              <w:t>Franc CFA Francs (XAF/XOF)</w:t>
            </w:r>
          </w:p>
        </w:tc>
        <w:tc>
          <w:tcPr>
            <w:tcW w:w="2100" w:type="dxa"/>
            <w:tcBorders>
              <w:top w:val="nil"/>
              <w:left w:val="nil"/>
              <w:bottom w:val="nil"/>
              <w:right w:val="nil"/>
              <w:tl2br w:val="nil"/>
              <w:tr2bl w:val="nil"/>
            </w:tcBorders>
            <w:noWrap/>
            <w:tcMar>
              <w:left w:w="40" w:type="dxa"/>
              <w:right w:w="40" w:type="dxa"/>
            </w:tcMar>
            <w:vAlign w:val="center"/>
          </w:tcPr>
          <w:p w14:paraId="7044922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655.96</w:t>
            </w:r>
          </w:p>
        </w:tc>
        <w:tc>
          <w:tcPr>
            <w:tcW w:w="2100" w:type="dxa"/>
            <w:tcBorders>
              <w:top w:val="nil"/>
              <w:left w:val="nil"/>
              <w:bottom w:val="nil"/>
              <w:right w:val="nil"/>
              <w:tl2br w:val="nil"/>
              <w:tr2bl w:val="nil"/>
            </w:tcBorders>
            <w:noWrap/>
            <w:tcMar>
              <w:left w:w="40" w:type="dxa"/>
              <w:right w:w="40" w:type="dxa"/>
            </w:tcMar>
            <w:vAlign w:val="center"/>
          </w:tcPr>
          <w:p w14:paraId="11A786B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655.96</w:t>
            </w:r>
          </w:p>
        </w:tc>
      </w:tr>
      <w:tr w:rsidR="00FD1E19" w14:paraId="1B0EA86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nil"/>
              <w:right w:val="nil"/>
              <w:tl2br w:val="nil"/>
              <w:tr2bl w:val="nil"/>
            </w:tcBorders>
            <w:noWrap/>
            <w:tcMar>
              <w:left w:w="40" w:type="dxa"/>
              <w:right w:w="40" w:type="dxa"/>
            </w:tcMar>
            <w:vAlign w:val="center"/>
          </w:tcPr>
          <w:p w14:paraId="12428C3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South Africa Rand (ZAR)</w:t>
            </w:r>
          </w:p>
        </w:tc>
        <w:tc>
          <w:tcPr>
            <w:tcW w:w="2100" w:type="dxa"/>
            <w:tcBorders>
              <w:top w:val="nil"/>
              <w:left w:val="nil"/>
              <w:bottom w:val="nil"/>
              <w:right w:val="nil"/>
              <w:tl2br w:val="nil"/>
              <w:tr2bl w:val="nil"/>
            </w:tcBorders>
            <w:noWrap/>
            <w:tcMar>
              <w:left w:w="40" w:type="dxa"/>
              <w:right w:w="40" w:type="dxa"/>
            </w:tcMar>
            <w:vAlign w:val="center"/>
          </w:tcPr>
          <w:p w14:paraId="1E08B77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19.44</w:t>
            </w:r>
          </w:p>
        </w:tc>
        <w:tc>
          <w:tcPr>
            <w:tcW w:w="2100" w:type="dxa"/>
            <w:tcBorders>
              <w:top w:val="nil"/>
              <w:left w:val="nil"/>
              <w:bottom w:val="nil"/>
              <w:right w:val="nil"/>
              <w:tl2br w:val="nil"/>
              <w:tr2bl w:val="nil"/>
            </w:tcBorders>
            <w:noWrap/>
            <w:tcMar>
              <w:left w:w="40" w:type="dxa"/>
              <w:right w:w="40" w:type="dxa"/>
            </w:tcMar>
            <w:vAlign w:val="center"/>
          </w:tcPr>
          <w:p w14:paraId="4F7372F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19.62</w:t>
            </w:r>
          </w:p>
        </w:tc>
      </w:tr>
      <w:tr w:rsidR="00FD1E19" w14:paraId="54C76BA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5775" w:type="dxa"/>
            <w:tcBorders>
              <w:top w:val="nil"/>
              <w:left w:val="nil"/>
              <w:bottom w:val="single" w:sz="4" w:space="0" w:color="000000"/>
              <w:right w:val="nil"/>
              <w:tl2br w:val="nil"/>
              <w:tr2bl w:val="nil"/>
            </w:tcBorders>
            <w:noWrap/>
            <w:tcMar>
              <w:left w:w="40" w:type="dxa"/>
              <w:right w:w="40" w:type="dxa"/>
            </w:tcMar>
            <w:vAlign w:val="center"/>
          </w:tcPr>
          <w:p w14:paraId="1C5E56A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Zambia Kvacha (ZMW)</w:t>
            </w:r>
          </w:p>
        </w:tc>
        <w:tc>
          <w:tcPr>
            <w:tcW w:w="2100" w:type="dxa"/>
            <w:tcBorders>
              <w:top w:val="nil"/>
              <w:left w:val="nil"/>
              <w:bottom w:val="single" w:sz="4" w:space="0" w:color="000000"/>
              <w:right w:val="nil"/>
              <w:tl2br w:val="nil"/>
              <w:tr2bl w:val="nil"/>
            </w:tcBorders>
            <w:noWrap/>
            <w:tcMar>
              <w:left w:w="40" w:type="dxa"/>
              <w:right w:w="40" w:type="dxa"/>
            </w:tcMar>
            <w:vAlign w:val="center"/>
          </w:tcPr>
          <w:p w14:paraId="6A2DF33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25.98</w:t>
            </w:r>
          </w:p>
        </w:tc>
        <w:tc>
          <w:tcPr>
            <w:tcW w:w="2100" w:type="dxa"/>
            <w:tcBorders>
              <w:top w:val="nil"/>
              <w:left w:val="nil"/>
              <w:bottom w:val="single" w:sz="4" w:space="0" w:color="000000"/>
              <w:right w:val="nil"/>
              <w:tl2br w:val="nil"/>
              <w:tr2bl w:val="nil"/>
            </w:tcBorders>
            <w:noWrap/>
            <w:tcMar>
              <w:left w:w="40" w:type="dxa"/>
              <w:right w:w="40" w:type="dxa"/>
            </w:tcMar>
            <w:vAlign w:val="center"/>
          </w:tcPr>
          <w:p w14:paraId="7FD977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28.87</w:t>
            </w:r>
          </w:p>
        </w:tc>
      </w:tr>
    </w:tbl>
    <w:p w14:paraId="01791A5F"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bookmarkStart w:id="267" w:name="RG_MARKER_90152"/>
      <w:bookmarkEnd w:id="267"/>
    </w:p>
    <w:p w14:paraId="1DF54CEF"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b/>
          <w:noProof/>
          <w:sz w:val="16"/>
          <w:szCs w:val="16"/>
          <w:bdr w:val="nil"/>
          <w:lang w:eastAsia="ar-SA"/>
        </w:rPr>
      </w:pPr>
    </w:p>
    <w:p w14:paraId="66953CEC" w14:textId="77777777" w:rsidR="00FD1E19" w:rsidRPr="007214F6" w:rsidRDefault="00FD1E19" w:rsidP="00FD1E19">
      <w:pPr>
        <w:numPr>
          <w:ilvl w:val="2"/>
          <w:numId w:val="71"/>
        </w:numPr>
        <w:pBdr>
          <w:top w:val="nil"/>
          <w:left w:val="nil"/>
          <w:bottom w:val="nil"/>
          <w:right w:val="nil"/>
          <w:between w:val="nil"/>
          <w:bar w:val="nil"/>
        </w:pBdr>
        <w:tabs>
          <w:tab w:val="right" w:pos="-2700"/>
        </w:tabs>
        <w:suppressAutoHyphens/>
        <w:spacing w:before="60" w:after="60" w:line="240" w:lineRule="auto"/>
        <w:jc w:val="both"/>
        <w:rPr>
          <w:rFonts w:ascii="Arial" w:hAnsi="Arial"/>
          <w:b/>
          <w:noProof/>
          <w:sz w:val="16"/>
          <w:szCs w:val="16"/>
          <w:bdr w:val="nil"/>
          <w:lang w:eastAsia="ar-SA"/>
        </w:rPr>
      </w:pPr>
      <w:r w:rsidRPr="00C710FF">
        <w:rPr>
          <w:rFonts w:ascii="Arial" w:hAnsi="Arial"/>
          <w:b/>
          <w:noProof/>
          <w:sz w:val="16"/>
          <w:szCs w:val="16"/>
          <w:lang w:eastAsia="ar-SA"/>
        </w:rPr>
        <w:t>Equity price risk</w:t>
      </w:r>
    </w:p>
    <w:p w14:paraId="064F15BF" w14:textId="77777777" w:rsidR="00FD1E19" w:rsidRDefault="00FD1E19" w:rsidP="00FD1E19">
      <w:pPr>
        <w:pBdr>
          <w:top w:val="nil"/>
          <w:left w:val="nil"/>
          <w:bottom w:val="nil"/>
          <w:right w:val="nil"/>
          <w:between w:val="nil"/>
          <w:bar w:val="nil"/>
        </w:pBdr>
        <w:tabs>
          <w:tab w:val="right" w:pos="-2700"/>
        </w:tabs>
        <w:suppressAutoHyphens/>
        <w:spacing w:before="60" w:after="60"/>
        <w:ind w:left="432" w:hanging="432"/>
        <w:jc w:val="both"/>
        <w:rPr>
          <w:rFonts w:ascii="Arial" w:hAnsi="Arial"/>
          <w:noProof/>
          <w:sz w:val="16"/>
          <w:szCs w:val="16"/>
          <w:bdr w:val="nil"/>
          <w:lang w:eastAsia="ar-SA"/>
        </w:rPr>
      </w:pPr>
    </w:p>
    <w:p w14:paraId="230200AD"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935FF">
        <w:rPr>
          <w:rFonts w:ascii="Arial" w:hAnsi="Arial"/>
          <w:noProof/>
          <w:sz w:val="16"/>
          <w:szCs w:val="16"/>
          <w:lang w:eastAsia="ar-SA"/>
        </w:rPr>
        <w:t xml:space="preserve">Equity price risk </w:t>
      </w:r>
      <w:r>
        <w:rPr>
          <w:rFonts w:ascii="Arial" w:hAnsi="Arial"/>
          <w:noProof/>
          <w:sz w:val="16"/>
          <w:szCs w:val="16"/>
          <w:lang w:eastAsia="ar-SA"/>
        </w:rPr>
        <w:t>refers to</w:t>
      </w:r>
      <w:r w:rsidRPr="00B935FF">
        <w:rPr>
          <w:rFonts w:ascii="Arial" w:hAnsi="Arial"/>
          <w:noProof/>
          <w:sz w:val="16"/>
          <w:szCs w:val="16"/>
          <w:lang w:eastAsia="ar-SA"/>
        </w:rPr>
        <w:t xml:space="preserve"> the risk that the fair values of equit</w:t>
      </w:r>
      <w:r>
        <w:rPr>
          <w:rFonts w:ascii="Arial" w:hAnsi="Arial"/>
          <w:noProof/>
          <w:sz w:val="16"/>
          <w:szCs w:val="16"/>
          <w:lang w:eastAsia="ar-SA"/>
        </w:rPr>
        <w:t>y investments</w:t>
      </w:r>
      <w:r w:rsidRPr="00B935FF">
        <w:rPr>
          <w:rFonts w:ascii="Arial" w:hAnsi="Arial"/>
          <w:noProof/>
          <w:sz w:val="16"/>
          <w:szCs w:val="16"/>
          <w:lang w:eastAsia="ar-SA"/>
        </w:rPr>
        <w:t xml:space="preserve"> decrease as the result of changes in the levels of equity </w:t>
      </w:r>
      <w:r>
        <w:rPr>
          <w:rFonts w:ascii="Arial" w:hAnsi="Arial"/>
          <w:noProof/>
          <w:sz w:val="16"/>
          <w:szCs w:val="16"/>
          <w:lang w:eastAsia="ar-SA"/>
        </w:rPr>
        <w:t>prices</w:t>
      </w:r>
      <w:r w:rsidRPr="00B935FF">
        <w:rPr>
          <w:rFonts w:ascii="Arial" w:hAnsi="Arial"/>
          <w:noProof/>
          <w:sz w:val="16"/>
          <w:szCs w:val="16"/>
          <w:lang w:eastAsia="ar-SA"/>
        </w:rPr>
        <w:t xml:space="preserve"> and</w:t>
      </w:r>
      <w:r>
        <w:rPr>
          <w:rFonts w:ascii="Arial" w:hAnsi="Arial"/>
          <w:noProof/>
          <w:sz w:val="16"/>
          <w:szCs w:val="16"/>
          <w:lang w:eastAsia="ar-SA"/>
        </w:rPr>
        <w:t>/or</w:t>
      </w:r>
      <w:r w:rsidRPr="00B935FF">
        <w:rPr>
          <w:rFonts w:ascii="Arial" w:hAnsi="Arial"/>
          <w:noProof/>
          <w:sz w:val="16"/>
          <w:szCs w:val="16"/>
          <w:lang w:eastAsia="ar-SA"/>
        </w:rPr>
        <w:t xml:space="preserve"> the value of equity investments.</w:t>
      </w:r>
    </w:p>
    <w:p w14:paraId="1EE0C0D8" w14:textId="77777777" w:rsidR="00FD1E19" w:rsidRPr="00B935F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2F52E9B3"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935FF">
        <w:rPr>
          <w:rFonts w:ascii="Arial" w:hAnsi="Arial"/>
          <w:noProof/>
          <w:sz w:val="16"/>
          <w:szCs w:val="16"/>
          <w:lang w:eastAsia="ar-SA"/>
        </w:rPr>
        <w:t>The IF is exposed to equity price risk via its investments in direct equity and venture capital funds.</w:t>
      </w:r>
    </w:p>
    <w:p w14:paraId="1ADC3998" w14:textId="77777777" w:rsidR="00FD1E19" w:rsidRPr="00B935F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0D9A2D3A" w14:textId="77777777" w:rsidR="00FD1E19" w:rsidRPr="00B935F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sidRPr="00B935FF">
        <w:rPr>
          <w:rFonts w:ascii="Arial" w:hAnsi="Arial"/>
          <w:noProof/>
          <w:sz w:val="16"/>
          <w:szCs w:val="16"/>
          <w:lang w:eastAsia="ar-SA"/>
        </w:rPr>
        <w:t xml:space="preserve">The value of </w:t>
      </w:r>
      <w:r>
        <w:rPr>
          <w:rFonts w:ascii="Arial" w:hAnsi="Arial"/>
          <w:noProof/>
          <w:sz w:val="16"/>
          <w:szCs w:val="16"/>
          <w:lang w:eastAsia="ar-SA"/>
        </w:rPr>
        <w:t xml:space="preserve">non-listed </w:t>
      </w:r>
      <w:r w:rsidRPr="00B935FF">
        <w:rPr>
          <w:rFonts w:ascii="Arial" w:hAnsi="Arial"/>
          <w:noProof/>
          <w:sz w:val="16"/>
          <w:szCs w:val="16"/>
          <w:lang w:eastAsia="ar-SA"/>
        </w:rPr>
        <w:t>equit</w:t>
      </w:r>
      <w:r>
        <w:rPr>
          <w:rFonts w:ascii="Arial" w:hAnsi="Arial"/>
          <w:noProof/>
          <w:sz w:val="16"/>
          <w:szCs w:val="16"/>
          <w:lang w:eastAsia="ar-SA"/>
        </w:rPr>
        <w:t>y</w:t>
      </w:r>
      <w:r w:rsidRPr="00B935FF">
        <w:rPr>
          <w:rFonts w:ascii="Arial" w:hAnsi="Arial"/>
          <w:noProof/>
          <w:sz w:val="16"/>
          <w:szCs w:val="16"/>
          <w:lang w:eastAsia="ar-SA"/>
        </w:rPr>
        <w:t xml:space="preserve"> positions is not readily available for the purpose of monitoring and control on a continuous basis. For such positions, the best indications available include prices </w:t>
      </w:r>
      <w:r>
        <w:rPr>
          <w:rFonts w:ascii="Arial" w:hAnsi="Arial"/>
          <w:noProof/>
          <w:sz w:val="16"/>
          <w:szCs w:val="16"/>
          <w:lang w:eastAsia="ar-SA"/>
        </w:rPr>
        <w:t>derived from</w:t>
      </w:r>
      <w:r w:rsidRPr="00B935FF">
        <w:rPr>
          <w:rFonts w:ascii="Arial" w:hAnsi="Arial"/>
          <w:noProof/>
          <w:sz w:val="16"/>
          <w:szCs w:val="16"/>
          <w:lang w:eastAsia="ar-SA"/>
        </w:rPr>
        <w:t xml:space="preserve"> any relevant valuation techniques.</w:t>
      </w:r>
    </w:p>
    <w:p w14:paraId="6EC5B59A" w14:textId="77777777" w:rsidR="00FD1E19" w:rsidRPr="00B935FF"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p>
    <w:p w14:paraId="31D4C33E"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pPr>
      <w:r>
        <w:rPr>
          <w:rFonts w:ascii="Arial" w:hAnsi="Arial"/>
          <w:noProof/>
          <w:sz w:val="16"/>
          <w:szCs w:val="16"/>
          <w:lang w:eastAsia="ar-SA"/>
        </w:rPr>
        <w:t>The effect</w:t>
      </w:r>
      <w:r w:rsidRPr="00B935FF">
        <w:rPr>
          <w:rFonts w:ascii="Arial" w:hAnsi="Arial"/>
          <w:noProof/>
          <w:sz w:val="16"/>
          <w:szCs w:val="16"/>
          <w:lang w:eastAsia="ar-SA"/>
        </w:rPr>
        <w:t xml:space="preserve"> on the Facility’s contributors’ resources (as a result of a change in the fair value of the equity</w:t>
      </w:r>
      <w:r>
        <w:rPr>
          <w:rFonts w:ascii="Arial" w:hAnsi="Arial"/>
          <w:noProof/>
          <w:sz w:val="16"/>
          <w:szCs w:val="16"/>
          <w:lang w:eastAsia="ar-SA"/>
        </w:rPr>
        <w:t xml:space="preserve"> instruments</w:t>
      </w:r>
      <w:r w:rsidRPr="00B935FF">
        <w:rPr>
          <w:rFonts w:ascii="Arial" w:hAnsi="Arial"/>
          <w:noProof/>
          <w:sz w:val="16"/>
          <w:szCs w:val="16"/>
          <w:lang w:eastAsia="ar-SA"/>
        </w:rPr>
        <w:t xml:space="preserve"> portfolio) due to a</w:t>
      </w:r>
      <w:r>
        <w:rPr>
          <w:rFonts w:ascii="Arial" w:hAnsi="Arial"/>
          <w:noProof/>
          <w:sz w:val="16"/>
          <w:szCs w:val="16"/>
          <w:lang w:eastAsia="ar-SA"/>
        </w:rPr>
        <w:t xml:space="preserve"> +/-</w:t>
      </w:r>
      <w:r w:rsidRPr="00B935FF">
        <w:rPr>
          <w:rFonts w:ascii="Arial" w:hAnsi="Arial"/>
          <w:noProof/>
          <w:sz w:val="16"/>
          <w:szCs w:val="16"/>
          <w:lang w:eastAsia="ar-SA"/>
        </w:rPr>
        <w:t xml:space="preserve">10% </w:t>
      </w:r>
      <w:r>
        <w:rPr>
          <w:rFonts w:ascii="Arial" w:hAnsi="Arial"/>
          <w:noProof/>
          <w:sz w:val="16"/>
          <w:szCs w:val="16"/>
          <w:lang w:eastAsia="ar-SA"/>
        </w:rPr>
        <w:t>change</w:t>
      </w:r>
      <w:r w:rsidRPr="00B935FF">
        <w:rPr>
          <w:rFonts w:ascii="Arial" w:hAnsi="Arial"/>
          <w:noProof/>
          <w:sz w:val="16"/>
          <w:szCs w:val="16"/>
          <w:lang w:eastAsia="ar-SA"/>
        </w:rPr>
        <w:t xml:space="preserve"> in the value of individual</w:t>
      </w:r>
      <w:r>
        <w:rPr>
          <w:rFonts w:ascii="Arial" w:hAnsi="Arial"/>
          <w:noProof/>
          <w:sz w:val="16"/>
          <w:szCs w:val="16"/>
          <w:lang w:eastAsia="ar-SA"/>
        </w:rPr>
        <w:t xml:space="preserve"> direct</w:t>
      </w:r>
      <w:r w:rsidRPr="00B935FF">
        <w:rPr>
          <w:rFonts w:ascii="Arial" w:hAnsi="Arial"/>
          <w:noProof/>
          <w:sz w:val="16"/>
          <w:szCs w:val="16"/>
          <w:lang w:eastAsia="ar-SA"/>
        </w:rPr>
        <w:t xml:space="preserve"> equity</w:t>
      </w:r>
      <w:r>
        <w:rPr>
          <w:rFonts w:ascii="Arial" w:hAnsi="Arial"/>
          <w:noProof/>
          <w:sz w:val="16"/>
          <w:szCs w:val="16"/>
          <w:lang w:eastAsia="ar-SA"/>
        </w:rPr>
        <w:t xml:space="preserve"> and venture capital</w:t>
      </w:r>
      <w:r w:rsidRPr="00B935FF">
        <w:rPr>
          <w:rFonts w:ascii="Arial" w:hAnsi="Arial"/>
          <w:noProof/>
          <w:sz w:val="16"/>
          <w:szCs w:val="16"/>
          <w:lang w:eastAsia="ar-SA"/>
        </w:rPr>
        <w:t xml:space="preserve"> investments, with all o</w:t>
      </w:r>
      <w:r>
        <w:rPr>
          <w:rFonts w:ascii="Arial" w:hAnsi="Arial"/>
          <w:noProof/>
          <w:sz w:val="16"/>
          <w:szCs w:val="16"/>
          <w:lang w:eastAsia="ar-SA"/>
        </w:rPr>
        <w:t xml:space="preserve">ther variables held constant, is </w:t>
      </w:r>
      <w:r>
        <w:rPr>
          <w:rFonts w:ascii="Arial" w:hAnsi="Arial"/>
          <w:noProof/>
          <w:sz w:val="16"/>
          <w:szCs w:val="16"/>
          <w:lang w:eastAsia="ar-SA"/>
        </w:rPr>
        <w:br/>
        <w:t xml:space="preserve">EUR 74.6 million and </w:t>
      </w:r>
      <w:r w:rsidRPr="00B935FF">
        <w:rPr>
          <w:rFonts w:ascii="Arial" w:hAnsi="Arial"/>
          <w:noProof/>
          <w:sz w:val="16"/>
          <w:szCs w:val="16"/>
          <w:lang w:eastAsia="ar-SA"/>
        </w:rPr>
        <w:t>EUR</w:t>
      </w:r>
      <w:r>
        <w:rPr>
          <w:rFonts w:ascii="Arial" w:hAnsi="Arial"/>
          <w:noProof/>
          <w:sz w:val="16"/>
          <w:szCs w:val="16"/>
          <w:lang w:eastAsia="ar-SA"/>
        </w:rPr>
        <w:t xml:space="preserve"> -</w:t>
      </w:r>
      <w:r w:rsidRPr="005525E8">
        <w:rPr>
          <w:rFonts w:ascii="Arial" w:hAnsi="Arial"/>
          <w:noProof/>
          <w:sz w:val="16"/>
          <w:szCs w:val="16"/>
          <w:lang w:eastAsia="ar-SA"/>
        </w:rPr>
        <w:t xml:space="preserve">74.6 </w:t>
      </w:r>
      <w:r>
        <w:rPr>
          <w:rFonts w:ascii="Arial" w:hAnsi="Arial"/>
          <w:noProof/>
          <w:sz w:val="16"/>
          <w:szCs w:val="16"/>
          <w:lang w:eastAsia="ar-SA"/>
        </w:rPr>
        <w:t xml:space="preserve">million respectively </w:t>
      </w:r>
      <w:r w:rsidRPr="00B935FF">
        <w:rPr>
          <w:rFonts w:ascii="Arial" w:hAnsi="Arial"/>
          <w:noProof/>
          <w:sz w:val="16"/>
          <w:szCs w:val="16"/>
          <w:lang w:eastAsia="ar-SA"/>
        </w:rPr>
        <w:t xml:space="preserve">as at 31 December </w:t>
      </w:r>
      <w:r w:rsidRPr="006E253F">
        <w:rPr>
          <w:rFonts w:ascii="Arial" w:hAnsi="Arial"/>
          <w:noProof/>
          <w:sz w:val="16"/>
          <w:szCs w:val="16"/>
          <w:lang w:eastAsia="ar-SA"/>
        </w:rPr>
        <w:t>2025</w:t>
      </w:r>
      <w:r>
        <w:rPr>
          <w:rFonts w:ascii="Arial" w:hAnsi="Arial"/>
          <w:noProof/>
          <w:sz w:val="16"/>
          <w:szCs w:val="16"/>
          <w:lang w:eastAsia="ar-SA"/>
        </w:rPr>
        <w:t xml:space="preserve"> (</w:t>
      </w:r>
      <w:r w:rsidRPr="00B935FF">
        <w:rPr>
          <w:rFonts w:ascii="Arial" w:hAnsi="Arial"/>
          <w:noProof/>
          <w:sz w:val="16"/>
          <w:szCs w:val="16"/>
          <w:lang w:eastAsia="ar-SA"/>
        </w:rPr>
        <w:t>EUR</w:t>
      </w:r>
      <w:r>
        <w:rPr>
          <w:rFonts w:ascii="Arial" w:hAnsi="Arial"/>
          <w:noProof/>
          <w:sz w:val="16"/>
          <w:szCs w:val="16"/>
          <w:lang w:eastAsia="ar-SA"/>
        </w:rPr>
        <w:t xml:space="preserve"> 83.5</w:t>
      </w:r>
      <w:r w:rsidRPr="005525E8">
        <w:rPr>
          <w:rFonts w:ascii="Arial" w:hAnsi="Arial"/>
          <w:noProof/>
          <w:sz w:val="16"/>
          <w:szCs w:val="16"/>
          <w:lang w:eastAsia="ar-SA"/>
        </w:rPr>
        <w:t xml:space="preserve"> </w:t>
      </w:r>
      <w:r>
        <w:rPr>
          <w:rFonts w:ascii="Arial" w:hAnsi="Arial"/>
          <w:noProof/>
          <w:sz w:val="16"/>
          <w:szCs w:val="16"/>
          <w:lang w:eastAsia="ar-SA"/>
        </w:rPr>
        <w:t>million and EUR</w:t>
      </w:r>
      <w:r w:rsidRPr="00B935FF">
        <w:rPr>
          <w:rFonts w:ascii="Arial" w:hAnsi="Arial"/>
          <w:noProof/>
          <w:sz w:val="16"/>
          <w:szCs w:val="16"/>
          <w:lang w:eastAsia="ar-SA"/>
        </w:rPr>
        <w:t xml:space="preserve"> </w:t>
      </w:r>
      <w:r>
        <w:rPr>
          <w:rFonts w:ascii="Arial" w:hAnsi="Arial"/>
          <w:noProof/>
          <w:sz w:val="16"/>
          <w:szCs w:val="16"/>
          <w:lang w:eastAsia="ar-SA"/>
        </w:rPr>
        <w:t>-</w:t>
      </w:r>
      <w:r w:rsidRPr="005525E8">
        <w:rPr>
          <w:rFonts w:ascii="Arial" w:hAnsi="Arial"/>
          <w:noProof/>
          <w:sz w:val="16"/>
          <w:szCs w:val="16"/>
          <w:lang w:eastAsia="ar-SA"/>
        </w:rPr>
        <w:t xml:space="preserve">83.5 </w:t>
      </w:r>
      <w:r>
        <w:rPr>
          <w:rFonts w:ascii="Arial" w:hAnsi="Arial"/>
          <w:noProof/>
          <w:sz w:val="16"/>
          <w:szCs w:val="16"/>
          <w:lang w:eastAsia="ar-SA"/>
        </w:rPr>
        <w:t>million</w:t>
      </w:r>
      <w:r w:rsidRPr="00B935FF">
        <w:rPr>
          <w:rFonts w:ascii="Arial" w:hAnsi="Arial"/>
          <w:noProof/>
          <w:sz w:val="16"/>
          <w:szCs w:val="16"/>
          <w:lang w:eastAsia="ar-SA"/>
        </w:rPr>
        <w:t xml:space="preserve"> </w:t>
      </w:r>
      <w:r>
        <w:rPr>
          <w:rFonts w:ascii="Arial" w:hAnsi="Arial"/>
          <w:noProof/>
          <w:sz w:val="16"/>
          <w:szCs w:val="16"/>
          <w:lang w:eastAsia="ar-SA"/>
        </w:rPr>
        <w:t xml:space="preserve">respectively </w:t>
      </w:r>
      <w:r w:rsidRPr="00B935FF">
        <w:rPr>
          <w:rFonts w:ascii="Arial" w:hAnsi="Arial"/>
          <w:noProof/>
          <w:sz w:val="16"/>
          <w:szCs w:val="16"/>
          <w:lang w:eastAsia="ar-SA"/>
        </w:rPr>
        <w:t>as at 31</w:t>
      </w:r>
      <w:r>
        <w:rPr>
          <w:rFonts w:ascii="Arial" w:hAnsi="Arial"/>
          <w:noProof/>
          <w:sz w:val="16"/>
          <w:szCs w:val="16"/>
          <w:lang w:eastAsia="ar-SA"/>
        </w:rPr>
        <w:t> </w:t>
      </w:r>
      <w:r w:rsidRPr="00B935FF">
        <w:rPr>
          <w:rFonts w:ascii="Arial" w:hAnsi="Arial"/>
          <w:noProof/>
          <w:sz w:val="16"/>
          <w:szCs w:val="16"/>
          <w:lang w:eastAsia="ar-SA"/>
        </w:rPr>
        <w:t xml:space="preserve"> December </w:t>
      </w:r>
      <w:r w:rsidRPr="006E253F">
        <w:rPr>
          <w:rFonts w:ascii="Arial" w:hAnsi="Arial"/>
          <w:noProof/>
          <w:sz w:val="16"/>
          <w:szCs w:val="16"/>
          <w:lang w:eastAsia="ar-SA"/>
        </w:rPr>
        <w:t>2024</w:t>
      </w:r>
      <w:r>
        <w:rPr>
          <w:rFonts w:ascii="Arial" w:hAnsi="Arial"/>
          <w:noProof/>
          <w:sz w:val="16"/>
          <w:szCs w:val="16"/>
          <w:lang w:eastAsia="ar-SA"/>
        </w:rPr>
        <w:t>)</w:t>
      </w:r>
      <w:r w:rsidRPr="00B935FF">
        <w:rPr>
          <w:rFonts w:ascii="Arial" w:hAnsi="Arial"/>
          <w:noProof/>
          <w:sz w:val="16"/>
          <w:szCs w:val="16"/>
          <w:lang w:eastAsia="ar-SA"/>
        </w:rPr>
        <w:t>.</w:t>
      </w:r>
    </w:p>
    <w:p w14:paraId="4A52E363" w14:textId="77777777" w:rsidR="00FD1E19" w:rsidRDefault="00FD1E19" w:rsidP="00FD1E19">
      <w:pPr>
        <w:pBdr>
          <w:top w:val="nil"/>
          <w:left w:val="nil"/>
          <w:bottom w:val="nil"/>
          <w:right w:val="nil"/>
          <w:between w:val="nil"/>
          <w:bar w:val="nil"/>
        </w:pBdr>
        <w:suppressAutoHyphens/>
        <w:spacing w:before="60" w:after="60"/>
        <w:jc w:val="both"/>
        <w:rPr>
          <w:rFonts w:ascii="Arial" w:hAnsi="Arial"/>
          <w:noProof/>
          <w:sz w:val="16"/>
          <w:szCs w:val="16"/>
          <w:bdr w:val="nil"/>
          <w:lang w:eastAsia="ar-SA"/>
        </w:rPr>
        <w:sectPr w:rsidR="00FD1E19" w:rsidSect="00FD1E19">
          <w:headerReference w:type="even" r:id="rId152"/>
          <w:headerReference w:type="default" r:id="rId153"/>
          <w:footerReference w:type="even" r:id="rId154"/>
          <w:headerReference w:type="first" r:id="rId155"/>
          <w:footerReference w:type="first" r:id="rId156"/>
          <w:type w:val="continuous"/>
          <w:pgSz w:w="11906" w:h="16838" w:code="9"/>
          <w:pgMar w:top="765" w:right="1134" w:bottom="765" w:left="1134" w:header="709" w:footer="709" w:gutter="0"/>
          <w:pgBorders>
            <w:top w:val="nil"/>
            <w:left w:val="nil"/>
            <w:bottom w:val="nil"/>
            <w:right w:val="nil"/>
          </w:pgBorders>
          <w:cols w:space="720"/>
          <w:docGrid w:linePitch="360"/>
        </w:sectPr>
      </w:pPr>
    </w:p>
    <w:p w14:paraId="68EA19D7" w14:textId="77777777" w:rsidR="00FD1E19" w:rsidRDefault="00FD1E19" w:rsidP="00FD1E19">
      <w:pPr>
        <w:pageBreakBefore/>
        <w:pBdr>
          <w:top w:val="nil"/>
          <w:left w:val="nil"/>
          <w:bottom w:val="nil"/>
          <w:right w:val="nil"/>
          <w:between w:val="nil"/>
          <w:bar w:val="nil"/>
        </w:pBdr>
        <w:tabs>
          <w:tab w:val="center" w:pos="4320"/>
          <w:tab w:val="right" w:pos="8640"/>
        </w:tabs>
        <w:suppressAutoHyphens/>
        <w:spacing w:before="120" w:line="276" w:lineRule="auto"/>
        <w:ind w:left="431" w:hanging="431"/>
        <w:jc w:val="both"/>
        <w:rPr>
          <w:rFonts w:ascii="Arial" w:hAnsi="Arial"/>
          <w:b/>
          <w:noProof/>
          <w:sz w:val="20"/>
          <w:bdr w:val="nil"/>
          <w:lang w:val="en-US" w:eastAsia="ar-SA"/>
        </w:rPr>
      </w:pPr>
      <w:bookmarkStart w:id="268" w:name="RG_MARKER_90154"/>
      <w:bookmarkStart w:id="269" w:name="RG_MARKER_90072"/>
      <w:r w:rsidRPr="00C2361E">
        <w:rPr>
          <w:rFonts w:ascii="Arial" w:hAnsi="Arial"/>
          <w:b/>
          <w:noProof/>
          <w:sz w:val="20"/>
          <w:lang w:val="en-US" w:eastAsia="ar-SA"/>
        </w:rPr>
        <w:t>4</w:t>
      </w:r>
      <w:bookmarkEnd w:id="268"/>
      <w:bookmarkEnd w:id="269"/>
      <w:r>
        <w:rPr>
          <w:rFonts w:ascii="Arial" w:hAnsi="Arial"/>
          <w:b/>
          <w:noProof/>
          <w:sz w:val="20"/>
          <w:lang w:val="en-US" w:eastAsia="ar-SA"/>
        </w:rPr>
        <w:tab/>
        <w:t>Fair values of financial instruments</w:t>
      </w:r>
    </w:p>
    <w:p w14:paraId="77EE34E1" w14:textId="77777777" w:rsidR="00FD1E19" w:rsidRDefault="00FD1E19" w:rsidP="00FD1E19">
      <w:pPr>
        <w:numPr>
          <w:ilvl w:val="1"/>
          <w:numId w:val="72"/>
        </w:numPr>
        <w:pBdr>
          <w:top w:val="nil"/>
          <w:left w:val="nil"/>
          <w:bottom w:val="nil"/>
          <w:right w:val="nil"/>
          <w:between w:val="nil"/>
          <w:bar w:val="nil"/>
        </w:pBdr>
        <w:tabs>
          <w:tab w:val="right" w:pos="-2700"/>
          <w:tab w:val="right" w:pos="720"/>
        </w:tabs>
        <w:suppressAutoHyphens/>
        <w:spacing w:after="0" w:line="240" w:lineRule="auto"/>
        <w:ind w:hanging="357"/>
        <w:jc w:val="both"/>
        <w:rPr>
          <w:rFonts w:ascii="Arial" w:hAnsi="Arial"/>
          <w:b/>
          <w:noProof/>
          <w:sz w:val="16"/>
          <w:szCs w:val="16"/>
          <w:bdr w:val="nil"/>
          <w:lang w:eastAsia="ar-SA"/>
        </w:rPr>
      </w:pPr>
      <w:r>
        <w:rPr>
          <w:rFonts w:ascii="Arial" w:hAnsi="Arial"/>
          <w:b/>
          <w:noProof/>
          <w:sz w:val="16"/>
          <w:szCs w:val="16"/>
          <w:bdr w:val="none" w:sz="0" w:space="0" w:color="auto" w:frame="1"/>
          <w:lang w:eastAsia="ar-SA"/>
        </w:rPr>
        <w:t>Accounting classifications and fair values</w:t>
      </w:r>
    </w:p>
    <w:p w14:paraId="086F8B89" w14:textId="77777777" w:rsidR="00FD1E19" w:rsidRDefault="00FD1E19" w:rsidP="00FD1E19">
      <w:pPr>
        <w:pBdr>
          <w:top w:val="nil"/>
          <w:left w:val="nil"/>
          <w:bottom w:val="nil"/>
          <w:right w:val="nil"/>
          <w:between w:val="nil"/>
          <w:bar w:val="nil"/>
        </w:pBdr>
        <w:tabs>
          <w:tab w:val="right" w:pos="-2700"/>
        </w:tabs>
        <w:suppressAutoHyphens/>
        <w:spacing w:before="60" w:after="60"/>
        <w:jc w:val="both"/>
        <w:rPr>
          <w:rFonts w:ascii="Arial" w:hAnsi="Arial"/>
          <w:noProof/>
          <w:sz w:val="16"/>
          <w:szCs w:val="16"/>
          <w:bdr w:val="nil"/>
          <w:lang w:val="en-US" w:eastAsia="ar-SA"/>
        </w:rPr>
      </w:pPr>
      <w:r w:rsidRPr="004D52C7">
        <w:rPr>
          <w:rFonts w:ascii="Arial" w:hAnsi="Arial"/>
          <w:noProof/>
          <w:sz w:val="16"/>
          <w:szCs w:val="16"/>
          <w:lang w:eastAsia="ar-SA"/>
        </w:rPr>
        <w:t xml:space="preserve">The </w:t>
      </w:r>
      <w:r>
        <w:rPr>
          <w:rFonts w:ascii="Arial" w:hAnsi="Arial"/>
          <w:noProof/>
          <w:sz w:val="16"/>
          <w:szCs w:val="16"/>
          <w:lang w:eastAsia="ar-SA"/>
        </w:rPr>
        <w:t xml:space="preserve">following table shows </w:t>
      </w:r>
      <w:r w:rsidRPr="004D52C7">
        <w:rPr>
          <w:rFonts w:ascii="Arial" w:hAnsi="Arial"/>
          <w:noProof/>
          <w:sz w:val="16"/>
          <w:szCs w:val="16"/>
          <w:lang w:eastAsia="ar-SA"/>
        </w:rPr>
        <w:t xml:space="preserve">the carrying amounts </w:t>
      </w:r>
      <w:r>
        <w:rPr>
          <w:rFonts w:ascii="Arial" w:hAnsi="Arial"/>
          <w:noProof/>
          <w:sz w:val="16"/>
          <w:szCs w:val="16"/>
          <w:lang w:eastAsia="ar-SA"/>
        </w:rPr>
        <w:t xml:space="preserve">and fair values </w:t>
      </w:r>
      <w:r w:rsidRPr="004D52C7">
        <w:rPr>
          <w:rFonts w:ascii="Arial" w:hAnsi="Arial"/>
          <w:noProof/>
          <w:sz w:val="16"/>
          <w:szCs w:val="16"/>
          <w:lang w:eastAsia="ar-SA"/>
        </w:rPr>
        <w:t>of financial assets and financial liabilities</w:t>
      </w:r>
      <w:r>
        <w:rPr>
          <w:rFonts w:ascii="Arial" w:hAnsi="Arial"/>
          <w:noProof/>
          <w:sz w:val="16"/>
          <w:szCs w:val="16"/>
          <w:lang w:eastAsia="ar-SA"/>
        </w:rPr>
        <w:t>, including their levels in the fair value hierarchy</w:t>
      </w:r>
      <w:r w:rsidRPr="004D52C7">
        <w:rPr>
          <w:rFonts w:ascii="Arial" w:hAnsi="Arial"/>
          <w:noProof/>
          <w:sz w:val="16"/>
          <w:szCs w:val="16"/>
          <w:lang w:eastAsia="ar-SA"/>
        </w:rPr>
        <w:t>.</w:t>
      </w:r>
      <w:r>
        <w:rPr>
          <w:rFonts w:ascii="Arial" w:hAnsi="Arial"/>
          <w:noProof/>
          <w:sz w:val="16"/>
          <w:szCs w:val="16"/>
          <w:lang w:val="en-US" w:eastAsia="ar-SA"/>
        </w:rPr>
        <w:t xml:space="preserve"> These do not</w:t>
      </w:r>
      <w:r w:rsidRPr="004D52C7">
        <w:rPr>
          <w:rFonts w:ascii="Arial" w:hAnsi="Arial"/>
          <w:noProof/>
          <w:sz w:val="16"/>
          <w:szCs w:val="16"/>
          <w:lang w:eastAsia="ar-SA"/>
        </w:rPr>
        <w:t xml:space="preserve"> include fair value</w:t>
      </w:r>
      <w:r>
        <w:rPr>
          <w:rFonts w:ascii="Arial" w:hAnsi="Arial"/>
          <w:noProof/>
          <w:sz w:val="16"/>
          <w:szCs w:val="16"/>
          <w:lang w:eastAsia="ar-SA"/>
        </w:rPr>
        <w:t xml:space="preserve"> information for </w:t>
      </w:r>
      <w:r w:rsidRPr="004D52C7">
        <w:rPr>
          <w:rFonts w:ascii="Arial" w:hAnsi="Arial"/>
          <w:noProof/>
          <w:sz w:val="16"/>
          <w:szCs w:val="16"/>
          <w:lang w:eastAsia="ar-SA"/>
        </w:rPr>
        <w:t>financial assets and financial liabilities</w:t>
      </w:r>
      <w:r>
        <w:rPr>
          <w:rFonts w:ascii="Arial" w:hAnsi="Arial"/>
          <w:noProof/>
          <w:sz w:val="16"/>
          <w:szCs w:val="16"/>
          <w:lang w:eastAsia="ar-SA"/>
        </w:rPr>
        <w:t xml:space="preserve"> measured at AC as the carrying amount is a reasonable approximation of fair value</w:t>
      </w:r>
      <w:r w:rsidRPr="004D52C7">
        <w:rPr>
          <w:rFonts w:ascii="Arial" w:hAnsi="Arial"/>
          <w:noProof/>
          <w:sz w:val="16"/>
          <w:szCs w:val="16"/>
          <w:lang w:eastAsia="ar-SA"/>
        </w:rPr>
        <w:t>.</w:t>
      </w:r>
    </w:p>
    <w:tbl>
      <w:tblPr>
        <w:tblStyle w:val="CDMRange1"/>
        <w:tblW w:w="5000" w:type="pct"/>
        <w:tblLayout w:type="fixed"/>
        <w:tblLook w:val="0600" w:firstRow="0" w:lastRow="0" w:firstColumn="0" w:lastColumn="0" w:noHBand="1" w:noVBand="1"/>
      </w:tblPr>
      <w:tblGrid>
        <w:gridCol w:w="2812"/>
        <w:gridCol w:w="808"/>
        <w:gridCol w:w="772"/>
        <w:gridCol w:w="772"/>
        <w:gridCol w:w="772"/>
        <w:gridCol w:w="772"/>
        <w:gridCol w:w="772"/>
        <w:gridCol w:w="120"/>
        <w:gridCol w:w="714"/>
        <w:gridCol w:w="714"/>
        <w:gridCol w:w="714"/>
        <w:gridCol w:w="714"/>
      </w:tblGrid>
      <w:tr w:rsidR="00FD1E19" w14:paraId="6287129B" w14:textId="77777777" w:rsidTr="00BE7E4A">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14:paraId="3A48BA8C" w14:textId="77777777" w:rsidR="00FD1E19" w:rsidRDefault="00FD1E19" w:rsidP="00BE7E4A">
            <w:pPr>
              <w:suppressAutoHyphens/>
              <w:rPr>
                <w:rFonts w:ascii="Arial" w:eastAsia="Arial" w:hAnsi="Arial" w:cs="Arial"/>
                <w:b/>
                <w:noProof/>
                <w:color w:val="000000"/>
                <w:sz w:val="16"/>
                <w:lang w:eastAsia="ar-SA"/>
              </w:rPr>
            </w:pPr>
            <w:bookmarkStart w:id="270" w:name="RG_MARKER_90155"/>
            <w:r>
              <w:rPr>
                <w:rFonts w:ascii="Arial" w:eastAsia="Arial" w:hAnsi="Arial" w:cs="Arial"/>
                <w:b/>
                <w:noProof/>
                <w:color w:val="000000"/>
                <w:sz w:val="16"/>
                <w:lang w:eastAsia="ar-SA"/>
              </w:rPr>
              <w:t>At 31 December 2025</w:t>
            </w:r>
            <w:bookmarkEnd w:id="270"/>
          </w:p>
        </w:tc>
        <w:tc>
          <w:tcPr>
            <w:tcW w:w="5895" w:type="dxa"/>
            <w:gridSpan w:val="6"/>
            <w:tcBorders>
              <w:top w:val="single" w:sz="4" w:space="0" w:color="000000"/>
              <w:left w:val="nil"/>
              <w:bottom w:val="single" w:sz="4" w:space="0" w:color="000000"/>
              <w:right w:val="nil"/>
              <w:tl2br w:val="nil"/>
              <w:tr2bl w:val="nil"/>
            </w:tcBorders>
            <w:tcMar>
              <w:left w:w="40" w:type="dxa"/>
              <w:right w:w="40" w:type="dxa"/>
            </w:tcMar>
            <w:vAlign w:val="center"/>
          </w:tcPr>
          <w:p w14:paraId="1329540B"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w:t>
            </w:r>
          </w:p>
        </w:tc>
        <w:tc>
          <w:tcPr>
            <w:tcW w:w="150" w:type="dxa"/>
            <w:tcBorders>
              <w:top w:val="nil"/>
              <w:left w:val="nil"/>
              <w:bottom w:val="nil"/>
              <w:right w:val="nil"/>
              <w:tl2br w:val="nil"/>
              <w:tr2bl w:val="nil"/>
            </w:tcBorders>
            <w:tcMar>
              <w:left w:w="0" w:type="dxa"/>
              <w:right w:w="0" w:type="dxa"/>
            </w:tcMar>
            <w:vAlign w:val="center"/>
          </w:tcPr>
          <w:p w14:paraId="3389F2E7" w14:textId="77777777" w:rsidR="00FD1E19" w:rsidRDefault="00FD1E19" w:rsidP="00BE7E4A">
            <w:pPr>
              <w:suppressAutoHyphens/>
              <w:jc w:val="center"/>
              <w:rPr>
                <w:rFonts w:ascii="Arial" w:eastAsia="Arial" w:hAnsi="Arial" w:cs="Arial"/>
                <w:b/>
                <w:noProof/>
                <w:color w:val="000000"/>
                <w:sz w:val="16"/>
                <w:lang w:eastAsia="ar-SA"/>
              </w:rPr>
            </w:pPr>
          </w:p>
        </w:tc>
        <w:tc>
          <w:tcPr>
            <w:tcW w:w="3600" w:type="dxa"/>
            <w:gridSpan w:val="4"/>
            <w:tcBorders>
              <w:top w:val="single" w:sz="4" w:space="0" w:color="000000"/>
              <w:left w:val="nil"/>
              <w:bottom w:val="single" w:sz="4" w:space="0" w:color="000000"/>
              <w:right w:val="nil"/>
              <w:tl2br w:val="nil"/>
              <w:tr2bl w:val="nil"/>
            </w:tcBorders>
            <w:tcMar>
              <w:left w:w="40" w:type="dxa"/>
              <w:right w:w="40" w:type="dxa"/>
            </w:tcMar>
            <w:vAlign w:val="center"/>
          </w:tcPr>
          <w:p w14:paraId="4E3857A4"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Fair value</w:t>
            </w:r>
          </w:p>
        </w:tc>
      </w:tr>
      <w:tr w:rsidR="00FD1E19" w14:paraId="6D118A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25"/>
        </w:trPr>
        <w:tc>
          <w:tcPr>
            <w:tcW w:w="3630" w:type="dxa"/>
            <w:tcBorders>
              <w:top w:val="nil"/>
              <w:left w:val="nil"/>
              <w:bottom w:val="single" w:sz="4" w:space="0" w:color="000000"/>
              <w:right w:val="nil"/>
              <w:tl2br w:val="nil"/>
              <w:tr2bl w:val="nil"/>
            </w:tcBorders>
            <w:noWrap/>
            <w:tcMar>
              <w:left w:w="40" w:type="dxa"/>
              <w:right w:w="40" w:type="dxa"/>
            </w:tcMar>
            <w:vAlign w:val="center"/>
          </w:tcPr>
          <w:p w14:paraId="72E1B0F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14:paraId="574E690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Derivative financial instruments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761F995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Shares and other variable yield securities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54A851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Cash, loans and advances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06E1493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Treasury financial assets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0BC32FE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Other financial assets/liabilities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A11981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0" w:type="dxa"/>
            <w:tcBorders>
              <w:top w:val="nil"/>
              <w:left w:val="nil"/>
              <w:bottom w:val="nil"/>
              <w:right w:val="nil"/>
              <w:tl2br w:val="nil"/>
              <w:tr2bl w:val="nil"/>
            </w:tcBorders>
            <w:tcMar>
              <w:left w:w="0" w:type="dxa"/>
              <w:right w:w="0" w:type="dxa"/>
            </w:tcMar>
            <w:vAlign w:val="center"/>
          </w:tcPr>
          <w:p w14:paraId="7004AF20"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EBF59B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Level 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0DE2458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Level 2</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3C9344B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Level 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8BFB1B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56EF327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630" w:type="dxa"/>
            <w:tcBorders>
              <w:top w:val="single" w:sz="4" w:space="0" w:color="000000"/>
              <w:left w:val="nil"/>
              <w:bottom w:val="nil"/>
              <w:right w:val="nil"/>
              <w:tl2br w:val="nil"/>
              <w:tr2bl w:val="nil"/>
            </w:tcBorders>
            <w:tcMar>
              <w:left w:w="40" w:type="dxa"/>
              <w:right w:w="40" w:type="dxa"/>
            </w:tcMar>
            <w:vAlign w:val="center"/>
          </w:tcPr>
          <w:p w14:paraId="5505D147"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assets mandatorily measured at FVTPL</w:t>
            </w:r>
          </w:p>
        </w:tc>
        <w:tc>
          <w:tcPr>
            <w:tcW w:w="1020" w:type="dxa"/>
            <w:tcBorders>
              <w:top w:val="single" w:sz="4" w:space="0" w:color="000000"/>
              <w:left w:val="nil"/>
              <w:bottom w:val="nil"/>
              <w:right w:val="nil"/>
              <w:tl2br w:val="nil"/>
              <w:tr2bl w:val="nil"/>
            </w:tcBorders>
            <w:tcMar>
              <w:left w:w="0" w:type="dxa"/>
              <w:right w:w="0" w:type="dxa"/>
            </w:tcMar>
            <w:vAlign w:val="center"/>
          </w:tcPr>
          <w:p w14:paraId="5B3A7AAA"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6D80BED8"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F2664AB"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EF0EC3A"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BA373DD"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48A0DCCC"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5E434D28"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56F3E992"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66547169"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508FAE26"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3318BBF3" w14:textId="77777777" w:rsidR="00FD1E19" w:rsidRDefault="00FD1E19" w:rsidP="00BE7E4A">
            <w:pPr>
              <w:suppressAutoHyphens/>
              <w:jc w:val="right"/>
              <w:rPr>
                <w:rFonts w:ascii="Arial" w:eastAsia="Arial" w:hAnsi="Arial" w:cs="Arial"/>
                <w:noProof/>
                <w:color w:val="000000"/>
                <w:sz w:val="16"/>
                <w:lang w:eastAsia="ar-SA"/>
              </w:rPr>
            </w:pPr>
          </w:p>
        </w:tc>
      </w:tr>
      <w:tr w:rsidR="00FD1E19" w14:paraId="4420D95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14:paraId="316EF8B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Derivative financial instruments </w:t>
            </w:r>
          </w:p>
        </w:tc>
        <w:tc>
          <w:tcPr>
            <w:tcW w:w="1020" w:type="dxa"/>
            <w:tcBorders>
              <w:top w:val="nil"/>
              <w:left w:val="nil"/>
              <w:bottom w:val="nil"/>
              <w:right w:val="nil"/>
              <w:tl2br w:val="nil"/>
              <w:tr2bl w:val="nil"/>
            </w:tcBorders>
            <w:tcMar>
              <w:left w:w="40" w:type="dxa"/>
              <w:right w:w="40" w:type="dxa"/>
            </w:tcMar>
            <w:vAlign w:val="center"/>
          </w:tcPr>
          <w:p w14:paraId="09491C6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7,819</w:t>
            </w:r>
          </w:p>
        </w:tc>
        <w:tc>
          <w:tcPr>
            <w:tcW w:w="975" w:type="dxa"/>
            <w:tcBorders>
              <w:top w:val="nil"/>
              <w:left w:val="nil"/>
              <w:bottom w:val="nil"/>
              <w:right w:val="nil"/>
              <w:tl2br w:val="nil"/>
              <w:tr2bl w:val="nil"/>
            </w:tcBorders>
            <w:tcMar>
              <w:left w:w="40" w:type="dxa"/>
              <w:right w:w="40" w:type="dxa"/>
            </w:tcMar>
            <w:vAlign w:val="center"/>
          </w:tcPr>
          <w:p w14:paraId="54D3D95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5E4689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5323F59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2592A4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05C88C9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7,819</w:t>
            </w:r>
          </w:p>
        </w:tc>
        <w:tc>
          <w:tcPr>
            <w:tcW w:w="150" w:type="dxa"/>
            <w:tcBorders>
              <w:top w:val="nil"/>
              <w:left w:val="nil"/>
              <w:bottom w:val="nil"/>
              <w:right w:val="nil"/>
              <w:tl2br w:val="nil"/>
              <w:tr2bl w:val="nil"/>
            </w:tcBorders>
            <w:tcMar>
              <w:left w:w="0" w:type="dxa"/>
              <w:right w:w="0" w:type="dxa"/>
            </w:tcMar>
            <w:vAlign w:val="center"/>
          </w:tcPr>
          <w:p w14:paraId="79C5261C"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1B53EA0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7D469B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7,819</w:t>
            </w:r>
          </w:p>
        </w:tc>
        <w:tc>
          <w:tcPr>
            <w:tcW w:w="900" w:type="dxa"/>
            <w:tcBorders>
              <w:top w:val="nil"/>
              <w:left w:val="nil"/>
              <w:bottom w:val="nil"/>
              <w:right w:val="nil"/>
              <w:tl2br w:val="nil"/>
              <w:tr2bl w:val="nil"/>
            </w:tcBorders>
            <w:tcMar>
              <w:left w:w="40" w:type="dxa"/>
              <w:right w:w="40" w:type="dxa"/>
            </w:tcMar>
            <w:vAlign w:val="center"/>
          </w:tcPr>
          <w:p w14:paraId="18BB54B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5AD4AF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7,819</w:t>
            </w:r>
          </w:p>
        </w:tc>
      </w:tr>
      <w:tr w:rsidR="00FD1E19" w14:paraId="21B92B0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3B3DC32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Venture Capital Fund </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4B73A68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2EC74A5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550,528</w:t>
            </w:r>
          </w:p>
        </w:tc>
        <w:tc>
          <w:tcPr>
            <w:tcW w:w="975" w:type="dxa"/>
            <w:tcBorders>
              <w:top w:val="nil"/>
              <w:left w:val="nil"/>
              <w:bottom w:val="nil"/>
              <w:right w:val="nil"/>
              <w:tl2br w:val="nil"/>
              <w:tr2bl w:val="nil"/>
            </w:tcBorders>
            <w:tcMar>
              <w:left w:w="40" w:type="dxa"/>
              <w:right w:w="40" w:type="dxa"/>
            </w:tcMar>
            <w:vAlign w:val="center"/>
          </w:tcPr>
          <w:p w14:paraId="2E7C2DF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6CFC63A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2988C2D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7EA831A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550,528</w:t>
            </w:r>
          </w:p>
        </w:tc>
        <w:tc>
          <w:tcPr>
            <w:tcW w:w="150" w:type="dxa"/>
            <w:tcBorders>
              <w:top w:val="nil"/>
              <w:left w:val="nil"/>
              <w:bottom w:val="nil"/>
              <w:right w:val="nil"/>
              <w:tl2br w:val="nil"/>
              <w:tr2bl w:val="nil"/>
            </w:tcBorders>
            <w:tcMar>
              <w:left w:w="0" w:type="dxa"/>
              <w:right w:w="0" w:type="dxa"/>
            </w:tcMar>
            <w:vAlign w:val="center"/>
          </w:tcPr>
          <w:p w14:paraId="1586F685"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75AC0E2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4A8C79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39FDAD6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550,528</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53F2B93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550,528</w:t>
            </w:r>
          </w:p>
        </w:tc>
      </w:tr>
      <w:tr w:rsidR="00FD1E19" w14:paraId="3CA03D1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57B5A66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Direct Equity Investments</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6EBCBF7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5A0A051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195,406</w:t>
            </w:r>
          </w:p>
        </w:tc>
        <w:tc>
          <w:tcPr>
            <w:tcW w:w="975" w:type="dxa"/>
            <w:tcBorders>
              <w:top w:val="nil"/>
              <w:left w:val="nil"/>
              <w:bottom w:val="nil"/>
              <w:right w:val="nil"/>
              <w:tl2br w:val="nil"/>
              <w:tr2bl w:val="nil"/>
            </w:tcBorders>
            <w:tcMar>
              <w:left w:w="40" w:type="dxa"/>
              <w:right w:w="40" w:type="dxa"/>
            </w:tcMar>
            <w:vAlign w:val="center"/>
          </w:tcPr>
          <w:p w14:paraId="4D72C4B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46F237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554E46A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36F962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195,406</w:t>
            </w:r>
          </w:p>
        </w:tc>
        <w:tc>
          <w:tcPr>
            <w:tcW w:w="150" w:type="dxa"/>
            <w:tcBorders>
              <w:top w:val="nil"/>
              <w:left w:val="nil"/>
              <w:bottom w:val="nil"/>
              <w:right w:val="nil"/>
              <w:tl2br w:val="nil"/>
              <w:tr2bl w:val="nil"/>
            </w:tcBorders>
            <w:tcMar>
              <w:left w:w="0" w:type="dxa"/>
              <w:right w:w="0" w:type="dxa"/>
            </w:tcMar>
            <w:vAlign w:val="center"/>
          </w:tcPr>
          <w:p w14:paraId="18565F98"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449E17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7FE8DB7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2339609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195,406</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6B3A74D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195,406</w:t>
            </w:r>
          </w:p>
        </w:tc>
      </w:tr>
      <w:tr w:rsidR="00FD1E19" w14:paraId="79CB263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6A55243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F5BA2B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597EBBB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6DF46F3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77,287</w:t>
            </w:r>
          </w:p>
        </w:tc>
        <w:tc>
          <w:tcPr>
            <w:tcW w:w="975" w:type="dxa"/>
            <w:tcBorders>
              <w:top w:val="nil"/>
              <w:left w:val="nil"/>
              <w:bottom w:val="single" w:sz="4" w:space="0" w:color="000000"/>
              <w:right w:val="nil"/>
              <w:tl2br w:val="nil"/>
              <w:tr2bl w:val="nil"/>
            </w:tcBorders>
            <w:tcMar>
              <w:left w:w="40" w:type="dxa"/>
              <w:right w:w="40" w:type="dxa"/>
            </w:tcMar>
            <w:vAlign w:val="center"/>
          </w:tcPr>
          <w:p w14:paraId="555C587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52BBB1D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05A162D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77,287</w:t>
            </w:r>
          </w:p>
        </w:tc>
        <w:tc>
          <w:tcPr>
            <w:tcW w:w="150" w:type="dxa"/>
            <w:tcBorders>
              <w:top w:val="nil"/>
              <w:left w:val="nil"/>
              <w:bottom w:val="nil"/>
              <w:right w:val="nil"/>
              <w:tl2br w:val="nil"/>
              <w:tr2bl w:val="nil"/>
            </w:tcBorders>
            <w:tcMar>
              <w:left w:w="0" w:type="dxa"/>
              <w:right w:w="0" w:type="dxa"/>
            </w:tcMar>
            <w:vAlign w:val="center"/>
          </w:tcPr>
          <w:p w14:paraId="1B588EC5"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14:paraId="2F69E0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0BE1EC0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528439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77,287</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4B61ED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77,287</w:t>
            </w:r>
          </w:p>
        </w:tc>
      </w:tr>
      <w:tr w:rsidR="00FD1E19" w14:paraId="5D42D8B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40"/>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14:paraId="018586E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assets mandatorily measured at FVTPL</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14:paraId="7A947ED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7,819</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2DD1F54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745,934</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6ABBE35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77,287</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450D30B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2612811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2EF0554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831,040</w:t>
            </w:r>
          </w:p>
        </w:tc>
        <w:tc>
          <w:tcPr>
            <w:tcW w:w="150" w:type="dxa"/>
            <w:tcBorders>
              <w:top w:val="nil"/>
              <w:left w:val="nil"/>
              <w:bottom w:val="nil"/>
              <w:right w:val="nil"/>
              <w:tl2br w:val="nil"/>
              <w:tr2bl w:val="nil"/>
            </w:tcBorders>
            <w:tcMar>
              <w:left w:w="0" w:type="dxa"/>
              <w:right w:w="0" w:type="dxa"/>
            </w:tcMar>
            <w:vAlign w:val="center"/>
          </w:tcPr>
          <w:p w14:paraId="55048EE3"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2AEA6B3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E20D5A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7,819</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4CB1675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823,221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4CD6889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831,040</w:t>
            </w:r>
          </w:p>
        </w:tc>
      </w:tr>
      <w:tr w:rsidR="00FD1E19" w14:paraId="18732C9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14:paraId="6881498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assets measured at AC</w:t>
            </w:r>
          </w:p>
        </w:tc>
        <w:tc>
          <w:tcPr>
            <w:tcW w:w="1020" w:type="dxa"/>
            <w:tcBorders>
              <w:top w:val="single" w:sz="4" w:space="0" w:color="000000"/>
              <w:left w:val="nil"/>
              <w:bottom w:val="nil"/>
              <w:right w:val="nil"/>
              <w:tl2br w:val="nil"/>
              <w:tr2bl w:val="nil"/>
            </w:tcBorders>
            <w:tcMar>
              <w:left w:w="0" w:type="dxa"/>
              <w:right w:w="0" w:type="dxa"/>
            </w:tcMar>
            <w:vAlign w:val="center"/>
          </w:tcPr>
          <w:p w14:paraId="42EEF12C"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63A70E1B"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1AD51BF2"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C9DC93C"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4C3DF716"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003CDD3D"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3A002342"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32557A5D"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14440C6B"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119D150E"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523D65B2" w14:textId="77777777" w:rsidR="00FD1E19" w:rsidRDefault="00FD1E19" w:rsidP="00BE7E4A">
            <w:pPr>
              <w:suppressAutoHyphens/>
              <w:jc w:val="right"/>
              <w:rPr>
                <w:rFonts w:ascii="Arial" w:eastAsia="Arial" w:hAnsi="Arial" w:cs="Arial"/>
                <w:noProof/>
                <w:color w:val="000000"/>
                <w:sz w:val="16"/>
                <w:lang w:eastAsia="ar-SA"/>
              </w:rPr>
            </w:pPr>
          </w:p>
        </w:tc>
      </w:tr>
      <w:tr w:rsidR="00FD1E19" w14:paraId="4800905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1581746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Cash and cash equivalents</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225BFA2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3D975B8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729EB22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1,665,129</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4D24EB1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C5BAD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0413EB3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1,665,129</w:t>
            </w:r>
          </w:p>
        </w:tc>
        <w:tc>
          <w:tcPr>
            <w:tcW w:w="150" w:type="dxa"/>
            <w:tcBorders>
              <w:top w:val="nil"/>
              <w:left w:val="nil"/>
              <w:bottom w:val="nil"/>
              <w:right w:val="nil"/>
              <w:tl2br w:val="nil"/>
              <w:tr2bl w:val="nil"/>
            </w:tcBorders>
            <w:tcMar>
              <w:left w:w="0" w:type="dxa"/>
              <w:right w:w="0" w:type="dxa"/>
            </w:tcMar>
            <w:vAlign w:val="center"/>
          </w:tcPr>
          <w:p w14:paraId="0B337613"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5045694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89,790</w:t>
            </w:r>
          </w:p>
        </w:tc>
        <w:tc>
          <w:tcPr>
            <w:tcW w:w="900" w:type="dxa"/>
            <w:tcBorders>
              <w:top w:val="nil"/>
              <w:left w:val="nil"/>
              <w:bottom w:val="nil"/>
              <w:right w:val="nil"/>
              <w:tl2br w:val="nil"/>
              <w:tr2bl w:val="nil"/>
            </w:tcBorders>
            <w:tcMar>
              <w:left w:w="40" w:type="dxa"/>
              <w:right w:w="40" w:type="dxa"/>
            </w:tcMar>
            <w:vAlign w:val="center"/>
          </w:tcPr>
          <w:p w14:paraId="11E3BED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1,575,339</w:t>
            </w:r>
          </w:p>
        </w:tc>
        <w:tc>
          <w:tcPr>
            <w:tcW w:w="900" w:type="dxa"/>
            <w:tcBorders>
              <w:top w:val="nil"/>
              <w:left w:val="nil"/>
              <w:bottom w:val="nil"/>
              <w:right w:val="nil"/>
              <w:tl2br w:val="nil"/>
              <w:tr2bl w:val="nil"/>
            </w:tcBorders>
            <w:tcMar>
              <w:left w:w="40" w:type="dxa"/>
              <w:right w:w="40" w:type="dxa"/>
            </w:tcMar>
            <w:vAlign w:val="center"/>
          </w:tcPr>
          <w:p w14:paraId="691D7BA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2B1E64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1,665,129</w:t>
            </w:r>
          </w:p>
        </w:tc>
      </w:tr>
      <w:tr w:rsidR="00FD1E19" w14:paraId="0DEA476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58AEC13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4336F96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F0AB4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48BC0C7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986,224</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7136E2E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61ABC88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1638D2C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986,224</w:t>
            </w:r>
          </w:p>
        </w:tc>
        <w:tc>
          <w:tcPr>
            <w:tcW w:w="150" w:type="dxa"/>
            <w:tcBorders>
              <w:top w:val="nil"/>
              <w:left w:val="nil"/>
              <w:bottom w:val="nil"/>
              <w:right w:val="nil"/>
              <w:tl2br w:val="nil"/>
              <w:tr2bl w:val="nil"/>
            </w:tcBorders>
            <w:tcMar>
              <w:left w:w="0" w:type="dxa"/>
              <w:right w:w="0" w:type="dxa"/>
            </w:tcMar>
            <w:vAlign w:val="center"/>
          </w:tcPr>
          <w:p w14:paraId="1CFA5603"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4AC27C6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222AF73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953,612</w:t>
            </w:r>
          </w:p>
        </w:tc>
        <w:tc>
          <w:tcPr>
            <w:tcW w:w="900" w:type="dxa"/>
            <w:tcBorders>
              <w:top w:val="nil"/>
              <w:left w:val="nil"/>
              <w:bottom w:val="nil"/>
              <w:right w:val="nil"/>
              <w:tl2br w:val="nil"/>
              <w:tr2bl w:val="nil"/>
            </w:tcBorders>
            <w:tcMar>
              <w:left w:w="40" w:type="dxa"/>
              <w:right w:w="40" w:type="dxa"/>
            </w:tcMar>
            <w:vAlign w:val="center"/>
          </w:tcPr>
          <w:p w14:paraId="655B18F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72D91AE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953,612</w:t>
            </w:r>
          </w:p>
        </w:tc>
      </w:tr>
      <w:tr w:rsidR="00FD1E19" w14:paraId="6BFF54F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6FC2A79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receivable from contributors</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19A33B6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62A63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43411F8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34635E0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631B002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1DE2525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 w:type="dxa"/>
            <w:tcBorders>
              <w:top w:val="nil"/>
              <w:left w:val="nil"/>
              <w:bottom w:val="nil"/>
              <w:right w:val="nil"/>
              <w:tl2br w:val="nil"/>
              <w:tr2bl w:val="nil"/>
            </w:tcBorders>
            <w:tcMar>
              <w:left w:w="0" w:type="dxa"/>
              <w:right w:w="0" w:type="dxa"/>
            </w:tcMar>
            <w:vAlign w:val="center"/>
          </w:tcPr>
          <w:p w14:paraId="0E7E33A5"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1A8FF8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203BB79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2DFDC9F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7C3A84A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6855612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3D6BED1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Treasury financial assets</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70733EF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04402C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C2BF6E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5DAB7E2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713FC5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74C412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 w:type="dxa"/>
            <w:tcBorders>
              <w:top w:val="nil"/>
              <w:left w:val="nil"/>
              <w:bottom w:val="nil"/>
              <w:right w:val="nil"/>
              <w:tl2br w:val="nil"/>
              <w:tr2bl w:val="nil"/>
            </w:tcBorders>
            <w:tcMar>
              <w:left w:w="0" w:type="dxa"/>
              <w:right w:w="0" w:type="dxa"/>
            </w:tcMar>
            <w:vAlign w:val="center"/>
          </w:tcPr>
          <w:p w14:paraId="20F3BB5C"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416769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3752ABD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79977D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shd w:val="clear" w:color="FFFFFF" w:fill="FFFFFF"/>
            <w:tcMar>
              <w:left w:w="40" w:type="dxa"/>
              <w:right w:w="40" w:type="dxa"/>
            </w:tcMar>
            <w:vAlign w:val="center"/>
          </w:tcPr>
          <w:p w14:paraId="43B7416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6567924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E7C6F8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assets</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6D06D6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50117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5EC8D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F0636A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0C6C220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B6138B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36,833</w:t>
            </w:r>
          </w:p>
        </w:tc>
        <w:tc>
          <w:tcPr>
            <w:tcW w:w="150" w:type="dxa"/>
            <w:tcBorders>
              <w:top w:val="nil"/>
              <w:left w:val="nil"/>
              <w:bottom w:val="nil"/>
              <w:right w:val="nil"/>
              <w:tl2br w:val="nil"/>
              <w:tr2bl w:val="nil"/>
            </w:tcBorders>
            <w:tcMar>
              <w:left w:w="0" w:type="dxa"/>
              <w:right w:w="0" w:type="dxa"/>
            </w:tcMar>
            <w:vAlign w:val="center"/>
          </w:tcPr>
          <w:p w14:paraId="4BC9685F"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14:paraId="08B5DE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442893F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3C1D13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D83D3F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735EA0B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5163AF0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assets measured at AC</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14:paraId="783F1F7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28A8378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8683C7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2,651,353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1E59BE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09B60A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36,833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73D8088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2,688,186</w:t>
            </w:r>
          </w:p>
        </w:tc>
        <w:tc>
          <w:tcPr>
            <w:tcW w:w="150" w:type="dxa"/>
            <w:tcBorders>
              <w:top w:val="nil"/>
              <w:left w:val="nil"/>
              <w:bottom w:val="nil"/>
              <w:right w:val="nil"/>
              <w:tl2br w:val="nil"/>
              <w:tr2bl w:val="nil"/>
            </w:tcBorders>
            <w:tcMar>
              <w:left w:w="0" w:type="dxa"/>
              <w:right w:w="0" w:type="dxa"/>
            </w:tcMar>
            <w:vAlign w:val="center"/>
          </w:tcPr>
          <w:p w14:paraId="41CB709E"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34AC2DF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89,790</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4C6B80D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2,528,951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533BAA5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33021EA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2,618,741</w:t>
            </w:r>
          </w:p>
        </w:tc>
      </w:tr>
      <w:tr w:rsidR="00FD1E19" w14:paraId="71314B2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14:paraId="10497C1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Total financial assets </w:t>
            </w:r>
          </w:p>
        </w:tc>
        <w:tc>
          <w:tcPr>
            <w:tcW w:w="1020"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6E29EA3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7,819</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590A85A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745,934</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03B77EC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2,728,640</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3187DA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43DC3F9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36,833</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7381490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3,519,226</w:t>
            </w:r>
          </w:p>
        </w:tc>
        <w:tc>
          <w:tcPr>
            <w:tcW w:w="150" w:type="dxa"/>
            <w:tcBorders>
              <w:top w:val="nil"/>
              <w:left w:val="nil"/>
              <w:bottom w:val="nil"/>
              <w:right w:val="nil"/>
              <w:tl2br w:val="nil"/>
              <w:tr2bl w:val="nil"/>
            </w:tcBorders>
            <w:tcMar>
              <w:left w:w="0" w:type="dxa"/>
              <w:right w:w="0" w:type="dxa"/>
            </w:tcMar>
            <w:vAlign w:val="center"/>
          </w:tcPr>
          <w:p w14:paraId="41DC1120"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3289C248"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69EF0CD6"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12CC4EED"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42FCA421"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2D08C76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5"/>
        </w:trPr>
        <w:tc>
          <w:tcPr>
            <w:tcW w:w="3630" w:type="dxa"/>
            <w:tcBorders>
              <w:top w:val="nil"/>
              <w:left w:val="nil"/>
              <w:bottom w:val="single" w:sz="4" w:space="0" w:color="000000"/>
              <w:right w:val="nil"/>
              <w:tl2br w:val="nil"/>
              <w:tr2bl w:val="nil"/>
            </w:tcBorders>
            <w:noWrap/>
            <w:tcMar>
              <w:left w:w="0" w:type="dxa"/>
              <w:right w:w="0" w:type="dxa"/>
            </w:tcMar>
            <w:vAlign w:val="center"/>
          </w:tcPr>
          <w:p w14:paraId="0B1CBD63" w14:textId="77777777" w:rsidR="00FD1E19" w:rsidRDefault="00FD1E19" w:rsidP="00BE7E4A">
            <w:pPr>
              <w:suppressAutoHyphens/>
              <w:rPr>
                <w:rFonts w:ascii="Arial" w:eastAsia="Arial" w:hAnsi="Arial" w:cs="Arial"/>
                <w:noProof/>
                <w:color w:val="000000"/>
                <w:sz w:val="16"/>
                <w:lang w:eastAsia="ar-SA"/>
              </w:rPr>
            </w:pPr>
          </w:p>
        </w:tc>
        <w:tc>
          <w:tcPr>
            <w:tcW w:w="1020" w:type="dxa"/>
            <w:tcBorders>
              <w:top w:val="nil"/>
              <w:left w:val="nil"/>
              <w:bottom w:val="single" w:sz="4" w:space="0" w:color="000000"/>
              <w:right w:val="nil"/>
              <w:tl2br w:val="nil"/>
              <w:tr2bl w:val="nil"/>
            </w:tcBorders>
            <w:tcMar>
              <w:left w:w="0" w:type="dxa"/>
              <w:right w:w="0" w:type="dxa"/>
            </w:tcMar>
            <w:vAlign w:val="center"/>
          </w:tcPr>
          <w:p w14:paraId="689A24A7"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7C7D0284"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62D678B6"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58E1DA92"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6B8B07ED"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4FBBF6B9"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78F4F923"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69069D10"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3DC457A3"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3062E67A"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5D309D20" w14:textId="77777777" w:rsidR="00FD1E19" w:rsidRDefault="00FD1E19" w:rsidP="00BE7E4A">
            <w:pPr>
              <w:suppressAutoHyphens/>
              <w:jc w:val="right"/>
              <w:rPr>
                <w:rFonts w:ascii="Arial" w:eastAsia="Arial" w:hAnsi="Arial" w:cs="Arial"/>
                <w:noProof/>
                <w:color w:val="000000"/>
                <w:sz w:val="16"/>
                <w:lang w:eastAsia="ar-SA"/>
              </w:rPr>
            </w:pPr>
          </w:p>
        </w:tc>
      </w:tr>
      <w:tr w:rsidR="00FD1E19" w14:paraId="211822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tcMar>
              <w:left w:w="40" w:type="dxa"/>
              <w:right w:w="40" w:type="dxa"/>
            </w:tcMar>
            <w:vAlign w:val="center"/>
          </w:tcPr>
          <w:p w14:paraId="44D711D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liabilities measured at FVTPL</w:t>
            </w:r>
          </w:p>
        </w:tc>
        <w:tc>
          <w:tcPr>
            <w:tcW w:w="1020" w:type="dxa"/>
            <w:tcBorders>
              <w:top w:val="single" w:sz="4" w:space="0" w:color="000000"/>
              <w:left w:val="nil"/>
              <w:bottom w:val="nil"/>
              <w:right w:val="nil"/>
              <w:tl2br w:val="nil"/>
              <w:tr2bl w:val="nil"/>
            </w:tcBorders>
            <w:tcMar>
              <w:left w:w="0" w:type="dxa"/>
              <w:right w:w="0" w:type="dxa"/>
            </w:tcMar>
            <w:vAlign w:val="center"/>
          </w:tcPr>
          <w:p w14:paraId="09D420E7"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29FEEF72"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3434C4BA"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676BE504"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313DB54D"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27612590"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54EACFF1"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4F382718"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384095B1"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20BB7634"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52B266A1" w14:textId="77777777" w:rsidR="00FD1E19" w:rsidRDefault="00FD1E19" w:rsidP="00BE7E4A">
            <w:pPr>
              <w:suppressAutoHyphens/>
              <w:jc w:val="right"/>
              <w:rPr>
                <w:rFonts w:ascii="Arial" w:eastAsia="Arial" w:hAnsi="Arial" w:cs="Arial"/>
                <w:noProof/>
                <w:color w:val="000000"/>
                <w:sz w:val="16"/>
                <w:lang w:eastAsia="ar-SA"/>
              </w:rPr>
            </w:pPr>
          </w:p>
        </w:tc>
      </w:tr>
      <w:tr w:rsidR="00FD1E19" w14:paraId="063A7A4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14:paraId="35E123B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Derivative financial instruments</w:t>
            </w:r>
          </w:p>
        </w:tc>
        <w:tc>
          <w:tcPr>
            <w:tcW w:w="1020" w:type="dxa"/>
            <w:tcBorders>
              <w:top w:val="nil"/>
              <w:left w:val="nil"/>
              <w:bottom w:val="single" w:sz="4" w:space="0" w:color="000000"/>
              <w:right w:val="nil"/>
              <w:tl2br w:val="nil"/>
              <w:tr2bl w:val="nil"/>
            </w:tcBorders>
            <w:tcMar>
              <w:left w:w="40" w:type="dxa"/>
              <w:right w:w="40" w:type="dxa"/>
            </w:tcMar>
            <w:vAlign w:val="center"/>
          </w:tcPr>
          <w:p w14:paraId="1923653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-411</w:t>
            </w:r>
          </w:p>
        </w:tc>
        <w:tc>
          <w:tcPr>
            <w:tcW w:w="975" w:type="dxa"/>
            <w:tcBorders>
              <w:top w:val="nil"/>
              <w:left w:val="nil"/>
              <w:bottom w:val="single" w:sz="4" w:space="0" w:color="000000"/>
              <w:right w:val="nil"/>
              <w:tl2br w:val="nil"/>
              <w:tr2bl w:val="nil"/>
            </w:tcBorders>
            <w:tcMar>
              <w:left w:w="40" w:type="dxa"/>
              <w:right w:w="40" w:type="dxa"/>
            </w:tcMar>
            <w:vAlign w:val="center"/>
          </w:tcPr>
          <w:p w14:paraId="7DEECAF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4CEE4E3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6D3B42A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15792D7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64D18FE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c>
          <w:tcPr>
            <w:tcW w:w="150" w:type="dxa"/>
            <w:tcBorders>
              <w:top w:val="nil"/>
              <w:left w:val="nil"/>
              <w:bottom w:val="nil"/>
              <w:right w:val="nil"/>
              <w:tl2br w:val="nil"/>
              <w:tr2bl w:val="nil"/>
            </w:tcBorders>
            <w:tcMar>
              <w:left w:w="0" w:type="dxa"/>
              <w:right w:w="0" w:type="dxa"/>
            </w:tcMar>
            <w:vAlign w:val="center"/>
          </w:tcPr>
          <w:p w14:paraId="5689BBA6"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14:paraId="7CF0B46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3944EE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-411</w:t>
            </w:r>
          </w:p>
        </w:tc>
        <w:tc>
          <w:tcPr>
            <w:tcW w:w="900" w:type="dxa"/>
            <w:tcBorders>
              <w:top w:val="nil"/>
              <w:left w:val="nil"/>
              <w:bottom w:val="single" w:sz="4" w:space="0" w:color="000000"/>
              <w:right w:val="nil"/>
              <w:tl2br w:val="nil"/>
              <w:tr2bl w:val="nil"/>
            </w:tcBorders>
            <w:tcMar>
              <w:left w:w="40" w:type="dxa"/>
              <w:right w:w="40" w:type="dxa"/>
            </w:tcMar>
            <w:vAlign w:val="center"/>
          </w:tcPr>
          <w:p w14:paraId="2486B78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F3B6FB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r>
      <w:tr w:rsidR="00FD1E19" w14:paraId="7267621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2"/>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14:paraId="0C70EC3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liabilities measured at FVTPL</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14:paraId="6323340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88FCAE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1F68025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742FB30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64F4F0E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23CBDA5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c>
          <w:tcPr>
            <w:tcW w:w="150" w:type="dxa"/>
            <w:tcBorders>
              <w:top w:val="nil"/>
              <w:left w:val="nil"/>
              <w:bottom w:val="nil"/>
              <w:right w:val="nil"/>
              <w:tl2br w:val="nil"/>
              <w:tr2bl w:val="nil"/>
            </w:tcBorders>
            <w:tcMar>
              <w:left w:w="0" w:type="dxa"/>
              <w:right w:w="0" w:type="dxa"/>
            </w:tcMar>
            <w:vAlign w:val="center"/>
          </w:tcPr>
          <w:p w14:paraId="5E84FDF2"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2F0F16C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0EA101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5E78DC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5D9D30D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r>
      <w:tr w:rsidR="00FD1E19" w14:paraId="493A439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14:paraId="032B498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liabilities at AC</w:t>
            </w:r>
          </w:p>
        </w:tc>
        <w:tc>
          <w:tcPr>
            <w:tcW w:w="1020" w:type="dxa"/>
            <w:tcBorders>
              <w:top w:val="single" w:sz="4" w:space="0" w:color="000000"/>
              <w:left w:val="nil"/>
              <w:bottom w:val="nil"/>
              <w:right w:val="nil"/>
              <w:tl2br w:val="nil"/>
              <w:tr2bl w:val="nil"/>
            </w:tcBorders>
            <w:tcMar>
              <w:left w:w="0" w:type="dxa"/>
              <w:right w:w="0" w:type="dxa"/>
            </w:tcMar>
            <w:vAlign w:val="center"/>
          </w:tcPr>
          <w:p w14:paraId="2EB1726D"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687F8F06"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009EB858"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6412AF4E"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3BDC2B0A"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086BEC90"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2F5F0031"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6A973443" w14:textId="77777777" w:rsidR="00FD1E19" w:rsidRDefault="00FD1E19" w:rsidP="00BE7E4A">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45BCCDB9" w14:textId="77777777" w:rsidR="00FD1E19" w:rsidRDefault="00FD1E19" w:rsidP="00BE7E4A">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772D14CF" w14:textId="77777777" w:rsidR="00FD1E19" w:rsidRDefault="00FD1E19" w:rsidP="00BE7E4A">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17844AE7" w14:textId="77777777" w:rsidR="00FD1E19" w:rsidRDefault="00FD1E19" w:rsidP="00BE7E4A">
            <w:pPr>
              <w:suppressAutoHyphens/>
              <w:rPr>
                <w:rFonts w:ascii="Arial" w:eastAsia="Arial" w:hAnsi="Arial" w:cs="Arial"/>
                <w:noProof/>
                <w:color w:val="000000"/>
                <w:lang w:eastAsia="ar-SA"/>
              </w:rPr>
            </w:pPr>
          </w:p>
        </w:tc>
      </w:tr>
      <w:tr w:rsidR="00FD1E19" w14:paraId="4B088E8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5B3F5F6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Provisions for loan commitments</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293CD08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D19D05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25B9ED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FEA294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53F3E7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-17,585</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64C8E1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-17,585</w:t>
            </w:r>
          </w:p>
        </w:tc>
        <w:tc>
          <w:tcPr>
            <w:tcW w:w="150" w:type="dxa"/>
            <w:tcBorders>
              <w:top w:val="nil"/>
              <w:left w:val="nil"/>
              <w:bottom w:val="nil"/>
              <w:right w:val="nil"/>
              <w:tl2br w:val="nil"/>
              <w:tr2bl w:val="nil"/>
            </w:tcBorders>
            <w:tcMar>
              <w:left w:w="0" w:type="dxa"/>
              <w:right w:w="0" w:type="dxa"/>
            </w:tcMar>
            <w:vAlign w:val="center"/>
          </w:tcPr>
          <w:p w14:paraId="41F3AB92"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3C09E81D"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31A85D6"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0B8D52C3"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47ACCB85" w14:textId="77777777" w:rsidR="00FD1E19" w:rsidRDefault="00FD1E19" w:rsidP="00BE7E4A">
            <w:pPr>
              <w:suppressAutoHyphens/>
              <w:rPr>
                <w:rFonts w:ascii="Arial" w:eastAsia="Arial" w:hAnsi="Arial" w:cs="Arial"/>
                <w:noProof/>
                <w:color w:val="000000"/>
                <w:lang w:eastAsia="ar-SA"/>
              </w:rPr>
            </w:pPr>
          </w:p>
        </w:tc>
      </w:tr>
      <w:tr w:rsidR="00FD1E19" w14:paraId="4CA6F8C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224F8E8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owed to third parties</w:t>
            </w:r>
          </w:p>
        </w:tc>
        <w:tc>
          <w:tcPr>
            <w:tcW w:w="1020" w:type="dxa"/>
            <w:tcBorders>
              <w:top w:val="nil"/>
              <w:left w:val="nil"/>
              <w:bottom w:val="nil"/>
              <w:right w:val="nil"/>
              <w:tl2br w:val="nil"/>
              <w:tr2bl w:val="nil"/>
            </w:tcBorders>
            <w:shd w:val="clear" w:color="FFFFFF" w:fill="FFFFFF"/>
            <w:tcMar>
              <w:left w:w="40" w:type="dxa"/>
              <w:right w:w="40" w:type="dxa"/>
            </w:tcMar>
            <w:vAlign w:val="center"/>
          </w:tcPr>
          <w:p w14:paraId="611BBC9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01DD34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33E30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53D811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33258A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-658,146</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5D7FFD5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-658,146</w:t>
            </w:r>
          </w:p>
        </w:tc>
        <w:tc>
          <w:tcPr>
            <w:tcW w:w="150" w:type="dxa"/>
            <w:tcBorders>
              <w:top w:val="nil"/>
              <w:left w:val="nil"/>
              <w:bottom w:val="nil"/>
              <w:right w:val="nil"/>
              <w:tl2br w:val="nil"/>
              <w:tr2bl w:val="nil"/>
            </w:tcBorders>
            <w:tcMar>
              <w:left w:w="0" w:type="dxa"/>
              <w:right w:w="0" w:type="dxa"/>
            </w:tcMar>
            <w:vAlign w:val="center"/>
          </w:tcPr>
          <w:p w14:paraId="12280546"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245F0727"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CA229E6"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242E4861"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1E9B7367" w14:textId="77777777" w:rsidR="00FD1E19" w:rsidRDefault="00FD1E19" w:rsidP="00BE7E4A">
            <w:pPr>
              <w:suppressAutoHyphens/>
              <w:rPr>
                <w:rFonts w:ascii="Arial" w:eastAsia="Arial" w:hAnsi="Arial" w:cs="Arial"/>
                <w:noProof/>
                <w:color w:val="000000"/>
                <w:lang w:eastAsia="ar-SA"/>
              </w:rPr>
            </w:pPr>
          </w:p>
        </w:tc>
      </w:tr>
      <w:tr w:rsidR="00FD1E19" w14:paraId="12BB29B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3CA3CE2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liabilities</w:t>
            </w:r>
          </w:p>
        </w:tc>
        <w:tc>
          <w:tcPr>
            <w:tcW w:w="1020"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32792E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03C0D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ADBD02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DCD8C4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18AB83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-3,044</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1CAC41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-3,044</w:t>
            </w:r>
          </w:p>
        </w:tc>
        <w:tc>
          <w:tcPr>
            <w:tcW w:w="150" w:type="dxa"/>
            <w:tcBorders>
              <w:top w:val="nil"/>
              <w:left w:val="nil"/>
              <w:bottom w:val="nil"/>
              <w:right w:val="nil"/>
              <w:tl2br w:val="nil"/>
              <w:tr2bl w:val="nil"/>
            </w:tcBorders>
            <w:tcMar>
              <w:left w:w="0" w:type="dxa"/>
              <w:right w:w="0" w:type="dxa"/>
            </w:tcMar>
            <w:vAlign w:val="center"/>
          </w:tcPr>
          <w:p w14:paraId="7AD18E94"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5457B701"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4414894A"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2E3B33F"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54607025" w14:textId="77777777" w:rsidR="00FD1E19" w:rsidRDefault="00FD1E19" w:rsidP="00BE7E4A">
            <w:pPr>
              <w:suppressAutoHyphens/>
              <w:rPr>
                <w:rFonts w:ascii="Arial" w:eastAsia="Arial" w:hAnsi="Arial" w:cs="Arial"/>
                <w:noProof/>
                <w:color w:val="000000"/>
                <w:lang w:eastAsia="ar-SA"/>
              </w:rPr>
            </w:pPr>
          </w:p>
        </w:tc>
      </w:tr>
      <w:tr w:rsidR="00FD1E19" w14:paraId="464390B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313CF98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liabilities measured at AC</w:t>
            </w:r>
          </w:p>
        </w:tc>
        <w:tc>
          <w:tcPr>
            <w:tcW w:w="1020" w:type="dxa"/>
            <w:tcBorders>
              <w:top w:val="single" w:sz="4" w:space="0" w:color="000000"/>
              <w:left w:val="nil"/>
              <w:bottom w:val="single" w:sz="4" w:space="0" w:color="000000"/>
              <w:right w:val="nil"/>
              <w:tl2br w:val="nil"/>
              <w:tr2bl w:val="nil"/>
            </w:tcBorders>
            <w:tcMar>
              <w:left w:w="40" w:type="dxa"/>
              <w:right w:w="40" w:type="dxa"/>
            </w:tcMar>
            <w:vAlign w:val="center"/>
          </w:tcPr>
          <w:p w14:paraId="0B3D568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4B2E6D5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4F26523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0C2CE21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0EB867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-678,775</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6918C5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-678,775</w:t>
            </w:r>
          </w:p>
        </w:tc>
        <w:tc>
          <w:tcPr>
            <w:tcW w:w="150" w:type="dxa"/>
            <w:tcBorders>
              <w:top w:val="nil"/>
              <w:left w:val="nil"/>
              <w:bottom w:val="nil"/>
              <w:right w:val="nil"/>
              <w:tl2br w:val="nil"/>
              <w:tr2bl w:val="nil"/>
            </w:tcBorders>
            <w:tcMar>
              <w:left w:w="0" w:type="dxa"/>
              <w:right w:w="0" w:type="dxa"/>
            </w:tcMar>
            <w:vAlign w:val="center"/>
          </w:tcPr>
          <w:p w14:paraId="28C0F584"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0D97869F"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0914480C"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A1CB65E"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A8D3553" w14:textId="77777777" w:rsidR="00FD1E19" w:rsidRDefault="00FD1E19" w:rsidP="00BE7E4A">
            <w:pPr>
              <w:suppressAutoHyphens/>
              <w:rPr>
                <w:rFonts w:ascii="Arial" w:eastAsia="Arial" w:hAnsi="Arial" w:cs="Arial"/>
                <w:noProof/>
                <w:color w:val="000000"/>
                <w:lang w:eastAsia="ar-SA"/>
              </w:rPr>
            </w:pPr>
          </w:p>
        </w:tc>
      </w:tr>
      <w:tr w:rsidR="00FD1E19" w14:paraId="10BA576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14:paraId="29127A1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liabilities</w:t>
            </w:r>
          </w:p>
        </w:tc>
        <w:tc>
          <w:tcPr>
            <w:tcW w:w="1020"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44E3A3F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6C1731F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50E4EA1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78F6071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117BE6A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-678,775</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594CB67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-679,186</w:t>
            </w:r>
          </w:p>
        </w:tc>
        <w:tc>
          <w:tcPr>
            <w:tcW w:w="150" w:type="dxa"/>
            <w:tcBorders>
              <w:top w:val="nil"/>
              <w:left w:val="nil"/>
              <w:bottom w:val="nil"/>
              <w:right w:val="nil"/>
              <w:tl2br w:val="nil"/>
              <w:tr2bl w:val="nil"/>
            </w:tcBorders>
            <w:tcMar>
              <w:left w:w="0" w:type="dxa"/>
              <w:right w:w="0" w:type="dxa"/>
            </w:tcMar>
            <w:vAlign w:val="center"/>
          </w:tcPr>
          <w:p w14:paraId="6EFFC6BE"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657861FB"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5653B6DE"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49B56EF"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36630B6E" w14:textId="77777777" w:rsidR="00FD1E19" w:rsidRDefault="00FD1E19" w:rsidP="00BE7E4A">
            <w:pPr>
              <w:suppressAutoHyphens/>
              <w:rPr>
                <w:rFonts w:ascii="Arial" w:eastAsia="Arial" w:hAnsi="Arial" w:cs="Arial"/>
                <w:noProof/>
                <w:color w:val="000000"/>
                <w:lang w:eastAsia="ar-SA"/>
              </w:rPr>
            </w:pPr>
          </w:p>
        </w:tc>
      </w:tr>
    </w:tbl>
    <w:p w14:paraId="57B8A99E" w14:textId="77777777" w:rsidR="00FD1E19" w:rsidRPr="004B5C0E" w:rsidRDefault="00FD1E19" w:rsidP="00FD1E19">
      <w:pPr>
        <w:pageBreakBefore/>
        <w:pBdr>
          <w:top w:val="nil"/>
          <w:left w:val="nil"/>
          <w:bottom w:val="nil"/>
          <w:right w:val="nil"/>
          <w:between w:val="nil"/>
          <w:bar w:val="nil"/>
        </w:pBdr>
        <w:tabs>
          <w:tab w:val="center" w:pos="4320"/>
          <w:tab w:val="right" w:pos="8640"/>
        </w:tabs>
        <w:suppressAutoHyphens/>
        <w:spacing w:before="60" w:after="120"/>
        <w:ind w:left="431" w:hanging="431"/>
        <w:jc w:val="both"/>
        <w:rPr>
          <w:rFonts w:ascii="Arial" w:hAnsi="Arial"/>
          <w:b/>
          <w:noProof/>
          <w:sz w:val="20"/>
          <w:bdr w:val="nil"/>
          <w:lang w:val="en-US" w:eastAsia="ar-SA"/>
        </w:rPr>
      </w:pPr>
      <w:bookmarkStart w:id="271" w:name="RG_MARKER_90156"/>
      <w:r w:rsidRPr="00D6223F">
        <w:rPr>
          <w:rFonts w:ascii="Arial" w:hAnsi="Arial"/>
          <w:b/>
          <w:noProof/>
          <w:sz w:val="20"/>
          <w:lang w:val="en-US" w:eastAsia="ar-SA"/>
        </w:rPr>
        <w:t>4</w:t>
      </w:r>
      <w:bookmarkEnd w:id="271"/>
      <w:r>
        <w:rPr>
          <w:rFonts w:ascii="Arial" w:hAnsi="Arial"/>
          <w:b/>
          <w:noProof/>
          <w:sz w:val="20"/>
          <w:lang w:val="en-US" w:eastAsia="ar-SA"/>
        </w:rPr>
        <w:tab/>
        <w:t>Fair values of financial instruments (continued)</w:t>
      </w:r>
    </w:p>
    <w:p w14:paraId="624FF501" w14:textId="77777777" w:rsidR="00FD1E19" w:rsidRPr="003E6E00" w:rsidRDefault="00FD1E19" w:rsidP="00FD1E19">
      <w:pPr>
        <w:numPr>
          <w:ilvl w:val="1"/>
          <w:numId w:val="73"/>
        </w:numPr>
        <w:pBdr>
          <w:top w:val="nil"/>
          <w:left w:val="nil"/>
          <w:bottom w:val="nil"/>
          <w:right w:val="nil"/>
          <w:between w:val="nil"/>
          <w:bar w:val="nil"/>
        </w:pBdr>
        <w:tabs>
          <w:tab w:val="right" w:pos="-2700"/>
          <w:tab w:val="right" w:pos="720"/>
        </w:tabs>
        <w:suppressAutoHyphens/>
        <w:spacing w:before="60" w:after="60" w:line="240" w:lineRule="auto"/>
        <w:ind w:left="357" w:hanging="357"/>
        <w:jc w:val="both"/>
        <w:rPr>
          <w:rFonts w:ascii="Arial" w:hAnsi="Arial"/>
          <w:b/>
          <w:noProof/>
          <w:sz w:val="16"/>
          <w:szCs w:val="16"/>
          <w:bdr w:val="nil"/>
          <w:lang w:eastAsia="ar-SA"/>
        </w:rPr>
      </w:pPr>
      <w:r>
        <w:rPr>
          <w:rFonts w:ascii="Arial" w:hAnsi="Arial"/>
          <w:b/>
          <w:noProof/>
          <w:sz w:val="16"/>
          <w:szCs w:val="16"/>
          <w:bdr w:val="none" w:sz="0" w:space="0" w:color="auto" w:frame="1"/>
          <w:lang w:eastAsia="ar-SA"/>
        </w:rPr>
        <w:t>Accounting classifications and fair values (continued)</w:t>
      </w:r>
    </w:p>
    <w:tbl>
      <w:tblPr>
        <w:tblStyle w:val="CDMRange2"/>
        <w:tblW w:w="5000" w:type="pct"/>
        <w:tblLayout w:type="fixed"/>
        <w:tblLook w:val="0600" w:firstRow="0" w:lastRow="0" w:firstColumn="0" w:lastColumn="0" w:noHBand="1" w:noVBand="1"/>
      </w:tblPr>
      <w:tblGrid>
        <w:gridCol w:w="2808"/>
        <w:gridCol w:w="817"/>
        <w:gridCol w:w="771"/>
        <w:gridCol w:w="771"/>
        <w:gridCol w:w="771"/>
        <w:gridCol w:w="771"/>
        <w:gridCol w:w="771"/>
        <w:gridCol w:w="120"/>
        <w:gridCol w:w="714"/>
        <w:gridCol w:w="714"/>
        <w:gridCol w:w="714"/>
        <w:gridCol w:w="714"/>
      </w:tblGrid>
      <w:tr w:rsidR="00FD1E19" w14:paraId="38090988" w14:textId="77777777" w:rsidTr="00BE7E4A">
        <w:trPr>
          <w:trHeight w:hRule="exact" w:val="255"/>
        </w:trPr>
        <w:tc>
          <w:tcPr>
            <w:tcW w:w="3630" w:type="dxa"/>
            <w:tcBorders>
              <w:top w:val="single" w:sz="4" w:space="0" w:color="000000"/>
              <w:left w:val="nil"/>
              <w:bottom w:val="nil"/>
              <w:right w:val="nil"/>
              <w:tl2br w:val="nil"/>
              <w:tr2bl w:val="nil"/>
            </w:tcBorders>
            <w:noWrap/>
            <w:tcMar>
              <w:left w:w="40" w:type="dxa"/>
              <w:right w:w="40" w:type="dxa"/>
            </w:tcMar>
            <w:vAlign w:val="center"/>
          </w:tcPr>
          <w:p w14:paraId="307702B4" w14:textId="77777777" w:rsidR="00FD1E19" w:rsidRDefault="00FD1E19" w:rsidP="00BE7E4A">
            <w:pPr>
              <w:suppressAutoHyphens/>
              <w:rPr>
                <w:rFonts w:ascii="Arial" w:eastAsia="Arial" w:hAnsi="Arial" w:cs="Arial"/>
                <w:b/>
                <w:noProof/>
                <w:color w:val="000000"/>
                <w:sz w:val="16"/>
                <w:lang w:eastAsia="ar-SA"/>
              </w:rPr>
            </w:pPr>
            <w:bookmarkStart w:id="272" w:name="RG_MARKER_90157"/>
            <w:r>
              <w:rPr>
                <w:rFonts w:ascii="Arial" w:eastAsia="Arial" w:hAnsi="Arial" w:cs="Arial"/>
                <w:b/>
                <w:noProof/>
                <w:color w:val="000000"/>
                <w:sz w:val="16"/>
                <w:lang w:eastAsia="ar-SA"/>
              </w:rPr>
              <w:t>As at 31 December 2024</w:t>
            </w:r>
            <w:bookmarkEnd w:id="272"/>
          </w:p>
        </w:tc>
        <w:tc>
          <w:tcPr>
            <w:tcW w:w="5910" w:type="dxa"/>
            <w:gridSpan w:val="6"/>
            <w:tcBorders>
              <w:top w:val="single" w:sz="4" w:space="0" w:color="000000"/>
              <w:left w:val="nil"/>
              <w:bottom w:val="single" w:sz="4" w:space="0" w:color="000000"/>
              <w:right w:val="nil"/>
              <w:tl2br w:val="nil"/>
              <w:tr2bl w:val="nil"/>
            </w:tcBorders>
            <w:tcMar>
              <w:left w:w="40" w:type="dxa"/>
              <w:right w:w="40" w:type="dxa"/>
            </w:tcMar>
            <w:vAlign w:val="center"/>
          </w:tcPr>
          <w:p w14:paraId="60AF76F9"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w:t>
            </w:r>
          </w:p>
        </w:tc>
        <w:tc>
          <w:tcPr>
            <w:tcW w:w="150" w:type="dxa"/>
            <w:tcBorders>
              <w:top w:val="nil"/>
              <w:left w:val="nil"/>
              <w:bottom w:val="nil"/>
              <w:right w:val="nil"/>
              <w:tl2br w:val="nil"/>
              <w:tr2bl w:val="nil"/>
            </w:tcBorders>
            <w:tcMar>
              <w:left w:w="0" w:type="dxa"/>
              <w:right w:w="0" w:type="dxa"/>
            </w:tcMar>
            <w:vAlign w:val="center"/>
          </w:tcPr>
          <w:p w14:paraId="46742884" w14:textId="77777777" w:rsidR="00FD1E19" w:rsidRDefault="00FD1E19" w:rsidP="00BE7E4A">
            <w:pPr>
              <w:suppressAutoHyphens/>
              <w:jc w:val="center"/>
              <w:rPr>
                <w:rFonts w:ascii="Arial" w:eastAsia="Arial" w:hAnsi="Arial" w:cs="Arial"/>
                <w:b/>
                <w:noProof/>
                <w:color w:val="000000"/>
                <w:sz w:val="16"/>
                <w:lang w:eastAsia="ar-SA"/>
              </w:rPr>
            </w:pPr>
          </w:p>
        </w:tc>
        <w:tc>
          <w:tcPr>
            <w:tcW w:w="3600" w:type="dxa"/>
            <w:gridSpan w:val="4"/>
            <w:tcBorders>
              <w:top w:val="single" w:sz="4" w:space="0" w:color="000000"/>
              <w:left w:val="nil"/>
              <w:bottom w:val="single" w:sz="4" w:space="0" w:color="000000"/>
              <w:right w:val="nil"/>
              <w:tl2br w:val="nil"/>
              <w:tr2bl w:val="nil"/>
            </w:tcBorders>
            <w:tcMar>
              <w:left w:w="40" w:type="dxa"/>
              <w:right w:w="40" w:type="dxa"/>
            </w:tcMar>
            <w:vAlign w:val="center"/>
          </w:tcPr>
          <w:p w14:paraId="714325AB"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Fair value</w:t>
            </w:r>
          </w:p>
        </w:tc>
      </w:tr>
      <w:tr w:rsidR="00FD1E19" w14:paraId="0CBC92F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25"/>
        </w:trPr>
        <w:tc>
          <w:tcPr>
            <w:tcW w:w="3630" w:type="dxa"/>
            <w:tcBorders>
              <w:top w:val="nil"/>
              <w:left w:val="nil"/>
              <w:bottom w:val="single" w:sz="4" w:space="0" w:color="000000"/>
              <w:right w:val="nil"/>
              <w:tl2br w:val="nil"/>
              <w:tr2bl w:val="nil"/>
            </w:tcBorders>
            <w:noWrap/>
            <w:tcMar>
              <w:left w:w="40" w:type="dxa"/>
              <w:right w:w="40" w:type="dxa"/>
            </w:tcMar>
            <w:vAlign w:val="center"/>
          </w:tcPr>
          <w:p w14:paraId="4DBF7C5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14:paraId="4612494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Derivative financial instruments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46923F0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Shares and other variable yield securities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7388AA4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Cash, loans and advances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CF99BF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Treasury financial assets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6EE05C4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Other financial assets/liabilities</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040963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0" w:type="dxa"/>
            <w:tcBorders>
              <w:top w:val="nil"/>
              <w:left w:val="nil"/>
              <w:bottom w:val="nil"/>
              <w:right w:val="nil"/>
              <w:tl2br w:val="nil"/>
              <w:tr2bl w:val="nil"/>
            </w:tcBorders>
            <w:tcMar>
              <w:left w:w="0" w:type="dxa"/>
              <w:right w:w="0" w:type="dxa"/>
            </w:tcMar>
            <w:vAlign w:val="center"/>
          </w:tcPr>
          <w:p w14:paraId="38D06D9D"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2F09F68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Level 1</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2C427DD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Level 2</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0DE380A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Level 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6BCC03D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0BF0139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5"/>
        </w:trPr>
        <w:tc>
          <w:tcPr>
            <w:tcW w:w="3630" w:type="dxa"/>
            <w:tcBorders>
              <w:top w:val="single" w:sz="4" w:space="0" w:color="000000"/>
              <w:left w:val="nil"/>
              <w:bottom w:val="nil"/>
              <w:right w:val="nil"/>
              <w:tl2br w:val="nil"/>
              <w:tr2bl w:val="nil"/>
            </w:tcBorders>
            <w:tcMar>
              <w:left w:w="40" w:type="dxa"/>
              <w:right w:w="40" w:type="dxa"/>
            </w:tcMar>
            <w:vAlign w:val="bottom"/>
          </w:tcPr>
          <w:p w14:paraId="395F06B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assets mandatorily measured at FVTPL</w:t>
            </w:r>
          </w:p>
        </w:tc>
        <w:tc>
          <w:tcPr>
            <w:tcW w:w="1035" w:type="dxa"/>
            <w:tcBorders>
              <w:top w:val="single" w:sz="4" w:space="0" w:color="000000"/>
              <w:left w:val="nil"/>
              <w:bottom w:val="nil"/>
              <w:right w:val="nil"/>
              <w:tl2br w:val="nil"/>
              <w:tr2bl w:val="nil"/>
            </w:tcBorders>
            <w:tcMar>
              <w:left w:w="0" w:type="dxa"/>
              <w:right w:w="0" w:type="dxa"/>
            </w:tcMar>
            <w:vAlign w:val="center"/>
          </w:tcPr>
          <w:p w14:paraId="0D9267EA"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44A93B06"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2B4A25CE"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56991465"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49B0483F"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0AD085C3"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7CA83A64"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5CD50324"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72E65CCF"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0A835E26"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6CBF8F79" w14:textId="77777777" w:rsidR="00FD1E19" w:rsidRDefault="00FD1E19" w:rsidP="00BE7E4A">
            <w:pPr>
              <w:suppressAutoHyphens/>
              <w:jc w:val="right"/>
              <w:rPr>
                <w:rFonts w:ascii="Arial" w:eastAsia="Arial" w:hAnsi="Arial" w:cs="Arial"/>
                <w:noProof/>
                <w:color w:val="000000"/>
                <w:sz w:val="16"/>
                <w:lang w:eastAsia="ar-SA"/>
              </w:rPr>
            </w:pPr>
          </w:p>
        </w:tc>
      </w:tr>
      <w:tr w:rsidR="00FD1E19" w14:paraId="2C3301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14:paraId="142C3A6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Derivative financial instruments </w:t>
            </w:r>
          </w:p>
        </w:tc>
        <w:tc>
          <w:tcPr>
            <w:tcW w:w="1035" w:type="dxa"/>
            <w:tcBorders>
              <w:top w:val="nil"/>
              <w:left w:val="nil"/>
              <w:bottom w:val="nil"/>
              <w:right w:val="nil"/>
              <w:tl2br w:val="nil"/>
              <w:tr2bl w:val="nil"/>
            </w:tcBorders>
            <w:tcMar>
              <w:left w:w="40" w:type="dxa"/>
              <w:right w:w="40" w:type="dxa"/>
            </w:tcMar>
            <w:vAlign w:val="center"/>
          </w:tcPr>
          <w:p w14:paraId="7FCA7F1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783</w:t>
            </w:r>
          </w:p>
        </w:tc>
        <w:tc>
          <w:tcPr>
            <w:tcW w:w="975" w:type="dxa"/>
            <w:tcBorders>
              <w:top w:val="nil"/>
              <w:left w:val="nil"/>
              <w:bottom w:val="nil"/>
              <w:right w:val="nil"/>
              <w:tl2br w:val="nil"/>
              <w:tr2bl w:val="nil"/>
            </w:tcBorders>
            <w:tcMar>
              <w:left w:w="40" w:type="dxa"/>
              <w:right w:w="40" w:type="dxa"/>
            </w:tcMar>
            <w:vAlign w:val="center"/>
          </w:tcPr>
          <w:p w14:paraId="167AEC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04E009E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21E8B98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782295B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61D631E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783</w:t>
            </w:r>
          </w:p>
        </w:tc>
        <w:tc>
          <w:tcPr>
            <w:tcW w:w="150" w:type="dxa"/>
            <w:tcBorders>
              <w:top w:val="nil"/>
              <w:left w:val="nil"/>
              <w:bottom w:val="nil"/>
              <w:right w:val="nil"/>
              <w:tl2br w:val="nil"/>
              <w:tr2bl w:val="nil"/>
            </w:tcBorders>
            <w:tcMar>
              <w:left w:w="0" w:type="dxa"/>
              <w:right w:w="0" w:type="dxa"/>
            </w:tcMar>
            <w:vAlign w:val="center"/>
          </w:tcPr>
          <w:p w14:paraId="714502D1"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7F8A09F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DACC38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783</w:t>
            </w:r>
          </w:p>
        </w:tc>
        <w:tc>
          <w:tcPr>
            <w:tcW w:w="900" w:type="dxa"/>
            <w:tcBorders>
              <w:top w:val="nil"/>
              <w:left w:val="nil"/>
              <w:bottom w:val="nil"/>
              <w:right w:val="nil"/>
              <w:tl2br w:val="nil"/>
              <w:tr2bl w:val="nil"/>
            </w:tcBorders>
            <w:tcMar>
              <w:left w:w="40" w:type="dxa"/>
              <w:right w:w="40" w:type="dxa"/>
            </w:tcMar>
            <w:vAlign w:val="center"/>
          </w:tcPr>
          <w:p w14:paraId="17D730C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3576DE1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783</w:t>
            </w:r>
          </w:p>
        </w:tc>
      </w:tr>
      <w:tr w:rsidR="00FD1E19" w14:paraId="10344AB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14:paraId="3BBE401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Venture Capital Fund </w:t>
            </w:r>
          </w:p>
        </w:tc>
        <w:tc>
          <w:tcPr>
            <w:tcW w:w="1035" w:type="dxa"/>
            <w:tcBorders>
              <w:top w:val="nil"/>
              <w:left w:val="nil"/>
              <w:bottom w:val="nil"/>
              <w:right w:val="nil"/>
              <w:tl2br w:val="nil"/>
              <w:tr2bl w:val="nil"/>
            </w:tcBorders>
            <w:tcMar>
              <w:left w:w="40" w:type="dxa"/>
              <w:right w:w="40" w:type="dxa"/>
            </w:tcMar>
            <w:vAlign w:val="center"/>
          </w:tcPr>
          <w:p w14:paraId="0CADF06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07EB5EE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655,817</w:t>
            </w:r>
          </w:p>
        </w:tc>
        <w:tc>
          <w:tcPr>
            <w:tcW w:w="975" w:type="dxa"/>
            <w:tcBorders>
              <w:top w:val="nil"/>
              <w:left w:val="nil"/>
              <w:bottom w:val="nil"/>
              <w:right w:val="nil"/>
              <w:tl2br w:val="nil"/>
              <w:tr2bl w:val="nil"/>
            </w:tcBorders>
            <w:tcMar>
              <w:left w:w="40" w:type="dxa"/>
              <w:right w:w="40" w:type="dxa"/>
            </w:tcMar>
            <w:vAlign w:val="center"/>
          </w:tcPr>
          <w:p w14:paraId="6BA591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49DCE7A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3AB0AD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270DC51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655,817</w:t>
            </w:r>
          </w:p>
        </w:tc>
        <w:tc>
          <w:tcPr>
            <w:tcW w:w="150" w:type="dxa"/>
            <w:tcBorders>
              <w:top w:val="nil"/>
              <w:left w:val="nil"/>
              <w:bottom w:val="nil"/>
              <w:right w:val="nil"/>
              <w:tl2br w:val="nil"/>
              <w:tr2bl w:val="nil"/>
            </w:tcBorders>
            <w:shd w:val="clear" w:color="FFFFFF" w:fill="FFFFFF"/>
            <w:tcMar>
              <w:left w:w="0" w:type="dxa"/>
              <w:right w:w="0" w:type="dxa"/>
            </w:tcMar>
            <w:vAlign w:val="center"/>
          </w:tcPr>
          <w:p w14:paraId="564E5187"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159A89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4A91E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4714A39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655,817</w:t>
            </w:r>
          </w:p>
        </w:tc>
        <w:tc>
          <w:tcPr>
            <w:tcW w:w="900" w:type="dxa"/>
            <w:tcBorders>
              <w:top w:val="nil"/>
              <w:left w:val="nil"/>
              <w:bottom w:val="nil"/>
              <w:right w:val="nil"/>
              <w:tl2br w:val="nil"/>
              <w:tr2bl w:val="nil"/>
            </w:tcBorders>
            <w:tcMar>
              <w:left w:w="40" w:type="dxa"/>
              <w:right w:w="40" w:type="dxa"/>
            </w:tcMar>
            <w:vAlign w:val="center"/>
          </w:tcPr>
          <w:p w14:paraId="7DD5DAB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655,817</w:t>
            </w:r>
          </w:p>
        </w:tc>
      </w:tr>
      <w:tr w:rsidR="00FD1E19" w14:paraId="016FFA9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noWrap/>
            <w:tcMar>
              <w:left w:w="40" w:type="dxa"/>
              <w:right w:w="40" w:type="dxa"/>
            </w:tcMar>
            <w:vAlign w:val="center"/>
          </w:tcPr>
          <w:p w14:paraId="4122225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Direct Equity Investment</w:t>
            </w:r>
          </w:p>
        </w:tc>
        <w:tc>
          <w:tcPr>
            <w:tcW w:w="1035" w:type="dxa"/>
            <w:tcBorders>
              <w:top w:val="nil"/>
              <w:left w:val="nil"/>
              <w:bottom w:val="nil"/>
              <w:right w:val="nil"/>
              <w:tl2br w:val="nil"/>
              <w:tr2bl w:val="nil"/>
            </w:tcBorders>
            <w:tcMar>
              <w:left w:w="40" w:type="dxa"/>
              <w:right w:w="40" w:type="dxa"/>
            </w:tcMar>
            <w:vAlign w:val="center"/>
          </w:tcPr>
          <w:p w14:paraId="558D67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2CCBAD8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178,804</w:t>
            </w:r>
          </w:p>
        </w:tc>
        <w:tc>
          <w:tcPr>
            <w:tcW w:w="975" w:type="dxa"/>
            <w:tcBorders>
              <w:top w:val="nil"/>
              <w:left w:val="nil"/>
              <w:bottom w:val="nil"/>
              <w:right w:val="nil"/>
              <w:tl2br w:val="nil"/>
              <w:tr2bl w:val="nil"/>
            </w:tcBorders>
            <w:tcMar>
              <w:left w:w="40" w:type="dxa"/>
              <w:right w:w="40" w:type="dxa"/>
            </w:tcMar>
            <w:vAlign w:val="center"/>
          </w:tcPr>
          <w:p w14:paraId="1CCBD05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520415A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01BED0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tcMar>
              <w:left w:w="40" w:type="dxa"/>
              <w:right w:w="40" w:type="dxa"/>
            </w:tcMar>
            <w:vAlign w:val="center"/>
          </w:tcPr>
          <w:p w14:paraId="103E7C4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178,804</w:t>
            </w:r>
          </w:p>
        </w:tc>
        <w:tc>
          <w:tcPr>
            <w:tcW w:w="150" w:type="dxa"/>
            <w:tcBorders>
              <w:top w:val="nil"/>
              <w:left w:val="nil"/>
              <w:bottom w:val="nil"/>
              <w:right w:val="nil"/>
              <w:tl2br w:val="nil"/>
              <w:tr2bl w:val="nil"/>
            </w:tcBorders>
            <w:shd w:val="clear" w:color="FFFFFF" w:fill="FFFFFF"/>
            <w:tcMar>
              <w:left w:w="0" w:type="dxa"/>
              <w:right w:w="0" w:type="dxa"/>
            </w:tcMar>
            <w:vAlign w:val="center"/>
          </w:tcPr>
          <w:p w14:paraId="48324EF7"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4D0C39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911CEF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B3E296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178,804</w:t>
            </w:r>
          </w:p>
        </w:tc>
        <w:tc>
          <w:tcPr>
            <w:tcW w:w="900" w:type="dxa"/>
            <w:tcBorders>
              <w:top w:val="nil"/>
              <w:left w:val="nil"/>
              <w:bottom w:val="nil"/>
              <w:right w:val="nil"/>
              <w:tl2br w:val="nil"/>
              <w:tr2bl w:val="nil"/>
            </w:tcBorders>
            <w:tcMar>
              <w:left w:w="40" w:type="dxa"/>
              <w:right w:w="40" w:type="dxa"/>
            </w:tcMar>
            <w:vAlign w:val="center"/>
          </w:tcPr>
          <w:p w14:paraId="4AC84E4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178,804</w:t>
            </w:r>
          </w:p>
        </w:tc>
      </w:tr>
      <w:tr w:rsidR="00FD1E19" w14:paraId="32F5A43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14:paraId="3FED7C4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035" w:type="dxa"/>
            <w:tcBorders>
              <w:top w:val="nil"/>
              <w:left w:val="nil"/>
              <w:bottom w:val="single" w:sz="4" w:space="0" w:color="000000"/>
              <w:right w:val="nil"/>
              <w:tl2br w:val="nil"/>
              <w:tr2bl w:val="nil"/>
            </w:tcBorders>
            <w:tcMar>
              <w:left w:w="40" w:type="dxa"/>
              <w:right w:w="40" w:type="dxa"/>
            </w:tcMar>
            <w:vAlign w:val="center"/>
          </w:tcPr>
          <w:p w14:paraId="14C5683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743BE2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3873880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136,983</w:t>
            </w:r>
          </w:p>
        </w:tc>
        <w:tc>
          <w:tcPr>
            <w:tcW w:w="975" w:type="dxa"/>
            <w:tcBorders>
              <w:top w:val="nil"/>
              <w:left w:val="nil"/>
              <w:bottom w:val="single" w:sz="4" w:space="0" w:color="000000"/>
              <w:right w:val="nil"/>
              <w:tl2br w:val="nil"/>
              <w:tr2bl w:val="nil"/>
            </w:tcBorders>
            <w:tcMar>
              <w:left w:w="40" w:type="dxa"/>
              <w:right w:w="40" w:type="dxa"/>
            </w:tcMar>
            <w:vAlign w:val="center"/>
          </w:tcPr>
          <w:p w14:paraId="43370A9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319E926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2B637F2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136,983</w:t>
            </w:r>
          </w:p>
        </w:tc>
        <w:tc>
          <w:tcPr>
            <w:tcW w:w="150" w:type="dxa"/>
            <w:tcBorders>
              <w:top w:val="nil"/>
              <w:left w:val="nil"/>
              <w:bottom w:val="nil"/>
              <w:right w:val="nil"/>
              <w:tl2br w:val="nil"/>
              <w:tr2bl w:val="nil"/>
            </w:tcBorders>
            <w:tcMar>
              <w:left w:w="0" w:type="dxa"/>
              <w:right w:w="0" w:type="dxa"/>
            </w:tcMar>
            <w:vAlign w:val="center"/>
          </w:tcPr>
          <w:p w14:paraId="231250DE"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14:paraId="10B509A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0C3F02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6857D3C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136,983</w:t>
            </w:r>
          </w:p>
        </w:tc>
        <w:tc>
          <w:tcPr>
            <w:tcW w:w="900" w:type="dxa"/>
            <w:tcBorders>
              <w:top w:val="nil"/>
              <w:left w:val="nil"/>
              <w:bottom w:val="single" w:sz="4" w:space="0" w:color="000000"/>
              <w:right w:val="nil"/>
              <w:tl2br w:val="nil"/>
              <w:tr2bl w:val="nil"/>
            </w:tcBorders>
            <w:tcMar>
              <w:left w:w="40" w:type="dxa"/>
              <w:right w:w="40" w:type="dxa"/>
            </w:tcMar>
            <w:vAlign w:val="center"/>
          </w:tcPr>
          <w:p w14:paraId="0C65A84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136,983</w:t>
            </w:r>
          </w:p>
        </w:tc>
      </w:tr>
      <w:tr w:rsidR="00FD1E19" w14:paraId="59316E1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3630" w:type="dxa"/>
            <w:tcBorders>
              <w:top w:val="single" w:sz="4" w:space="0" w:color="000000"/>
              <w:left w:val="nil"/>
              <w:bottom w:val="single" w:sz="4" w:space="0" w:color="000000"/>
              <w:right w:val="nil"/>
              <w:tl2br w:val="nil"/>
              <w:tr2bl w:val="nil"/>
            </w:tcBorders>
            <w:tcMar>
              <w:left w:w="40" w:type="dxa"/>
              <w:right w:w="40" w:type="dxa"/>
            </w:tcMar>
            <w:vAlign w:val="center"/>
          </w:tcPr>
          <w:p w14:paraId="14A934C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assets mandatorily measured at FVTPL</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14:paraId="3A59D67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23853A7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834,621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4921D48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136,983</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1E245C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09CF4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04CBA5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972,387</w:t>
            </w:r>
          </w:p>
        </w:tc>
        <w:tc>
          <w:tcPr>
            <w:tcW w:w="150" w:type="dxa"/>
            <w:tcBorders>
              <w:top w:val="nil"/>
              <w:left w:val="nil"/>
              <w:bottom w:val="nil"/>
              <w:right w:val="nil"/>
              <w:tl2br w:val="nil"/>
              <w:tr2bl w:val="nil"/>
            </w:tcBorders>
            <w:tcMar>
              <w:left w:w="0" w:type="dxa"/>
              <w:right w:w="0" w:type="dxa"/>
            </w:tcMar>
            <w:vAlign w:val="center"/>
          </w:tcPr>
          <w:p w14:paraId="0A94BCD3"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071CA6C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135BAC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783</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354BA33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971,604</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31C1219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972,387</w:t>
            </w:r>
          </w:p>
        </w:tc>
      </w:tr>
      <w:tr w:rsidR="00FD1E19" w14:paraId="75402ED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noWrap/>
            <w:tcMar>
              <w:left w:w="40" w:type="dxa"/>
              <w:right w:w="40" w:type="dxa"/>
            </w:tcMar>
            <w:vAlign w:val="center"/>
          </w:tcPr>
          <w:p w14:paraId="5858A3C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assets at AC</w:t>
            </w:r>
          </w:p>
        </w:tc>
        <w:tc>
          <w:tcPr>
            <w:tcW w:w="1035" w:type="dxa"/>
            <w:tcBorders>
              <w:top w:val="single" w:sz="4" w:space="0" w:color="000000"/>
              <w:left w:val="nil"/>
              <w:bottom w:val="nil"/>
              <w:right w:val="nil"/>
              <w:tl2br w:val="nil"/>
              <w:tr2bl w:val="nil"/>
            </w:tcBorders>
            <w:tcMar>
              <w:left w:w="0" w:type="dxa"/>
              <w:right w:w="0" w:type="dxa"/>
            </w:tcMar>
            <w:vAlign w:val="center"/>
          </w:tcPr>
          <w:p w14:paraId="5B909B3B"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55A00345"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6AA49ED"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DE2FD75"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08227528"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2CF5388E"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56875BD4"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21DAAF5B"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5D85F9A4"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77C702A2"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28BCFCEF" w14:textId="77777777" w:rsidR="00FD1E19" w:rsidRDefault="00FD1E19" w:rsidP="00BE7E4A">
            <w:pPr>
              <w:suppressAutoHyphens/>
              <w:jc w:val="right"/>
              <w:rPr>
                <w:rFonts w:ascii="Arial" w:eastAsia="Arial" w:hAnsi="Arial" w:cs="Arial"/>
                <w:noProof/>
                <w:color w:val="000000"/>
                <w:sz w:val="16"/>
                <w:lang w:eastAsia="ar-SA"/>
              </w:rPr>
            </w:pPr>
          </w:p>
        </w:tc>
      </w:tr>
      <w:tr w:rsidR="00FD1E19" w14:paraId="38A7BE0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3A52F6E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Cash and cash equivalents</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1BD5F5E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7A46479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7534AA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1,638,604</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08CDA9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36AAFD7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58CAAEE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1,638,604</w:t>
            </w:r>
          </w:p>
        </w:tc>
        <w:tc>
          <w:tcPr>
            <w:tcW w:w="150" w:type="dxa"/>
            <w:tcBorders>
              <w:top w:val="nil"/>
              <w:left w:val="nil"/>
              <w:bottom w:val="nil"/>
              <w:right w:val="nil"/>
              <w:tl2br w:val="nil"/>
              <w:tr2bl w:val="nil"/>
            </w:tcBorders>
            <w:tcMar>
              <w:left w:w="0" w:type="dxa"/>
              <w:right w:w="0" w:type="dxa"/>
            </w:tcMar>
            <w:vAlign w:val="center"/>
          </w:tcPr>
          <w:p w14:paraId="72A5803A"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523531D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5DC71B2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1,638,604</w:t>
            </w:r>
          </w:p>
        </w:tc>
        <w:tc>
          <w:tcPr>
            <w:tcW w:w="900" w:type="dxa"/>
            <w:tcBorders>
              <w:top w:val="nil"/>
              <w:left w:val="nil"/>
              <w:bottom w:val="nil"/>
              <w:right w:val="nil"/>
              <w:tl2br w:val="nil"/>
              <w:tr2bl w:val="nil"/>
            </w:tcBorders>
            <w:tcMar>
              <w:left w:w="40" w:type="dxa"/>
              <w:right w:w="40" w:type="dxa"/>
            </w:tcMar>
            <w:vAlign w:val="center"/>
          </w:tcPr>
          <w:p w14:paraId="3A6919D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D10CD7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1,638,604</w:t>
            </w:r>
          </w:p>
        </w:tc>
      </w:tr>
      <w:tr w:rsidR="00FD1E19" w14:paraId="40E0796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1630E96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D77FC3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F13F9B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C5EACD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1,361,065</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47191D5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986F0F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38D6F83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1,361,065</w:t>
            </w:r>
          </w:p>
        </w:tc>
        <w:tc>
          <w:tcPr>
            <w:tcW w:w="150" w:type="dxa"/>
            <w:tcBorders>
              <w:top w:val="nil"/>
              <w:left w:val="nil"/>
              <w:bottom w:val="nil"/>
              <w:right w:val="nil"/>
              <w:tl2br w:val="nil"/>
              <w:tr2bl w:val="nil"/>
            </w:tcBorders>
            <w:tcMar>
              <w:left w:w="0" w:type="dxa"/>
              <w:right w:w="0" w:type="dxa"/>
            </w:tcMar>
            <w:vAlign w:val="center"/>
          </w:tcPr>
          <w:p w14:paraId="29FD3092"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713D1B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505B45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1,321,715</w:t>
            </w:r>
          </w:p>
        </w:tc>
        <w:tc>
          <w:tcPr>
            <w:tcW w:w="900" w:type="dxa"/>
            <w:tcBorders>
              <w:top w:val="nil"/>
              <w:left w:val="nil"/>
              <w:bottom w:val="nil"/>
              <w:right w:val="nil"/>
              <w:tl2br w:val="nil"/>
              <w:tr2bl w:val="nil"/>
            </w:tcBorders>
            <w:tcMar>
              <w:left w:w="40" w:type="dxa"/>
              <w:right w:w="40" w:type="dxa"/>
            </w:tcMar>
            <w:vAlign w:val="center"/>
          </w:tcPr>
          <w:p w14:paraId="588C5CC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1BD120B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1,321,715</w:t>
            </w:r>
          </w:p>
        </w:tc>
      </w:tr>
      <w:tr w:rsidR="00FD1E19" w14:paraId="31C820B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7E9D257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receivable from contributors</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6DB4803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40A8447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256FB1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7,482</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DEAAE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F3D7FC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55B618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7,482</w:t>
            </w:r>
          </w:p>
        </w:tc>
        <w:tc>
          <w:tcPr>
            <w:tcW w:w="150" w:type="dxa"/>
            <w:tcBorders>
              <w:top w:val="nil"/>
              <w:left w:val="nil"/>
              <w:bottom w:val="nil"/>
              <w:right w:val="nil"/>
              <w:tl2br w:val="nil"/>
              <w:tr2bl w:val="nil"/>
            </w:tcBorders>
            <w:tcMar>
              <w:left w:w="0" w:type="dxa"/>
              <w:right w:w="0" w:type="dxa"/>
            </w:tcMar>
            <w:vAlign w:val="center"/>
          </w:tcPr>
          <w:p w14:paraId="6DB8BA3A"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62CD228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72B27EC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44B60A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16B8274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444BAEF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659CF13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Treasury financial assets</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50DE9C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7324B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F92BD7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B7AFE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86F57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5282CC6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 w:type="dxa"/>
            <w:tcBorders>
              <w:top w:val="nil"/>
              <w:left w:val="nil"/>
              <w:bottom w:val="nil"/>
              <w:right w:val="nil"/>
              <w:tl2br w:val="nil"/>
              <w:tr2bl w:val="nil"/>
            </w:tcBorders>
            <w:tcMar>
              <w:left w:w="0" w:type="dxa"/>
              <w:right w:w="0" w:type="dxa"/>
            </w:tcMar>
            <w:vAlign w:val="center"/>
          </w:tcPr>
          <w:p w14:paraId="7EE97039"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tcMar>
              <w:left w:w="40" w:type="dxa"/>
              <w:right w:w="40" w:type="dxa"/>
            </w:tcMar>
            <w:vAlign w:val="center"/>
          </w:tcPr>
          <w:p w14:paraId="5C8339D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314F903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545BE83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nil"/>
              <w:right w:val="nil"/>
              <w:tl2br w:val="nil"/>
              <w:tr2bl w:val="nil"/>
            </w:tcBorders>
            <w:tcMar>
              <w:left w:w="40" w:type="dxa"/>
              <w:right w:w="40" w:type="dxa"/>
            </w:tcMar>
            <w:vAlign w:val="center"/>
          </w:tcPr>
          <w:p w14:paraId="64E8713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42F9A59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683C96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assets</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8D1D9B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59B34C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E4384B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7F4727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7C68DD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73D588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 w:type="dxa"/>
            <w:tcBorders>
              <w:top w:val="nil"/>
              <w:left w:val="nil"/>
              <w:bottom w:val="nil"/>
              <w:right w:val="nil"/>
              <w:tl2br w:val="nil"/>
              <w:tr2bl w:val="nil"/>
            </w:tcBorders>
            <w:tcMar>
              <w:left w:w="0" w:type="dxa"/>
              <w:right w:w="0" w:type="dxa"/>
            </w:tcMar>
            <w:vAlign w:val="center"/>
          </w:tcPr>
          <w:p w14:paraId="177A6646"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14:paraId="4DB251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4CECFBE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3A87CDE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06F3686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13EFF49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7E53629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assets measured at AC</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14:paraId="5FF9D33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0E28737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40E1921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3,007,151</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28AD4BC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1B3FD9B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7B9040E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3,007,151</w:t>
            </w:r>
          </w:p>
        </w:tc>
        <w:tc>
          <w:tcPr>
            <w:tcW w:w="150" w:type="dxa"/>
            <w:tcBorders>
              <w:top w:val="nil"/>
              <w:left w:val="nil"/>
              <w:bottom w:val="nil"/>
              <w:right w:val="nil"/>
              <w:tl2br w:val="nil"/>
              <w:tr2bl w:val="nil"/>
            </w:tcBorders>
            <w:tcMar>
              <w:left w:w="0" w:type="dxa"/>
              <w:right w:w="0" w:type="dxa"/>
            </w:tcMar>
            <w:vAlign w:val="center"/>
          </w:tcPr>
          <w:p w14:paraId="6817E98A"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8672F5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299119F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2,960,319</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3E9EEE0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21E6AB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2,960,319</w:t>
            </w:r>
          </w:p>
        </w:tc>
      </w:tr>
      <w:tr w:rsidR="00FD1E19" w14:paraId="2FBFA0C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14:paraId="7786710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assets</w:t>
            </w:r>
          </w:p>
        </w:tc>
        <w:tc>
          <w:tcPr>
            <w:tcW w:w="103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7BAA501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783</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4FD0421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834,621</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0383AF2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3,144,134</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6DE2C28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2F4EB08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78D811D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3,979,538</w:t>
            </w:r>
          </w:p>
        </w:tc>
        <w:tc>
          <w:tcPr>
            <w:tcW w:w="150" w:type="dxa"/>
            <w:tcBorders>
              <w:top w:val="nil"/>
              <w:left w:val="nil"/>
              <w:bottom w:val="nil"/>
              <w:right w:val="nil"/>
              <w:tl2br w:val="nil"/>
              <w:tr2bl w:val="nil"/>
            </w:tcBorders>
            <w:tcMar>
              <w:left w:w="0" w:type="dxa"/>
              <w:right w:w="0" w:type="dxa"/>
            </w:tcMar>
            <w:vAlign w:val="center"/>
          </w:tcPr>
          <w:p w14:paraId="1432937F"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73512FCC"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0CA39BF3"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7BA2700C"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21B17419"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6305D94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65"/>
        </w:trPr>
        <w:tc>
          <w:tcPr>
            <w:tcW w:w="3630" w:type="dxa"/>
            <w:tcBorders>
              <w:top w:val="nil"/>
              <w:left w:val="nil"/>
              <w:bottom w:val="single" w:sz="4" w:space="0" w:color="000000"/>
              <w:right w:val="nil"/>
              <w:tl2br w:val="nil"/>
              <w:tr2bl w:val="nil"/>
            </w:tcBorders>
            <w:noWrap/>
            <w:tcMar>
              <w:left w:w="0" w:type="dxa"/>
              <w:right w:w="0" w:type="dxa"/>
            </w:tcMar>
            <w:vAlign w:val="center"/>
          </w:tcPr>
          <w:p w14:paraId="6586AC08" w14:textId="77777777" w:rsidR="00FD1E19" w:rsidRDefault="00FD1E19" w:rsidP="00BE7E4A">
            <w:pPr>
              <w:suppressAutoHyphens/>
              <w:rPr>
                <w:rFonts w:ascii="Arial" w:eastAsia="Arial" w:hAnsi="Arial" w:cs="Arial"/>
                <w:noProof/>
                <w:color w:val="000000"/>
                <w:sz w:val="16"/>
                <w:lang w:eastAsia="ar-SA"/>
              </w:rPr>
            </w:pPr>
          </w:p>
        </w:tc>
        <w:tc>
          <w:tcPr>
            <w:tcW w:w="1035" w:type="dxa"/>
            <w:tcBorders>
              <w:top w:val="nil"/>
              <w:left w:val="nil"/>
              <w:bottom w:val="single" w:sz="4" w:space="0" w:color="000000"/>
              <w:right w:val="nil"/>
              <w:tl2br w:val="nil"/>
              <w:tr2bl w:val="nil"/>
            </w:tcBorders>
            <w:tcMar>
              <w:left w:w="0" w:type="dxa"/>
              <w:right w:w="0" w:type="dxa"/>
            </w:tcMar>
            <w:vAlign w:val="center"/>
          </w:tcPr>
          <w:p w14:paraId="7A829747"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7EF27FF7"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38242CA1"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5ED0E6BE"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0F30E117"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nil"/>
              <w:left w:val="nil"/>
              <w:bottom w:val="single" w:sz="4" w:space="0" w:color="000000"/>
              <w:right w:val="nil"/>
              <w:tl2br w:val="nil"/>
              <w:tr2bl w:val="nil"/>
            </w:tcBorders>
            <w:tcMar>
              <w:left w:w="0" w:type="dxa"/>
              <w:right w:w="0" w:type="dxa"/>
            </w:tcMar>
            <w:vAlign w:val="center"/>
          </w:tcPr>
          <w:p w14:paraId="6137EF91"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39EE8111"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0DDA3887"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07B7543C"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1F273653"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0" w:type="dxa"/>
              <w:right w:w="0" w:type="dxa"/>
            </w:tcMar>
            <w:vAlign w:val="center"/>
          </w:tcPr>
          <w:p w14:paraId="3E5BCE4B" w14:textId="77777777" w:rsidR="00FD1E19" w:rsidRDefault="00FD1E19" w:rsidP="00BE7E4A">
            <w:pPr>
              <w:suppressAutoHyphens/>
              <w:jc w:val="right"/>
              <w:rPr>
                <w:rFonts w:ascii="Arial" w:eastAsia="Arial" w:hAnsi="Arial" w:cs="Arial"/>
                <w:noProof/>
                <w:color w:val="000000"/>
                <w:sz w:val="16"/>
                <w:lang w:eastAsia="ar-SA"/>
              </w:rPr>
            </w:pPr>
          </w:p>
        </w:tc>
      </w:tr>
      <w:tr w:rsidR="00FD1E19" w14:paraId="46819B3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13"/>
        </w:trPr>
        <w:tc>
          <w:tcPr>
            <w:tcW w:w="3630" w:type="dxa"/>
            <w:tcBorders>
              <w:top w:val="single" w:sz="4" w:space="0" w:color="000000"/>
              <w:left w:val="nil"/>
              <w:bottom w:val="nil"/>
              <w:right w:val="nil"/>
              <w:tl2br w:val="nil"/>
              <w:tr2bl w:val="nil"/>
            </w:tcBorders>
            <w:tcMar>
              <w:left w:w="40" w:type="dxa"/>
              <w:right w:w="40" w:type="dxa"/>
            </w:tcMar>
            <w:vAlign w:val="center"/>
          </w:tcPr>
          <w:p w14:paraId="726E58C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liabilities mandatorily measured at FVTPL</w:t>
            </w:r>
          </w:p>
        </w:tc>
        <w:tc>
          <w:tcPr>
            <w:tcW w:w="1035" w:type="dxa"/>
            <w:tcBorders>
              <w:top w:val="single" w:sz="4" w:space="0" w:color="000000"/>
              <w:left w:val="nil"/>
              <w:bottom w:val="nil"/>
              <w:right w:val="nil"/>
              <w:tl2br w:val="nil"/>
              <w:tr2bl w:val="nil"/>
            </w:tcBorders>
            <w:tcMar>
              <w:left w:w="0" w:type="dxa"/>
              <w:right w:w="0" w:type="dxa"/>
            </w:tcMar>
            <w:vAlign w:val="center"/>
          </w:tcPr>
          <w:p w14:paraId="0E51BE04"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0F35792"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42737E1D"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63BA04F6"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25D36D1"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D0CEDE0"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740EB79D"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73A6EB02"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659297FF"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43DDFD9C"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tcMar>
              <w:left w:w="0" w:type="dxa"/>
              <w:right w:w="0" w:type="dxa"/>
            </w:tcMar>
            <w:vAlign w:val="center"/>
          </w:tcPr>
          <w:p w14:paraId="365719B2" w14:textId="77777777" w:rsidR="00FD1E19" w:rsidRDefault="00FD1E19" w:rsidP="00BE7E4A">
            <w:pPr>
              <w:suppressAutoHyphens/>
              <w:jc w:val="right"/>
              <w:rPr>
                <w:rFonts w:ascii="Arial" w:eastAsia="Arial" w:hAnsi="Arial" w:cs="Arial"/>
                <w:noProof/>
                <w:color w:val="000000"/>
                <w:sz w:val="16"/>
                <w:lang w:eastAsia="ar-SA"/>
              </w:rPr>
            </w:pPr>
          </w:p>
        </w:tc>
      </w:tr>
      <w:tr w:rsidR="00FD1E19" w14:paraId="2FA27D1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noWrap/>
            <w:tcMar>
              <w:left w:w="40" w:type="dxa"/>
              <w:right w:w="40" w:type="dxa"/>
            </w:tcMar>
            <w:vAlign w:val="center"/>
          </w:tcPr>
          <w:p w14:paraId="752BF60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Derivative financial instruments</w:t>
            </w:r>
          </w:p>
        </w:tc>
        <w:tc>
          <w:tcPr>
            <w:tcW w:w="1035" w:type="dxa"/>
            <w:tcBorders>
              <w:top w:val="nil"/>
              <w:left w:val="nil"/>
              <w:bottom w:val="single" w:sz="4" w:space="0" w:color="000000"/>
              <w:right w:val="nil"/>
              <w:tl2br w:val="nil"/>
              <w:tr2bl w:val="nil"/>
            </w:tcBorders>
            <w:tcMar>
              <w:left w:w="40" w:type="dxa"/>
              <w:right w:w="40" w:type="dxa"/>
            </w:tcMar>
            <w:vAlign w:val="center"/>
          </w:tcPr>
          <w:p w14:paraId="328B3A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-39,210</w:t>
            </w:r>
          </w:p>
        </w:tc>
        <w:tc>
          <w:tcPr>
            <w:tcW w:w="975" w:type="dxa"/>
            <w:tcBorders>
              <w:top w:val="nil"/>
              <w:left w:val="nil"/>
              <w:bottom w:val="single" w:sz="4" w:space="0" w:color="000000"/>
              <w:right w:val="nil"/>
              <w:tl2br w:val="nil"/>
              <w:tr2bl w:val="nil"/>
            </w:tcBorders>
            <w:tcMar>
              <w:left w:w="40" w:type="dxa"/>
              <w:right w:w="40" w:type="dxa"/>
            </w:tcMar>
            <w:vAlign w:val="center"/>
          </w:tcPr>
          <w:p w14:paraId="2253CC6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03D4AC6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10E705B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09D2576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tcMar>
              <w:left w:w="40" w:type="dxa"/>
              <w:right w:w="40" w:type="dxa"/>
            </w:tcMar>
            <w:vAlign w:val="center"/>
          </w:tcPr>
          <w:p w14:paraId="6570E1A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c>
          <w:tcPr>
            <w:tcW w:w="150" w:type="dxa"/>
            <w:tcBorders>
              <w:top w:val="nil"/>
              <w:left w:val="nil"/>
              <w:bottom w:val="nil"/>
              <w:right w:val="nil"/>
              <w:tl2br w:val="nil"/>
              <w:tr2bl w:val="nil"/>
            </w:tcBorders>
            <w:tcMar>
              <w:left w:w="0" w:type="dxa"/>
              <w:right w:w="0" w:type="dxa"/>
            </w:tcMar>
            <w:vAlign w:val="center"/>
          </w:tcPr>
          <w:p w14:paraId="368E1445"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single" w:sz="4" w:space="0" w:color="000000"/>
              <w:right w:val="nil"/>
              <w:tl2br w:val="nil"/>
              <w:tr2bl w:val="nil"/>
            </w:tcBorders>
            <w:tcMar>
              <w:left w:w="40" w:type="dxa"/>
              <w:right w:w="40" w:type="dxa"/>
            </w:tcMar>
            <w:vAlign w:val="center"/>
          </w:tcPr>
          <w:p w14:paraId="03AC68E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0841CEA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-39,210</w:t>
            </w:r>
          </w:p>
        </w:tc>
        <w:tc>
          <w:tcPr>
            <w:tcW w:w="900" w:type="dxa"/>
            <w:tcBorders>
              <w:top w:val="nil"/>
              <w:left w:val="nil"/>
              <w:bottom w:val="single" w:sz="4" w:space="0" w:color="000000"/>
              <w:right w:val="nil"/>
              <w:tl2br w:val="nil"/>
              <w:tr2bl w:val="nil"/>
            </w:tcBorders>
            <w:tcMar>
              <w:left w:w="40" w:type="dxa"/>
              <w:right w:w="40" w:type="dxa"/>
            </w:tcMar>
            <w:vAlign w:val="center"/>
          </w:tcPr>
          <w:p w14:paraId="5FA1708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00" w:type="dxa"/>
            <w:tcBorders>
              <w:top w:val="nil"/>
              <w:left w:val="nil"/>
              <w:bottom w:val="single" w:sz="4" w:space="0" w:color="000000"/>
              <w:right w:val="nil"/>
              <w:tl2br w:val="nil"/>
              <w:tr2bl w:val="nil"/>
            </w:tcBorders>
            <w:tcMar>
              <w:left w:w="40" w:type="dxa"/>
              <w:right w:w="40" w:type="dxa"/>
            </w:tcMar>
            <w:vAlign w:val="center"/>
          </w:tcPr>
          <w:p w14:paraId="4F66A3B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r>
      <w:tr w:rsidR="00FD1E19" w14:paraId="0DE403F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07A4BEC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liabilities measured at FVTPL</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14:paraId="5636DA3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115D48B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42BC6AA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1555DE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2FFD5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3B9B9E1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c>
          <w:tcPr>
            <w:tcW w:w="150" w:type="dxa"/>
            <w:tcBorders>
              <w:top w:val="nil"/>
              <w:left w:val="nil"/>
              <w:bottom w:val="nil"/>
              <w:right w:val="nil"/>
              <w:tl2br w:val="nil"/>
              <w:tr2bl w:val="nil"/>
            </w:tcBorders>
            <w:tcMar>
              <w:left w:w="0" w:type="dxa"/>
              <w:right w:w="0" w:type="dxa"/>
            </w:tcMar>
            <w:vAlign w:val="center"/>
          </w:tcPr>
          <w:p w14:paraId="5C0DD06B"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19018BD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6B5D767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7B968D2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00" w:type="dxa"/>
            <w:tcBorders>
              <w:top w:val="single" w:sz="4" w:space="0" w:color="000000"/>
              <w:left w:val="nil"/>
              <w:bottom w:val="single" w:sz="4" w:space="0" w:color="000000"/>
              <w:right w:val="nil"/>
              <w:tl2br w:val="nil"/>
              <w:tr2bl w:val="nil"/>
            </w:tcBorders>
            <w:tcMar>
              <w:left w:w="40" w:type="dxa"/>
              <w:right w:w="40" w:type="dxa"/>
            </w:tcMar>
            <w:vAlign w:val="center"/>
          </w:tcPr>
          <w:p w14:paraId="59B19D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r>
      <w:tr w:rsidR="00FD1E19" w14:paraId="220D306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noWrap/>
            <w:tcMar>
              <w:left w:w="40" w:type="dxa"/>
              <w:right w:w="40" w:type="dxa"/>
            </w:tcMar>
            <w:vAlign w:val="center"/>
          </w:tcPr>
          <w:p w14:paraId="7F793D0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Financial liabilities at AC</w:t>
            </w:r>
          </w:p>
        </w:tc>
        <w:tc>
          <w:tcPr>
            <w:tcW w:w="1035" w:type="dxa"/>
            <w:tcBorders>
              <w:top w:val="single" w:sz="4" w:space="0" w:color="000000"/>
              <w:left w:val="nil"/>
              <w:bottom w:val="nil"/>
              <w:right w:val="nil"/>
              <w:tl2br w:val="nil"/>
              <w:tr2bl w:val="nil"/>
            </w:tcBorders>
            <w:tcMar>
              <w:left w:w="0" w:type="dxa"/>
              <w:right w:w="0" w:type="dxa"/>
            </w:tcMar>
            <w:vAlign w:val="center"/>
          </w:tcPr>
          <w:p w14:paraId="6926F9A7"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174459DB"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3437E666"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5F8EA79A"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7EC0A2E5" w14:textId="77777777" w:rsidR="00FD1E19" w:rsidRDefault="00FD1E19" w:rsidP="00BE7E4A">
            <w:pPr>
              <w:suppressAutoHyphens/>
              <w:jc w:val="right"/>
              <w:rPr>
                <w:rFonts w:ascii="Arial" w:eastAsia="Arial" w:hAnsi="Arial" w:cs="Arial"/>
                <w:noProof/>
                <w:color w:val="000000"/>
                <w:sz w:val="16"/>
                <w:lang w:eastAsia="ar-SA"/>
              </w:rPr>
            </w:pPr>
          </w:p>
        </w:tc>
        <w:tc>
          <w:tcPr>
            <w:tcW w:w="975" w:type="dxa"/>
            <w:tcBorders>
              <w:top w:val="single" w:sz="4" w:space="0" w:color="000000"/>
              <w:left w:val="nil"/>
              <w:bottom w:val="nil"/>
              <w:right w:val="nil"/>
              <w:tl2br w:val="nil"/>
              <w:tr2bl w:val="nil"/>
            </w:tcBorders>
            <w:tcMar>
              <w:left w:w="0" w:type="dxa"/>
              <w:right w:w="0" w:type="dxa"/>
            </w:tcMar>
            <w:vAlign w:val="center"/>
          </w:tcPr>
          <w:p w14:paraId="3F36373C" w14:textId="77777777" w:rsidR="00FD1E19" w:rsidRDefault="00FD1E19" w:rsidP="00BE7E4A">
            <w:pPr>
              <w:suppressAutoHyphens/>
              <w:jc w:val="right"/>
              <w:rPr>
                <w:rFonts w:ascii="Arial" w:eastAsia="Arial" w:hAnsi="Arial" w:cs="Arial"/>
                <w:noProof/>
                <w:color w:val="000000"/>
                <w:sz w:val="16"/>
                <w:lang w:eastAsia="ar-SA"/>
              </w:rPr>
            </w:pPr>
          </w:p>
        </w:tc>
        <w:tc>
          <w:tcPr>
            <w:tcW w:w="150" w:type="dxa"/>
            <w:tcBorders>
              <w:top w:val="nil"/>
              <w:left w:val="nil"/>
              <w:bottom w:val="nil"/>
              <w:right w:val="nil"/>
              <w:tl2br w:val="nil"/>
              <w:tr2bl w:val="nil"/>
            </w:tcBorders>
            <w:tcMar>
              <w:left w:w="0" w:type="dxa"/>
              <w:right w:w="0" w:type="dxa"/>
            </w:tcMar>
            <w:vAlign w:val="center"/>
          </w:tcPr>
          <w:p w14:paraId="1DF1BF02"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5E396AC5" w14:textId="77777777" w:rsidR="00FD1E19" w:rsidRDefault="00FD1E19" w:rsidP="00BE7E4A">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5BC1E680" w14:textId="77777777" w:rsidR="00FD1E19" w:rsidRDefault="00FD1E19" w:rsidP="00BE7E4A">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38B49BA9" w14:textId="77777777" w:rsidR="00FD1E19" w:rsidRDefault="00FD1E19" w:rsidP="00BE7E4A">
            <w:pPr>
              <w:suppressAutoHyphens/>
              <w:rPr>
                <w:rFonts w:ascii="Arial" w:eastAsia="Arial" w:hAnsi="Arial" w:cs="Arial"/>
                <w:noProof/>
                <w:color w:val="000000"/>
                <w:lang w:eastAsia="ar-SA"/>
              </w:rPr>
            </w:pPr>
          </w:p>
        </w:tc>
        <w:tc>
          <w:tcPr>
            <w:tcW w:w="900" w:type="dxa"/>
            <w:tcBorders>
              <w:top w:val="single" w:sz="4" w:space="0" w:color="000000"/>
              <w:left w:val="nil"/>
              <w:bottom w:val="nil"/>
              <w:right w:val="nil"/>
              <w:tl2br w:val="nil"/>
              <w:tr2bl w:val="nil"/>
            </w:tcBorders>
            <w:noWrap/>
            <w:tcMar>
              <w:left w:w="0" w:type="dxa"/>
              <w:right w:w="0" w:type="dxa"/>
            </w:tcMar>
            <w:vAlign w:val="bottom"/>
          </w:tcPr>
          <w:p w14:paraId="03C47019" w14:textId="77777777" w:rsidR="00FD1E19" w:rsidRDefault="00FD1E19" w:rsidP="00BE7E4A">
            <w:pPr>
              <w:suppressAutoHyphens/>
              <w:rPr>
                <w:rFonts w:ascii="Arial" w:eastAsia="Arial" w:hAnsi="Arial" w:cs="Arial"/>
                <w:noProof/>
                <w:color w:val="000000"/>
                <w:lang w:eastAsia="ar-SA"/>
              </w:rPr>
            </w:pPr>
          </w:p>
        </w:tc>
      </w:tr>
      <w:tr w:rsidR="00FD1E19" w14:paraId="4F004D7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6F0761B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Provisions for loan commitments</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093BC7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5571960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196717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38B24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0C12153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-18,320</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CC3D52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-18,320</w:t>
            </w:r>
          </w:p>
        </w:tc>
        <w:tc>
          <w:tcPr>
            <w:tcW w:w="150" w:type="dxa"/>
            <w:tcBorders>
              <w:top w:val="nil"/>
              <w:left w:val="nil"/>
              <w:bottom w:val="nil"/>
              <w:right w:val="nil"/>
              <w:tl2br w:val="nil"/>
              <w:tr2bl w:val="nil"/>
            </w:tcBorders>
            <w:tcMar>
              <w:left w:w="0" w:type="dxa"/>
              <w:right w:w="0" w:type="dxa"/>
            </w:tcMar>
            <w:vAlign w:val="center"/>
          </w:tcPr>
          <w:p w14:paraId="6FD4CCED"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51C6A65E"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4CE9512B"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2DDBC37A"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2E6E587" w14:textId="77777777" w:rsidR="00FD1E19" w:rsidRDefault="00FD1E19" w:rsidP="00BE7E4A">
            <w:pPr>
              <w:suppressAutoHyphens/>
              <w:rPr>
                <w:rFonts w:ascii="Arial" w:eastAsia="Arial" w:hAnsi="Arial" w:cs="Arial"/>
                <w:noProof/>
                <w:color w:val="000000"/>
                <w:lang w:eastAsia="ar-SA"/>
              </w:rPr>
            </w:pPr>
          </w:p>
        </w:tc>
      </w:tr>
      <w:tr w:rsidR="00FD1E19" w14:paraId="71AB014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nil"/>
              <w:right w:val="nil"/>
              <w:tl2br w:val="nil"/>
              <w:tr2bl w:val="nil"/>
            </w:tcBorders>
            <w:shd w:val="clear" w:color="FFFFFF" w:fill="FFFFFF"/>
            <w:noWrap/>
            <w:tcMar>
              <w:left w:w="40" w:type="dxa"/>
              <w:right w:w="40" w:type="dxa"/>
            </w:tcMar>
            <w:vAlign w:val="center"/>
          </w:tcPr>
          <w:p w14:paraId="59A813B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Amounts owed to third parties</w:t>
            </w:r>
          </w:p>
        </w:tc>
        <w:tc>
          <w:tcPr>
            <w:tcW w:w="1035" w:type="dxa"/>
            <w:tcBorders>
              <w:top w:val="nil"/>
              <w:left w:val="nil"/>
              <w:bottom w:val="nil"/>
              <w:right w:val="nil"/>
              <w:tl2br w:val="nil"/>
              <w:tr2bl w:val="nil"/>
            </w:tcBorders>
            <w:shd w:val="clear" w:color="FFFFFF" w:fill="FFFFFF"/>
            <w:tcMar>
              <w:left w:w="40" w:type="dxa"/>
              <w:right w:w="40" w:type="dxa"/>
            </w:tcMar>
            <w:vAlign w:val="center"/>
          </w:tcPr>
          <w:p w14:paraId="20090C4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628CD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3660427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5E304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113B4A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-566,083</w:t>
            </w:r>
          </w:p>
        </w:tc>
        <w:tc>
          <w:tcPr>
            <w:tcW w:w="975" w:type="dxa"/>
            <w:tcBorders>
              <w:top w:val="nil"/>
              <w:left w:val="nil"/>
              <w:bottom w:val="nil"/>
              <w:right w:val="nil"/>
              <w:tl2br w:val="nil"/>
              <w:tr2bl w:val="nil"/>
            </w:tcBorders>
            <w:shd w:val="clear" w:color="FFFFFF" w:fill="FFFFFF"/>
            <w:tcMar>
              <w:left w:w="40" w:type="dxa"/>
              <w:right w:w="40" w:type="dxa"/>
            </w:tcMar>
            <w:vAlign w:val="center"/>
          </w:tcPr>
          <w:p w14:paraId="2AB5E02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-566,083</w:t>
            </w:r>
          </w:p>
        </w:tc>
        <w:tc>
          <w:tcPr>
            <w:tcW w:w="150" w:type="dxa"/>
            <w:tcBorders>
              <w:top w:val="nil"/>
              <w:left w:val="nil"/>
              <w:bottom w:val="nil"/>
              <w:right w:val="nil"/>
              <w:tl2br w:val="nil"/>
              <w:tr2bl w:val="nil"/>
            </w:tcBorders>
            <w:tcMar>
              <w:left w:w="0" w:type="dxa"/>
              <w:right w:w="0" w:type="dxa"/>
            </w:tcMar>
            <w:vAlign w:val="center"/>
          </w:tcPr>
          <w:p w14:paraId="1E661124"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4CAC500B"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09879828"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31E4E80F"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35A763C3" w14:textId="77777777" w:rsidR="00FD1E19" w:rsidRDefault="00FD1E19" w:rsidP="00BE7E4A">
            <w:pPr>
              <w:suppressAutoHyphens/>
              <w:rPr>
                <w:rFonts w:ascii="Arial" w:eastAsia="Arial" w:hAnsi="Arial" w:cs="Arial"/>
                <w:noProof/>
                <w:color w:val="000000"/>
                <w:lang w:eastAsia="ar-SA"/>
              </w:rPr>
            </w:pPr>
          </w:p>
        </w:tc>
      </w:tr>
      <w:tr w:rsidR="00FD1E19" w14:paraId="20120D3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85D385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liabilities</w:t>
            </w:r>
          </w:p>
        </w:tc>
        <w:tc>
          <w:tcPr>
            <w:tcW w:w="103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3B4848E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5F21050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10CAD23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4FEF0DF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20F7F7A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-3,289</w:t>
            </w:r>
          </w:p>
        </w:tc>
        <w:tc>
          <w:tcPr>
            <w:tcW w:w="975" w:type="dxa"/>
            <w:tcBorders>
              <w:top w:val="nil"/>
              <w:left w:val="nil"/>
              <w:bottom w:val="single" w:sz="4" w:space="0" w:color="000000"/>
              <w:right w:val="nil"/>
              <w:tl2br w:val="nil"/>
              <w:tr2bl w:val="nil"/>
            </w:tcBorders>
            <w:shd w:val="clear" w:color="FFFFFF" w:fill="FFFFFF"/>
            <w:tcMar>
              <w:left w:w="40" w:type="dxa"/>
              <w:right w:w="40" w:type="dxa"/>
            </w:tcMar>
            <w:vAlign w:val="center"/>
          </w:tcPr>
          <w:p w14:paraId="63E5891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-3,289</w:t>
            </w:r>
          </w:p>
        </w:tc>
        <w:tc>
          <w:tcPr>
            <w:tcW w:w="150" w:type="dxa"/>
            <w:tcBorders>
              <w:top w:val="nil"/>
              <w:left w:val="nil"/>
              <w:bottom w:val="nil"/>
              <w:right w:val="nil"/>
              <w:tl2br w:val="nil"/>
              <w:tr2bl w:val="nil"/>
            </w:tcBorders>
            <w:tcMar>
              <w:left w:w="0" w:type="dxa"/>
              <w:right w:w="0" w:type="dxa"/>
            </w:tcMar>
            <w:vAlign w:val="center"/>
          </w:tcPr>
          <w:p w14:paraId="77C9A1CE" w14:textId="77777777" w:rsidR="00FD1E19" w:rsidRDefault="00FD1E19" w:rsidP="00BE7E4A">
            <w:pPr>
              <w:suppressAutoHyphens/>
              <w:jc w:val="right"/>
              <w:rPr>
                <w:rFonts w:ascii="Arial" w:eastAsia="Arial" w:hAnsi="Arial" w:cs="Arial"/>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0D51433E"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018D481E"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241448EB"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393E24AF" w14:textId="77777777" w:rsidR="00FD1E19" w:rsidRDefault="00FD1E19" w:rsidP="00BE7E4A">
            <w:pPr>
              <w:suppressAutoHyphens/>
              <w:rPr>
                <w:rFonts w:ascii="Arial" w:eastAsia="Arial" w:hAnsi="Arial" w:cs="Arial"/>
                <w:noProof/>
                <w:color w:val="000000"/>
                <w:lang w:eastAsia="ar-SA"/>
              </w:rPr>
            </w:pPr>
          </w:p>
        </w:tc>
      </w:tr>
      <w:tr w:rsidR="00FD1E19" w14:paraId="2D7927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single" w:sz="4" w:space="0" w:color="000000"/>
              <w:right w:val="nil"/>
              <w:tl2br w:val="nil"/>
              <w:tr2bl w:val="nil"/>
            </w:tcBorders>
            <w:noWrap/>
            <w:tcMar>
              <w:left w:w="40" w:type="dxa"/>
              <w:right w:w="40" w:type="dxa"/>
            </w:tcMar>
            <w:vAlign w:val="center"/>
          </w:tcPr>
          <w:p w14:paraId="6F923C57"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liabilities measured at AC</w:t>
            </w:r>
          </w:p>
        </w:tc>
        <w:tc>
          <w:tcPr>
            <w:tcW w:w="1035" w:type="dxa"/>
            <w:tcBorders>
              <w:top w:val="single" w:sz="4" w:space="0" w:color="000000"/>
              <w:left w:val="nil"/>
              <w:bottom w:val="single" w:sz="4" w:space="0" w:color="000000"/>
              <w:right w:val="nil"/>
              <w:tl2br w:val="nil"/>
              <w:tr2bl w:val="nil"/>
            </w:tcBorders>
            <w:tcMar>
              <w:left w:w="40" w:type="dxa"/>
              <w:right w:w="40" w:type="dxa"/>
            </w:tcMar>
            <w:vAlign w:val="center"/>
          </w:tcPr>
          <w:p w14:paraId="5821C06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1DE1C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6108D28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2A81F0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975"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55F5DA5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-587,692</w:t>
            </w:r>
          </w:p>
        </w:tc>
        <w:tc>
          <w:tcPr>
            <w:tcW w:w="975" w:type="dxa"/>
            <w:tcBorders>
              <w:top w:val="single" w:sz="4" w:space="0" w:color="000000"/>
              <w:left w:val="nil"/>
              <w:bottom w:val="single" w:sz="4" w:space="0" w:color="000000"/>
              <w:right w:val="nil"/>
              <w:tl2br w:val="nil"/>
              <w:tr2bl w:val="nil"/>
            </w:tcBorders>
            <w:tcMar>
              <w:left w:w="40" w:type="dxa"/>
              <w:right w:w="40" w:type="dxa"/>
            </w:tcMar>
            <w:vAlign w:val="center"/>
          </w:tcPr>
          <w:p w14:paraId="53C701C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-587,692</w:t>
            </w:r>
          </w:p>
        </w:tc>
        <w:tc>
          <w:tcPr>
            <w:tcW w:w="150" w:type="dxa"/>
            <w:tcBorders>
              <w:top w:val="nil"/>
              <w:left w:val="nil"/>
              <w:bottom w:val="nil"/>
              <w:right w:val="nil"/>
              <w:tl2br w:val="nil"/>
              <w:tr2bl w:val="nil"/>
            </w:tcBorders>
            <w:tcMar>
              <w:left w:w="0" w:type="dxa"/>
              <w:right w:w="0" w:type="dxa"/>
            </w:tcMar>
            <w:vAlign w:val="center"/>
          </w:tcPr>
          <w:p w14:paraId="149BB032"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33C32889"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0F6D65A"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788A1894"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4DDD675" w14:textId="77777777" w:rsidR="00FD1E19" w:rsidRDefault="00FD1E19" w:rsidP="00BE7E4A">
            <w:pPr>
              <w:suppressAutoHyphens/>
              <w:rPr>
                <w:rFonts w:ascii="Arial" w:eastAsia="Arial" w:hAnsi="Arial" w:cs="Arial"/>
                <w:noProof/>
                <w:color w:val="000000"/>
                <w:lang w:eastAsia="ar-SA"/>
              </w:rPr>
            </w:pPr>
          </w:p>
        </w:tc>
      </w:tr>
      <w:tr w:rsidR="00FD1E19" w14:paraId="0D47864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630" w:type="dxa"/>
            <w:tcBorders>
              <w:top w:val="single" w:sz="4" w:space="0" w:color="000000"/>
              <w:left w:val="nil"/>
              <w:bottom w:val="nil"/>
              <w:right w:val="nil"/>
              <w:tl2br w:val="nil"/>
              <w:tr2bl w:val="nil"/>
            </w:tcBorders>
            <w:shd w:val="clear" w:color="FFFFFF" w:fill="C0C0C0"/>
            <w:noWrap/>
            <w:tcMar>
              <w:left w:w="40" w:type="dxa"/>
              <w:right w:w="40" w:type="dxa"/>
            </w:tcMar>
            <w:vAlign w:val="center"/>
          </w:tcPr>
          <w:p w14:paraId="1BEE953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financial liabilities</w:t>
            </w:r>
          </w:p>
        </w:tc>
        <w:tc>
          <w:tcPr>
            <w:tcW w:w="103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2ADF9F7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5FF5B0C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6F8BE1F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64689D7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1C6EBFD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-587,692</w:t>
            </w:r>
          </w:p>
        </w:tc>
        <w:tc>
          <w:tcPr>
            <w:tcW w:w="975" w:type="dxa"/>
            <w:tcBorders>
              <w:top w:val="single" w:sz="4" w:space="0" w:color="000000"/>
              <w:left w:val="nil"/>
              <w:bottom w:val="nil"/>
              <w:right w:val="nil"/>
              <w:tl2br w:val="nil"/>
              <w:tr2bl w:val="nil"/>
            </w:tcBorders>
            <w:shd w:val="clear" w:color="FFFFFF" w:fill="C0C0C0"/>
            <w:tcMar>
              <w:left w:w="40" w:type="dxa"/>
              <w:right w:w="40" w:type="dxa"/>
            </w:tcMar>
            <w:vAlign w:val="center"/>
          </w:tcPr>
          <w:p w14:paraId="5FC194F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-626,902</w:t>
            </w:r>
          </w:p>
        </w:tc>
        <w:tc>
          <w:tcPr>
            <w:tcW w:w="150" w:type="dxa"/>
            <w:tcBorders>
              <w:top w:val="nil"/>
              <w:left w:val="nil"/>
              <w:bottom w:val="nil"/>
              <w:right w:val="nil"/>
              <w:tl2br w:val="nil"/>
              <w:tr2bl w:val="nil"/>
            </w:tcBorders>
            <w:tcMar>
              <w:left w:w="0" w:type="dxa"/>
              <w:right w:w="0" w:type="dxa"/>
            </w:tcMar>
            <w:vAlign w:val="center"/>
          </w:tcPr>
          <w:p w14:paraId="207D5C25" w14:textId="77777777" w:rsidR="00FD1E19" w:rsidRDefault="00FD1E19" w:rsidP="00BE7E4A">
            <w:pPr>
              <w:suppressAutoHyphens/>
              <w:jc w:val="right"/>
              <w:rPr>
                <w:rFonts w:ascii="Arial" w:eastAsia="Arial" w:hAnsi="Arial" w:cs="Arial"/>
                <w:b/>
                <w:noProof/>
                <w:color w:val="000000"/>
                <w:sz w:val="16"/>
                <w:lang w:eastAsia="ar-SA"/>
              </w:rPr>
            </w:pPr>
          </w:p>
        </w:tc>
        <w:tc>
          <w:tcPr>
            <w:tcW w:w="900" w:type="dxa"/>
            <w:tcBorders>
              <w:top w:val="nil"/>
              <w:left w:val="nil"/>
              <w:bottom w:val="nil"/>
              <w:right w:val="nil"/>
              <w:tl2br w:val="nil"/>
              <w:tr2bl w:val="nil"/>
            </w:tcBorders>
            <w:noWrap/>
            <w:tcMar>
              <w:left w:w="0" w:type="dxa"/>
              <w:right w:w="0" w:type="dxa"/>
            </w:tcMar>
            <w:vAlign w:val="bottom"/>
          </w:tcPr>
          <w:p w14:paraId="0444ADB2"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59C82642"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E708C56" w14:textId="77777777" w:rsidR="00FD1E19" w:rsidRDefault="00FD1E19" w:rsidP="00BE7E4A">
            <w:pPr>
              <w:suppressAutoHyphens/>
              <w:rPr>
                <w:rFonts w:ascii="Arial" w:eastAsia="Arial" w:hAnsi="Arial" w:cs="Arial"/>
                <w:noProof/>
                <w:color w:val="000000"/>
                <w:lang w:eastAsia="ar-SA"/>
              </w:rPr>
            </w:pPr>
          </w:p>
        </w:tc>
        <w:tc>
          <w:tcPr>
            <w:tcW w:w="900" w:type="dxa"/>
            <w:tcBorders>
              <w:top w:val="nil"/>
              <w:left w:val="nil"/>
              <w:bottom w:val="nil"/>
              <w:right w:val="nil"/>
              <w:tl2br w:val="nil"/>
              <w:tr2bl w:val="nil"/>
            </w:tcBorders>
            <w:noWrap/>
            <w:tcMar>
              <w:left w:w="0" w:type="dxa"/>
              <w:right w:w="0" w:type="dxa"/>
            </w:tcMar>
            <w:vAlign w:val="bottom"/>
          </w:tcPr>
          <w:p w14:paraId="6EC4C1B1" w14:textId="77777777" w:rsidR="00FD1E19" w:rsidRDefault="00FD1E19" w:rsidP="00BE7E4A">
            <w:pPr>
              <w:suppressAutoHyphens/>
              <w:rPr>
                <w:rFonts w:ascii="Arial" w:eastAsia="Arial" w:hAnsi="Arial" w:cs="Arial"/>
                <w:noProof/>
                <w:color w:val="000000"/>
                <w:lang w:eastAsia="ar-SA"/>
              </w:rPr>
            </w:pPr>
          </w:p>
        </w:tc>
      </w:tr>
    </w:tbl>
    <w:p w14:paraId="0BF7500D" w14:textId="77777777" w:rsidR="00FD1E19" w:rsidRDefault="00FD1E19" w:rsidP="00FD1E19">
      <w:pPr>
        <w:suppressAutoHyphens/>
        <w:rPr>
          <w:noProof/>
          <w:lang w:eastAsia="ar-SA"/>
        </w:rPr>
        <w:sectPr w:rsidR="00FD1E19" w:rsidSect="00FD1E19">
          <w:headerReference w:type="even" r:id="rId157"/>
          <w:headerReference w:type="default" r:id="rId158"/>
          <w:footerReference w:type="even" r:id="rId159"/>
          <w:headerReference w:type="first" r:id="rId160"/>
          <w:footerReference w:type="first" r:id="rId161"/>
          <w:type w:val="continuous"/>
          <w:pgSz w:w="11906" w:h="16838" w:code="9"/>
          <w:pgMar w:top="1134" w:right="765" w:bottom="1134" w:left="765" w:header="720" w:footer="720" w:gutter="0"/>
          <w:pgBorders>
            <w:top w:val="nil"/>
            <w:left w:val="nil"/>
            <w:bottom w:val="nil"/>
            <w:right w:val="nil"/>
          </w:pgBorders>
          <w:cols w:space="720"/>
          <w:docGrid w:linePitch="360"/>
        </w:sectPr>
      </w:pPr>
    </w:p>
    <w:p w14:paraId="29C6B8AC" w14:textId="77777777" w:rsidR="00FD1E19" w:rsidRPr="002F3A9F" w:rsidRDefault="00FD1E19" w:rsidP="00FD1E19">
      <w:pPr>
        <w:pageBreakBefore/>
        <w:pBdr>
          <w:top w:val="nil"/>
          <w:left w:val="nil"/>
          <w:bottom w:val="nil"/>
          <w:right w:val="nil"/>
          <w:between w:val="nil"/>
          <w:bar w:val="nil"/>
        </w:pBdr>
        <w:tabs>
          <w:tab w:val="right" w:pos="-2700"/>
          <w:tab w:val="left" w:pos="720"/>
        </w:tabs>
        <w:suppressAutoHyphens/>
        <w:spacing w:before="60" w:after="60"/>
        <w:ind w:left="357" w:right="-142" w:hanging="357"/>
        <w:jc w:val="both"/>
        <w:rPr>
          <w:rFonts w:ascii="Arial" w:hAnsi="Arial"/>
          <w:b/>
          <w:noProof/>
          <w:sz w:val="16"/>
          <w:szCs w:val="16"/>
          <w:bdr w:val="nil"/>
          <w:lang w:eastAsia="ar-SA"/>
        </w:rPr>
      </w:pPr>
      <w:bookmarkStart w:id="273" w:name="RG_MARKER_90159"/>
      <w:r w:rsidRPr="002F3A9F">
        <w:rPr>
          <w:rFonts w:ascii="Arial" w:hAnsi="Arial"/>
          <w:b/>
          <w:noProof/>
          <w:sz w:val="16"/>
          <w:szCs w:val="16"/>
          <w:lang w:eastAsia="ar-SA"/>
        </w:rPr>
        <w:t>4.2</w:t>
      </w:r>
      <w:bookmarkEnd w:id="273"/>
      <w:r>
        <w:rPr>
          <w:rFonts w:ascii="Arial" w:hAnsi="Arial"/>
          <w:b/>
          <w:noProof/>
          <w:sz w:val="16"/>
          <w:szCs w:val="16"/>
          <w:lang w:eastAsia="ar-SA"/>
        </w:rPr>
        <w:tab/>
      </w:r>
      <w:r w:rsidRPr="002F3A9F">
        <w:rPr>
          <w:rFonts w:ascii="Arial" w:hAnsi="Arial"/>
          <w:b/>
          <w:noProof/>
          <w:sz w:val="16"/>
          <w:szCs w:val="16"/>
          <w:lang w:eastAsia="ar-SA"/>
        </w:rPr>
        <w:t>Measurement of fair values</w:t>
      </w:r>
    </w:p>
    <w:p w14:paraId="47A76FEE" w14:textId="77777777" w:rsidR="00FD1E19" w:rsidRPr="007746FB" w:rsidRDefault="00FD1E19" w:rsidP="00FD1E19">
      <w:pPr>
        <w:pBdr>
          <w:top w:val="nil"/>
          <w:left w:val="nil"/>
          <w:bottom w:val="nil"/>
          <w:right w:val="nil"/>
          <w:between w:val="nil"/>
          <w:bar w:val="nil"/>
        </w:pBdr>
        <w:tabs>
          <w:tab w:val="right" w:pos="-2700"/>
          <w:tab w:val="right" w:pos="720"/>
        </w:tabs>
        <w:suppressAutoHyphens/>
        <w:spacing w:after="60"/>
        <w:ind w:left="720"/>
        <w:jc w:val="both"/>
        <w:rPr>
          <w:rFonts w:ascii="Arial" w:hAnsi="Arial"/>
          <w:b/>
          <w:noProof/>
          <w:sz w:val="16"/>
          <w:szCs w:val="16"/>
          <w:bdr w:val="nil"/>
          <w:lang w:eastAsia="ar-SA"/>
        </w:rPr>
      </w:pPr>
    </w:p>
    <w:p w14:paraId="7D7DE84E" w14:textId="77777777" w:rsidR="00FD1E19" w:rsidRPr="009D67D3" w:rsidRDefault="00FD1E19" w:rsidP="00FD1E19">
      <w:pPr>
        <w:numPr>
          <w:ilvl w:val="2"/>
          <w:numId w:val="74"/>
        </w:numPr>
        <w:pBdr>
          <w:top w:val="nil"/>
          <w:left w:val="nil"/>
          <w:bottom w:val="nil"/>
          <w:right w:val="nil"/>
          <w:between w:val="nil"/>
          <w:bar w:val="nil"/>
        </w:pBdr>
        <w:tabs>
          <w:tab w:val="right" w:pos="-2700"/>
        </w:tabs>
        <w:suppressAutoHyphens/>
        <w:spacing w:after="60" w:line="240" w:lineRule="auto"/>
        <w:jc w:val="both"/>
        <w:rPr>
          <w:rFonts w:ascii="Arial" w:hAnsi="Arial"/>
          <w:b/>
          <w:noProof/>
          <w:sz w:val="16"/>
          <w:szCs w:val="16"/>
          <w:bdr w:val="nil"/>
          <w:lang w:eastAsia="ar-SA"/>
        </w:rPr>
      </w:pPr>
      <w:r w:rsidRPr="009D67D3">
        <w:rPr>
          <w:rFonts w:ascii="Arial" w:hAnsi="Arial"/>
          <w:b/>
          <w:noProof/>
          <w:sz w:val="16"/>
          <w:szCs w:val="16"/>
          <w:lang w:eastAsia="ar-SA"/>
        </w:rPr>
        <w:t>Valuation techniques and significant unobservable inputs</w:t>
      </w:r>
    </w:p>
    <w:p w14:paraId="6245F949" w14:textId="77777777" w:rsidR="00FD1E19" w:rsidRPr="00FE01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31795696" w14:textId="77777777" w:rsidR="00FD1E19" w:rsidRDefault="00FD1E19" w:rsidP="00FD1E19">
      <w:pPr>
        <w:pBdr>
          <w:top w:val="nil"/>
          <w:left w:val="nil"/>
          <w:bottom w:val="nil"/>
          <w:right w:val="nil"/>
          <w:between w:val="nil"/>
          <w:bar w:val="nil"/>
        </w:pBdr>
        <w:suppressAutoHyphens/>
        <w:spacing w:after="60"/>
        <w:jc w:val="both"/>
        <w:rPr>
          <w:rFonts w:ascii="Arial" w:hAnsi="Arial"/>
          <w:noProof/>
          <w:sz w:val="16"/>
          <w:szCs w:val="16"/>
          <w:bdr w:val="nil"/>
          <w:lang w:eastAsia="ar-SA"/>
        </w:rPr>
      </w:pPr>
      <w:r>
        <w:rPr>
          <w:rFonts w:ascii="Arial" w:hAnsi="Arial"/>
          <w:noProof/>
          <w:sz w:val="16"/>
          <w:szCs w:val="16"/>
          <w:lang w:eastAsia="ar-SA"/>
        </w:rPr>
        <w:t>The table below sets out information about the valuation techniques and significant unobservable inputs used in measuring financial instruments, categorised as Level 2 and 3 in the fair value hierarchy:</w:t>
      </w:r>
    </w:p>
    <w:tbl>
      <w:tblPr>
        <w:tblW w:w="5000" w:type="pct"/>
        <w:tblInd w:w="-90" w:type="dxa"/>
        <w:tblLook w:val="0000" w:firstRow="0" w:lastRow="0" w:firstColumn="0" w:lastColumn="0" w:noHBand="0" w:noVBand="0"/>
      </w:tblPr>
      <w:tblGrid>
        <w:gridCol w:w="1255"/>
        <w:gridCol w:w="3695"/>
        <w:gridCol w:w="2880"/>
        <w:gridCol w:w="2075"/>
      </w:tblGrid>
      <w:tr w:rsidR="00FD1E19" w14:paraId="4D80322C" w14:textId="77777777" w:rsidTr="00BE7E4A">
        <w:trPr>
          <w:trHeight w:val="454"/>
        </w:trPr>
        <w:tc>
          <w:tcPr>
            <w:tcW w:w="1255" w:type="dxa"/>
            <w:tcBorders>
              <w:top w:val="single" w:sz="4" w:space="0" w:color="auto"/>
              <w:left w:val="nil"/>
              <w:bottom w:val="single" w:sz="4" w:space="0" w:color="auto"/>
              <w:right w:val="nil"/>
            </w:tcBorders>
            <w:noWrap/>
            <w:vAlign w:val="bottom"/>
          </w:tcPr>
          <w:p w14:paraId="16FB9601" w14:textId="77777777" w:rsidR="00FD1E19" w:rsidRPr="009056CC" w:rsidRDefault="00FD1E19" w:rsidP="00BE7E4A">
            <w:pPr>
              <w:rPr>
                <w:rFonts w:ascii="Arial" w:hAnsi="Arial"/>
                <w:b/>
                <w:bCs/>
                <w:noProof/>
                <w:sz w:val="16"/>
                <w:szCs w:val="16"/>
                <w:bdr w:val="nil"/>
              </w:rPr>
            </w:pPr>
          </w:p>
        </w:tc>
        <w:tc>
          <w:tcPr>
            <w:tcW w:w="3695" w:type="dxa"/>
            <w:tcBorders>
              <w:top w:val="single" w:sz="4" w:space="0" w:color="auto"/>
              <w:left w:val="nil"/>
              <w:bottom w:val="single" w:sz="4" w:space="0" w:color="auto"/>
              <w:right w:val="nil"/>
            </w:tcBorders>
            <w:noWrap/>
            <w:vAlign w:val="bottom"/>
          </w:tcPr>
          <w:p w14:paraId="4CB67237" w14:textId="77777777" w:rsidR="00FD1E19" w:rsidRPr="009056CC" w:rsidRDefault="00FD1E19" w:rsidP="00BE7E4A">
            <w:pPr>
              <w:pBdr>
                <w:top w:val="nil"/>
                <w:left w:val="nil"/>
                <w:bottom w:val="nil"/>
                <w:right w:val="nil"/>
                <w:between w:val="nil"/>
                <w:bar w:val="nil"/>
              </w:pBdr>
              <w:rPr>
                <w:rFonts w:ascii="Arial" w:hAnsi="Arial"/>
                <w:b/>
                <w:bCs/>
                <w:noProof/>
                <w:sz w:val="16"/>
                <w:szCs w:val="16"/>
                <w:bdr w:val="nil"/>
              </w:rPr>
            </w:pPr>
            <w:r>
              <w:rPr>
                <w:rFonts w:ascii="Arial" w:hAnsi="Arial"/>
                <w:b/>
                <w:bCs/>
                <w:noProof/>
                <w:sz w:val="16"/>
                <w:szCs w:val="16"/>
              </w:rPr>
              <w:t>Valuation technique</w:t>
            </w:r>
          </w:p>
        </w:tc>
        <w:tc>
          <w:tcPr>
            <w:tcW w:w="2880" w:type="dxa"/>
            <w:tcBorders>
              <w:top w:val="single" w:sz="4" w:space="0" w:color="auto"/>
              <w:left w:val="nil"/>
              <w:bottom w:val="single" w:sz="4" w:space="0" w:color="auto"/>
              <w:right w:val="nil"/>
            </w:tcBorders>
            <w:noWrap/>
            <w:vAlign w:val="bottom"/>
          </w:tcPr>
          <w:p w14:paraId="0E487742" w14:textId="77777777" w:rsidR="00FD1E19" w:rsidRPr="009056CC" w:rsidRDefault="00FD1E19" w:rsidP="00BE7E4A">
            <w:pPr>
              <w:pBdr>
                <w:top w:val="nil"/>
                <w:left w:val="nil"/>
                <w:bottom w:val="nil"/>
                <w:right w:val="nil"/>
                <w:between w:val="nil"/>
                <w:bar w:val="nil"/>
              </w:pBdr>
              <w:rPr>
                <w:rFonts w:ascii="Arial" w:hAnsi="Arial"/>
                <w:b/>
                <w:bCs/>
                <w:noProof/>
                <w:sz w:val="16"/>
                <w:szCs w:val="16"/>
                <w:bdr w:val="nil"/>
              </w:rPr>
            </w:pPr>
            <w:r>
              <w:rPr>
                <w:rFonts w:ascii="Arial" w:hAnsi="Arial"/>
                <w:b/>
                <w:bCs/>
                <w:noProof/>
                <w:sz w:val="16"/>
                <w:szCs w:val="16"/>
              </w:rPr>
              <w:t>Significant unobservable inputs</w:t>
            </w:r>
          </w:p>
        </w:tc>
        <w:tc>
          <w:tcPr>
            <w:tcW w:w="2075" w:type="dxa"/>
            <w:tcBorders>
              <w:top w:val="single" w:sz="4" w:space="0" w:color="auto"/>
              <w:left w:val="nil"/>
              <w:bottom w:val="single" w:sz="4" w:space="0" w:color="auto"/>
              <w:right w:val="nil"/>
            </w:tcBorders>
            <w:noWrap/>
            <w:vAlign w:val="bottom"/>
          </w:tcPr>
          <w:p w14:paraId="0D13D933" w14:textId="77777777" w:rsidR="00FD1E19" w:rsidRPr="009056CC" w:rsidRDefault="00FD1E19" w:rsidP="00BE7E4A">
            <w:pPr>
              <w:pBdr>
                <w:top w:val="nil"/>
                <w:left w:val="nil"/>
                <w:bottom w:val="nil"/>
                <w:right w:val="nil"/>
                <w:between w:val="nil"/>
                <w:bar w:val="nil"/>
              </w:pBdr>
              <w:rPr>
                <w:rFonts w:ascii="Arial" w:hAnsi="Arial"/>
                <w:b/>
                <w:bCs/>
                <w:noProof/>
                <w:sz w:val="16"/>
                <w:szCs w:val="16"/>
                <w:bdr w:val="nil"/>
              </w:rPr>
            </w:pPr>
            <w:r>
              <w:rPr>
                <w:rFonts w:ascii="Arial" w:hAnsi="Arial"/>
                <w:b/>
                <w:bCs/>
                <w:noProof/>
                <w:sz w:val="16"/>
                <w:szCs w:val="16"/>
              </w:rPr>
              <w:t>Relationship of unobservable inputs to fair value measurement</w:t>
            </w:r>
          </w:p>
        </w:tc>
      </w:tr>
      <w:tr w:rsidR="00FD1E19" w14:paraId="7A0E7FF9" w14:textId="77777777" w:rsidTr="00BE7E4A">
        <w:trPr>
          <w:trHeight w:val="227"/>
        </w:trPr>
        <w:tc>
          <w:tcPr>
            <w:tcW w:w="4950" w:type="dxa"/>
            <w:gridSpan w:val="2"/>
            <w:tcBorders>
              <w:top w:val="nil"/>
              <w:left w:val="nil"/>
              <w:right w:val="nil"/>
            </w:tcBorders>
            <w:noWrap/>
          </w:tcPr>
          <w:p w14:paraId="4A11A81D" w14:textId="77777777" w:rsidR="00FD1E19" w:rsidRPr="009056CC" w:rsidRDefault="00FD1E19" w:rsidP="00BE7E4A">
            <w:pPr>
              <w:pBdr>
                <w:top w:val="nil"/>
                <w:left w:val="nil"/>
                <w:bottom w:val="nil"/>
                <w:right w:val="nil"/>
                <w:between w:val="nil"/>
                <w:bar w:val="nil"/>
              </w:pBdr>
              <w:rPr>
                <w:rFonts w:ascii="Arial" w:hAnsi="Arial"/>
                <w:noProof/>
                <w:sz w:val="16"/>
                <w:szCs w:val="16"/>
                <w:bdr w:val="nil"/>
              </w:rPr>
            </w:pPr>
            <w:r w:rsidRPr="009056CC">
              <w:rPr>
                <w:rFonts w:ascii="Arial" w:hAnsi="Arial"/>
                <w:b/>
                <w:bCs/>
                <w:noProof/>
                <w:sz w:val="16"/>
                <w:szCs w:val="16"/>
              </w:rPr>
              <w:t xml:space="preserve">Financial </w:t>
            </w:r>
            <w:r>
              <w:rPr>
                <w:rFonts w:ascii="Arial" w:hAnsi="Arial"/>
                <w:b/>
                <w:bCs/>
                <w:noProof/>
                <w:sz w:val="16"/>
                <w:szCs w:val="16"/>
              </w:rPr>
              <w:t>instruments carried at fair value</w:t>
            </w:r>
          </w:p>
        </w:tc>
        <w:tc>
          <w:tcPr>
            <w:tcW w:w="2880" w:type="dxa"/>
            <w:tcBorders>
              <w:top w:val="nil"/>
              <w:left w:val="nil"/>
              <w:right w:val="nil"/>
            </w:tcBorders>
            <w:noWrap/>
          </w:tcPr>
          <w:p w14:paraId="226B2A1E" w14:textId="77777777" w:rsidR="00FD1E19" w:rsidRPr="009056CC" w:rsidRDefault="00FD1E19" w:rsidP="00BE7E4A">
            <w:pPr>
              <w:rPr>
                <w:rFonts w:ascii="Arial" w:hAnsi="Arial"/>
                <w:noProof/>
                <w:sz w:val="16"/>
                <w:szCs w:val="16"/>
                <w:bdr w:val="nil"/>
              </w:rPr>
            </w:pPr>
          </w:p>
        </w:tc>
        <w:tc>
          <w:tcPr>
            <w:tcW w:w="2075" w:type="dxa"/>
            <w:tcBorders>
              <w:top w:val="nil"/>
              <w:left w:val="nil"/>
              <w:right w:val="nil"/>
            </w:tcBorders>
            <w:noWrap/>
          </w:tcPr>
          <w:p w14:paraId="043B829D" w14:textId="77777777" w:rsidR="00FD1E19" w:rsidRPr="009056CC" w:rsidRDefault="00FD1E19" w:rsidP="00BE7E4A">
            <w:pPr>
              <w:rPr>
                <w:rFonts w:ascii="Arial" w:hAnsi="Arial"/>
                <w:noProof/>
                <w:sz w:val="16"/>
                <w:szCs w:val="16"/>
                <w:bdr w:val="nil"/>
              </w:rPr>
            </w:pPr>
          </w:p>
        </w:tc>
      </w:tr>
      <w:tr w:rsidR="00FD1E19" w14:paraId="36C2532C" w14:textId="77777777" w:rsidTr="00BE7E4A">
        <w:trPr>
          <w:trHeight w:val="131"/>
        </w:trPr>
        <w:tc>
          <w:tcPr>
            <w:tcW w:w="1255" w:type="dxa"/>
            <w:tcBorders>
              <w:top w:val="nil"/>
              <w:left w:val="nil"/>
              <w:right w:val="nil"/>
            </w:tcBorders>
            <w:noWrap/>
          </w:tcPr>
          <w:p w14:paraId="1950637A" w14:textId="77777777" w:rsidR="00FD1E19" w:rsidRDefault="00FD1E19" w:rsidP="00BE7E4A">
            <w:pPr>
              <w:rPr>
                <w:rFonts w:ascii="Arial" w:hAnsi="Arial"/>
                <w:noProof/>
                <w:sz w:val="16"/>
                <w:szCs w:val="16"/>
                <w:bdr w:val="nil"/>
              </w:rPr>
            </w:pPr>
          </w:p>
        </w:tc>
        <w:tc>
          <w:tcPr>
            <w:tcW w:w="3695" w:type="dxa"/>
            <w:tcBorders>
              <w:top w:val="nil"/>
              <w:left w:val="nil"/>
              <w:right w:val="nil"/>
            </w:tcBorders>
            <w:noWrap/>
          </w:tcPr>
          <w:p w14:paraId="3C050814" w14:textId="77777777" w:rsidR="00FD1E19" w:rsidRPr="00E75954" w:rsidRDefault="00FD1E19" w:rsidP="00BE7E4A">
            <w:pPr>
              <w:jc w:val="both"/>
              <w:rPr>
                <w:rFonts w:ascii="Arial" w:hAnsi="Arial"/>
                <w:noProof/>
                <w:sz w:val="16"/>
                <w:szCs w:val="16"/>
                <w:bdr w:val="nil"/>
              </w:rPr>
            </w:pPr>
          </w:p>
        </w:tc>
        <w:tc>
          <w:tcPr>
            <w:tcW w:w="2880" w:type="dxa"/>
            <w:tcBorders>
              <w:top w:val="nil"/>
              <w:left w:val="nil"/>
              <w:right w:val="nil"/>
            </w:tcBorders>
            <w:noWrap/>
          </w:tcPr>
          <w:p w14:paraId="2813A90E" w14:textId="77777777" w:rsidR="00FD1E19" w:rsidRPr="00C73739" w:rsidRDefault="00FD1E19" w:rsidP="00BE7E4A">
            <w:pPr>
              <w:jc w:val="both"/>
              <w:rPr>
                <w:rFonts w:ascii="Arial" w:hAnsi="Arial"/>
                <w:noProof/>
                <w:sz w:val="16"/>
                <w:szCs w:val="16"/>
                <w:bdr w:val="nil"/>
              </w:rPr>
            </w:pPr>
          </w:p>
        </w:tc>
        <w:tc>
          <w:tcPr>
            <w:tcW w:w="2075" w:type="dxa"/>
            <w:tcBorders>
              <w:top w:val="nil"/>
              <w:left w:val="nil"/>
              <w:right w:val="nil"/>
            </w:tcBorders>
            <w:noWrap/>
          </w:tcPr>
          <w:p w14:paraId="154943FF" w14:textId="77777777" w:rsidR="00FD1E19" w:rsidRPr="00466780" w:rsidRDefault="00FD1E19" w:rsidP="00BE7E4A">
            <w:pPr>
              <w:jc w:val="both"/>
              <w:rPr>
                <w:rFonts w:ascii="Arial" w:hAnsi="Arial"/>
                <w:noProof/>
                <w:sz w:val="16"/>
                <w:szCs w:val="16"/>
                <w:bdr w:val="nil"/>
              </w:rPr>
            </w:pPr>
          </w:p>
        </w:tc>
      </w:tr>
      <w:tr w:rsidR="00FD1E19" w14:paraId="7DFE854D" w14:textId="77777777" w:rsidTr="00BE7E4A">
        <w:trPr>
          <w:trHeight w:val="284"/>
        </w:trPr>
        <w:tc>
          <w:tcPr>
            <w:tcW w:w="1255" w:type="dxa"/>
            <w:tcBorders>
              <w:top w:val="nil"/>
              <w:left w:val="nil"/>
              <w:right w:val="nil"/>
            </w:tcBorders>
            <w:noWrap/>
          </w:tcPr>
          <w:p w14:paraId="57FD880A" w14:textId="77777777" w:rsidR="00FD1E19" w:rsidRPr="009056CC" w:rsidRDefault="00FD1E19" w:rsidP="00BE7E4A">
            <w:pPr>
              <w:pBdr>
                <w:top w:val="nil"/>
                <w:left w:val="nil"/>
                <w:bottom w:val="nil"/>
                <w:right w:val="nil"/>
                <w:between w:val="nil"/>
                <w:bar w:val="nil"/>
              </w:pBdr>
              <w:rPr>
                <w:rFonts w:ascii="Arial" w:hAnsi="Arial"/>
                <w:noProof/>
                <w:sz w:val="16"/>
                <w:szCs w:val="16"/>
                <w:bdr w:val="nil"/>
              </w:rPr>
            </w:pPr>
            <w:r>
              <w:rPr>
                <w:rFonts w:ascii="Arial" w:hAnsi="Arial"/>
                <w:noProof/>
                <w:sz w:val="16"/>
                <w:szCs w:val="16"/>
              </w:rPr>
              <w:t>Derivative financial instruments</w:t>
            </w:r>
          </w:p>
        </w:tc>
        <w:tc>
          <w:tcPr>
            <w:tcW w:w="3695" w:type="dxa"/>
            <w:tcBorders>
              <w:top w:val="nil"/>
              <w:left w:val="nil"/>
              <w:right w:val="nil"/>
            </w:tcBorders>
            <w:noWrap/>
          </w:tcPr>
          <w:p w14:paraId="3458C54B" w14:textId="77777777" w:rsidR="00FD1E19" w:rsidRPr="00C73739" w:rsidRDefault="00FD1E19" w:rsidP="00BE7E4A">
            <w:pPr>
              <w:pBdr>
                <w:top w:val="nil"/>
                <w:left w:val="nil"/>
                <w:bottom w:val="nil"/>
                <w:right w:val="nil"/>
                <w:between w:val="nil"/>
                <w:bar w:val="nil"/>
              </w:pBdr>
              <w:jc w:val="both"/>
              <w:rPr>
                <w:rFonts w:ascii="Arial" w:hAnsi="Arial"/>
                <w:noProof/>
                <w:sz w:val="16"/>
                <w:szCs w:val="16"/>
                <w:bdr w:val="nil"/>
              </w:rPr>
            </w:pPr>
            <w:r w:rsidRPr="00E75954">
              <w:rPr>
                <w:rFonts w:ascii="Arial" w:hAnsi="Arial"/>
                <w:noProof/>
                <w:sz w:val="16"/>
                <w:szCs w:val="16"/>
              </w:rPr>
              <w:t>Discounted</w:t>
            </w:r>
            <w:r>
              <w:rPr>
                <w:rFonts w:ascii="Arial" w:hAnsi="Arial"/>
                <w:noProof/>
                <w:sz w:val="16"/>
                <w:szCs w:val="16"/>
              </w:rPr>
              <w:t xml:space="preserve"> cash flow: </w:t>
            </w:r>
            <w:r w:rsidRPr="00C045CA">
              <w:rPr>
                <w:rFonts w:ascii="Arial" w:hAnsi="Arial"/>
                <w:noProof/>
                <w:sz w:val="16"/>
                <w:szCs w:val="16"/>
              </w:rPr>
              <w:t>Future cash flows are estimated based on forward exchange/interest rates (from observable forward exchange rates and yield curves at the end of the reporting period) and contract forward/interest rates, discounted at a rate that reflects the credit risk of various counterparties</w:t>
            </w:r>
            <w:r>
              <w:rPr>
                <w:rFonts w:ascii="Arial" w:hAnsi="Arial"/>
                <w:noProof/>
                <w:sz w:val="16"/>
                <w:szCs w:val="16"/>
              </w:rPr>
              <w:t>.</w:t>
            </w:r>
          </w:p>
        </w:tc>
        <w:tc>
          <w:tcPr>
            <w:tcW w:w="2880" w:type="dxa"/>
            <w:tcBorders>
              <w:top w:val="nil"/>
              <w:left w:val="nil"/>
              <w:right w:val="nil"/>
            </w:tcBorders>
            <w:noWrap/>
          </w:tcPr>
          <w:p w14:paraId="4C95AA08" w14:textId="77777777" w:rsidR="00FD1E19" w:rsidRPr="00C73739" w:rsidRDefault="00FD1E19" w:rsidP="00BE7E4A">
            <w:pPr>
              <w:pBdr>
                <w:top w:val="nil"/>
                <w:left w:val="nil"/>
                <w:bottom w:val="nil"/>
                <w:right w:val="nil"/>
                <w:between w:val="nil"/>
                <w:bar w:val="nil"/>
              </w:pBdr>
              <w:jc w:val="both"/>
              <w:rPr>
                <w:rFonts w:ascii="Arial" w:hAnsi="Arial"/>
                <w:noProof/>
                <w:sz w:val="16"/>
                <w:szCs w:val="16"/>
                <w:bdr w:val="nil"/>
              </w:rPr>
            </w:pPr>
            <w:r>
              <w:rPr>
                <w:rFonts w:ascii="Arial" w:hAnsi="Arial"/>
                <w:noProof/>
                <w:sz w:val="16"/>
                <w:szCs w:val="16"/>
              </w:rPr>
              <w:t>C</w:t>
            </w:r>
            <w:r w:rsidRPr="00140E03">
              <w:rPr>
                <w:rFonts w:ascii="Arial" w:hAnsi="Arial"/>
                <w:noProof/>
                <w:sz w:val="16"/>
                <w:szCs w:val="16"/>
              </w:rPr>
              <w:t>urves used in estimation and discounting of cashflows are calibrated to market data, and the swaps in the portfolio have maturities that do not exceed the longest tenor available in the inputs. Therefore, there are no unobservable inputs.</w:t>
            </w:r>
          </w:p>
        </w:tc>
        <w:tc>
          <w:tcPr>
            <w:tcW w:w="2075" w:type="dxa"/>
            <w:tcBorders>
              <w:top w:val="nil"/>
              <w:left w:val="nil"/>
              <w:right w:val="nil"/>
            </w:tcBorders>
            <w:noWrap/>
          </w:tcPr>
          <w:p w14:paraId="24A8E24E" w14:textId="77777777" w:rsidR="00FD1E19" w:rsidRPr="00C73739" w:rsidRDefault="00FD1E19" w:rsidP="00BE7E4A">
            <w:pPr>
              <w:pBdr>
                <w:top w:val="nil"/>
                <w:left w:val="nil"/>
                <w:bottom w:val="nil"/>
                <w:right w:val="nil"/>
                <w:between w:val="nil"/>
                <w:bar w:val="nil"/>
              </w:pBdr>
              <w:jc w:val="both"/>
              <w:rPr>
                <w:rFonts w:ascii="Arial" w:hAnsi="Arial"/>
                <w:noProof/>
                <w:sz w:val="16"/>
                <w:szCs w:val="16"/>
                <w:bdr w:val="nil"/>
              </w:rPr>
            </w:pPr>
            <w:r w:rsidRPr="00466780">
              <w:rPr>
                <w:rFonts w:ascii="Arial" w:hAnsi="Arial"/>
                <w:noProof/>
                <w:sz w:val="16"/>
                <w:szCs w:val="16"/>
              </w:rPr>
              <w:t>Not applicable</w:t>
            </w:r>
            <w:r>
              <w:rPr>
                <w:rFonts w:ascii="Arial" w:hAnsi="Arial"/>
                <w:noProof/>
                <w:sz w:val="16"/>
                <w:szCs w:val="16"/>
              </w:rPr>
              <w:t>.</w:t>
            </w:r>
          </w:p>
        </w:tc>
      </w:tr>
      <w:tr w:rsidR="00FD1E19" w14:paraId="0845F19F" w14:textId="77777777" w:rsidTr="00BE7E4A">
        <w:trPr>
          <w:trHeight w:val="180"/>
        </w:trPr>
        <w:tc>
          <w:tcPr>
            <w:tcW w:w="1255" w:type="dxa"/>
            <w:tcBorders>
              <w:left w:val="nil"/>
              <w:right w:val="nil"/>
            </w:tcBorders>
            <w:noWrap/>
          </w:tcPr>
          <w:p w14:paraId="284CD94E" w14:textId="77777777" w:rsidR="00FD1E19" w:rsidRPr="005808A7" w:rsidRDefault="00FD1E19" w:rsidP="00BE7E4A">
            <w:pPr>
              <w:rPr>
                <w:rFonts w:ascii="Arial" w:hAnsi="Arial"/>
                <w:noProof/>
                <w:sz w:val="16"/>
                <w:szCs w:val="16"/>
                <w:bdr w:val="nil"/>
              </w:rPr>
            </w:pPr>
          </w:p>
        </w:tc>
        <w:tc>
          <w:tcPr>
            <w:tcW w:w="3695" w:type="dxa"/>
            <w:tcBorders>
              <w:left w:val="nil"/>
              <w:right w:val="nil"/>
            </w:tcBorders>
            <w:noWrap/>
          </w:tcPr>
          <w:p w14:paraId="27394268" w14:textId="77777777" w:rsidR="00FD1E19" w:rsidRPr="00E75954" w:rsidRDefault="00FD1E19" w:rsidP="00BE7E4A">
            <w:pPr>
              <w:jc w:val="both"/>
              <w:rPr>
                <w:rFonts w:ascii="Arial" w:hAnsi="Arial"/>
                <w:noProof/>
                <w:sz w:val="16"/>
                <w:szCs w:val="16"/>
                <w:bdr w:val="nil"/>
              </w:rPr>
            </w:pPr>
          </w:p>
        </w:tc>
        <w:tc>
          <w:tcPr>
            <w:tcW w:w="2880" w:type="dxa"/>
            <w:tcBorders>
              <w:left w:val="nil"/>
              <w:right w:val="nil"/>
            </w:tcBorders>
            <w:noWrap/>
          </w:tcPr>
          <w:p w14:paraId="5AB544AE" w14:textId="77777777" w:rsidR="00FD1E19" w:rsidRPr="00673283" w:rsidRDefault="00FD1E19" w:rsidP="00BE7E4A">
            <w:pPr>
              <w:suppressAutoHyphens/>
              <w:jc w:val="both"/>
              <w:rPr>
                <w:rFonts w:ascii="Arial" w:hAnsi="Arial"/>
                <w:noProof/>
                <w:sz w:val="16"/>
                <w:szCs w:val="16"/>
                <w:bdr w:val="nil"/>
              </w:rPr>
            </w:pPr>
          </w:p>
        </w:tc>
        <w:tc>
          <w:tcPr>
            <w:tcW w:w="2075" w:type="dxa"/>
            <w:tcBorders>
              <w:left w:val="nil"/>
              <w:right w:val="nil"/>
            </w:tcBorders>
            <w:noWrap/>
          </w:tcPr>
          <w:p w14:paraId="7718AA30" w14:textId="77777777" w:rsidR="00FD1E19" w:rsidRPr="00673283" w:rsidRDefault="00FD1E19" w:rsidP="00BE7E4A">
            <w:pPr>
              <w:ind w:left="360"/>
              <w:contextualSpacing/>
              <w:jc w:val="both"/>
              <w:rPr>
                <w:rFonts w:ascii="Arial" w:hAnsi="Arial"/>
                <w:noProof/>
                <w:sz w:val="16"/>
                <w:szCs w:val="16"/>
                <w:bdr w:val="nil"/>
              </w:rPr>
            </w:pPr>
          </w:p>
        </w:tc>
      </w:tr>
      <w:tr w:rsidR="00FD1E19" w14:paraId="20396F93" w14:textId="77777777" w:rsidTr="00BE7E4A">
        <w:trPr>
          <w:trHeight w:val="284"/>
        </w:trPr>
        <w:tc>
          <w:tcPr>
            <w:tcW w:w="1255" w:type="dxa"/>
            <w:tcBorders>
              <w:left w:val="nil"/>
              <w:right w:val="nil"/>
            </w:tcBorders>
            <w:noWrap/>
          </w:tcPr>
          <w:p w14:paraId="7E530FBD" w14:textId="77777777" w:rsidR="00FD1E19" w:rsidRPr="005808A7" w:rsidRDefault="00FD1E19" w:rsidP="00BE7E4A">
            <w:pPr>
              <w:pBdr>
                <w:top w:val="nil"/>
                <w:left w:val="nil"/>
                <w:bottom w:val="nil"/>
                <w:right w:val="nil"/>
                <w:between w:val="nil"/>
                <w:bar w:val="nil"/>
              </w:pBdr>
              <w:rPr>
                <w:rFonts w:ascii="Arial" w:hAnsi="Arial"/>
                <w:bCs/>
                <w:noProof/>
                <w:sz w:val="16"/>
                <w:szCs w:val="16"/>
                <w:bdr w:val="nil"/>
              </w:rPr>
            </w:pPr>
            <w:r w:rsidRPr="005808A7">
              <w:rPr>
                <w:rFonts w:ascii="Arial" w:hAnsi="Arial"/>
                <w:noProof/>
                <w:sz w:val="16"/>
                <w:szCs w:val="16"/>
              </w:rPr>
              <w:t>Venture Capital Fu</w:t>
            </w:r>
            <w:r>
              <w:rPr>
                <w:rFonts w:ascii="Arial" w:hAnsi="Arial"/>
                <w:noProof/>
                <w:sz w:val="16"/>
                <w:szCs w:val="16"/>
              </w:rPr>
              <w:t>nd (VCF)</w:t>
            </w:r>
          </w:p>
        </w:tc>
        <w:tc>
          <w:tcPr>
            <w:tcW w:w="3695" w:type="dxa"/>
            <w:tcBorders>
              <w:left w:val="nil"/>
              <w:right w:val="nil"/>
            </w:tcBorders>
            <w:noWrap/>
          </w:tcPr>
          <w:p w14:paraId="538FC197" w14:textId="77777777" w:rsidR="00FD1E19" w:rsidRPr="00C73739" w:rsidRDefault="00FD1E19" w:rsidP="00BE7E4A">
            <w:pPr>
              <w:pBdr>
                <w:top w:val="nil"/>
                <w:left w:val="nil"/>
                <w:bottom w:val="nil"/>
                <w:right w:val="nil"/>
                <w:between w:val="nil"/>
                <w:bar w:val="nil"/>
              </w:pBdr>
              <w:jc w:val="both"/>
              <w:rPr>
                <w:rFonts w:ascii="Arial" w:hAnsi="Arial"/>
                <w:noProof/>
                <w:sz w:val="16"/>
                <w:szCs w:val="16"/>
                <w:bdr w:val="nil"/>
              </w:rPr>
            </w:pPr>
            <w:r w:rsidRPr="00E75954">
              <w:rPr>
                <w:rFonts w:ascii="Arial" w:hAnsi="Arial"/>
                <w:noProof/>
                <w:sz w:val="16"/>
                <w:szCs w:val="16"/>
              </w:rPr>
              <w:t>Adjusted net assets</w:t>
            </w:r>
            <w:r w:rsidRPr="00673283">
              <w:rPr>
                <w:rFonts w:ascii="Arial" w:hAnsi="Arial"/>
                <w:noProof/>
                <w:sz w:val="16"/>
                <w:szCs w:val="16"/>
              </w:rPr>
              <w:t xml:space="preserve"> method: The fair value is determined by applying either the </w:t>
            </w:r>
            <w:r>
              <w:rPr>
                <w:rFonts w:ascii="Arial" w:hAnsi="Arial"/>
                <w:noProof/>
                <w:sz w:val="16"/>
                <w:szCs w:val="16"/>
              </w:rPr>
              <w:t>Facility</w:t>
            </w:r>
            <w:r w:rsidRPr="00E75954">
              <w:rPr>
                <w:rFonts w:ascii="Arial" w:hAnsi="Arial" w:hint="eastAsia"/>
                <w:noProof/>
                <w:sz w:val="16"/>
                <w:szCs w:val="16"/>
              </w:rPr>
              <w:t>’</w:t>
            </w:r>
            <w:r w:rsidRPr="00673283">
              <w:rPr>
                <w:rFonts w:ascii="Arial" w:hAnsi="Arial"/>
                <w:noProof/>
                <w:sz w:val="16"/>
                <w:szCs w:val="16"/>
              </w:rPr>
              <w:t>s percentage ownership in the underlying vehicle to the net asset value reflected in the most recent report adjusted for cash flows or, where available, the precise share value at the same date, submitted by the respective Fund Manager. In order to bridge the interval between the last available N</w:t>
            </w:r>
            <w:r>
              <w:rPr>
                <w:rFonts w:ascii="Arial" w:hAnsi="Arial"/>
                <w:noProof/>
                <w:sz w:val="16"/>
                <w:szCs w:val="16"/>
              </w:rPr>
              <w:t>et assets value (NAV) a</w:t>
            </w:r>
            <w:r w:rsidRPr="00673283">
              <w:rPr>
                <w:rFonts w:ascii="Arial" w:hAnsi="Arial"/>
                <w:noProof/>
                <w:sz w:val="16"/>
                <w:szCs w:val="16"/>
              </w:rPr>
              <w:t>nd the year-end reporting, a subsequent event review procedure is performed and if necessary the reported NAV is adjusted</w:t>
            </w:r>
            <w:r>
              <w:rPr>
                <w:rFonts w:ascii="Arial" w:hAnsi="Arial"/>
                <w:noProof/>
                <w:sz w:val="16"/>
                <w:szCs w:val="16"/>
              </w:rPr>
              <w:t>.</w:t>
            </w:r>
          </w:p>
        </w:tc>
        <w:tc>
          <w:tcPr>
            <w:tcW w:w="2880" w:type="dxa"/>
            <w:tcBorders>
              <w:left w:val="nil"/>
              <w:right w:val="nil"/>
            </w:tcBorders>
            <w:noWrap/>
          </w:tcPr>
          <w:p w14:paraId="4D02A87A" w14:textId="77777777" w:rsidR="00FD1E19" w:rsidRPr="00C73739" w:rsidRDefault="00FD1E19" w:rsidP="00BE7E4A">
            <w:pPr>
              <w:pBdr>
                <w:top w:val="nil"/>
                <w:left w:val="nil"/>
                <w:bottom w:val="nil"/>
                <w:right w:val="nil"/>
                <w:between w:val="nil"/>
                <w:bar w:val="nil"/>
              </w:pBdr>
              <w:suppressAutoHyphens/>
              <w:jc w:val="both"/>
              <w:rPr>
                <w:rFonts w:ascii="Arial" w:hAnsi="Arial"/>
                <w:noProof/>
                <w:sz w:val="16"/>
                <w:szCs w:val="16"/>
                <w:bdr w:val="nil"/>
              </w:rPr>
            </w:pPr>
            <w:r w:rsidRPr="00C73739">
              <w:rPr>
                <w:rFonts w:ascii="Arial" w:hAnsi="Arial"/>
                <w:noProof/>
                <w:sz w:val="16"/>
                <w:szCs w:val="16"/>
              </w:rPr>
              <w:t xml:space="preserve">Adjustment for time elapsed between the </w:t>
            </w:r>
            <w:r>
              <w:rPr>
                <w:rFonts w:ascii="Arial" w:hAnsi="Arial"/>
                <w:noProof/>
                <w:sz w:val="16"/>
                <w:szCs w:val="16"/>
              </w:rPr>
              <w:t xml:space="preserve">last </w:t>
            </w:r>
            <w:r w:rsidRPr="00C73739">
              <w:rPr>
                <w:rFonts w:ascii="Arial" w:hAnsi="Arial"/>
                <w:noProof/>
                <w:sz w:val="16"/>
                <w:szCs w:val="16"/>
              </w:rPr>
              <w:t xml:space="preserve">reporting </w:t>
            </w:r>
            <w:r w:rsidRPr="00FB3B80">
              <w:rPr>
                <w:rFonts w:ascii="Arial" w:hAnsi="Arial"/>
                <w:noProof/>
                <w:sz w:val="16"/>
                <w:szCs w:val="16"/>
              </w:rPr>
              <w:t xml:space="preserve">date </w:t>
            </w:r>
            <w:r>
              <w:rPr>
                <w:rFonts w:ascii="Arial" w:hAnsi="Arial"/>
                <w:noProof/>
                <w:sz w:val="16"/>
                <w:szCs w:val="16"/>
              </w:rPr>
              <w:t xml:space="preserve">of the VCF </w:t>
            </w:r>
            <w:r w:rsidRPr="00C73739">
              <w:rPr>
                <w:rFonts w:ascii="Arial" w:hAnsi="Arial"/>
                <w:noProof/>
                <w:sz w:val="16"/>
                <w:szCs w:val="16"/>
              </w:rPr>
              <w:t xml:space="preserve">and the measurement date, taking into account: operating expenses and management fees, subsequent changes in the fair value of the </w:t>
            </w:r>
            <w:r>
              <w:rPr>
                <w:rFonts w:ascii="Arial" w:hAnsi="Arial"/>
                <w:noProof/>
                <w:sz w:val="16"/>
                <w:szCs w:val="16"/>
              </w:rPr>
              <w:t>VCF</w:t>
            </w:r>
            <w:r w:rsidRPr="00C73739">
              <w:rPr>
                <w:rFonts w:ascii="Arial" w:hAnsi="Arial"/>
                <w:noProof/>
                <w:sz w:val="16"/>
                <w:szCs w:val="16"/>
              </w:rPr>
              <w:t>’s underlying assets, additional liabilities incurred, market changes or other economic condition changes</w:t>
            </w:r>
            <w:r>
              <w:rPr>
                <w:rFonts w:ascii="Arial" w:hAnsi="Arial"/>
                <w:noProof/>
                <w:sz w:val="16"/>
                <w:szCs w:val="16"/>
              </w:rPr>
              <w:t>.</w:t>
            </w:r>
          </w:p>
          <w:p w14:paraId="7A063C5D" w14:textId="77777777" w:rsidR="00FD1E19" w:rsidRPr="00E75954" w:rsidRDefault="00FD1E19" w:rsidP="00BE7E4A">
            <w:pPr>
              <w:ind w:left="360"/>
              <w:contextualSpacing/>
              <w:jc w:val="both"/>
              <w:rPr>
                <w:rFonts w:ascii="Arial" w:hAnsi="Arial"/>
                <w:noProof/>
                <w:sz w:val="16"/>
                <w:szCs w:val="16"/>
                <w:bdr w:val="nil"/>
              </w:rPr>
            </w:pPr>
          </w:p>
        </w:tc>
        <w:tc>
          <w:tcPr>
            <w:tcW w:w="2075" w:type="dxa"/>
            <w:tcBorders>
              <w:left w:val="nil"/>
              <w:right w:val="nil"/>
            </w:tcBorders>
            <w:noWrap/>
          </w:tcPr>
          <w:p w14:paraId="5C46B924" w14:textId="77777777" w:rsidR="00FD1E19" w:rsidRPr="00C73739" w:rsidRDefault="00FD1E19" w:rsidP="00BE7E4A">
            <w:pPr>
              <w:pBdr>
                <w:top w:val="nil"/>
                <w:left w:val="nil"/>
                <w:bottom w:val="nil"/>
                <w:right w:val="nil"/>
                <w:between w:val="nil"/>
                <w:bar w:val="nil"/>
              </w:pBdr>
              <w:suppressAutoHyphens/>
              <w:jc w:val="both"/>
              <w:rPr>
                <w:rFonts w:ascii="Arial" w:hAnsi="Arial"/>
                <w:b/>
                <w:noProof/>
                <w:sz w:val="16"/>
                <w:szCs w:val="16"/>
                <w:bdr w:val="nil"/>
              </w:rPr>
            </w:pPr>
            <w:r w:rsidRPr="00561522">
              <w:rPr>
                <w:rFonts w:ascii="Arial" w:hAnsi="Arial"/>
                <w:noProof/>
                <w:sz w:val="16"/>
                <w:szCs w:val="16"/>
              </w:rPr>
              <w:t xml:space="preserve">The longer the period between the </w:t>
            </w:r>
            <w:r>
              <w:rPr>
                <w:rFonts w:ascii="Arial" w:hAnsi="Arial"/>
                <w:noProof/>
                <w:sz w:val="16"/>
                <w:szCs w:val="16"/>
              </w:rPr>
              <w:t xml:space="preserve">fair value </w:t>
            </w:r>
            <w:r w:rsidRPr="00561522">
              <w:rPr>
                <w:rFonts w:ascii="Arial" w:hAnsi="Arial"/>
                <w:noProof/>
                <w:sz w:val="16"/>
                <w:szCs w:val="16"/>
              </w:rPr>
              <w:t xml:space="preserve">measurement date </w:t>
            </w:r>
            <w:r>
              <w:rPr>
                <w:rFonts w:ascii="Arial" w:hAnsi="Arial"/>
                <w:noProof/>
                <w:sz w:val="16"/>
                <w:szCs w:val="16"/>
              </w:rPr>
              <w:t>and the last reporting date of the VCF</w:t>
            </w:r>
            <w:r w:rsidRPr="00561522">
              <w:rPr>
                <w:rFonts w:ascii="Arial" w:hAnsi="Arial"/>
                <w:noProof/>
                <w:sz w:val="16"/>
                <w:szCs w:val="16"/>
              </w:rPr>
              <w:t>, the higher the adjustment for time elapsed</w:t>
            </w:r>
            <w:r>
              <w:rPr>
                <w:rFonts w:ascii="Arial" w:hAnsi="Arial"/>
                <w:noProof/>
                <w:sz w:val="16"/>
                <w:szCs w:val="16"/>
              </w:rPr>
              <w:t>.</w:t>
            </w:r>
          </w:p>
        </w:tc>
      </w:tr>
      <w:tr w:rsidR="00FD1E19" w14:paraId="713BB0FD" w14:textId="77777777" w:rsidTr="00BE7E4A">
        <w:trPr>
          <w:trHeight w:val="182"/>
        </w:trPr>
        <w:tc>
          <w:tcPr>
            <w:tcW w:w="1255" w:type="dxa"/>
            <w:tcBorders>
              <w:left w:val="nil"/>
              <w:bottom w:val="nil"/>
              <w:right w:val="nil"/>
            </w:tcBorders>
            <w:noWrap/>
          </w:tcPr>
          <w:p w14:paraId="567A178B" w14:textId="77777777" w:rsidR="00FD1E19" w:rsidRPr="005808A7" w:rsidRDefault="00FD1E19" w:rsidP="00BE7E4A">
            <w:pPr>
              <w:rPr>
                <w:rFonts w:ascii="Arial" w:hAnsi="Arial"/>
                <w:noProof/>
                <w:sz w:val="16"/>
                <w:szCs w:val="16"/>
                <w:bdr w:val="nil"/>
              </w:rPr>
            </w:pPr>
          </w:p>
        </w:tc>
        <w:tc>
          <w:tcPr>
            <w:tcW w:w="3695" w:type="dxa"/>
            <w:tcBorders>
              <w:left w:val="nil"/>
              <w:bottom w:val="nil"/>
              <w:right w:val="nil"/>
            </w:tcBorders>
            <w:noWrap/>
          </w:tcPr>
          <w:p w14:paraId="24E611BB" w14:textId="77777777" w:rsidR="00FD1E19" w:rsidRDefault="00FD1E19" w:rsidP="00BE7E4A">
            <w:pPr>
              <w:rPr>
                <w:rFonts w:ascii="Arial" w:hAnsi="Arial"/>
                <w:bCs/>
                <w:noProof/>
                <w:sz w:val="16"/>
                <w:szCs w:val="16"/>
                <w:bdr w:val="nil"/>
              </w:rPr>
            </w:pPr>
          </w:p>
        </w:tc>
        <w:tc>
          <w:tcPr>
            <w:tcW w:w="2880" w:type="dxa"/>
            <w:tcBorders>
              <w:left w:val="nil"/>
              <w:bottom w:val="nil"/>
              <w:right w:val="nil"/>
            </w:tcBorders>
            <w:noWrap/>
          </w:tcPr>
          <w:p w14:paraId="2942EB6E" w14:textId="77777777" w:rsidR="00FD1E19" w:rsidRPr="00133CFA" w:rsidRDefault="00FD1E19" w:rsidP="00BE7E4A">
            <w:pPr>
              <w:rPr>
                <w:rFonts w:ascii="Arial" w:hAnsi="Arial"/>
                <w:bCs/>
                <w:noProof/>
                <w:sz w:val="16"/>
                <w:szCs w:val="16"/>
                <w:bdr w:val="nil"/>
              </w:rPr>
            </w:pPr>
          </w:p>
        </w:tc>
        <w:tc>
          <w:tcPr>
            <w:tcW w:w="2075" w:type="dxa"/>
            <w:tcBorders>
              <w:left w:val="nil"/>
              <w:bottom w:val="nil"/>
              <w:right w:val="nil"/>
            </w:tcBorders>
            <w:noWrap/>
          </w:tcPr>
          <w:p w14:paraId="074EB328" w14:textId="77777777" w:rsidR="00FD1E19" w:rsidRPr="00133CFA" w:rsidRDefault="00FD1E19" w:rsidP="00BE7E4A">
            <w:pPr>
              <w:rPr>
                <w:rFonts w:ascii="Arial" w:hAnsi="Arial"/>
                <w:bCs/>
                <w:noProof/>
                <w:sz w:val="16"/>
                <w:szCs w:val="16"/>
                <w:bdr w:val="nil"/>
              </w:rPr>
            </w:pPr>
          </w:p>
        </w:tc>
      </w:tr>
      <w:tr w:rsidR="00FD1E19" w14:paraId="4DC6F4B4" w14:textId="77777777" w:rsidTr="00BE7E4A">
        <w:trPr>
          <w:trHeight w:val="284"/>
        </w:trPr>
        <w:tc>
          <w:tcPr>
            <w:tcW w:w="1255" w:type="dxa"/>
            <w:tcBorders>
              <w:left w:val="nil"/>
              <w:bottom w:val="nil"/>
              <w:right w:val="nil"/>
            </w:tcBorders>
            <w:noWrap/>
          </w:tcPr>
          <w:p w14:paraId="1A01C13D" w14:textId="77777777" w:rsidR="00FD1E19" w:rsidRPr="005808A7" w:rsidRDefault="00FD1E19" w:rsidP="00BE7E4A">
            <w:pPr>
              <w:pBdr>
                <w:top w:val="nil"/>
                <w:left w:val="nil"/>
                <w:bottom w:val="nil"/>
                <w:right w:val="nil"/>
                <w:between w:val="nil"/>
                <w:bar w:val="nil"/>
              </w:pBdr>
              <w:rPr>
                <w:rFonts w:ascii="Arial" w:hAnsi="Arial"/>
                <w:bCs/>
                <w:noProof/>
                <w:sz w:val="16"/>
                <w:szCs w:val="16"/>
                <w:bdr w:val="nil"/>
              </w:rPr>
            </w:pPr>
            <w:r w:rsidRPr="005808A7">
              <w:rPr>
                <w:rFonts w:ascii="Arial" w:hAnsi="Arial"/>
                <w:noProof/>
                <w:sz w:val="16"/>
                <w:szCs w:val="16"/>
              </w:rPr>
              <w:t>Direct Equity</w:t>
            </w:r>
            <w:r>
              <w:rPr>
                <w:rFonts w:ascii="Arial" w:hAnsi="Arial"/>
                <w:noProof/>
                <w:sz w:val="16"/>
                <w:szCs w:val="16"/>
              </w:rPr>
              <w:t xml:space="preserve"> (DE)</w:t>
            </w:r>
            <w:r w:rsidRPr="005808A7">
              <w:rPr>
                <w:rFonts w:ascii="Arial" w:hAnsi="Arial"/>
                <w:noProof/>
                <w:sz w:val="16"/>
                <w:szCs w:val="16"/>
              </w:rPr>
              <w:t xml:space="preserve"> Investment</w:t>
            </w:r>
          </w:p>
        </w:tc>
        <w:tc>
          <w:tcPr>
            <w:tcW w:w="3695" w:type="dxa"/>
            <w:tcBorders>
              <w:left w:val="nil"/>
              <w:bottom w:val="nil"/>
              <w:right w:val="nil"/>
            </w:tcBorders>
            <w:noWrap/>
          </w:tcPr>
          <w:p w14:paraId="505F0738" w14:textId="77777777" w:rsidR="00FD1E19" w:rsidRPr="002D1160" w:rsidRDefault="00FD1E19" w:rsidP="00BE7E4A">
            <w:pPr>
              <w:pBdr>
                <w:top w:val="nil"/>
                <w:left w:val="nil"/>
                <w:bottom w:val="nil"/>
                <w:right w:val="nil"/>
                <w:between w:val="nil"/>
                <w:bar w:val="nil"/>
              </w:pBdr>
              <w:rPr>
                <w:rFonts w:ascii="Arial" w:hAnsi="Arial"/>
                <w:bCs/>
                <w:noProof/>
                <w:sz w:val="16"/>
                <w:szCs w:val="16"/>
                <w:bdr w:val="nil"/>
              </w:rPr>
            </w:pPr>
            <w:r>
              <w:rPr>
                <w:rFonts w:ascii="Arial" w:hAnsi="Arial"/>
                <w:bCs/>
                <w:noProof/>
                <w:sz w:val="16"/>
                <w:szCs w:val="16"/>
              </w:rPr>
              <w:t>Adjusted net assets.</w:t>
            </w:r>
          </w:p>
        </w:tc>
        <w:tc>
          <w:tcPr>
            <w:tcW w:w="2880" w:type="dxa"/>
            <w:tcBorders>
              <w:left w:val="nil"/>
              <w:bottom w:val="nil"/>
              <w:right w:val="nil"/>
            </w:tcBorders>
            <w:noWrap/>
          </w:tcPr>
          <w:p w14:paraId="68A4C2D0" w14:textId="77777777" w:rsidR="00FD1E19" w:rsidRPr="0034484D" w:rsidRDefault="00FD1E19" w:rsidP="00BE7E4A">
            <w:pPr>
              <w:pBdr>
                <w:top w:val="nil"/>
                <w:left w:val="nil"/>
                <w:bottom w:val="nil"/>
                <w:right w:val="nil"/>
                <w:between w:val="nil"/>
                <w:bar w:val="nil"/>
              </w:pBdr>
              <w:suppressAutoHyphens/>
              <w:jc w:val="both"/>
              <w:rPr>
                <w:rFonts w:ascii="Arial" w:hAnsi="Arial"/>
                <w:b/>
                <w:noProof/>
                <w:sz w:val="16"/>
                <w:szCs w:val="16"/>
                <w:bdr w:val="nil"/>
              </w:rPr>
            </w:pPr>
            <w:r w:rsidRPr="00B81FE2">
              <w:rPr>
                <w:rFonts w:ascii="Arial" w:hAnsi="Arial"/>
                <w:noProof/>
                <w:sz w:val="16"/>
                <w:szCs w:val="16"/>
              </w:rPr>
              <w:t>Adjustment for time elapsed between the</w:t>
            </w:r>
            <w:r>
              <w:rPr>
                <w:rFonts w:ascii="Arial" w:hAnsi="Arial"/>
                <w:noProof/>
                <w:sz w:val="16"/>
                <w:szCs w:val="16"/>
              </w:rPr>
              <w:t xml:space="preserve"> last</w:t>
            </w:r>
            <w:r w:rsidRPr="00B81FE2">
              <w:rPr>
                <w:rFonts w:ascii="Arial" w:hAnsi="Arial"/>
                <w:noProof/>
                <w:sz w:val="16"/>
                <w:szCs w:val="16"/>
              </w:rPr>
              <w:t xml:space="preserve"> reporting date</w:t>
            </w:r>
            <w:r>
              <w:rPr>
                <w:rFonts w:ascii="Arial" w:hAnsi="Arial"/>
                <w:noProof/>
                <w:sz w:val="16"/>
                <w:szCs w:val="16"/>
              </w:rPr>
              <w:t xml:space="preserve"> of the investee</w:t>
            </w:r>
            <w:r w:rsidRPr="00B81FE2">
              <w:rPr>
                <w:rFonts w:ascii="Arial" w:hAnsi="Arial"/>
                <w:noProof/>
                <w:sz w:val="16"/>
                <w:szCs w:val="16"/>
              </w:rPr>
              <w:t xml:space="preserve"> and the measurement date, taking into account: operating expenses, subsequent changes in the fair value of the investee’s underlying assets, additional liabilities incurred, market changes or other economic condition changes</w:t>
            </w:r>
            <w:r>
              <w:rPr>
                <w:rFonts w:ascii="Arial" w:hAnsi="Arial"/>
                <w:noProof/>
                <w:sz w:val="16"/>
                <w:szCs w:val="16"/>
              </w:rPr>
              <w:t>, c</w:t>
            </w:r>
            <w:r>
              <w:rPr>
                <w:rFonts w:ascii="Arial" w:hAnsi="Arial"/>
                <w:bCs/>
                <w:noProof/>
                <w:sz w:val="16"/>
                <w:szCs w:val="16"/>
              </w:rPr>
              <w:t>apital i</w:t>
            </w:r>
            <w:r w:rsidRPr="0034484D">
              <w:rPr>
                <w:rFonts w:ascii="Arial" w:hAnsi="Arial"/>
                <w:bCs/>
                <w:noProof/>
                <w:sz w:val="16"/>
                <w:szCs w:val="16"/>
              </w:rPr>
              <w:t>ncrease</w:t>
            </w:r>
            <w:r>
              <w:rPr>
                <w:rFonts w:ascii="Arial" w:hAnsi="Arial"/>
                <w:bCs/>
                <w:noProof/>
                <w:sz w:val="16"/>
                <w:szCs w:val="16"/>
              </w:rPr>
              <w:t>, sale/c</w:t>
            </w:r>
            <w:r w:rsidRPr="0034484D">
              <w:rPr>
                <w:rFonts w:ascii="Arial" w:hAnsi="Arial"/>
                <w:bCs/>
                <w:noProof/>
                <w:sz w:val="16"/>
                <w:szCs w:val="16"/>
              </w:rPr>
              <w:t xml:space="preserve">hange of </w:t>
            </w:r>
            <w:r>
              <w:rPr>
                <w:rFonts w:ascii="Arial" w:hAnsi="Arial"/>
                <w:bCs/>
                <w:noProof/>
                <w:sz w:val="16"/>
                <w:szCs w:val="16"/>
              </w:rPr>
              <w:t>c</w:t>
            </w:r>
            <w:r w:rsidRPr="0034484D">
              <w:rPr>
                <w:rFonts w:ascii="Arial" w:hAnsi="Arial"/>
                <w:bCs/>
                <w:noProof/>
                <w:sz w:val="16"/>
                <w:szCs w:val="16"/>
              </w:rPr>
              <w:t>ontrol</w:t>
            </w:r>
            <w:r>
              <w:rPr>
                <w:rFonts w:ascii="Arial" w:hAnsi="Arial"/>
                <w:bCs/>
                <w:noProof/>
                <w:sz w:val="16"/>
                <w:szCs w:val="16"/>
              </w:rPr>
              <w:t>.</w:t>
            </w:r>
          </w:p>
        </w:tc>
        <w:tc>
          <w:tcPr>
            <w:tcW w:w="2075" w:type="dxa"/>
            <w:tcBorders>
              <w:left w:val="nil"/>
              <w:bottom w:val="nil"/>
              <w:right w:val="nil"/>
            </w:tcBorders>
            <w:noWrap/>
          </w:tcPr>
          <w:p w14:paraId="13D28CBE" w14:textId="77777777" w:rsidR="00FD1E19" w:rsidRPr="00862020" w:rsidRDefault="00FD1E19" w:rsidP="00BE7E4A">
            <w:pPr>
              <w:pBdr>
                <w:top w:val="nil"/>
                <w:left w:val="nil"/>
                <w:bottom w:val="nil"/>
                <w:right w:val="nil"/>
                <w:between w:val="nil"/>
                <w:bar w:val="nil"/>
              </w:pBdr>
              <w:suppressAutoHyphens/>
              <w:jc w:val="both"/>
              <w:rPr>
                <w:rFonts w:ascii="Arial" w:hAnsi="Arial"/>
                <w:noProof/>
                <w:sz w:val="16"/>
                <w:szCs w:val="16"/>
                <w:bdr w:val="nil"/>
              </w:rPr>
            </w:pPr>
            <w:r w:rsidRPr="00862020">
              <w:rPr>
                <w:rFonts w:ascii="Arial" w:hAnsi="Arial"/>
                <w:noProof/>
                <w:sz w:val="16"/>
                <w:szCs w:val="16"/>
              </w:rPr>
              <w:t>The higher the</w:t>
            </w:r>
          </w:p>
          <w:p w14:paraId="0F6E0D13" w14:textId="77777777" w:rsidR="00FD1E19" w:rsidRPr="00862020" w:rsidRDefault="00FD1E19" w:rsidP="00BE7E4A">
            <w:pPr>
              <w:pBdr>
                <w:top w:val="nil"/>
                <w:left w:val="nil"/>
                <w:bottom w:val="nil"/>
                <w:right w:val="nil"/>
                <w:between w:val="nil"/>
                <w:bar w:val="nil"/>
              </w:pBdr>
              <w:suppressAutoHyphens/>
              <w:jc w:val="both"/>
              <w:rPr>
                <w:rFonts w:ascii="Arial" w:hAnsi="Arial"/>
                <w:noProof/>
                <w:sz w:val="16"/>
                <w:szCs w:val="16"/>
                <w:bdr w:val="nil"/>
              </w:rPr>
            </w:pPr>
            <w:r w:rsidRPr="00862020">
              <w:rPr>
                <w:rFonts w:ascii="Arial" w:hAnsi="Arial"/>
                <w:noProof/>
                <w:sz w:val="16"/>
                <w:szCs w:val="16"/>
              </w:rPr>
              <w:t>marketability discount, the</w:t>
            </w:r>
          </w:p>
          <w:p w14:paraId="0BF84049" w14:textId="77777777" w:rsidR="00FD1E19" w:rsidRPr="00006F00" w:rsidRDefault="00FD1E19" w:rsidP="00BE7E4A">
            <w:pPr>
              <w:pBdr>
                <w:top w:val="nil"/>
                <w:left w:val="nil"/>
                <w:bottom w:val="nil"/>
                <w:right w:val="nil"/>
                <w:between w:val="nil"/>
                <w:bar w:val="nil"/>
              </w:pBdr>
              <w:suppressAutoHyphens/>
              <w:jc w:val="both"/>
              <w:rPr>
                <w:rFonts w:ascii="Arial" w:hAnsi="Arial"/>
                <w:noProof/>
                <w:sz w:val="16"/>
                <w:szCs w:val="16"/>
                <w:bdr w:val="nil"/>
              </w:rPr>
            </w:pPr>
            <w:r w:rsidRPr="00862020">
              <w:rPr>
                <w:rFonts w:ascii="Arial" w:hAnsi="Arial"/>
                <w:noProof/>
                <w:sz w:val="16"/>
                <w:szCs w:val="16"/>
              </w:rPr>
              <w:t>lower the fair value</w:t>
            </w:r>
            <w:r>
              <w:rPr>
                <w:rFonts w:ascii="Arial" w:hAnsi="Arial"/>
                <w:noProof/>
                <w:sz w:val="16"/>
                <w:szCs w:val="16"/>
              </w:rPr>
              <w:t>.</w:t>
            </w:r>
          </w:p>
        </w:tc>
      </w:tr>
      <w:tr w:rsidR="00FD1E19" w14:paraId="3552945E" w14:textId="77777777" w:rsidTr="00BE7E4A">
        <w:trPr>
          <w:trHeight w:val="139"/>
        </w:trPr>
        <w:tc>
          <w:tcPr>
            <w:tcW w:w="1255" w:type="dxa"/>
            <w:tcBorders>
              <w:left w:val="nil"/>
              <w:bottom w:val="nil"/>
              <w:right w:val="nil"/>
            </w:tcBorders>
            <w:noWrap/>
          </w:tcPr>
          <w:p w14:paraId="64A68278" w14:textId="77777777" w:rsidR="00FD1E19" w:rsidRPr="005808A7" w:rsidRDefault="00FD1E19" w:rsidP="00BE7E4A">
            <w:pPr>
              <w:rPr>
                <w:rFonts w:ascii="Arial" w:hAnsi="Arial"/>
                <w:noProof/>
                <w:sz w:val="16"/>
                <w:szCs w:val="16"/>
                <w:bdr w:val="nil"/>
              </w:rPr>
            </w:pPr>
          </w:p>
        </w:tc>
        <w:tc>
          <w:tcPr>
            <w:tcW w:w="3695" w:type="dxa"/>
            <w:tcBorders>
              <w:left w:val="nil"/>
              <w:bottom w:val="nil"/>
              <w:right w:val="nil"/>
            </w:tcBorders>
            <w:noWrap/>
          </w:tcPr>
          <w:p w14:paraId="62E810B4" w14:textId="77777777" w:rsidR="00FD1E19" w:rsidRDefault="00FD1E19" w:rsidP="00BE7E4A">
            <w:pPr>
              <w:rPr>
                <w:rFonts w:ascii="Arial" w:hAnsi="Arial"/>
                <w:bCs/>
                <w:noProof/>
                <w:sz w:val="16"/>
                <w:szCs w:val="16"/>
                <w:bdr w:val="nil"/>
              </w:rPr>
            </w:pPr>
          </w:p>
        </w:tc>
        <w:tc>
          <w:tcPr>
            <w:tcW w:w="2880" w:type="dxa"/>
            <w:tcBorders>
              <w:left w:val="nil"/>
              <w:bottom w:val="nil"/>
              <w:right w:val="nil"/>
            </w:tcBorders>
            <w:noWrap/>
          </w:tcPr>
          <w:p w14:paraId="7BD5C4CB" w14:textId="77777777" w:rsidR="00FD1E19" w:rsidRPr="00CB7909" w:rsidRDefault="00FD1E19" w:rsidP="00BE7E4A">
            <w:pPr>
              <w:suppressAutoHyphens/>
              <w:jc w:val="both"/>
              <w:rPr>
                <w:rFonts w:ascii="Arial" w:hAnsi="Arial"/>
                <w:noProof/>
                <w:sz w:val="16"/>
                <w:szCs w:val="16"/>
                <w:bdr w:val="nil"/>
              </w:rPr>
            </w:pPr>
          </w:p>
        </w:tc>
        <w:tc>
          <w:tcPr>
            <w:tcW w:w="2075" w:type="dxa"/>
            <w:tcBorders>
              <w:left w:val="nil"/>
              <w:bottom w:val="nil"/>
              <w:right w:val="nil"/>
            </w:tcBorders>
            <w:noWrap/>
          </w:tcPr>
          <w:p w14:paraId="52EBA62B" w14:textId="77777777" w:rsidR="00FD1E19" w:rsidRPr="00561522" w:rsidRDefault="00FD1E19" w:rsidP="00BE7E4A">
            <w:pPr>
              <w:rPr>
                <w:rFonts w:ascii="Arial" w:hAnsi="Arial"/>
                <w:noProof/>
                <w:sz w:val="16"/>
                <w:szCs w:val="16"/>
                <w:bdr w:val="nil"/>
              </w:rPr>
            </w:pPr>
          </w:p>
        </w:tc>
      </w:tr>
      <w:tr w:rsidR="00FD1E19" w14:paraId="6C90E99B" w14:textId="77777777" w:rsidTr="00BE7E4A">
        <w:trPr>
          <w:trHeight w:val="284"/>
        </w:trPr>
        <w:tc>
          <w:tcPr>
            <w:tcW w:w="1255" w:type="dxa"/>
            <w:tcBorders>
              <w:left w:val="nil"/>
              <w:bottom w:val="nil"/>
              <w:right w:val="nil"/>
            </w:tcBorders>
            <w:noWrap/>
          </w:tcPr>
          <w:p w14:paraId="3C129E55" w14:textId="77777777" w:rsidR="00FD1E19" w:rsidRPr="005808A7" w:rsidRDefault="00FD1E19" w:rsidP="00BE7E4A">
            <w:pPr>
              <w:rPr>
                <w:rFonts w:ascii="Arial" w:hAnsi="Arial"/>
                <w:noProof/>
                <w:sz w:val="16"/>
                <w:szCs w:val="16"/>
                <w:bdr w:val="nil"/>
              </w:rPr>
            </w:pPr>
          </w:p>
        </w:tc>
        <w:tc>
          <w:tcPr>
            <w:tcW w:w="3695" w:type="dxa"/>
            <w:tcBorders>
              <w:left w:val="nil"/>
              <w:bottom w:val="nil"/>
              <w:right w:val="nil"/>
            </w:tcBorders>
            <w:noWrap/>
          </w:tcPr>
          <w:p w14:paraId="315107F5" w14:textId="77777777" w:rsidR="00FD1E19" w:rsidRDefault="00FD1E19" w:rsidP="00BE7E4A">
            <w:pPr>
              <w:rPr>
                <w:rFonts w:ascii="Arial" w:hAnsi="Arial"/>
                <w:bCs/>
                <w:noProof/>
                <w:sz w:val="16"/>
                <w:szCs w:val="16"/>
                <w:bdr w:val="nil"/>
              </w:rPr>
            </w:pPr>
          </w:p>
        </w:tc>
        <w:tc>
          <w:tcPr>
            <w:tcW w:w="2880" w:type="dxa"/>
            <w:tcBorders>
              <w:left w:val="nil"/>
              <w:bottom w:val="nil"/>
              <w:right w:val="nil"/>
            </w:tcBorders>
            <w:noWrap/>
          </w:tcPr>
          <w:p w14:paraId="0CAB1D1F" w14:textId="77777777" w:rsidR="00FD1E19" w:rsidRPr="001A74E7" w:rsidRDefault="00FD1E19" w:rsidP="00BE7E4A">
            <w:pPr>
              <w:pBdr>
                <w:top w:val="nil"/>
                <w:left w:val="nil"/>
                <w:bottom w:val="nil"/>
                <w:right w:val="nil"/>
                <w:between w:val="nil"/>
                <w:bar w:val="nil"/>
              </w:pBdr>
              <w:suppressAutoHyphens/>
              <w:jc w:val="both"/>
              <w:rPr>
                <w:rFonts w:ascii="Arial" w:hAnsi="Arial"/>
                <w:noProof/>
                <w:sz w:val="16"/>
                <w:szCs w:val="16"/>
                <w:bdr w:val="nil"/>
              </w:rPr>
            </w:pPr>
            <w:r w:rsidRPr="001A74E7">
              <w:rPr>
                <w:rFonts w:ascii="Arial" w:hAnsi="Arial"/>
                <w:noProof/>
                <w:sz w:val="16"/>
                <w:szCs w:val="16"/>
              </w:rPr>
              <w:t>Discount for lack of marketability (liquidity) determined by reference to previous transaction prices for similar equities in the country/region, ranging from 5 to 30%.</w:t>
            </w:r>
          </w:p>
        </w:tc>
        <w:tc>
          <w:tcPr>
            <w:tcW w:w="2075" w:type="dxa"/>
            <w:tcBorders>
              <w:left w:val="nil"/>
              <w:bottom w:val="nil"/>
              <w:right w:val="nil"/>
            </w:tcBorders>
            <w:noWrap/>
          </w:tcPr>
          <w:p w14:paraId="1B88DCF2" w14:textId="77777777" w:rsidR="00FD1E19" w:rsidRPr="001A74E7" w:rsidRDefault="00FD1E19" w:rsidP="00BE7E4A">
            <w:pPr>
              <w:suppressAutoHyphens/>
              <w:jc w:val="both"/>
              <w:rPr>
                <w:rFonts w:ascii="Arial" w:hAnsi="Arial"/>
                <w:b/>
                <w:noProof/>
                <w:sz w:val="16"/>
                <w:szCs w:val="16"/>
                <w:bdr w:val="nil"/>
              </w:rPr>
            </w:pPr>
          </w:p>
        </w:tc>
      </w:tr>
      <w:tr w:rsidR="00FD1E19" w14:paraId="34E7EA05" w14:textId="77777777" w:rsidTr="00BE7E4A">
        <w:trPr>
          <w:trHeight w:val="142"/>
        </w:trPr>
        <w:tc>
          <w:tcPr>
            <w:tcW w:w="1255" w:type="dxa"/>
            <w:tcBorders>
              <w:top w:val="nil"/>
              <w:left w:val="nil"/>
              <w:bottom w:val="single" w:sz="4" w:space="0" w:color="auto"/>
              <w:right w:val="nil"/>
            </w:tcBorders>
            <w:noWrap/>
          </w:tcPr>
          <w:p w14:paraId="0E5EDA45" w14:textId="77777777" w:rsidR="00FD1E19" w:rsidRPr="00862020" w:rsidRDefault="00FD1E19" w:rsidP="00BE7E4A">
            <w:pPr>
              <w:rPr>
                <w:rFonts w:ascii="Arial" w:hAnsi="Arial"/>
                <w:noProof/>
                <w:sz w:val="16"/>
                <w:szCs w:val="16"/>
                <w:bdr w:val="nil"/>
              </w:rPr>
            </w:pPr>
          </w:p>
        </w:tc>
        <w:tc>
          <w:tcPr>
            <w:tcW w:w="3695" w:type="dxa"/>
            <w:tcBorders>
              <w:top w:val="nil"/>
              <w:left w:val="nil"/>
              <w:bottom w:val="single" w:sz="4" w:space="0" w:color="auto"/>
              <w:right w:val="nil"/>
            </w:tcBorders>
            <w:noWrap/>
          </w:tcPr>
          <w:p w14:paraId="67E83F63" w14:textId="77777777" w:rsidR="00FD1E19" w:rsidRPr="00862020" w:rsidRDefault="00FD1E19" w:rsidP="00BE7E4A">
            <w:pPr>
              <w:jc w:val="both"/>
              <w:rPr>
                <w:rFonts w:ascii="Arial" w:hAnsi="Arial"/>
                <w:noProof/>
                <w:sz w:val="16"/>
                <w:szCs w:val="16"/>
                <w:bdr w:val="nil"/>
              </w:rPr>
            </w:pPr>
          </w:p>
        </w:tc>
        <w:tc>
          <w:tcPr>
            <w:tcW w:w="2880" w:type="dxa"/>
            <w:tcBorders>
              <w:top w:val="nil"/>
              <w:left w:val="nil"/>
              <w:bottom w:val="single" w:sz="4" w:space="0" w:color="auto"/>
              <w:right w:val="nil"/>
            </w:tcBorders>
            <w:noWrap/>
          </w:tcPr>
          <w:p w14:paraId="53D4AD41" w14:textId="77777777" w:rsidR="00FD1E19" w:rsidRPr="00862020" w:rsidRDefault="00FD1E19" w:rsidP="00BE7E4A">
            <w:pPr>
              <w:jc w:val="both"/>
              <w:rPr>
                <w:rFonts w:ascii="Arial" w:hAnsi="Arial"/>
                <w:noProof/>
                <w:sz w:val="16"/>
                <w:szCs w:val="16"/>
                <w:bdr w:val="nil"/>
              </w:rPr>
            </w:pPr>
          </w:p>
        </w:tc>
        <w:tc>
          <w:tcPr>
            <w:tcW w:w="2075" w:type="dxa"/>
            <w:tcBorders>
              <w:top w:val="nil"/>
              <w:left w:val="nil"/>
              <w:bottom w:val="single" w:sz="4" w:space="0" w:color="auto"/>
              <w:right w:val="nil"/>
            </w:tcBorders>
            <w:noWrap/>
          </w:tcPr>
          <w:p w14:paraId="21076CDC" w14:textId="77777777" w:rsidR="00FD1E19" w:rsidRPr="00862020" w:rsidRDefault="00FD1E19" w:rsidP="00BE7E4A">
            <w:pPr>
              <w:jc w:val="both"/>
              <w:rPr>
                <w:rFonts w:ascii="Arial" w:hAnsi="Arial"/>
                <w:noProof/>
                <w:sz w:val="16"/>
                <w:szCs w:val="16"/>
                <w:bdr w:val="nil"/>
              </w:rPr>
            </w:pPr>
          </w:p>
        </w:tc>
      </w:tr>
      <w:tr w:rsidR="00FD1E19" w14:paraId="5CEF84DB" w14:textId="77777777" w:rsidTr="00BE7E4A">
        <w:trPr>
          <w:trHeight w:val="2484"/>
        </w:trPr>
        <w:tc>
          <w:tcPr>
            <w:tcW w:w="1255" w:type="dxa"/>
            <w:tcBorders>
              <w:top w:val="nil"/>
              <w:left w:val="nil"/>
              <w:bottom w:val="single" w:sz="4" w:space="0" w:color="auto"/>
              <w:right w:val="nil"/>
            </w:tcBorders>
            <w:noWrap/>
          </w:tcPr>
          <w:p w14:paraId="4009A133" w14:textId="77777777" w:rsidR="00FD1E19" w:rsidRPr="00862020" w:rsidRDefault="00FD1E19" w:rsidP="00BE7E4A">
            <w:pPr>
              <w:pBdr>
                <w:top w:val="nil"/>
                <w:left w:val="nil"/>
                <w:bottom w:val="nil"/>
                <w:right w:val="nil"/>
                <w:between w:val="nil"/>
                <w:bar w:val="nil"/>
              </w:pBdr>
              <w:rPr>
                <w:rFonts w:ascii="Arial" w:hAnsi="Arial"/>
                <w:noProof/>
                <w:sz w:val="16"/>
                <w:szCs w:val="16"/>
                <w:bdr w:val="nil"/>
              </w:rPr>
            </w:pPr>
            <w:r w:rsidRPr="00862020">
              <w:rPr>
                <w:rFonts w:ascii="Arial" w:hAnsi="Arial"/>
                <w:noProof/>
                <w:sz w:val="16"/>
                <w:szCs w:val="16"/>
              </w:rPr>
              <w:t>Loans at fair</w:t>
            </w:r>
          </w:p>
          <w:p w14:paraId="4C7A0422" w14:textId="77777777" w:rsidR="00FD1E19" w:rsidRPr="00862020" w:rsidRDefault="00FD1E19" w:rsidP="00BE7E4A">
            <w:pPr>
              <w:pBdr>
                <w:top w:val="nil"/>
                <w:left w:val="nil"/>
                <w:bottom w:val="nil"/>
                <w:right w:val="nil"/>
                <w:between w:val="nil"/>
                <w:bar w:val="nil"/>
              </w:pBdr>
              <w:rPr>
                <w:rFonts w:ascii="Arial" w:hAnsi="Arial"/>
                <w:noProof/>
                <w:sz w:val="16"/>
                <w:szCs w:val="16"/>
                <w:bdr w:val="nil"/>
              </w:rPr>
            </w:pPr>
            <w:r w:rsidRPr="00862020">
              <w:rPr>
                <w:rFonts w:ascii="Arial" w:hAnsi="Arial"/>
                <w:noProof/>
                <w:sz w:val="16"/>
                <w:szCs w:val="16"/>
              </w:rPr>
              <w:t>value (IFE)</w:t>
            </w:r>
          </w:p>
        </w:tc>
        <w:tc>
          <w:tcPr>
            <w:tcW w:w="3695" w:type="dxa"/>
            <w:tcBorders>
              <w:top w:val="nil"/>
              <w:left w:val="nil"/>
              <w:bottom w:val="single" w:sz="4" w:space="0" w:color="auto"/>
              <w:right w:val="nil"/>
            </w:tcBorders>
            <w:noWrap/>
          </w:tcPr>
          <w:p w14:paraId="7FFD67B0" w14:textId="77777777" w:rsidR="00FD1E19" w:rsidRDefault="00FD1E19" w:rsidP="00BE7E4A">
            <w:pPr>
              <w:pBdr>
                <w:top w:val="nil"/>
                <w:left w:val="nil"/>
                <w:bottom w:val="nil"/>
                <w:right w:val="nil"/>
                <w:between w:val="nil"/>
                <w:bar w:val="nil"/>
              </w:pBdr>
              <w:jc w:val="both"/>
              <w:rPr>
                <w:rFonts w:ascii="Arial" w:hAnsi="Arial"/>
                <w:noProof/>
                <w:sz w:val="16"/>
                <w:szCs w:val="16"/>
                <w:bdr w:val="nil"/>
              </w:rPr>
            </w:pPr>
            <w:r w:rsidRPr="00862020">
              <w:rPr>
                <w:rFonts w:ascii="Arial" w:hAnsi="Arial"/>
                <w:noProof/>
                <w:sz w:val="16"/>
                <w:szCs w:val="16"/>
              </w:rPr>
              <w:t>For going concern borrowers: Discounted cash flow using contractual/expected future cash flows discounted with appropriate risk-adjusted discount rate that captures the risk inherent to the loan (including credit risk of the borrower). The discount rate is compared/assessed with any relevant market benchmark.</w:t>
            </w:r>
          </w:p>
          <w:p w14:paraId="377FB4E3" w14:textId="77777777" w:rsidR="00FD1E19" w:rsidRPr="00862020" w:rsidRDefault="00FD1E19" w:rsidP="00BE7E4A">
            <w:pPr>
              <w:jc w:val="both"/>
              <w:rPr>
                <w:rFonts w:ascii="Arial" w:hAnsi="Arial"/>
                <w:noProof/>
                <w:sz w:val="16"/>
                <w:szCs w:val="16"/>
                <w:bdr w:val="nil"/>
              </w:rPr>
            </w:pPr>
          </w:p>
          <w:p w14:paraId="1655865B" w14:textId="3783D921" w:rsidR="00FD1E19" w:rsidRPr="005808A7" w:rsidRDefault="00FD1E19" w:rsidP="00BE1A2A">
            <w:pPr>
              <w:pBdr>
                <w:top w:val="nil"/>
                <w:left w:val="nil"/>
                <w:bottom w:val="nil"/>
                <w:right w:val="nil"/>
                <w:between w:val="nil"/>
                <w:bar w:val="nil"/>
              </w:pBdr>
              <w:jc w:val="both"/>
              <w:rPr>
                <w:rFonts w:ascii="Arial" w:hAnsi="Arial"/>
                <w:noProof/>
                <w:sz w:val="16"/>
                <w:szCs w:val="16"/>
                <w:bdr w:val="nil"/>
              </w:rPr>
            </w:pPr>
            <w:r w:rsidRPr="00862020">
              <w:rPr>
                <w:rFonts w:ascii="Arial" w:hAnsi="Arial"/>
                <w:noProof/>
                <w:sz w:val="16"/>
                <w:szCs w:val="16"/>
              </w:rPr>
              <w:t>For borrowers not going concern: Net assets approach (liquidation value approach).</w:t>
            </w:r>
          </w:p>
        </w:tc>
        <w:tc>
          <w:tcPr>
            <w:tcW w:w="2880" w:type="dxa"/>
            <w:tcBorders>
              <w:top w:val="nil"/>
              <w:left w:val="nil"/>
              <w:bottom w:val="single" w:sz="4" w:space="0" w:color="auto"/>
              <w:right w:val="nil"/>
            </w:tcBorders>
            <w:noWrap/>
          </w:tcPr>
          <w:p w14:paraId="6A101ADC" w14:textId="77777777" w:rsidR="00FD1E19" w:rsidRPr="005808A7" w:rsidRDefault="00FD1E19" w:rsidP="00BE7E4A">
            <w:pPr>
              <w:pBdr>
                <w:top w:val="nil"/>
                <w:left w:val="nil"/>
                <w:bottom w:val="nil"/>
                <w:right w:val="nil"/>
                <w:between w:val="nil"/>
                <w:bar w:val="nil"/>
              </w:pBdr>
              <w:jc w:val="both"/>
              <w:rPr>
                <w:rFonts w:ascii="Arial" w:hAnsi="Arial"/>
                <w:noProof/>
                <w:sz w:val="16"/>
                <w:szCs w:val="16"/>
                <w:bdr w:val="nil"/>
              </w:rPr>
            </w:pPr>
            <w:r w:rsidRPr="00862020">
              <w:rPr>
                <w:rFonts w:ascii="Arial" w:hAnsi="Arial"/>
                <w:noProof/>
                <w:sz w:val="16"/>
                <w:szCs w:val="16"/>
              </w:rPr>
              <w:t>Components of the discount rate to reflect the credit risk of borrower compared to the risk-free market rates.</w:t>
            </w:r>
          </w:p>
        </w:tc>
        <w:tc>
          <w:tcPr>
            <w:tcW w:w="2075" w:type="dxa"/>
            <w:tcBorders>
              <w:top w:val="nil"/>
              <w:left w:val="nil"/>
              <w:bottom w:val="single" w:sz="4" w:space="0" w:color="auto"/>
              <w:right w:val="nil"/>
            </w:tcBorders>
            <w:noWrap/>
          </w:tcPr>
          <w:p w14:paraId="06E366E8" w14:textId="77777777" w:rsidR="00FD1E19" w:rsidRPr="005808A7" w:rsidRDefault="00FD1E19" w:rsidP="00BE7E4A">
            <w:pPr>
              <w:pBdr>
                <w:top w:val="nil"/>
                <w:left w:val="nil"/>
                <w:bottom w:val="nil"/>
                <w:right w:val="nil"/>
                <w:between w:val="nil"/>
                <w:bar w:val="nil"/>
              </w:pBdr>
              <w:jc w:val="both"/>
              <w:rPr>
                <w:rFonts w:ascii="Arial" w:hAnsi="Arial"/>
                <w:noProof/>
                <w:sz w:val="16"/>
                <w:szCs w:val="16"/>
                <w:bdr w:val="nil"/>
              </w:rPr>
            </w:pPr>
            <w:r w:rsidRPr="00862020">
              <w:rPr>
                <w:rFonts w:ascii="Arial" w:hAnsi="Arial"/>
                <w:noProof/>
                <w:sz w:val="16"/>
                <w:szCs w:val="16"/>
              </w:rPr>
              <w:t>The higher the discount rate the lower the fair value</w:t>
            </w:r>
          </w:p>
        </w:tc>
      </w:tr>
    </w:tbl>
    <w:p w14:paraId="6BC8B6B3" w14:textId="77777777" w:rsidR="00FD1E19" w:rsidRDefault="00FD1E19" w:rsidP="00FD1E19">
      <w:pPr>
        <w:pBdr>
          <w:top w:val="nil"/>
          <w:left w:val="nil"/>
          <w:bottom w:val="nil"/>
          <w:right w:val="nil"/>
          <w:between w:val="nil"/>
          <w:bar w:val="nil"/>
        </w:pBdr>
        <w:suppressAutoHyphens/>
        <w:rPr>
          <w:noProof/>
          <w:bdr w:val="nil"/>
          <w:lang w:eastAsia="ar-SA"/>
        </w:rPr>
      </w:pPr>
    </w:p>
    <w:p w14:paraId="76ACA607" w14:textId="2BFE3EF1" w:rsidR="00FD1E19" w:rsidRPr="00B74F03" w:rsidRDefault="00FD1E19" w:rsidP="00BE1A2A">
      <w:pPr>
        <w:pBdr>
          <w:top w:val="nil"/>
          <w:left w:val="nil"/>
          <w:bottom w:val="nil"/>
          <w:right w:val="nil"/>
          <w:between w:val="nil"/>
          <w:bar w:val="nil"/>
        </w:pBdr>
        <w:rPr>
          <w:rFonts w:ascii="Arial" w:hAnsi="Arial"/>
          <w:b/>
          <w:noProof/>
          <w:sz w:val="16"/>
          <w:szCs w:val="16"/>
          <w:bdr w:val="nil"/>
          <w:lang w:eastAsia="ar-SA"/>
        </w:rPr>
      </w:pPr>
      <w:r w:rsidRPr="009D67D3">
        <w:rPr>
          <w:rFonts w:ascii="Arial" w:hAnsi="Arial"/>
          <w:b/>
          <w:noProof/>
          <w:sz w:val="16"/>
          <w:szCs w:val="16"/>
          <w:lang w:eastAsia="ar-SA"/>
        </w:rPr>
        <w:t>Valuation techniques and significant unobservable inputs</w:t>
      </w:r>
      <w:r>
        <w:rPr>
          <w:rFonts w:ascii="Arial" w:hAnsi="Arial"/>
          <w:b/>
          <w:noProof/>
          <w:sz w:val="16"/>
          <w:szCs w:val="16"/>
          <w:lang w:eastAsia="ar-SA"/>
        </w:rPr>
        <w:t xml:space="preserve"> (continued)</w:t>
      </w:r>
    </w:p>
    <w:tbl>
      <w:tblPr>
        <w:tblW w:w="10013" w:type="dxa"/>
        <w:tblInd w:w="-90" w:type="dxa"/>
        <w:tblLook w:val="0000" w:firstRow="0" w:lastRow="0" w:firstColumn="0" w:lastColumn="0" w:noHBand="0" w:noVBand="0"/>
      </w:tblPr>
      <w:tblGrid>
        <w:gridCol w:w="1224"/>
        <w:gridCol w:w="3686"/>
        <w:gridCol w:w="2835"/>
        <w:gridCol w:w="2268"/>
      </w:tblGrid>
      <w:tr w:rsidR="00FD1E19" w14:paraId="1C0727C5" w14:textId="77777777" w:rsidTr="00BE7E4A">
        <w:trPr>
          <w:trHeight w:val="418"/>
        </w:trPr>
        <w:tc>
          <w:tcPr>
            <w:tcW w:w="1224" w:type="dxa"/>
            <w:tcBorders>
              <w:top w:val="single" w:sz="4" w:space="0" w:color="auto"/>
              <w:left w:val="nil"/>
              <w:bottom w:val="single" w:sz="4" w:space="0" w:color="auto"/>
              <w:right w:val="nil"/>
            </w:tcBorders>
            <w:noWrap/>
          </w:tcPr>
          <w:p w14:paraId="586A5786" w14:textId="77777777" w:rsidR="00FD1E19" w:rsidRDefault="00FD1E19" w:rsidP="00BE7E4A">
            <w:pPr>
              <w:rPr>
                <w:rFonts w:ascii="Arial" w:hAnsi="Arial"/>
                <w:b/>
                <w:noProof/>
                <w:sz w:val="16"/>
                <w:szCs w:val="16"/>
                <w:bdr w:val="nil"/>
              </w:rPr>
            </w:pPr>
          </w:p>
        </w:tc>
        <w:tc>
          <w:tcPr>
            <w:tcW w:w="3686" w:type="dxa"/>
            <w:tcBorders>
              <w:top w:val="single" w:sz="4" w:space="0" w:color="auto"/>
              <w:left w:val="nil"/>
              <w:bottom w:val="single" w:sz="4" w:space="0" w:color="auto"/>
              <w:right w:val="nil"/>
            </w:tcBorders>
            <w:noWrap/>
            <w:vAlign w:val="bottom"/>
          </w:tcPr>
          <w:p w14:paraId="02AC88A0" w14:textId="77777777" w:rsidR="00FD1E19" w:rsidRPr="00FC3E04" w:rsidRDefault="00FD1E19" w:rsidP="00BE7E4A">
            <w:pPr>
              <w:pBdr>
                <w:top w:val="nil"/>
                <w:left w:val="nil"/>
                <w:bottom w:val="nil"/>
                <w:right w:val="nil"/>
                <w:between w:val="nil"/>
                <w:bar w:val="nil"/>
              </w:pBdr>
              <w:rPr>
                <w:rFonts w:ascii="Arial" w:hAnsi="Arial"/>
                <w:b/>
                <w:noProof/>
                <w:sz w:val="16"/>
                <w:szCs w:val="16"/>
                <w:bdr w:val="nil"/>
              </w:rPr>
            </w:pPr>
            <w:r w:rsidRPr="00FC3E04">
              <w:rPr>
                <w:rFonts w:ascii="Arial" w:hAnsi="Arial"/>
                <w:b/>
                <w:noProof/>
                <w:sz w:val="16"/>
                <w:szCs w:val="16"/>
              </w:rPr>
              <w:t>Valuation technique</w:t>
            </w:r>
          </w:p>
        </w:tc>
        <w:tc>
          <w:tcPr>
            <w:tcW w:w="2835" w:type="dxa"/>
            <w:tcBorders>
              <w:top w:val="single" w:sz="4" w:space="0" w:color="auto"/>
              <w:left w:val="nil"/>
              <w:bottom w:val="single" w:sz="4" w:space="0" w:color="auto"/>
              <w:right w:val="nil"/>
            </w:tcBorders>
            <w:noWrap/>
            <w:vAlign w:val="bottom"/>
          </w:tcPr>
          <w:p w14:paraId="3002068B" w14:textId="77777777" w:rsidR="00FD1E19" w:rsidRPr="00FC3E04" w:rsidRDefault="00FD1E19" w:rsidP="00BE7E4A">
            <w:pPr>
              <w:pBdr>
                <w:top w:val="nil"/>
                <w:left w:val="nil"/>
                <w:bottom w:val="nil"/>
                <w:right w:val="nil"/>
                <w:between w:val="nil"/>
                <w:bar w:val="nil"/>
              </w:pBdr>
              <w:rPr>
                <w:rFonts w:ascii="Arial" w:hAnsi="Arial"/>
                <w:b/>
                <w:noProof/>
                <w:sz w:val="16"/>
                <w:szCs w:val="16"/>
                <w:bdr w:val="nil"/>
              </w:rPr>
            </w:pPr>
            <w:r w:rsidRPr="00FC3E04">
              <w:rPr>
                <w:rFonts w:ascii="Arial" w:hAnsi="Arial"/>
                <w:b/>
                <w:noProof/>
                <w:sz w:val="16"/>
                <w:szCs w:val="16"/>
              </w:rPr>
              <w:t>Significant unobservable inputs</w:t>
            </w:r>
          </w:p>
        </w:tc>
        <w:tc>
          <w:tcPr>
            <w:tcW w:w="2268" w:type="dxa"/>
            <w:tcBorders>
              <w:top w:val="single" w:sz="4" w:space="0" w:color="auto"/>
              <w:left w:val="nil"/>
              <w:bottom w:val="single" w:sz="4" w:space="0" w:color="auto"/>
              <w:right w:val="nil"/>
            </w:tcBorders>
            <w:noWrap/>
            <w:vAlign w:val="bottom"/>
          </w:tcPr>
          <w:p w14:paraId="58C1C09D" w14:textId="77777777" w:rsidR="00FD1E19" w:rsidRPr="00FC3E04" w:rsidRDefault="00FD1E19" w:rsidP="00BE7E4A">
            <w:pPr>
              <w:pBdr>
                <w:top w:val="nil"/>
                <w:left w:val="nil"/>
                <w:bottom w:val="nil"/>
                <w:right w:val="nil"/>
                <w:between w:val="nil"/>
                <w:bar w:val="nil"/>
              </w:pBdr>
              <w:rPr>
                <w:rFonts w:ascii="Arial" w:hAnsi="Arial"/>
                <w:b/>
                <w:noProof/>
                <w:sz w:val="16"/>
                <w:szCs w:val="16"/>
                <w:bdr w:val="nil"/>
              </w:rPr>
            </w:pPr>
            <w:r w:rsidRPr="00FC3E04">
              <w:rPr>
                <w:rFonts w:ascii="Arial" w:hAnsi="Arial"/>
                <w:b/>
                <w:noProof/>
                <w:sz w:val="16"/>
                <w:szCs w:val="16"/>
              </w:rPr>
              <w:t>Relationship of unobservable inputs to fair value measurement</w:t>
            </w:r>
          </w:p>
        </w:tc>
      </w:tr>
      <w:tr w:rsidR="00FD1E19" w14:paraId="4E2DAB85" w14:textId="77777777" w:rsidTr="00BE7E4A">
        <w:trPr>
          <w:trHeight w:val="227"/>
        </w:trPr>
        <w:tc>
          <w:tcPr>
            <w:tcW w:w="4910" w:type="dxa"/>
            <w:gridSpan w:val="2"/>
            <w:tcBorders>
              <w:top w:val="single" w:sz="4" w:space="0" w:color="auto"/>
              <w:left w:val="nil"/>
              <w:bottom w:val="nil"/>
              <w:right w:val="nil"/>
            </w:tcBorders>
            <w:noWrap/>
          </w:tcPr>
          <w:p w14:paraId="598D7726" w14:textId="77777777" w:rsidR="00FD1E19" w:rsidRPr="002D1160" w:rsidRDefault="00FD1E19" w:rsidP="00BE7E4A">
            <w:pPr>
              <w:pBdr>
                <w:top w:val="nil"/>
                <w:left w:val="nil"/>
                <w:bottom w:val="nil"/>
                <w:right w:val="nil"/>
                <w:between w:val="nil"/>
                <w:bar w:val="nil"/>
              </w:pBdr>
              <w:rPr>
                <w:rFonts w:ascii="Arial" w:hAnsi="Arial"/>
                <w:noProof/>
                <w:sz w:val="16"/>
                <w:szCs w:val="16"/>
                <w:bdr w:val="nil"/>
              </w:rPr>
            </w:pPr>
            <w:r w:rsidRPr="009056CC">
              <w:rPr>
                <w:rFonts w:ascii="Arial" w:hAnsi="Arial"/>
                <w:b/>
                <w:bCs/>
                <w:noProof/>
                <w:sz w:val="16"/>
                <w:szCs w:val="16"/>
              </w:rPr>
              <w:t xml:space="preserve">Financial </w:t>
            </w:r>
            <w:r>
              <w:rPr>
                <w:rFonts w:ascii="Arial" w:hAnsi="Arial"/>
                <w:b/>
                <w:bCs/>
                <w:noProof/>
                <w:sz w:val="16"/>
                <w:szCs w:val="16"/>
              </w:rPr>
              <w:t>instruments not carried at fair value</w:t>
            </w:r>
          </w:p>
        </w:tc>
        <w:tc>
          <w:tcPr>
            <w:tcW w:w="2835" w:type="dxa"/>
            <w:tcBorders>
              <w:top w:val="single" w:sz="4" w:space="0" w:color="auto"/>
              <w:left w:val="nil"/>
              <w:bottom w:val="nil"/>
              <w:right w:val="nil"/>
            </w:tcBorders>
            <w:noWrap/>
          </w:tcPr>
          <w:p w14:paraId="2320CAB1" w14:textId="77777777" w:rsidR="00FD1E19" w:rsidRPr="002D1160" w:rsidRDefault="00FD1E19" w:rsidP="00BE7E4A">
            <w:pPr>
              <w:rPr>
                <w:rFonts w:ascii="Arial" w:hAnsi="Arial"/>
                <w:noProof/>
                <w:sz w:val="16"/>
                <w:szCs w:val="16"/>
                <w:bdr w:val="nil"/>
              </w:rPr>
            </w:pPr>
          </w:p>
        </w:tc>
        <w:tc>
          <w:tcPr>
            <w:tcW w:w="2268" w:type="dxa"/>
            <w:tcBorders>
              <w:top w:val="single" w:sz="4" w:space="0" w:color="auto"/>
              <w:left w:val="nil"/>
              <w:bottom w:val="nil"/>
              <w:right w:val="nil"/>
            </w:tcBorders>
            <w:noWrap/>
          </w:tcPr>
          <w:p w14:paraId="3C0CB2A1" w14:textId="77777777" w:rsidR="00FD1E19" w:rsidRPr="002D1160" w:rsidRDefault="00FD1E19" w:rsidP="00BE7E4A">
            <w:pPr>
              <w:rPr>
                <w:rFonts w:ascii="Arial" w:hAnsi="Arial"/>
                <w:noProof/>
                <w:sz w:val="16"/>
                <w:szCs w:val="16"/>
                <w:bdr w:val="nil"/>
              </w:rPr>
            </w:pPr>
          </w:p>
        </w:tc>
      </w:tr>
      <w:tr w:rsidR="00FD1E19" w14:paraId="6DBBF4CA" w14:textId="77777777" w:rsidTr="00BE7E4A">
        <w:trPr>
          <w:trHeight w:val="166"/>
        </w:trPr>
        <w:tc>
          <w:tcPr>
            <w:tcW w:w="1224" w:type="dxa"/>
            <w:tcBorders>
              <w:top w:val="nil"/>
              <w:left w:val="nil"/>
              <w:bottom w:val="nil"/>
              <w:right w:val="nil"/>
            </w:tcBorders>
            <w:noWrap/>
          </w:tcPr>
          <w:p w14:paraId="4919EFC6" w14:textId="77777777" w:rsidR="00FD1E19" w:rsidRDefault="00FD1E19" w:rsidP="00BE7E4A">
            <w:pPr>
              <w:rPr>
                <w:rFonts w:ascii="Arial" w:hAnsi="Arial"/>
                <w:noProof/>
                <w:sz w:val="16"/>
                <w:szCs w:val="16"/>
                <w:bdr w:val="nil"/>
              </w:rPr>
            </w:pPr>
          </w:p>
        </w:tc>
        <w:tc>
          <w:tcPr>
            <w:tcW w:w="3686" w:type="dxa"/>
            <w:tcBorders>
              <w:top w:val="nil"/>
              <w:left w:val="nil"/>
              <w:bottom w:val="nil"/>
              <w:right w:val="nil"/>
            </w:tcBorders>
            <w:noWrap/>
          </w:tcPr>
          <w:p w14:paraId="03104C56" w14:textId="77777777" w:rsidR="00FD1E19" w:rsidRPr="00641CD5" w:rsidRDefault="00FD1E19" w:rsidP="00BE7E4A">
            <w:pPr>
              <w:jc w:val="both"/>
              <w:rPr>
                <w:rFonts w:ascii="Arial" w:hAnsi="Arial"/>
                <w:noProof/>
                <w:sz w:val="16"/>
                <w:szCs w:val="16"/>
                <w:bdr w:val="nil"/>
              </w:rPr>
            </w:pPr>
          </w:p>
        </w:tc>
        <w:tc>
          <w:tcPr>
            <w:tcW w:w="2835" w:type="dxa"/>
            <w:tcBorders>
              <w:top w:val="nil"/>
              <w:left w:val="nil"/>
              <w:bottom w:val="nil"/>
              <w:right w:val="nil"/>
            </w:tcBorders>
            <w:noWrap/>
          </w:tcPr>
          <w:p w14:paraId="234D24B5" w14:textId="77777777" w:rsidR="00FD1E19" w:rsidRPr="001B4FC5" w:rsidRDefault="00FD1E19" w:rsidP="00BE7E4A">
            <w:pPr>
              <w:rPr>
                <w:rFonts w:ascii="Arial" w:hAnsi="Arial"/>
                <w:noProof/>
                <w:sz w:val="16"/>
                <w:szCs w:val="16"/>
                <w:bdr w:val="nil"/>
              </w:rPr>
            </w:pPr>
          </w:p>
        </w:tc>
        <w:tc>
          <w:tcPr>
            <w:tcW w:w="2268" w:type="dxa"/>
            <w:tcBorders>
              <w:top w:val="nil"/>
              <w:left w:val="nil"/>
              <w:bottom w:val="nil"/>
              <w:right w:val="nil"/>
            </w:tcBorders>
            <w:noWrap/>
          </w:tcPr>
          <w:p w14:paraId="618606B3" w14:textId="77777777" w:rsidR="00FD1E19" w:rsidRPr="00466780" w:rsidRDefault="00FD1E19" w:rsidP="00BE7E4A">
            <w:pPr>
              <w:rPr>
                <w:rFonts w:ascii="Arial" w:hAnsi="Arial"/>
                <w:noProof/>
                <w:sz w:val="16"/>
                <w:szCs w:val="16"/>
                <w:bdr w:val="nil"/>
              </w:rPr>
            </w:pPr>
          </w:p>
        </w:tc>
      </w:tr>
      <w:tr w:rsidR="00FD1E19" w14:paraId="641B0A3B" w14:textId="77777777" w:rsidTr="00BE7E4A">
        <w:trPr>
          <w:trHeight w:val="289"/>
        </w:trPr>
        <w:tc>
          <w:tcPr>
            <w:tcW w:w="1224" w:type="dxa"/>
            <w:tcBorders>
              <w:top w:val="nil"/>
              <w:left w:val="nil"/>
              <w:bottom w:val="nil"/>
              <w:right w:val="nil"/>
            </w:tcBorders>
            <w:noWrap/>
          </w:tcPr>
          <w:p w14:paraId="5EAADB92" w14:textId="77777777" w:rsidR="00FD1E19" w:rsidRPr="009056CC" w:rsidRDefault="00FD1E19" w:rsidP="00BE7E4A">
            <w:pPr>
              <w:pBdr>
                <w:top w:val="nil"/>
                <w:left w:val="nil"/>
                <w:bottom w:val="nil"/>
                <w:right w:val="nil"/>
                <w:between w:val="nil"/>
                <w:bar w:val="nil"/>
              </w:pBdr>
              <w:rPr>
                <w:rFonts w:ascii="Arial" w:hAnsi="Arial"/>
                <w:noProof/>
                <w:sz w:val="16"/>
                <w:szCs w:val="16"/>
                <w:bdr w:val="nil"/>
              </w:rPr>
            </w:pPr>
            <w:r>
              <w:rPr>
                <w:rFonts w:ascii="Arial" w:hAnsi="Arial"/>
                <w:noProof/>
                <w:sz w:val="16"/>
                <w:szCs w:val="16"/>
              </w:rPr>
              <w:t>Loans and advances</w:t>
            </w:r>
          </w:p>
        </w:tc>
        <w:tc>
          <w:tcPr>
            <w:tcW w:w="3686" w:type="dxa"/>
            <w:tcBorders>
              <w:top w:val="nil"/>
              <w:left w:val="nil"/>
              <w:bottom w:val="nil"/>
              <w:right w:val="nil"/>
            </w:tcBorders>
            <w:noWrap/>
          </w:tcPr>
          <w:p w14:paraId="5BB66959" w14:textId="77777777" w:rsidR="00FD1E19" w:rsidRPr="00C73739" w:rsidRDefault="00FD1E19" w:rsidP="00BE7E4A">
            <w:pPr>
              <w:pBdr>
                <w:top w:val="nil"/>
                <w:left w:val="nil"/>
                <w:bottom w:val="nil"/>
                <w:right w:val="nil"/>
                <w:between w:val="nil"/>
                <w:bar w:val="nil"/>
              </w:pBdr>
              <w:jc w:val="both"/>
              <w:rPr>
                <w:rFonts w:ascii="Arial" w:hAnsi="Arial"/>
                <w:bCs/>
                <w:noProof/>
                <w:sz w:val="16"/>
                <w:szCs w:val="16"/>
                <w:bdr w:val="nil"/>
                <w:lang w:val="en-US"/>
              </w:rPr>
            </w:pPr>
            <w:r w:rsidRPr="007E7B84">
              <w:rPr>
                <w:rFonts w:ascii="Arial" w:hAnsi="Arial"/>
                <w:noProof/>
                <w:sz w:val="16"/>
                <w:szCs w:val="16"/>
              </w:rPr>
              <w:t>Discounted cash flows: The valuation model uses  adjusted discounted cash flow method considering the particular features of the instruments as time and risk of future cashflows.</w:t>
            </w:r>
          </w:p>
        </w:tc>
        <w:tc>
          <w:tcPr>
            <w:tcW w:w="2835" w:type="dxa"/>
            <w:tcBorders>
              <w:top w:val="nil"/>
              <w:left w:val="nil"/>
              <w:bottom w:val="nil"/>
              <w:right w:val="nil"/>
            </w:tcBorders>
            <w:noWrap/>
          </w:tcPr>
          <w:p w14:paraId="7FF45817" w14:textId="77777777" w:rsidR="00FD1E19" w:rsidRPr="002D1160" w:rsidRDefault="00FD1E19" w:rsidP="00BE7E4A">
            <w:pPr>
              <w:pBdr>
                <w:top w:val="nil"/>
                <w:left w:val="nil"/>
                <w:bottom w:val="nil"/>
                <w:right w:val="nil"/>
                <w:between w:val="nil"/>
                <w:bar w:val="nil"/>
              </w:pBdr>
              <w:rPr>
                <w:rFonts w:ascii="Arial" w:hAnsi="Arial"/>
                <w:noProof/>
                <w:sz w:val="16"/>
                <w:szCs w:val="16"/>
                <w:bdr w:val="nil"/>
              </w:rPr>
            </w:pPr>
            <w:r w:rsidRPr="001B4FC5">
              <w:rPr>
                <w:rFonts w:ascii="Arial" w:hAnsi="Arial"/>
                <w:noProof/>
                <w:sz w:val="16"/>
                <w:szCs w:val="16"/>
              </w:rPr>
              <w:t>Not applicable</w:t>
            </w:r>
            <w:r>
              <w:rPr>
                <w:rFonts w:ascii="Arial" w:hAnsi="Arial"/>
                <w:noProof/>
                <w:sz w:val="16"/>
                <w:szCs w:val="16"/>
              </w:rPr>
              <w:t>.</w:t>
            </w:r>
          </w:p>
        </w:tc>
        <w:tc>
          <w:tcPr>
            <w:tcW w:w="2268" w:type="dxa"/>
            <w:tcBorders>
              <w:top w:val="nil"/>
              <w:left w:val="nil"/>
              <w:bottom w:val="nil"/>
              <w:right w:val="nil"/>
            </w:tcBorders>
            <w:noWrap/>
          </w:tcPr>
          <w:p w14:paraId="5BE4659C" w14:textId="77777777" w:rsidR="00FD1E19" w:rsidRPr="002D1160" w:rsidRDefault="00FD1E19" w:rsidP="00BE7E4A">
            <w:pPr>
              <w:pBdr>
                <w:top w:val="nil"/>
                <w:left w:val="nil"/>
                <w:bottom w:val="nil"/>
                <w:right w:val="nil"/>
                <w:between w:val="nil"/>
                <w:bar w:val="nil"/>
              </w:pBdr>
              <w:rPr>
                <w:rFonts w:ascii="Arial" w:hAnsi="Arial"/>
                <w:noProof/>
                <w:sz w:val="16"/>
                <w:szCs w:val="16"/>
                <w:bdr w:val="nil"/>
              </w:rPr>
            </w:pPr>
            <w:r w:rsidRPr="00466780">
              <w:rPr>
                <w:rFonts w:ascii="Arial" w:hAnsi="Arial"/>
                <w:noProof/>
                <w:sz w:val="16"/>
                <w:szCs w:val="16"/>
              </w:rPr>
              <w:t>Not applicable</w:t>
            </w:r>
            <w:r>
              <w:rPr>
                <w:rFonts w:ascii="Arial" w:hAnsi="Arial"/>
                <w:noProof/>
                <w:sz w:val="16"/>
                <w:szCs w:val="16"/>
              </w:rPr>
              <w:t>.</w:t>
            </w:r>
          </w:p>
        </w:tc>
      </w:tr>
      <w:tr w:rsidR="00FD1E19" w14:paraId="0753C2D1" w14:textId="77777777" w:rsidTr="00BE7E4A">
        <w:trPr>
          <w:trHeight w:val="208"/>
        </w:trPr>
        <w:tc>
          <w:tcPr>
            <w:tcW w:w="1224" w:type="dxa"/>
            <w:tcBorders>
              <w:top w:val="nil"/>
              <w:left w:val="nil"/>
              <w:bottom w:val="nil"/>
              <w:right w:val="nil"/>
            </w:tcBorders>
            <w:noWrap/>
          </w:tcPr>
          <w:p w14:paraId="7C645D3C" w14:textId="77777777" w:rsidR="00FD1E19" w:rsidRDefault="00FD1E19" w:rsidP="00BE7E4A">
            <w:pPr>
              <w:rPr>
                <w:rFonts w:ascii="Arial" w:hAnsi="Arial"/>
                <w:noProof/>
                <w:sz w:val="16"/>
                <w:szCs w:val="16"/>
                <w:bdr w:val="nil"/>
              </w:rPr>
            </w:pPr>
          </w:p>
        </w:tc>
        <w:tc>
          <w:tcPr>
            <w:tcW w:w="3686" w:type="dxa"/>
            <w:tcBorders>
              <w:top w:val="nil"/>
              <w:left w:val="nil"/>
              <w:bottom w:val="nil"/>
              <w:right w:val="nil"/>
            </w:tcBorders>
            <w:noWrap/>
          </w:tcPr>
          <w:p w14:paraId="3159C4E7" w14:textId="77777777" w:rsidR="00FD1E19" w:rsidRPr="00E41333" w:rsidRDefault="00FD1E19" w:rsidP="00BE7E4A">
            <w:pPr>
              <w:rPr>
                <w:rFonts w:ascii="Arial" w:hAnsi="Arial"/>
                <w:noProof/>
                <w:sz w:val="16"/>
                <w:szCs w:val="16"/>
                <w:bdr w:val="nil"/>
              </w:rPr>
            </w:pPr>
          </w:p>
        </w:tc>
        <w:tc>
          <w:tcPr>
            <w:tcW w:w="2835" w:type="dxa"/>
            <w:tcBorders>
              <w:top w:val="nil"/>
              <w:left w:val="nil"/>
              <w:bottom w:val="nil"/>
              <w:right w:val="nil"/>
            </w:tcBorders>
            <w:noWrap/>
          </w:tcPr>
          <w:p w14:paraId="5BE3A05E" w14:textId="77777777" w:rsidR="00FD1E19" w:rsidRPr="001B4FC5" w:rsidRDefault="00FD1E19" w:rsidP="00BE7E4A">
            <w:pPr>
              <w:rPr>
                <w:rFonts w:ascii="Arial" w:hAnsi="Arial"/>
                <w:noProof/>
                <w:sz w:val="16"/>
                <w:szCs w:val="16"/>
                <w:bdr w:val="nil"/>
              </w:rPr>
            </w:pPr>
          </w:p>
        </w:tc>
        <w:tc>
          <w:tcPr>
            <w:tcW w:w="2268" w:type="dxa"/>
            <w:tcBorders>
              <w:top w:val="nil"/>
              <w:left w:val="nil"/>
              <w:bottom w:val="nil"/>
              <w:right w:val="nil"/>
            </w:tcBorders>
            <w:noWrap/>
          </w:tcPr>
          <w:p w14:paraId="468C16CE" w14:textId="77777777" w:rsidR="00FD1E19" w:rsidRPr="00E41333" w:rsidRDefault="00FD1E19" w:rsidP="00BE7E4A">
            <w:pPr>
              <w:rPr>
                <w:rFonts w:ascii="Arial" w:hAnsi="Arial"/>
                <w:noProof/>
                <w:sz w:val="16"/>
                <w:szCs w:val="16"/>
                <w:bdr w:val="nil"/>
              </w:rPr>
            </w:pPr>
          </w:p>
        </w:tc>
      </w:tr>
      <w:tr w:rsidR="00FD1E19" w14:paraId="0E6F082A" w14:textId="77777777" w:rsidTr="00BE7E4A">
        <w:trPr>
          <w:trHeight w:val="289"/>
        </w:trPr>
        <w:tc>
          <w:tcPr>
            <w:tcW w:w="1224" w:type="dxa"/>
            <w:tcBorders>
              <w:top w:val="nil"/>
              <w:left w:val="nil"/>
              <w:bottom w:val="nil"/>
              <w:right w:val="nil"/>
            </w:tcBorders>
            <w:noWrap/>
          </w:tcPr>
          <w:p w14:paraId="33658792" w14:textId="77777777" w:rsidR="00FD1E19" w:rsidRDefault="00FD1E19" w:rsidP="00BE7E4A">
            <w:pPr>
              <w:pBdr>
                <w:top w:val="nil"/>
                <w:left w:val="nil"/>
                <w:bottom w:val="nil"/>
                <w:right w:val="nil"/>
                <w:between w:val="nil"/>
                <w:bar w:val="nil"/>
              </w:pBdr>
              <w:rPr>
                <w:rFonts w:ascii="Arial" w:hAnsi="Arial"/>
                <w:noProof/>
                <w:sz w:val="16"/>
                <w:szCs w:val="16"/>
                <w:bdr w:val="nil"/>
              </w:rPr>
            </w:pPr>
            <w:r>
              <w:rPr>
                <w:rFonts w:ascii="Arial" w:hAnsi="Arial"/>
                <w:noProof/>
                <w:sz w:val="16"/>
                <w:szCs w:val="16"/>
              </w:rPr>
              <w:t>Treasury financial assets</w:t>
            </w:r>
          </w:p>
          <w:p w14:paraId="590EB5FE" w14:textId="77777777" w:rsidR="00FD1E19" w:rsidRPr="00C73739" w:rsidRDefault="00FD1E19" w:rsidP="00BE7E4A">
            <w:pPr>
              <w:rPr>
                <w:rFonts w:ascii="Arial" w:hAnsi="Arial"/>
                <w:noProof/>
                <w:sz w:val="16"/>
                <w:szCs w:val="16"/>
                <w:bdr w:val="nil"/>
              </w:rPr>
            </w:pPr>
          </w:p>
        </w:tc>
        <w:tc>
          <w:tcPr>
            <w:tcW w:w="3686" w:type="dxa"/>
            <w:tcBorders>
              <w:top w:val="nil"/>
              <w:left w:val="nil"/>
              <w:bottom w:val="nil"/>
              <w:right w:val="nil"/>
            </w:tcBorders>
            <w:noWrap/>
          </w:tcPr>
          <w:p w14:paraId="2468B5D4" w14:textId="77777777" w:rsidR="00FD1E19" w:rsidRPr="00C73739" w:rsidRDefault="00FD1E19" w:rsidP="00BE7E4A">
            <w:pPr>
              <w:pBdr>
                <w:top w:val="nil"/>
                <w:left w:val="nil"/>
                <w:bottom w:val="nil"/>
                <w:right w:val="nil"/>
                <w:between w:val="nil"/>
                <w:bar w:val="nil"/>
              </w:pBdr>
              <w:rPr>
                <w:rFonts w:ascii="Arial" w:hAnsi="Arial"/>
                <w:noProof/>
                <w:sz w:val="16"/>
                <w:szCs w:val="16"/>
                <w:bdr w:val="nil"/>
              </w:rPr>
            </w:pPr>
            <w:r w:rsidRPr="00E41333">
              <w:rPr>
                <w:rFonts w:ascii="Arial" w:hAnsi="Arial"/>
                <w:noProof/>
                <w:sz w:val="16"/>
                <w:szCs w:val="16"/>
              </w:rPr>
              <w:t>Discounted cash flows</w:t>
            </w:r>
            <w:r>
              <w:rPr>
                <w:rFonts w:ascii="Arial" w:hAnsi="Arial"/>
                <w:noProof/>
                <w:sz w:val="16"/>
                <w:szCs w:val="16"/>
              </w:rPr>
              <w:t>.</w:t>
            </w:r>
          </w:p>
        </w:tc>
        <w:tc>
          <w:tcPr>
            <w:tcW w:w="2835" w:type="dxa"/>
            <w:tcBorders>
              <w:top w:val="nil"/>
              <w:left w:val="nil"/>
              <w:bottom w:val="nil"/>
              <w:right w:val="nil"/>
            </w:tcBorders>
            <w:noWrap/>
          </w:tcPr>
          <w:p w14:paraId="601456B6" w14:textId="77777777" w:rsidR="00FD1E19" w:rsidRPr="00C73739" w:rsidRDefault="00FD1E19" w:rsidP="00BE7E4A">
            <w:pPr>
              <w:pBdr>
                <w:top w:val="nil"/>
                <w:left w:val="nil"/>
                <w:bottom w:val="nil"/>
                <w:right w:val="nil"/>
                <w:between w:val="nil"/>
                <w:bar w:val="nil"/>
              </w:pBdr>
              <w:rPr>
                <w:rFonts w:ascii="Arial" w:hAnsi="Arial"/>
                <w:noProof/>
                <w:sz w:val="16"/>
                <w:szCs w:val="16"/>
                <w:bdr w:val="nil"/>
              </w:rPr>
            </w:pPr>
            <w:r w:rsidRPr="001B4FC5">
              <w:rPr>
                <w:rFonts w:ascii="Arial" w:hAnsi="Arial"/>
                <w:noProof/>
                <w:sz w:val="16"/>
                <w:szCs w:val="16"/>
              </w:rPr>
              <w:t>Not applicable</w:t>
            </w:r>
            <w:r>
              <w:rPr>
                <w:rFonts w:ascii="Arial" w:hAnsi="Arial"/>
                <w:noProof/>
                <w:sz w:val="16"/>
                <w:szCs w:val="16"/>
              </w:rPr>
              <w:t>.</w:t>
            </w:r>
          </w:p>
        </w:tc>
        <w:tc>
          <w:tcPr>
            <w:tcW w:w="2268" w:type="dxa"/>
            <w:tcBorders>
              <w:top w:val="nil"/>
              <w:left w:val="nil"/>
              <w:bottom w:val="nil"/>
              <w:right w:val="nil"/>
            </w:tcBorders>
            <w:noWrap/>
          </w:tcPr>
          <w:p w14:paraId="074F7603" w14:textId="77777777" w:rsidR="00FD1E19" w:rsidRPr="00E41333" w:rsidRDefault="00FD1E19" w:rsidP="00BE7E4A">
            <w:pPr>
              <w:pBdr>
                <w:top w:val="nil"/>
                <w:left w:val="nil"/>
                <w:bottom w:val="nil"/>
                <w:right w:val="nil"/>
                <w:between w:val="nil"/>
                <w:bar w:val="nil"/>
              </w:pBdr>
              <w:rPr>
                <w:rFonts w:ascii="Arial" w:hAnsi="Arial"/>
                <w:noProof/>
                <w:sz w:val="16"/>
                <w:szCs w:val="16"/>
                <w:bdr w:val="nil"/>
              </w:rPr>
            </w:pPr>
            <w:r w:rsidRPr="00466780">
              <w:rPr>
                <w:rFonts w:ascii="Arial" w:hAnsi="Arial"/>
                <w:noProof/>
                <w:sz w:val="16"/>
                <w:szCs w:val="16"/>
              </w:rPr>
              <w:t>Not applicable</w:t>
            </w:r>
            <w:r>
              <w:rPr>
                <w:rFonts w:ascii="Arial" w:hAnsi="Arial"/>
                <w:noProof/>
                <w:sz w:val="16"/>
                <w:szCs w:val="16"/>
              </w:rPr>
              <w:t>.</w:t>
            </w:r>
          </w:p>
        </w:tc>
      </w:tr>
    </w:tbl>
    <w:p w14:paraId="5498FA24" w14:textId="77777777" w:rsidR="00FD1E19" w:rsidRDefault="00FD1E19" w:rsidP="00FD1E19">
      <w:pPr>
        <w:pBdr>
          <w:top w:val="nil"/>
          <w:left w:val="nil"/>
          <w:bottom w:val="nil"/>
          <w:right w:val="nil"/>
          <w:between w:val="nil"/>
          <w:bar w:val="nil"/>
        </w:pBdr>
        <w:suppressAutoHyphens/>
        <w:jc w:val="both"/>
        <w:rPr>
          <w:rFonts w:ascii="Arial" w:hAnsi="Arial"/>
          <w:iCs/>
          <w:noProof/>
          <w:sz w:val="16"/>
          <w:szCs w:val="16"/>
          <w:bdr w:val="nil"/>
          <w:lang w:eastAsia="ar-SA"/>
        </w:rPr>
      </w:pPr>
    </w:p>
    <w:p w14:paraId="0BC10A7A" w14:textId="77777777" w:rsidR="00FD1E19" w:rsidRDefault="00FD1E19" w:rsidP="00FD1E19">
      <w:pPr>
        <w:pBdr>
          <w:top w:val="nil"/>
          <w:left w:val="nil"/>
          <w:bottom w:val="nil"/>
          <w:right w:val="nil"/>
          <w:between w:val="nil"/>
          <w:bar w:val="nil"/>
        </w:pBdr>
        <w:suppressAutoHyphens/>
        <w:spacing w:after="60"/>
        <w:jc w:val="both"/>
        <w:rPr>
          <w:rFonts w:ascii="Arial" w:hAnsi="Arial"/>
          <w:iCs/>
          <w:noProof/>
          <w:sz w:val="16"/>
          <w:szCs w:val="16"/>
          <w:bdr w:val="nil"/>
          <w:lang w:eastAsia="ar-SA"/>
        </w:rPr>
      </w:pPr>
      <w:r w:rsidRPr="00FB71CC">
        <w:rPr>
          <w:rFonts w:ascii="Arial" w:hAnsi="Arial"/>
          <w:iCs/>
          <w:noProof/>
          <w:sz w:val="16"/>
          <w:szCs w:val="16"/>
          <w:lang w:eastAsia="ar-SA"/>
        </w:rPr>
        <w:t>With the application of IFRS 13, valuation adjustments are included in the fair valu</w:t>
      </w:r>
      <w:r>
        <w:rPr>
          <w:rFonts w:ascii="Arial" w:hAnsi="Arial"/>
          <w:iCs/>
          <w:noProof/>
          <w:sz w:val="16"/>
          <w:szCs w:val="16"/>
          <w:lang w:eastAsia="ar-SA"/>
        </w:rPr>
        <w:t>e</w:t>
      </w:r>
      <w:r w:rsidRPr="00FB71CC">
        <w:rPr>
          <w:rFonts w:ascii="Arial" w:hAnsi="Arial"/>
          <w:iCs/>
          <w:noProof/>
          <w:sz w:val="16"/>
          <w:szCs w:val="16"/>
          <w:lang w:eastAsia="ar-SA"/>
        </w:rPr>
        <w:t xml:space="preserve"> of derivatives </w:t>
      </w:r>
      <w:r>
        <w:rPr>
          <w:rFonts w:ascii="Arial" w:hAnsi="Arial"/>
          <w:iCs/>
          <w:noProof/>
          <w:sz w:val="16"/>
          <w:szCs w:val="16"/>
          <w:lang w:eastAsia="ar-SA"/>
        </w:rPr>
        <w:t xml:space="preserve">as </w:t>
      </w:r>
      <w:r w:rsidRPr="00FB71CC">
        <w:rPr>
          <w:rFonts w:ascii="Arial" w:hAnsi="Arial"/>
          <w:iCs/>
          <w:noProof/>
          <w:sz w:val="16"/>
          <w:szCs w:val="16"/>
          <w:lang w:eastAsia="ar-SA"/>
        </w:rPr>
        <w:t xml:space="preserve">at 31 December </w:t>
      </w:r>
      <w:r w:rsidRPr="005E0439">
        <w:rPr>
          <w:rFonts w:ascii="Arial" w:hAnsi="Arial"/>
          <w:iCs/>
          <w:noProof/>
          <w:sz w:val="16"/>
          <w:szCs w:val="16"/>
          <w:lang w:eastAsia="ar-SA"/>
        </w:rPr>
        <w:t>2025</w:t>
      </w:r>
      <w:r>
        <w:rPr>
          <w:rFonts w:ascii="Arial" w:hAnsi="Arial"/>
          <w:iCs/>
          <w:noProof/>
          <w:sz w:val="16"/>
          <w:szCs w:val="16"/>
          <w:lang w:eastAsia="ar-SA"/>
        </w:rPr>
        <w:t xml:space="preserve"> and </w:t>
      </w:r>
      <w:r w:rsidRPr="005E0439">
        <w:rPr>
          <w:rFonts w:ascii="Arial" w:hAnsi="Arial"/>
          <w:iCs/>
          <w:noProof/>
          <w:sz w:val="16"/>
          <w:szCs w:val="16"/>
          <w:lang w:eastAsia="ar-SA"/>
        </w:rPr>
        <w:t>2024</w:t>
      </w:r>
      <w:r w:rsidRPr="00FB71CC">
        <w:rPr>
          <w:rFonts w:ascii="Arial" w:hAnsi="Arial"/>
          <w:iCs/>
          <w:noProof/>
          <w:sz w:val="16"/>
          <w:szCs w:val="16"/>
          <w:lang w:eastAsia="ar-SA"/>
        </w:rPr>
        <w:t>, namely</w:t>
      </w:r>
      <w:r w:rsidRPr="009734AD">
        <w:rPr>
          <w:rFonts w:ascii="Arial" w:hAnsi="Arial"/>
          <w:iCs/>
          <w:noProof/>
          <w:sz w:val="16"/>
          <w:szCs w:val="16"/>
          <w:lang w:eastAsia="ar-SA"/>
        </w:rPr>
        <w:t>:</w:t>
      </w:r>
    </w:p>
    <w:p w14:paraId="07BBA42B" w14:textId="77777777" w:rsidR="00FD1E19" w:rsidRDefault="00FD1E19" w:rsidP="00FD1E19">
      <w:pPr>
        <w:pBdr>
          <w:top w:val="nil"/>
          <w:left w:val="nil"/>
          <w:bottom w:val="nil"/>
          <w:right w:val="nil"/>
          <w:between w:val="nil"/>
          <w:bar w:val="nil"/>
        </w:pBdr>
        <w:suppressAutoHyphens/>
        <w:jc w:val="both"/>
        <w:rPr>
          <w:rFonts w:ascii="Arial" w:hAnsi="Arial"/>
          <w:iCs/>
          <w:noProof/>
          <w:sz w:val="16"/>
          <w:szCs w:val="16"/>
          <w:bdr w:val="nil"/>
          <w:lang w:eastAsia="ar-SA"/>
        </w:rPr>
      </w:pPr>
    </w:p>
    <w:p w14:paraId="4495C1CA" w14:textId="77777777" w:rsidR="00FD1E19" w:rsidRPr="00C73739" w:rsidRDefault="00FD1E19" w:rsidP="00FD1E19">
      <w:pPr>
        <w:numPr>
          <w:ilvl w:val="0"/>
          <w:numId w:val="75"/>
        </w:numPr>
        <w:pBdr>
          <w:top w:val="nil"/>
          <w:left w:val="nil"/>
          <w:bottom w:val="nil"/>
          <w:right w:val="nil"/>
          <w:between w:val="nil"/>
          <w:bar w:val="nil"/>
        </w:pBdr>
        <w:suppressAutoHyphens/>
        <w:spacing w:after="0" w:line="240" w:lineRule="auto"/>
        <w:contextualSpacing/>
        <w:jc w:val="both"/>
        <w:rPr>
          <w:rFonts w:ascii="Arial" w:hAnsi="Arial"/>
          <w:iCs/>
          <w:noProof/>
          <w:sz w:val="16"/>
          <w:szCs w:val="16"/>
          <w:bdr w:val="nil"/>
          <w:lang w:eastAsia="ar-SA"/>
        </w:rPr>
      </w:pPr>
      <w:r w:rsidRPr="00C73739">
        <w:rPr>
          <w:rFonts w:ascii="Arial" w:hAnsi="Arial"/>
          <w:iCs/>
          <w:noProof/>
          <w:sz w:val="16"/>
          <w:szCs w:val="16"/>
          <w:lang w:eastAsia="ar-SA"/>
        </w:rPr>
        <w:t>Credit valuation adjustments (CVA), reflecting counterparty credit risk on deriva</w:t>
      </w:r>
      <w:r>
        <w:rPr>
          <w:rFonts w:ascii="Arial" w:hAnsi="Arial"/>
          <w:iCs/>
          <w:noProof/>
          <w:sz w:val="16"/>
          <w:szCs w:val="16"/>
          <w:lang w:eastAsia="ar-SA"/>
        </w:rPr>
        <w:t xml:space="preserve">tive transactions, amounting to </w:t>
      </w:r>
      <w:r w:rsidRPr="00C73739">
        <w:rPr>
          <w:rFonts w:ascii="Arial" w:hAnsi="Arial"/>
          <w:iCs/>
          <w:noProof/>
          <w:sz w:val="16"/>
          <w:szCs w:val="16"/>
          <w:lang w:eastAsia="ar-SA"/>
        </w:rPr>
        <w:t>EUR</w:t>
      </w:r>
      <w:r>
        <w:rPr>
          <w:rFonts w:ascii="Arial" w:hAnsi="Arial"/>
          <w:iCs/>
          <w:noProof/>
          <w:sz w:val="16"/>
          <w:szCs w:val="16"/>
          <w:lang w:eastAsia="ar-SA"/>
        </w:rPr>
        <w:t xml:space="preserve"> -17.5k as at </w:t>
      </w:r>
      <w:r w:rsidRPr="00FB71CC">
        <w:rPr>
          <w:rFonts w:ascii="Arial" w:hAnsi="Arial"/>
          <w:iCs/>
          <w:noProof/>
          <w:sz w:val="16"/>
          <w:szCs w:val="16"/>
          <w:lang w:eastAsia="ar-SA"/>
        </w:rPr>
        <w:t>31</w:t>
      </w:r>
      <w:r>
        <w:rPr>
          <w:rFonts w:ascii="Arial" w:hAnsi="Arial"/>
          <w:iCs/>
          <w:noProof/>
          <w:sz w:val="16"/>
          <w:szCs w:val="16"/>
          <w:lang w:eastAsia="ar-SA"/>
        </w:rPr>
        <w:t> </w:t>
      </w:r>
      <w:r w:rsidRPr="00FB71CC">
        <w:rPr>
          <w:rFonts w:ascii="Arial" w:hAnsi="Arial"/>
          <w:iCs/>
          <w:noProof/>
          <w:sz w:val="16"/>
          <w:szCs w:val="16"/>
          <w:lang w:eastAsia="ar-SA"/>
        </w:rPr>
        <w:t>Decem</w:t>
      </w:r>
      <w:r>
        <w:rPr>
          <w:rFonts w:ascii="Arial" w:hAnsi="Arial"/>
          <w:iCs/>
          <w:noProof/>
          <w:sz w:val="16"/>
          <w:szCs w:val="16"/>
          <w:lang w:eastAsia="ar-SA"/>
        </w:rPr>
        <w:t xml:space="preserve">ber </w:t>
      </w:r>
      <w:r w:rsidRPr="005E0439">
        <w:rPr>
          <w:rFonts w:ascii="Arial" w:hAnsi="Arial"/>
          <w:iCs/>
          <w:noProof/>
          <w:sz w:val="16"/>
          <w:szCs w:val="16"/>
          <w:lang w:eastAsia="ar-SA"/>
        </w:rPr>
        <w:t>2025</w:t>
      </w:r>
      <w:r>
        <w:rPr>
          <w:rFonts w:ascii="Arial" w:hAnsi="Arial"/>
          <w:iCs/>
          <w:noProof/>
          <w:sz w:val="16"/>
          <w:szCs w:val="16"/>
          <w:lang w:eastAsia="ar-SA"/>
        </w:rPr>
        <w:t xml:space="preserve"> and to </w:t>
      </w:r>
      <w:r w:rsidRPr="00C73739">
        <w:rPr>
          <w:rFonts w:ascii="Arial" w:hAnsi="Arial"/>
          <w:iCs/>
          <w:noProof/>
          <w:sz w:val="16"/>
          <w:szCs w:val="16"/>
          <w:lang w:eastAsia="ar-SA"/>
        </w:rPr>
        <w:t>EUR</w:t>
      </w:r>
      <w:r>
        <w:rPr>
          <w:rFonts w:ascii="Arial" w:hAnsi="Arial"/>
          <w:iCs/>
          <w:noProof/>
          <w:sz w:val="16"/>
          <w:szCs w:val="16"/>
          <w:lang w:eastAsia="ar-SA"/>
        </w:rPr>
        <w:t xml:space="preserve"> -2.8k as at 31 December </w:t>
      </w:r>
      <w:r w:rsidRPr="005E0439">
        <w:rPr>
          <w:rFonts w:ascii="Arial" w:hAnsi="Arial"/>
          <w:iCs/>
          <w:noProof/>
          <w:sz w:val="16"/>
          <w:szCs w:val="16"/>
          <w:lang w:eastAsia="ar-SA"/>
        </w:rPr>
        <w:t>2024</w:t>
      </w:r>
      <w:r>
        <w:rPr>
          <w:rFonts w:ascii="Arial" w:hAnsi="Arial"/>
          <w:iCs/>
          <w:noProof/>
          <w:sz w:val="16"/>
          <w:szCs w:val="16"/>
          <w:lang w:eastAsia="ar-SA"/>
        </w:rPr>
        <w:t>.</w:t>
      </w:r>
      <w:r w:rsidRPr="00C73739">
        <w:rPr>
          <w:rFonts w:ascii="Arial" w:hAnsi="Arial"/>
          <w:iCs/>
          <w:noProof/>
          <w:sz w:val="16"/>
          <w:szCs w:val="16"/>
          <w:lang w:eastAsia="ar-SA"/>
        </w:rPr>
        <w:t xml:space="preserve"> </w:t>
      </w:r>
    </w:p>
    <w:p w14:paraId="403836C1" w14:textId="77777777" w:rsidR="00FD1E19" w:rsidRPr="00416C84" w:rsidRDefault="00FD1E19" w:rsidP="00FD1E19">
      <w:pPr>
        <w:numPr>
          <w:ilvl w:val="0"/>
          <w:numId w:val="75"/>
        </w:numPr>
        <w:pBdr>
          <w:top w:val="nil"/>
          <w:left w:val="nil"/>
          <w:bottom w:val="nil"/>
          <w:right w:val="nil"/>
          <w:between w:val="nil"/>
          <w:bar w:val="nil"/>
        </w:pBdr>
        <w:suppressAutoHyphens/>
        <w:spacing w:before="60" w:after="60" w:line="240" w:lineRule="auto"/>
        <w:ind w:left="714" w:hanging="357"/>
        <w:contextualSpacing/>
        <w:jc w:val="both"/>
        <w:rPr>
          <w:rFonts w:ascii="Arial" w:hAnsi="Arial"/>
          <w:iCs/>
          <w:noProof/>
          <w:sz w:val="16"/>
          <w:szCs w:val="16"/>
          <w:bdr w:val="nil"/>
          <w:lang w:eastAsia="ar-SA"/>
        </w:rPr>
      </w:pPr>
      <w:r w:rsidRPr="00D6244E">
        <w:rPr>
          <w:rFonts w:ascii="Arial" w:hAnsi="Arial"/>
          <w:iCs/>
          <w:noProof/>
          <w:sz w:val="16"/>
          <w:szCs w:val="16"/>
          <w:lang w:eastAsia="ar-SA"/>
        </w:rPr>
        <w:t xml:space="preserve">Debit valuation adjustments (DVA), reflecting own credit risk on derivative transactions, </w:t>
      </w:r>
      <w:r>
        <w:rPr>
          <w:rFonts w:ascii="Arial" w:hAnsi="Arial"/>
          <w:iCs/>
          <w:noProof/>
          <w:sz w:val="16"/>
          <w:szCs w:val="16"/>
          <w:lang w:eastAsia="ar-SA"/>
        </w:rPr>
        <w:t xml:space="preserve">amounting to EUR +1.3k as at </w:t>
      </w:r>
      <w:r>
        <w:rPr>
          <w:rFonts w:ascii="Arial" w:hAnsi="Arial"/>
          <w:iCs/>
          <w:noProof/>
          <w:sz w:val="16"/>
          <w:szCs w:val="16"/>
          <w:lang w:eastAsia="ar-SA"/>
        </w:rPr>
        <w:br/>
        <w:t xml:space="preserve">31 December </w:t>
      </w:r>
      <w:r w:rsidRPr="005E0439">
        <w:rPr>
          <w:rFonts w:ascii="Arial" w:hAnsi="Arial"/>
          <w:iCs/>
          <w:noProof/>
          <w:sz w:val="16"/>
          <w:szCs w:val="16"/>
          <w:lang w:eastAsia="ar-SA"/>
        </w:rPr>
        <w:t>2025</w:t>
      </w:r>
      <w:r>
        <w:rPr>
          <w:rFonts w:ascii="Arial" w:hAnsi="Arial"/>
          <w:iCs/>
          <w:noProof/>
          <w:sz w:val="16"/>
          <w:szCs w:val="16"/>
          <w:lang w:eastAsia="ar-SA"/>
        </w:rPr>
        <w:t xml:space="preserve"> and </w:t>
      </w:r>
      <w:r w:rsidRPr="00C73739">
        <w:rPr>
          <w:rFonts w:ascii="Arial" w:hAnsi="Arial"/>
          <w:iCs/>
          <w:noProof/>
          <w:sz w:val="16"/>
          <w:szCs w:val="16"/>
          <w:lang w:eastAsia="ar-SA"/>
        </w:rPr>
        <w:t>EUR</w:t>
      </w:r>
      <w:r>
        <w:rPr>
          <w:rFonts w:ascii="Arial" w:hAnsi="Arial"/>
          <w:iCs/>
          <w:noProof/>
          <w:sz w:val="16"/>
          <w:szCs w:val="16"/>
          <w:lang w:eastAsia="ar-SA"/>
        </w:rPr>
        <w:t xml:space="preserve"> +3.6k as at 31 December </w:t>
      </w:r>
      <w:r w:rsidRPr="005E0439">
        <w:rPr>
          <w:rFonts w:ascii="Arial" w:hAnsi="Arial"/>
          <w:iCs/>
          <w:noProof/>
          <w:sz w:val="16"/>
          <w:szCs w:val="16"/>
          <w:lang w:eastAsia="ar-SA"/>
        </w:rPr>
        <w:t>2024</w:t>
      </w:r>
      <w:r>
        <w:rPr>
          <w:rFonts w:ascii="Arial" w:hAnsi="Arial"/>
          <w:iCs/>
          <w:noProof/>
          <w:sz w:val="16"/>
          <w:szCs w:val="16"/>
          <w:lang w:eastAsia="ar-SA"/>
        </w:rPr>
        <w:t>.</w:t>
      </w:r>
      <w:r w:rsidRPr="00C73739">
        <w:rPr>
          <w:rFonts w:ascii="Arial" w:hAnsi="Arial"/>
          <w:iCs/>
          <w:noProof/>
          <w:sz w:val="16"/>
          <w:szCs w:val="16"/>
          <w:lang w:eastAsia="ar-SA"/>
        </w:rPr>
        <w:t xml:space="preserve"> </w:t>
      </w:r>
    </w:p>
    <w:p w14:paraId="479951D2" w14:textId="77777777" w:rsidR="00FD1E19" w:rsidRPr="00BD1346" w:rsidRDefault="00FD1E19" w:rsidP="00FD1E19">
      <w:pPr>
        <w:pBdr>
          <w:top w:val="nil"/>
          <w:left w:val="nil"/>
          <w:bottom w:val="nil"/>
          <w:right w:val="nil"/>
          <w:between w:val="nil"/>
          <w:bar w:val="nil"/>
        </w:pBdr>
        <w:suppressAutoHyphens/>
        <w:spacing w:before="60" w:after="60"/>
        <w:rPr>
          <w:rFonts w:ascii="Arial" w:hAnsi="Arial"/>
          <w:noProof/>
          <w:sz w:val="16"/>
          <w:szCs w:val="16"/>
          <w:bdr w:val="nil"/>
          <w:lang w:eastAsia="ar-SA"/>
        </w:rPr>
      </w:pPr>
    </w:p>
    <w:p w14:paraId="5FE4B89C" w14:textId="77777777" w:rsidR="00FD1E19" w:rsidRPr="00AC0B89" w:rsidRDefault="00FD1E19" w:rsidP="00FD1E19">
      <w:pPr>
        <w:pageBreakBefore/>
        <w:numPr>
          <w:ilvl w:val="2"/>
          <w:numId w:val="76"/>
        </w:numPr>
        <w:pBdr>
          <w:top w:val="nil"/>
          <w:left w:val="nil"/>
          <w:bottom w:val="nil"/>
          <w:right w:val="nil"/>
          <w:between w:val="nil"/>
          <w:bar w:val="nil"/>
        </w:pBdr>
        <w:tabs>
          <w:tab w:val="right" w:pos="-2700"/>
        </w:tabs>
        <w:suppressAutoHyphens/>
        <w:spacing w:before="60" w:after="60" w:line="240" w:lineRule="auto"/>
        <w:ind w:left="0" w:firstLine="0"/>
        <w:jc w:val="both"/>
        <w:rPr>
          <w:rFonts w:ascii="Arial" w:hAnsi="Arial"/>
          <w:b/>
          <w:noProof/>
          <w:sz w:val="16"/>
          <w:szCs w:val="16"/>
          <w:bdr w:val="nil"/>
          <w:lang w:eastAsia="ar-SA"/>
        </w:rPr>
      </w:pPr>
      <w:bookmarkStart w:id="274" w:name="RG_MARKER_90161"/>
      <w:r w:rsidRPr="00AC0B89">
        <w:rPr>
          <w:rFonts w:ascii="Arial" w:hAnsi="Arial"/>
          <w:b/>
          <w:noProof/>
          <w:sz w:val="16"/>
          <w:szCs w:val="16"/>
          <w:lang w:eastAsia="ar-SA"/>
        </w:rPr>
        <w:t>Transfers between Level 1 and 2</w:t>
      </w:r>
      <w:bookmarkEnd w:id="274"/>
    </w:p>
    <w:p w14:paraId="648B11E9" w14:textId="77777777" w:rsidR="00FD1E19" w:rsidRDefault="00FD1E19" w:rsidP="00FD1E19">
      <w:pPr>
        <w:pBdr>
          <w:top w:val="nil"/>
          <w:left w:val="nil"/>
          <w:bottom w:val="nil"/>
          <w:right w:val="nil"/>
          <w:between w:val="nil"/>
          <w:bar w:val="nil"/>
        </w:pBdr>
        <w:suppressAutoHyphens/>
        <w:spacing w:before="60" w:after="60"/>
        <w:jc w:val="both"/>
        <w:rPr>
          <w:rFonts w:ascii="Arial" w:hAnsi="Arial"/>
          <w:iCs/>
          <w:noProof/>
          <w:sz w:val="16"/>
          <w:szCs w:val="16"/>
          <w:bdr w:val="nil"/>
          <w:lang w:eastAsia="ar-SA"/>
        </w:rPr>
      </w:pPr>
    </w:p>
    <w:p w14:paraId="463AFE4C" w14:textId="77777777" w:rsidR="00FD1E19" w:rsidRDefault="00FD1E19" w:rsidP="00FD1E19">
      <w:pPr>
        <w:pBdr>
          <w:top w:val="nil"/>
          <w:left w:val="nil"/>
          <w:bottom w:val="nil"/>
          <w:right w:val="nil"/>
          <w:between w:val="nil"/>
          <w:bar w:val="nil"/>
        </w:pBdr>
        <w:suppressAutoHyphens/>
        <w:spacing w:before="60" w:after="60"/>
        <w:jc w:val="both"/>
        <w:rPr>
          <w:rFonts w:ascii="Arial" w:hAnsi="Arial"/>
          <w:iCs/>
          <w:noProof/>
          <w:sz w:val="16"/>
          <w:szCs w:val="16"/>
          <w:bdr w:val="nil"/>
          <w:lang w:eastAsia="ar-SA"/>
        </w:rPr>
      </w:pPr>
      <w:r>
        <w:rPr>
          <w:rFonts w:ascii="Arial" w:hAnsi="Arial"/>
          <w:iCs/>
          <w:noProof/>
          <w:sz w:val="16"/>
          <w:szCs w:val="16"/>
          <w:lang w:eastAsia="ar-SA"/>
        </w:rPr>
        <w:t>The Facility’s policy is to recognise the transfers between Levels as of the date of the event or change in circumstances that caused the transfer.</w:t>
      </w:r>
    </w:p>
    <w:p w14:paraId="603A7D9A" w14:textId="77777777" w:rsidR="00FD1E19" w:rsidRDefault="00FD1E19" w:rsidP="00FD1E19">
      <w:pPr>
        <w:pBdr>
          <w:top w:val="nil"/>
          <w:left w:val="nil"/>
          <w:bottom w:val="nil"/>
          <w:right w:val="nil"/>
          <w:between w:val="nil"/>
          <w:bar w:val="nil"/>
        </w:pBdr>
        <w:suppressAutoHyphens/>
        <w:spacing w:before="60" w:after="60"/>
        <w:rPr>
          <w:rFonts w:ascii="Arial" w:hAnsi="Arial"/>
          <w:noProof/>
          <w:sz w:val="16"/>
          <w:szCs w:val="16"/>
          <w:bdr w:val="nil"/>
          <w:lang w:eastAsia="ar-SA"/>
        </w:rPr>
      </w:pPr>
    </w:p>
    <w:p w14:paraId="3EF16E89" w14:textId="77777777" w:rsidR="00FD1E19" w:rsidRDefault="00FD1E19" w:rsidP="00FD1E19">
      <w:pPr>
        <w:pBdr>
          <w:top w:val="nil"/>
          <w:left w:val="nil"/>
          <w:bottom w:val="nil"/>
          <w:right w:val="nil"/>
          <w:between w:val="nil"/>
          <w:bar w:val="nil"/>
        </w:pBdr>
        <w:suppressAutoHyphens/>
        <w:spacing w:before="60" w:after="60"/>
        <w:rPr>
          <w:rFonts w:ascii="Arial" w:hAnsi="Arial"/>
          <w:noProof/>
          <w:sz w:val="16"/>
          <w:szCs w:val="16"/>
          <w:bdr w:val="nil"/>
          <w:lang w:eastAsia="ar-SA"/>
        </w:rPr>
      </w:pPr>
      <w:r>
        <w:rPr>
          <w:rFonts w:ascii="Arial" w:hAnsi="Arial"/>
          <w:noProof/>
          <w:sz w:val="16"/>
          <w:szCs w:val="16"/>
          <w:lang w:eastAsia="ar-SA"/>
        </w:rPr>
        <w:t xml:space="preserve">In </w:t>
      </w:r>
      <w:r w:rsidRPr="00CA1BDD">
        <w:rPr>
          <w:rFonts w:ascii="Arial" w:hAnsi="Arial"/>
          <w:noProof/>
          <w:sz w:val="16"/>
          <w:szCs w:val="16"/>
          <w:lang w:eastAsia="ar-SA"/>
        </w:rPr>
        <w:t>2025</w:t>
      </w:r>
      <w:r>
        <w:rPr>
          <w:rFonts w:ascii="Arial" w:hAnsi="Arial"/>
          <w:noProof/>
          <w:sz w:val="16"/>
          <w:szCs w:val="16"/>
          <w:lang w:eastAsia="ar-SA"/>
        </w:rPr>
        <w:t xml:space="preserve"> and </w:t>
      </w:r>
      <w:r w:rsidRPr="00CA1BDD">
        <w:rPr>
          <w:rFonts w:ascii="Arial" w:hAnsi="Arial"/>
          <w:noProof/>
          <w:sz w:val="16"/>
          <w:szCs w:val="16"/>
          <w:lang w:eastAsia="ar-SA"/>
        </w:rPr>
        <w:t>2024</w:t>
      </w:r>
      <w:r>
        <w:rPr>
          <w:rFonts w:ascii="Arial" w:hAnsi="Arial"/>
          <w:noProof/>
          <w:sz w:val="16"/>
          <w:szCs w:val="16"/>
          <w:lang w:eastAsia="ar-SA"/>
        </w:rPr>
        <w:t xml:space="preserve"> </w:t>
      </w:r>
      <w:r w:rsidRPr="00BD1346">
        <w:rPr>
          <w:rFonts w:ascii="Arial" w:hAnsi="Arial"/>
          <w:noProof/>
          <w:sz w:val="16"/>
          <w:szCs w:val="16"/>
          <w:lang w:eastAsia="ar-SA"/>
        </w:rPr>
        <w:t>the Facility did not ma</w:t>
      </w:r>
      <w:r>
        <w:rPr>
          <w:rFonts w:ascii="Arial" w:hAnsi="Arial"/>
          <w:noProof/>
          <w:sz w:val="16"/>
          <w:szCs w:val="16"/>
          <w:lang w:eastAsia="ar-SA"/>
        </w:rPr>
        <w:t>ke</w:t>
      </w:r>
      <w:r w:rsidRPr="00BD1346">
        <w:rPr>
          <w:rFonts w:ascii="Arial" w:hAnsi="Arial"/>
          <w:noProof/>
          <w:sz w:val="16"/>
          <w:szCs w:val="16"/>
          <w:lang w:eastAsia="ar-SA"/>
        </w:rPr>
        <w:t xml:space="preserve"> transfers from Level 1 to 2 or Level 2 to 1 of the fair value hierarchy.</w:t>
      </w:r>
    </w:p>
    <w:p w14:paraId="4F2A65B2" w14:textId="77777777" w:rsidR="00FD1E19" w:rsidRPr="00AC0B89" w:rsidRDefault="00FD1E19" w:rsidP="00FD1E19">
      <w:pPr>
        <w:pBdr>
          <w:top w:val="nil"/>
          <w:left w:val="nil"/>
          <w:bottom w:val="nil"/>
          <w:right w:val="nil"/>
          <w:between w:val="nil"/>
          <w:bar w:val="nil"/>
        </w:pBdr>
        <w:suppressAutoHyphens/>
        <w:spacing w:before="60" w:after="60"/>
        <w:rPr>
          <w:rFonts w:ascii="Arial" w:hAnsi="Arial"/>
          <w:b/>
          <w:noProof/>
          <w:sz w:val="16"/>
          <w:szCs w:val="16"/>
          <w:bdr w:val="nil"/>
          <w:lang w:eastAsia="ar-SA"/>
        </w:rPr>
      </w:pPr>
    </w:p>
    <w:p w14:paraId="288C3508" w14:textId="77777777" w:rsidR="00FD1E19" w:rsidRPr="00AC0B89" w:rsidRDefault="00FD1E19" w:rsidP="00FD1E19">
      <w:pPr>
        <w:numPr>
          <w:ilvl w:val="2"/>
          <w:numId w:val="76"/>
        </w:numPr>
        <w:pBdr>
          <w:top w:val="nil"/>
          <w:left w:val="nil"/>
          <w:bottom w:val="nil"/>
          <w:right w:val="nil"/>
          <w:between w:val="nil"/>
          <w:bar w:val="nil"/>
        </w:pBdr>
        <w:tabs>
          <w:tab w:val="right" w:pos="-2700"/>
        </w:tabs>
        <w:suppressAutoHyphens/>
        <w:spacing w:after="0" w:line="240" w:lineRule="auto"/>
        <w:jc w:val="both"/>
        <w:rPr>
          <w:rFonts w:ascii="Arial" w:hAnsi="Arial"/>
          <w:b/>
          <w:noProof/>
          <w:sz w:val="16"/>
          <w:szCs w:val="16"/>
          <w:bdr w:val="nil"/>
          <w:lang w:eastAsia="ar-SA"/>
        </w:rPr>
      </w:pPr>
      <w:r w:rsidRPr="00AC0B89">
        <w:rPr>
          <w:rFonts w:ascii="Arial" w:hAnsi="Arial"/>
          <w:b/>
          <w:noProof/>
          <w:sz w:val="16"/>
          <w:szCs w:val="16"/>
          <w:lang w:eastAsia="ar-SA"/>
        </w:rPr>
        <w:t>Level 3 fair values</w:t>
      </w:r>
    </w:p>
    <w:p w14:paraId="25DB45CE" w14:textId="77777777" w:rsidR="00FD1E19" w:rsidRPr="00BD1346" w:rsidRDefault="00FD1E19" w:rsidP="00FD1E19">
      <w:pPr>
        <w:pBdr>
          <w:top w:val="nil"/>
          <w:left w:val="nil"/>
          <w:bottom w:val="nil"/>
          <w:right w:val="nil"/>
          <w:between w:val="nil"/>
          <w:bar w:val="nil"/>
        </w:pBdr>
        <w:suppressAutoHyphens/>
        <w:spacing w:before="60" w:after="60"/>
        <w:rPr>
          <w:rFonts w:ascii="Arial" w:hAnsi="Arial"/>
          <w:noProof/>
          <w:sz w:val="16"/>
          <w:szCs w:val="16"/>
          <w:bdr w:val="nil"/>
          <w:lang w:eastAsia="ar-SA"/>
        </w:rPr>
      </w:pPr>
    </w:p>
    <w:p w14:paraId="6811B7C4" w14:textId="77777777" w:rsidR="00FD1E19" w:rsidRDefault="00FD1E19" w:rsidP="00FD1E19">
      <w:pPr>
        <w:pBdr>
          <w:top w:val="nil"/>
          <w:left w:val="nil"/>
          <w:bottom w:val="nil"/>
          <w:right w:val="nil"/>
          <w:between w:val="nil"/>
          <w:bar w:val="nil"/>
        </w:pBdr>
        <w:suppressAutoHyphens/>
        <w:rPr>
          <w:rFonts w:ascii="Arial" w:hAnsi="Arial"/>
          <w:b/>
          <w:bCs/>
          <w:noProof/>
          <w:sz w:val="16"/>
          <w:szCs w:val="16"/>
          <w:bdr w:val="nil"/>
        </w:rPr>
      </w:pPr>
      <w:r>
        <w:rPr>
          <w:rFonts w:ascii="Arial" w:hAnsi="Arial"/>
          <w:b/>
          <w:bCs/>
          <w:noProof/>
          <w:sz w:val="16"/>
          <w:szCs w:val="16"/>
        </w:rPr>
        <w:t>Reconciliation of Level 3 fair values</w:t>
      </w:r>
    </w:p>
    <w:p w14:paraId="0AC3C26F" w14:textId="77777777" w:rsidR="00FD1E19" w:rsidRDefault="00FD1E19" w:rsidP="00FD1E19">
      <w:pPr>
        <w:pBdr>
          <w:top w:val="nil"/>
          <w:left w:val="nil"/>
          <w:bottom w:val="nil"/>
          <w:right w:val="nil"/>
          <w:between w:val="nil"/>
          <w:bar w:val="nil"/>
        </w:pBdr>
        <w:suppressAutoHyphens/>
        <w:rPr>
          <w:rFonts w:ascii="Arial" w:hAnsi="Arial"/>
          <w:b/>
          <w:bCs/>
          <w:noProof/>
          <w:sz w:val="16"/>
          <w:szCs w:val="16"/>
          <w:bdr w:val="nil"/>
        </w:rPr>
      </w:pPr>
    </w:p>
    <w:p w14:paraId="1306C2D7" w14:textId="77777777" w:rsidR="00FD1E19" w:rsidRPr="00BD1346" w:rsidRDefault="00FD1E19" w:rsidP="00FD1E19">
      <w:pPr>
        <w:pBdr>
          <w:top w:val="nil"/>
          <w:left w:val="nil"/>
          <w:bottom w:val="nil"/>
          <w:right w:val="nil"/>
          <w:between w:val="nil"/>
          <w:bar w:val="nil"/>
        </w:pBdr>
        <w:suppressAutoHyphens/>
        <w:spacing w:before="60"/>
        <w:rPr>
          <w:rFonts w:ascii="Arial" w:hAnsi="Arial"/>
          <w:noProof/>
          <w:sz w:val="16"/>
          <w:szCs w:val="16"/>
          <w:bdr w:val="nil"/>
          <w:lang w:eastAsia="ar-SA"/>
        </w:rPr>
      </w:pPr>
      <w:r w:rsidRPr="00BD1346">
        <w:rPr>
          <w:rFonts w:ascii="Arial" w:hAnsi="Arial"/>
          <w:noProof/>
          <w:sz w:val="16"/>
          <w:szCs w:val="16"/>
          <w:lang w:eastAsia="ar-SA"/>
        </w:rPr>
        <w:t xml:space="preserve">The following tables present the changes in Level 3 instruments for the year ended 31 December </w:t>
      </w:r>
      <w:r w:rsidRPr="00CC7448">
        <w:rPr>
          <w:rFonts w:ascii="Arial" w:hAnsi="Arial"/>
          <w:noProof/>
          <w:sz w:val="16"/>
          <w:szCs w:val="16"/>
          <w:lang w:eastAsia="ar-SA"/>
        </w:rPr>
        <w:t xml:space="preserve">2025 </w:t>
      </w:r>
      <w:r w:rsidRPr="00BD1346">
        <w:rPr>
          <w:rFonts w:ascii="Arial" w:hAnsi="Arial"/>
          <w:noProof/>
          <w:sz w:val="16"/>
          <w:szCs w:val="16"/>
          <w:lang w:eastAsia="ar-SA"/>
        </w:rPr>
        <w:t xml:space="preserve">and 31 December </w:t>
      </w:r>
      <w:r w:rsidRPr="00CC7448">
        <w:rPr>
          <w:rFonts w:ascii="Arial" w:hAnsi="Arial"/>
          <w:noProof/>
          <w:sz w:val="16"/>
          <w:szCs w:val="16"/>
          <w:lang w:eastAsia="ar-SA"/>
        </w:rPr>
        <w:t>2024</w:t>
      </w:r>
      <w:r>
        <w:rPr>
          <w:rFonts w:ascii="Arial" w:hAnsi="Arial"/>
          <w:noProof/>
          <w:sz w:val="16"/>
          <w:szCs w:val="16"/>
          <w:lang w:eastAsia="ar-SA"/>
        </w:rPr>
        <w:t>:</w:t>
      </w:r>
    </w:p>
    <w:tbl>
      <w:tblPr>
        <w:tblStyle w:val="CDMRange1"/>
        <w:tblW w:w="9825" w:type="dxa"/>
        <w:tblLayout w:type="fixed"/>
        <w:tblLook w:val="0600" w:firstRow="0" w:lastRow="0" w:firstColumn="0" w:lastColumn="0" w:noHBand="1" w:noVBand="1"/>
      </w:tblPr>
      <w:tblGrid>
        <w:gridCol w:w="6315"/>
        <w:gridCol w:w="1500"/>
        <w:gridCol w:w="1005"/>
        <w:gridCol w:w="1005"/>
      </w:tblGrid>
      <w:tr w:rsidR="00FD1E19" w14:paraId="587FAAF9" w14:textId="77777777" w:rsidTr="00BE7E4A">
        <w:trPr>
          <w:trHeight w:hRule="exact" w:val="300"/>
        </w:trPr>
        <w:tc>
          <w:tcPr>
            <w:tcW w:w="6315" w:type="dxa"/>
            <w:tcBorders>
              <w:top w:val="nil"/>
              <w:left w:val="nil"/>
              <w:bottom w:val="single" w:sz="4" w:space="0" w:color="000000"/>
              <w:right w:val="nil"/>
              <w:tl2br w:val="nil"/>
              <w:tr2bl w:val="nil"/>
            </w:tcBorders>
            <w:noWrap/>
            <w:tcMar>
              <w:left w:w="0" w:type="dxa"/>
              <w:right w:w="0" w:type="dxa"/>
            </w:tcMar>
            <w:vAlign w:val="bottom"/>
          </w:tcPr>
          <w:p w14:paraId="056D7386" w14:textId="77777777" w:rsidR="00FD1E19" w:rsidRDefault="00FD1E19" w:rsidP="00BE7E4A">
            <w:pPr>
              <w:suppressAutoHyphens/>
              <w:rPr>
                <w:rFonts w:ascii="Calibri" w:eastAsia="Calibri" w:hAnsi="Calibri" w:cs="Calibri"/>
                <w:noProof/>
                <w:color w:val="000000"/>
                <w:sz w:val="22"/>
                <w:lang w:eastAsia="ar-SA"/>
              </w:rPr>
            </w:pPr>
            <w:bookmarkStart w:id="275" w:name="RG_MARKER_90162"/>
            <w:bookmarkEnd w:id="275"/>
          </w:p>
        </w:tc>
        <w:tc>
          <w:tcPr>
            <w:tcW w:w="1500" w:type="dxa"/>
            <w:tcBorders>
              <w:top w:val="nil"/>
              <w:left w:val="nil"/>
              <w:bottom w:val="single" w:sz="4" w:space="0" w:color="000000"/>
              <w:right w:val="nil"/>
              <w:tl2br w:val="nil"/>
              <w:tr2bl w:val="nil"/>
            </w:tcBorders>
            <w:noWrap/>
            <w:tcMar>
              <w:left w:w="0" w:type="dxa"/>
              <w:right w:w="0" w:type="dxa"/>
            </w:tcMar>
            <w:vAlign w:val="bottom"/>
          </w:tcPr>
          <w:p w14:paraId="52F57EBF"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14:paraId="2F0C3F87"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14:paraId="03EDE53B" w14:textId="77777777" w:rsidR="00FD1E19" w:rsidRDefault="00FD1E19" w:rsidP="00BE7E4A">
            <w:pPr>
              <w:suppressAutoHyphens/>
              <w:rPr>
                <w:rFonts w:ascii="Calibri" w:eastAsia="Calibri" w:hAnsi="Calibri" w:cs="Calibri"/>
                <w:noProof/>
                <w:color w:val="000000"/>
                <w:sz w:val="22"/>
                <w:lang w:eastAsia="ar-SA"/>
              </w:rPr>
            </w:pPr>
          </w:p>
        </w:tc>
      </w:tr>
      <w:tr w:rsidR="00FD1E19" w14:paraId="10B2F6D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14:paraId="34CF088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0587A08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Shares and other variable yield securities</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3F26215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34D9558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6E68F50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14:paraId="3CB50F1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1 January 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0910D5E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834,621</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65EAABA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136,983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76C7EA0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971,604</w:t>
            </w:r>
          </w:p>
        </w:tc>
      </w:tr>
      <w:tr w:rsidR="00FD1E19" w14:paraId="2928574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14:paraId="4B8C6D6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Gains or losses included in profit or loss:</w:t>
            </w:r>
          </w:p>
        </w:tc>
        <w:tc>
          <w:tcPr>
            <w:tcW w:w="1500" w:type="dxa"/>
            <w:tcBorders>
              <w:top w:val="single" w:sz="4" w:space="0" w:color="000000"/>
              <w:left w:val="nil"/>
              <w:bottom w:val="nil"/>
              <w:right w:val="nil"/>
              <w:tl2br w:val="nil"/>
              <w:tr2bl w:val="nil"/>
            </w:tcBorders>
            <w:tcMar>
              <w:left w:w="0" w:type="dxa"/>
              <w:right w:w="0" w:type="dxa"/>
            </w:tcMar>
            <w:vAlign w:val="center"/>
          </w:tcPr>
          <w:p w14:paraId="654DBEE4"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14:paraId="72A10CB0"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14:paraId="2770B04E" w14:textId="77777777" w:rsidR="00FD1E19" w:rsidRDefault="00FD1E19" w:rsidP="00BE7E4A">
            <w:pPr>
              <w:suppressAutoHyphens/>
              <w:rPr>
                <w:rFonts w:ascii="Calibri" w:eastAsia="Calibri" w:hAnsi="Calibri" w:cs="Calibri"/>
                <w:noProof/>
                <w:color w:val="000000"/>
                <w:sz w:val="22"/>
                <w:lang w:eastAsia="ar-SA"/>
              </w:rPr>
            </w:pPr>
          </w:p>
        </w:tc>
      </w:tr>
      <w:tr w:rsidR="00FD1E19" w14:paraId="5EFE524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0BA85E4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Derecognition of fair value adjustment due to Sales / Exits</w:t>
            </w:r>
          </w:p>
        </w:tc>
        <w:tc>
          <w:tcPr>
            <w:tcW w:w="1500" w:type="dxa"/>
            <w:tcBorders>
              <w:top w:val="nil"/>
              <w:left w:val="nil"/>
              <w:bottom w:val="nil"/>
              <w:right w:val="nil"/>
              <w:tl2br w:val="nil"/>
              <w:tr2bl w:val="nil"/>
            </w:tcBorders>
            <w:tcMar>
              <w:left w:w="40" w:type="dxa"/>
              <w:right w:w="40" w:type="dxa"/>
            </w:tcMar>
            <w:vAlign w:val="center"/>
          </w:tcPr>
          <w:p w14:paraId="5535F2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15,848</w:t>
            </w:r>
          </w:p>
        </w:tc>
        <w:tc>
          <w:tcPr>
            <w:tcW w:w="1005" w:type="dxa"/>
            <w:tcBorders>
              <w:top w:val="nil"/>
              <w:left w:val="nil"/>
              <w:bottom w:val="nil"/>
              <w:right w:val="nil"/>
              <w:tl2br w:val="nil"/>
              <w:tr2bl w:val="nil"/>
            </w:tcBorders>
            <w:tcMar>
              <w:left w:w="40" w:type="dxa"/>
              <w:right w:w="40" w:type="dxa"/>
            </w:tcMar>
            <w:vAlign w:val="center"/>
          </w:tcPr>
          <w:p w14:paraId="1197C7F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tcMar>
              <w:left w:w="40" w:type="dxa"/>
              <w:right w:w="40" w:type="dxa"/>
            </w:tcMar>
            <w:vAlign w:val="center"/>
          </w:tcPr>
          <w:p w14:paraId="06E01E7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15,848</w:t>
            </w:r>
          </w:p>
        </w:tc>
      </w:tr>
      <w:tr w:rsidR="00FD1E19" w14:paraId="047619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single" w:sz="4" w:space="0" w:color="000000"/>
              <w:right w:val="nil"/>
              <w:tl2br w:val="nil"/>
              <w:tr2bl w:val="nil"/>
            </w:tcBorders>
            <w:tcMar>
              <w:left w:w="40" w:type="dxa"/>
              <w:right w:w="40" w:type="dxa"/>
            </w:tcMar>
            <w:vAlign w:val="center"/>
          </w:tcPr>
          <w:p w14:paraId="5DA6BEA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fair value change</w:t>
            </w:r>
          </w:p>
        </w:tc>
        <w:tc>
          <w:tcPr>
            <w:tcW w:w="1500" w:type="dxa"/>
            <w:tcBorders>
              <w:top w:val="nil"/>
              <w:left w:val="nil"/>
              <w:bottom w:val="single" w:sz="4" w:space="0" w:color="000000"/>
              <w:right w:val="nil"/>
              <w:tl2br w:val="nil"/>
              <w:tr2bl w:val="nil"/>
            </w:tcBorders>
            <w:tcMar>
              <w:left w:w="40" w:type="dxa"/>
              <w:right w:w="40" w:type="dxa"/>
            </w:tcMar>
            <w:vAlign w:val="center"/>
          </w:tcPr>
          <w:p w14:paraId="60ED4FE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6,787</w:t>
            </w:r>
          </w:p>
        </w:tc>
        <w:tc>
          <w:tcPr>
            <w:tcW w:w="1005" w:type="dxa"/>
            <w:tcBorders>
              <w:top w:val="nil"/>
              <w:left w:val="nil"/>
              <w:bottom w:val="single" w:sz="4" w:space="0" w:color="000000"/>
              <w:right w:val="nil"/>
              <w:tl2br w:val="nil"/>
              <w:tr2bl w:val="nil"/>
            </w:tcBorders>
            <w:tcMar>
              <w:left w:w="40" w:type="dxa"/>
              <w:right w:w="40" w:type="dxa"/>
            </w:tcMar>
            <w:vAlign w:val="center"/>
          </w:tcPr>
          <w:p w14:paraId="0B2044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-6,948</w:t>
            </w:r>
          </w:p>
        </w:tc>
        <w:tc>
          <w:tcPr>
            <w:tcW w:w="1005" w:type="dxa"/>
            <w:tcBorders>
              <w:top w:val="nil"/>
              <w:left w:val="nil"/>
              <w:bottom w:val="single" w:sz="4" w:space="0" w:color="000000"/>
              <w:right w:val="nil"/>
              <w:tl2br w:val="nil"/>
              <w:tr2bl w:val="nil"/>
            </w:tcBorders>
            <w:tcMar>
              <w:left w:w="40" w:type="dxa"/>
              <w:right w:w="40" w:type="dxa"/>
            </w:tcMar>
            <w:vAlign w:val="center"/>
          </w:tcPr>
          <w:p w14:paraId="70017F1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-161</w:t>
            </w:r>
          </w:p>
        </w:tc>
      </w:tr>
      <w:tr w:rsidR="00FD1E19" w14:paraId="13EB411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14:paraId="41BA7D1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2A5D6C9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22,635</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5D1BAE2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-6,948</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09F4EB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15,687</w:t>
            </w:r>
          </w:p>
        </w:tc>
      </w:tr>
      <w:tr w:rsidR="00FD1E19" w14:paraId="789C16C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14:paraId="432D25F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500" w:type="dxa"/>
            <w:tcBorders>
              <w:top w:val="single" w:sz="4" w:space="0" w:color="000000"/>
              <w:left w:val="nil"/>
              <w:bottom w:val="nil"/>
              <w:right w:val="nil"/>
              <w:tl2br w:val="nil"/>
              <w:tr2bl w:val="nil"/>
            </w:tcBorders>
            <w:tcMar>
              <w:left w:w="40" w:type="dxa"/>
              <w:right w:w="40" w:type="dxa"/>
            </w:tcMar>
            <w:vAlign w:val="center"/>
          </w:tcPr>
          <w:p w14:paraId="36162BF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51,701</w:t>
            </w:r>
          </w:p>
        </w:tc>
        <w:tc>
          <w:tcPr>
            <w:tcW w:w="1005" w:type="dxa"/>
            <w:tcBorders>
              <w:top w:val="single" w:sz="4" w:space="0" w:color="000000"/>
              <w:left w:val="nil"/>
              <w:bottom w:val="nil"/>
              <w:right w:val="nil"/>
              <w:tl2br w:val="nil"/>
              <w:tr2bl w:val="nil"/>
            </w:tcBorders>
            <w:tcMar>
              <w:left w:w="40" w:type="dxa"/>
              <w:right w:w="40" w:type="dxa"/>
            </w:tcMar>
            <w:vAlign w:val="center"/>
          </w:tcPr>
          <w:p w14:paraId="0BA104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17,812</w:t>
            </w:r>
          </w:p>
        </w:tc>
        <w:tc>
          <w:tcPr>
            <w:tcW w:w="1005" w:type="dxa"/>
            <w:tcBorders>
              <w:top w:val="single" w:sz="4" w:space="0" w:color="000000"/>
              <w:left w:val="nil"/>
              <w:bottom w:val="nil"/>
              <w:right w:val="nil"/>
              <w:tl2br w:val="nil"/>
              <w:tr2bl w:val="nil"/>
            </w:tcBorders>
            <w:tcMar>
              <w:left w:w="40" w:type="dxa"/>
              <w:right w:w="40" w:type="dxa"/>
            </w:tcMar>
            <w:vAlign w:val="center"/>
          </w:tcPr>
          <w:p w14:paraId="3B34EE0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69,513</w:t>
            </w:r>
          </w:p>
        </w:tc>
      </w:tr>
      <w:tr w:rsidR="00FD1E19" w14:paraId="4EC4F7D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1722856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w:t>
            </w:r>
          </w:p>
        </w:tc>
        <w:tc>
          <w:tcPr>
            <w:tcW w:w="1500" w:type="dxa"/>
            <w:tcBorders>
              <w:top w:val="nil"/>
              <w:left w:val="nil"/>
              <w:bottom w:val="nil"/>
              <w:right w:val="nil"/>
              <w:tl2br w:val="nil"/>
              <w:tr2bl w:val="nil"/>
            </w:tcBorders>
            <w:tcMar>
              <w:left w:w="40" w:type="dxa"/>
              <w:right w:w="40" w:type="dxa"/>
            </w:tcMar>
            <w:vAlign w:val="center"/>
          </w:tcPr>
          <w:p w14:paraId="22652B7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-89,352</w:t>
            </w:r>
          </w:p>
        </w:tc>
        <w:tc>
          <w:tcPr>
            <w:tcW w:w="1005" w:type="dxa"/>
            <w:tcBorders>
              <w:top w:val="nil"/>
              <w:left w:val="nil"/>
              <w:bottom w:val="nil"/>
              <w:right w:val="nil"/>
              <w:tl2br w:val="nil"/>
              <w:tr2bl w:val="nil"/>
            </w:tcBorders>
            <w:tcMar>
              <w:left w:w="40" w:type="dxa"/>
              <w:right w:w="40" w:type="dxa"/>
            </w:tcMar>
            <w:vAlign w:val="center"/>
          </w:tcPr>
          <w:p w14:paraId="1E416D0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-28,712</w:t>
            </w:r>
          </w:p>
        </w:tc>
        <w:tc>
          <w:tcPr>
            <w:tcW w:w="1005" w:type="dxa"/>
            <w:tcBorders>
              <w:top w:val="nil"/>
              <w:left w:val="nil"/>
              <w:bottom w:val="nil"/>
              <w:right w:val="nil"/>
              <w:tl2br w:val="nil"/>
              <w:tr2bl w:val="nil"/>
            </w:tcBorders>
            <w:tcMar>
              <w:left w:w="40" w:type="dxa"/>
              <w:right w:w="40" w:type="dxa"/>
            </w:tcMar>
            <w:vAlign w:val="center"/>
          </w:tcPr>
          <w:p w14:paraId="4F0004C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-118,064</w:t>
            </w:r>
          </w:p>
        </w:tc>
      </w:tr>
      <w:tr w:rsidR="00FD1E19" w14:paraId="7FAD1C1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756535B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capitalised</w:t>
            </w:r>
          </w:p>
        </w:tc>
        <w:tc>
          <w:tcPr>
            <w:tcW w:w="1500" w:type="dxa"/>
            <w:tcBorders>
              <w:top w:val="nil"/>
              <w:left w:val="nil"/>
              <w:bottom w:val="nil"/>
              <w:right w:val="nil"/>
              <w:tl2br w:val="nil"/>
              <w:tr2bl w:val="nil"/>
            </w:tcBorders>
            <w:tcMar>
              <w:left w:w="40" w:type="dxa"/>
              <w:right w:w="40" w:type="dxa"/>
            </w:tcMar>
            <w:vAlign w:val="center"/>
          </w:tcPr>
          <w:p w14:paraId="46C9BC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tcMar>
              <w:left w:w="40" w:type="dxa"/>
              <w:right w:w="40" w:type="dxa"/>
            </w:tcMar>
            <w:vAlign w:val="center"/>
          </w:tcPr>
          <w:p w14:paraId="445C640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835</w:t>
            </w:r>
          </w:p>
        </w:tc>
        <w:tc>
          <w:tcPr>
            <w:tcW w:w="1005" w:type="dxa"/>
            <w:tcBorders>
              <w:top w:val="nil"/>
              <w:left w:val="nil"/>
              <w:bottom w:val="nil"/>
              <w:right w:val="nil"/>
              <w:tl2br w:val="nil"/>
              <w:tr2bl w:val="nil"/>
            </w:tcBorders>
            <w:tcMar>
              <w:left w:w="40" w:type="dxa"/>
              <w:right w:w="40" w:type="dxa"/>
            </w:tcMar>
            <w:vAlign w:val="center"/>
          </w:tcPr>
          <w:p w14:paraId="277647C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835</w:t>
            </w:r>
          </w:p>
        </w:tc>
      </w:tr>
      <w:tr w:rsidR="00FD1E19" w14:paraId="1240773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2F1CC84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Sales / Exits</w:t>
            </w:r>
          </w:p>
        </w:tc>
        <w:tc>
          <w:tcPr>
            <w:tcW w:w="1500" w:type="dxa"/>
            <w:tcBorders>
              <w:top w:val="nil"/>
              <w:left w:val="nil"/>
              <w:bottom w:val="nil"/>
              <w:right w:val="nil"/>
              <w:tl2br w:val="nil"/>
              <w:tr2bl w:val="nil"/>
            </w:tcBorders>
            <w:tcMar>
              <w:left w:w="40" w:type="dxa"/>
              <w:right w:w="40" w:type="dxa"/>
            </w:tcMar>
            <w:vAlign w:val="center"/>
          </w:tcPr>
          <w:p w14:paraId="7E3B03C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-15,227</w:t>
            </w:r>
          </w:p>
        </w:tc>
        <w:tc>
          <w:tcPr>
            <w:tcW w:w="1005" w:type="dxa"/>
            <w:tcBorders>
              <w:top w:val="nil"/>
              <w:left w:val="nil"/>
              <w:bottom w:val="nil"/>
              <w:right w:val="nil"/>
              <w:tl2br w:val="nil"/>
              <w:tr2bl w:val="nil"/>
            </w:tcBorders>
            <w:tcMar>
              <w:left w:w="40" w:type="dxa"/>
              <w:right w:w="40" w:type="dxa"/>
            </w:tcMar>
            <w:vAlign w:val="center"/>
          </w:tcPr>
          <w:p w14:paraId="390DFD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tcMar>
              <w:left w:w="40" w:type="dxa"/>
              <w:right w:w="40" w:type="dxa"/>
            </w:tcMar>
            <w:vAlign w:val="center"/>
          </w:tcPr>
          <w:p w14:paraId="68CCC22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-15,227</w:t>
            </w:r>
          </w:p>
        </w:tc>
      </w:tr>
      <w:tr w:rsidR="00FD1E19" w14:paraId="1F7A859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4E29F27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Guarantee call</w:t>
            </w:r>
          </w:p>
        </w:tc>
        <w:tc>
          <w:tcPr>
            <w:tcW w:w="1500" w:type="dxa"/>
            <w:tcBorders>
              <w:top w:val="nil"/>
              <w:left w:val="nil"/>
              <w:bottom w:val="nil"/>
              <w:right w:val="nil"/>
              <w:tl2br w:val="nil"/>
              <w:tr2bl w:val="nil"/>
            </w:tcBorders>
            <w:tcMar>
              <w:left w:w="40" w:type="dxa"/>
              <w:right w:w="40" w:type="dxa"/>
            </w:tcMar>
            <w:vAlign w:val="center"/>
          </w:tcPr>
          <w:p w14:paraId="3A477A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tcMar>
              <w:left w:w="40" w:type="dxa"/>
              <w:right w:w="40" w:type="dxa"/>
            </w:tcMar>
            <w:vAlign w:val="center"/>
          </w:tcPr>
          <w:p w14:paraId="632AAE5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c>
          <w:tcPr>
            <w:tcW w:w="1005" w:type="dxa"/>
            <w:tcBorders>
              <w:top w:val="nil"/>
              <w:left w:val="nil"/>
              <w:bottom w:val="nil"/>
              <w:right w:val="nil"/>
              <w:tl2br w:val="nil"/>
              <w:tr2bl w:val="nil"/>
            </w:tcBorders>
            <w:tcMar>
              <w:left w:w="40" w:type="dxa"/>
              <w:right w:w="40" w:type="dxa"/>
            </w:tcMar>
            <w:vAlign w:val="center"/>
          </w:tcPr>
          <w:p w14:paraId="777004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r>
      <w:tr w:rsidR="00FD1E19" w14:paraId="4CF7213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3A64BFD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500" w:type="dxa"/>
            <w:tcBorders>
              <w:top w:val="nil"/>
              <w:left w:val="nil"/>
              <w:bottom w:val="nil"/>
              <w:right w:val="nil"/>
              <w:tl2br w:val="nil"/>
              <w:tr2bl w:val="nil"/>
            </w:tcBorders>
            <w:tcMar>
              <w:left w:w="40" w:type="dxa"/>
              <w:right w:w="40" w:type="dxa"/>
            </w:tcMar>
            <w:vAlign w:val="center"/>
          </w:tcPr>
          <w:p w14:paraId="461F57F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-58,444</w:t>
            </w:r>
          </w:p>
        </w:tc>
        <w:tc>
          <w:tcPr>
            <w:tcW w:w="1005" w:type="dxa"/>
            <w:tcBorders>
              <w:top w:val="nil"/>
              <w:left w:val="nil"/>
              <w:bottom w:val="nil"/>
              <w:right w:val="nil"/>
              <w:tl2br w:val="nil"/>
              <w:tr2bl w:val="nil"/>
            </w:tcBorders>
            <w:tcMar>
              <w:left w:w="40" w:type="dxa"/>
              <w:right w:w="40" w:type="dxa"/>
            </w:tcMar>
            <w:vAlign w:val="center"/>
          </w:tcPr>
          <w:p w14:paraId="3B7F856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-5,850</w:t>
            </w:r>
          </w:p>
        </w:tc>
        <w:tc>
          <w:tcPr>
            <w:tcW w:w="1005" w:type="dxa"/>
            <w:tcBorders>
              <w:top w:val="nil"/>
              <w:left w:val="nil"/>
              <w:bottom w:val="nil"/>
              <w:right w:val="nil"/>
              <w:tl2br w:val="nil"/>
              <w:tr2bl w:val="nil"/>
            </w:tcBorders>
            <w:tcMar>
              <w:left w:w="40" w:type="dxa"/>
              <w:right w:w="40" w:type="dxa"/>
            </w:tcMar>
            <w:vAlign w:val="center"/>
          </w:tcPr>
          <w:p w14:paraId="262DFAB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-64,294</w:t>
            </w:r>
          </w:p>
        </w:tc>
      </w:tr>
      <w:tr w:rsidR="00FD1E19" w14:paraId="7538BF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shd w:val="clear" w:color="FFFFFF" w:fill="BFBFBF"/>
            <w:tcMar>
              <w:left w:w="40" w:type="dxa"/>
              <w:right w:w="40" w:type="dxa"/>
            </w:tcMar>
            <w:vAlign w:val="center"/>
          </w:tcPr>
          <w:p w14:paraId="3FC1BDF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31 December 2025</w:t>
            </w:r>
          </w:p>
        </w:tc>
        <w:tc>
          <w:tcPr>
            <w:tcW w:w="1500" w:type="dxa"/>
            <w:tcBorders>
              <w:top w:val="nil"/>
              <w:left w:val="nil"/>
              <w:bottom w:val="nil"/>
              <w:right w:val="nil"/>
              <w:tl2br w:val="nil"/>
              <w:tr2bl w:val="nil"/>
            </w:tcBorders>
            <w:shd w:val="clear" w:color="FFFFFF" w:fill="BFBFBF"/>
            <w:tcMar>
              <w:left w:w="40" w:type="dxa"/>
              <w:right w:w="40" w:type="dxa"/>
            </w:tcMar>
            <w:vAlign w:val="center"/>
          </w:tcPr>
          <w:p w14:paraId="06A203D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745,934</w:t>
            </w:r>
          </w:p>
        </w:tc>
        <w:tc>
          <w:tcPr>
            <w:tcW w:w="1005" w:type="dxa"/>
            <w:tcBorders>
              <w:top w:val="nil"/>
              <w:left w:val="nil"/>
              <w:bottom w:val="nil"/>
              <w:right w:val="nil"/>
              <w:tl2br w:val="nil"/>
              <w:tr2bl w:val="nil"/>
            </w:tcBorders>
            <w:shd w:val="clear" w:color="FFFFFF" w:fill="BFBFBF"/>
            <w:tcMar>
              <w:left w:w="40" w:type="dxa"/>
              <w:right w:w="40" w:type="dxa"/>
            </w:tcMar>
            <w:vAlign w:val="center"/>
          </w:tcPr>
          <w:p w14:paraId="107A887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77,287</w:t>
            </w:r>
          </w:p>
        </w:tc>
        <w:tc>
          <w:tcPr>
            <w:tcW w:w="1005" w:type="dxa"/>
            <w:tcBorders>
              <w:top w:val="nil"/>
              <w:left w:val="nil"/>
              <w:bottom w:val="nil"/>
              <w:right w:val="nil"/>
              <w:tl2br w:val="nil"/>
              <w:tr2bl w:val="nil"/>
            </w:tcBorders>
            <w:shd w:val="clear" w:color="FFFFFF" w:fill="BFBFBF"/>
            <w:tcMar>
              <w:left w:w="40" w:type="dxa"/>
              <w:right w:w="40" w:type="dxa"/>
            </w:tcMar>
            <w:vAlign w:val="center"/>
          </w:tcPr>
          <w:p w14:paraId="47D298B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823,221</w:t>
            </w:r>
          </w:p>
        </w:tc>
      </w:tr>
      <w:tr w:rsidR="00FD1E19" w14:paraId="7BF6C46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noWrap/>
            <w:tcMar>
              <w:left w:w="0" w:type="dxa"/>
              <w:right w:w="0" w:type="dxa"/>
            </w:tcMar>
            <w:vAlign w:val="bottom"/>
          </w:tcPr>
          <w:p w14:paraId="1D168ADB"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14:paraId="04D9BDD1" w14:textId="77777777" w:rsidR="00FD1E19" w:rsidRDefault="00FD1E19" w:rsidP="00BE7E4A">
            <w:pPr>
              <w:suppressAutoHyphens/>
              <w:rPr>
                <w:rFonts w:ascii="Arial" w:eastAsia="Arial" w:hAnsi="Arial" w:cs="Arial"/>
                <w:noProof/>
                <w:color w:val="000000"/>
                <w:lang w:eastAsia="ar-SA"/>
              </w:rPr>
            </w:pPr>
          </w:p>
        </w:tc>
        <w:tc>
          <w:tcPr>
            <w:tcW w:w="1005" w:type="dxa"/>
            <w:tcBorders>
              <w:top w:val="nil"/>
              <w:left w:val="nil"/>
              <w:bottom w:val="nil"/>
              <w:right w:val="nil"/>
              <w:tl2br w:val="nil"/>
              <w:tr2bl w:val="nil"/>
            </w:tcBorders>
            <w:noWrap/>
            <w:tcMar>
              <w:left w:w="0" w:type="dxa"/>
              <w:right w:w="0" w:type="dxa"/>
            </w:tcMar>
            <w:vAlign w:val="bottom"/>
          </w:tcPr>
          <w:p w14:paraId="3053AEA1"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14:paraId="155F16B4" w14:textId="77777777" w:rsidR="00FD1E19" w:rsidRDefault="00FD1E19" w:rsidP="00BE7E4A">
            <w:pPr>
              <w:suppressAutoHyphens/>
              <w:rPr>
                <w:rFonts w:ascii="Calibri" w:eastAsia="Calibri" w:hAnsi="Calibri" w:cs="Calibri"/>
                <w:noProof/>
                <w:color w:val="000000"/>
                <w:sz w:val="22"/>
                <w:lang w:eastAsia="ar-SA"/>
              </w:rPr>
            </w:pPr>
          </w:p>
        </w:tc>
      </w:tr>
      <w:tr w:rsidR="00FD1E19" w14:paraId="3AA05B9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9"/>
        </w:trPr>
        <w:tc>
          <w:tcPr>
            <w:tcW w:w="6315" w:type="dxa"/>
            <w:tcBorders>
              <w:top w:val="nil"/>
              <w:left w:val="nil"/>
              <w:bottom w:val="single" w:sz="4" w:space="0" w:color="000000"/>
              <w:right w:val="nil"/>
              <w:tl2br w:val="nil"/>
              <w:tr2bl w:val="nil"/>
            </w:tcBorders>
            <w:noWrap/>
            <w:tcMar>
              <w:left w:w="0" w:type="dxa"/>
              <w:right w:w="0" w:type="dxa"/>
            </w:tcMar>
            <w:vAlign w:val="bottom"/>
          </w:tcPr>
          <w:p w14:paraId="44DA0C38" w14:textId="77777777" w:rsidR="00FD1E19" w:rsidRDefault="00FD1E19" w:rsidP="00BE7E4A">
            <w:pPr>
              <w:suppressAutoHyphens/>
              <w:rPr>
                <w:rFonts w:ascii="Calibri" w:eastAsia="Calibri" w:hAnsi="Calibri" w:cs="Calibri"/>
                <w:noProof/>
                <w:color w:val="000000"/>
                <w:sz w:val="22"/>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14:paraId="7C13A7F7"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14:paraId="191FB6F4"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nil"/>
              <w:left w:val="nil"/>
              <w:bottom w:val="single" w:sz="4" w:space="0" w:color="000000"/>
              <w:right w:val="nil"/>
              <w:tl2br w:val="nil"/>
              <w:tr2bl w:val="nil"/>
            </w:tcBorders>
            <w:noWrap/>
            <w:tcMar>
              <w:left w:w="0" w:type="dxa"/>
              <w:right w:w="0" w:type="dxa"/>
            </w:tcMar>
            <w:vAlign w:val="bottom"/>
          </w:tcPr>
          <w:p w14:paraId="70BA6ACE" w14:textId="77777777" w:rsidR="00FD1E19" w:rsidRDefault="00FD1E19" w:rsidP="00BE7E4A">
            <w:pPr>
              <w:suppressAutoHyphens/>
              <w:rPr>
                <w:rFonts w:ascii="Calibri" w:eastAsia="Calibri" w:hAnsi="Calibri" w:cs="Calibri"/>
                <w:noProof/>
                <w:color w:val="000000"/>
                <w:sz w:val="22"/>
                <w:lang w:eastAsia="ar-SA"/>
              </w:rPr>
            </w:pPr>
          </w:p>
        </w:tc>
      </w:tr>
      <w:tr w:rsidR="00FD1E19" w14:paraId="52009DB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14:paraId="34E5B7E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BCCAD7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Shares and other variable yield securities</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2626E5C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3D49C46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5A2C616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14:paraId="7CAEC6A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1 January 2024</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5807BA5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820,713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3B84E5D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124,323</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7472261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945,036</w:t>
            </w:r>
          </w:p>
        </w:tc>
      </w:tr>
      <w:tr w:rsidR="00FD1E19" w14:paraId="6D88EDA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14:paraId="73A0870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Gains or losses included in profit or loss:</w:t>
            </w:r>
          </w:p>
        </w:tc>
        <w:tc>
          <w:tcPr>
            <w:tcW w:w="1500" w:type="dxa"/>
            <w:tcBorders>
              <w:top w:val="single" w:sz="4" w:space="0" w:color="000000"/>
              <w:left w:val="nil"/>
              <w:bottom w:val="nil"/>
              <w:right w:val="nil"/>
              <w:tl2br w:val="nil"/>
              <w:tr2bl w:val="nil"/>
            </w:tcBorders>
            <w:tcMar>
              <w:left w:w="0" w:type="dxa"/>
              <w:right w:w="0" w:type="dxa"/>
            </w:tcMar>
            <w:vAlign w:val="center"/>
          </w:tcPr>
          <w:p w14:paraId="7069DC21" w14:textId="77777777" w:rsidR="00FD1E19" w:rsidRDefault="00FD1E19" w:rsidP="00BE7E4A">
            <w:pPr>
              <w:suppressAutoHyphens/>
              <w:jc w:val="right"/>
              <w:rPr>
                <w:rFonts w:ascii="Arial" w:eastAsia="Arial" w:hAnsi="Arial" w:cs="Arial"/>
                <w:noProof/>
                <w:color w:val="000000"/>
                <w:sz w:val="16"/>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14:paraId="282ED919"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single" w:sz="4" w:space="0" w:color="000000"/>
              <w:left w:val="nil"/>
              <w:bottom w:val="nil"/>
              <w:right w:val="nil"/>
              <w:tl2br w:val="nil"/>
              <w:tr2bl w:val="nil"/>
            </w:tcBorders>
            <w:noWrap/>
            <w:tcMar>
              <w:left w:w="0" w:type="dxa"/>
              <w:right w:w="0" w:type="dxa"/>
            </w:tcMar>
            <w:vAlign w:val="bottom"/>
          </w:tcPr>
          <w:p w14:paraId="284B5858" w14:textId="77777777" w:rsidR="00FD1E19" w:rsidRDefault="00FD1E19" w:rsidP="00BE7E4A">
            <w:pPr>
              <w:suppressAutoHyphens/>
              <w:rPr>
                <w:rFonts w:ascii="Calibri" w:eastAsia="Calibri" w:hAnsi="Calibri" w:cs="Calibri"/>
                <w:noProof/>
                <w:color w:val="000000"/>
                <w:sz w:val="22"/>
                <w:lang w:eastAsia="ar-SA"/>
              </w:rPr>
            </w:pPr>
          </w:p>
        </w:tc>
      </w:tr>
      <w:tr w:rsidR="00FD1E19" w14:paraId="1C10B37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3911F6A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Derecognition of fair value adjustment due to Sales / Exits</w:t>
            </w:r>
          </w:p>
        </w:tc>
        <w:tc>
          <w:tcPr>
            <w:tcW w:w="1500" w:type="dxa"/>
            <w:tcBorders>
              <w:top w:val="nil"/>
              <w:left w:val="nil"/>
              <w:bottom w:val="nil"/>
              <w:right w:val="nil"/>
              <w:tl2br w:val="nil"/>
              <w:tr2bl w:val="nil"/>
            </w:tcBorders>
            <w:tcMar>
              <w:left w:w="40" w:type="dxa"/>
              <w:right w:w="40" w:type="dxa"/>
            </w:tcMar>
            <w:vAlign w:val="center"/>
          </w:tcPr>
          <w:p w14:paraId="013086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14,051</w:t>
            </w:r>
          </w:p>
        </w:tc>
        <w:tc>
          <w:tcPr>
            <w:tcW w:w="1005" w:type="dxa"/>
            <w:tcBorders>
              <w:top w:val="nil"/>
              <w:left w:val="nil"/>
              <w:bottom w:val="nil"/>
              <w:right w:val="nil"/>
              <w:tl2br w:val="nil"/>
              <w:tr2bl w:val="nil"/>
            </w:tcBorders>
            <w:tcMar>
              <w:left w:w="40" w:type="dxa"/>
              <w:right w:w="40" w:type="dxa"/>
            </w:tcMar>
            <w:vAlign w:val="center"/>
          </w:tcPr>
          <w:p w14:paraId="3DB395F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tcMar>
              <w:left w:w="40" w:type="dxa"/>
              <w:right w:w="40" w:type="dxa"/>
            </w:tcMar>
            <w:vAlign w:val="center"/>
          </w:tcPr>
          <w:p w14:paraId="2D8D2D5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14,051</w:t>
            </w:r>
          </w:p>
        </w:tc>
      </w:tr>
      <w:tr w:rsidR="00FD1E19" w14:paraId="0EFAE1A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single" w:sz="4" w:space="0" w:color="000000"/>
              <w:right w:val="nil"/>
              <w:tl2br w:val="nil"/>
              <w:tr2bl w:val="nil"/>
            </w:tcBorders>
            <w:tcMar>
              <w:left w:w="40" w:type="dxa"/>
              <w:right w:w="40" w:type="dxa"/>
            </w:tcMar>
            <w:vAlign w:val="center"/>
          </w:tcPr>
          <w:p w14:paraId="47C21F7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fair value change on shares and other variable yield securities</w:t>
            </w:r>
          </w:p>
        </w:tc>
        <w:tc>
          <w:tcPr>
            <w:tcW w:w="1500" w:type="dxa"/>
            <w:tcBorders>
              <w:top w:val="nil"/>
              <w:left w:val="nil"/>
              <w:bottom w:val="single" w:sz="4" w:space="0" w:color="000000"/>
              <w:right w:val="nil"/>
              <w:tl2br w:val="nil"/>
              <w:tr2bl w:val="nil"/>
            </w:tcBorders>
            <w:tcMar>
              <w:left w:w="40" w:type="dxa"/>
              <w:right w:w="40" w:type="dxa"/>
            </w:tcMar>
            <w:vAlign w:val="center"/>
          </w:tcPr>
          <w:p w14:paraId="7D3F0C3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-45,698</w:t>
            </w:r>
          </w:p>
        </w:tc>
        <w:tc>
          <w:tcPr>
            <w:tcW w:w="1005" w:type="dxa"/>
            <w:tcBorders>
              <w:top w:val="nil"/>
              <w:left w:val="nil"/>
              <w:bottom w:val="single" w:sz="4" w:space="0" w:color="000000"/>
              <w:right w:val="nil"/>
              <w:tl2br w:val="nil"/>
              <w:tr2bl w:val="nil"/>
            </w:tcBorders>
            <w:tcMar>
              <w:left w:w="40" w:type="dxa"/>
              <w:right w:w="40" w:type="dxa"/>
            </w:tcMar>
            <w:vAlign w:val="center"/>
          </w:tcPr>
          <w:p w14:paraId="76C5C72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-5,436</w:t>
            </w:r>
          </w:p>
        </w:tc>
        <w:tc>
          <w:tcPr>
            <w:tcW w:w="1005" w:type="dxa"/>
            <w:tcBorders>
              <w:top w:val="nil"/>
              <w:left w:val="nil"/>
              <w:bottom w:val="single" w:sz="4" w:space="0" w:color="000000"/>
              <w:right w:val="nil"/>
              <w:tl2br w:val="nil"/>
              <w:tr2bl w:val="nil"/>
            </w:tcBorders>
            <w:tcMar>
              <w:left w:w="40" w:type="dxa"/>
              <w:right w:w="40" w:type="dxa"/>
            </w:tcMar>
            <w:vAlign w:val="center"/>
          </w:tcPr>
          <w:p w14:paraId="1C76A73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-51,134</w:t>
            </w:r>
          </w:p>
        </w:tc>
      </w:tr>
      <w:tr w:rsidR="00FD1E19" w14:paraId="7B83FF5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single" w:sz="4" w:space="0" w:color="000000"/>
              <w:right w:val="nil"/>
              <w:tl2br w:val="nil"/>
              <w:tr2bl w:val="nil"/>
            </w:tcBorders>
            <w:tcMar>
              <w:left w:w="40" w:type="dxa"/>
              <w:right w:w="40" w:type="dxa"/>
            </w:tcMar>
            <w:vAlign w:val="center"/>
          </w:tcPr>
          <w:p w14:paraId="49AF54E7"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658F33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-31,647</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7D7761E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-5,436</w:t>
            </w:r>
          </w:p>
        </w:tc>
        <w:tc>
          <w:tcPr>
            <w:tcW w:w="1005" w:type="dxa"/>
            <w:tcBorders>
              <w:top w:val="single" w:sz="4" w:space="0" w:color="000000"/>
              <w:left w:val="nil"/>
              <w:bottom w:val="single" w:sz="4" w:space="0" w:color="000000"/>
              <w:right w:val="nil"/>
              <w:tl2br w:val="nil"/>
              <w:tr2bl w:val="nil"/>
            </w:tcBorders>
            <w:tcMar>
              <w:left w:w="40" w:type="dxa"/>
              <w:right w:w="40" w:type="dxa"/>
            </w:tcMar>
            <w:vAlign w:val="center"/>
          </w:tcPr>
          <w:p w14:paraId="67F34A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-37,083</w:t>
            </w:r>
          </w:p>
        </w:tc>
      </w:tr>
      <w:tr w:rsidR="00FD1E19" w14:paraId="5A7F57C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single" w:sz="4" w:space="0" w:color="000000"/>
              <w:left w:val="nil"/>
              <w:bottom w:val="nil"/>
              <w:right w:val="nil"/>
              <w:tl2br w:val="nil"/>
              <w:tr2bl w:val="nil"/>
            </w:tcBorders>
            <w:tcMar>
              <w:left w:w="40" w:type="dxa"/>
              <w:right w:w="40" w:type="dxa"/>
            </w:tcMar>
            <w:vAlign w:val="center"/>
          </w:tcPr>
          <w:p w14:paraId="11E7DDE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500" w:type="dxa"/>
            <w:tcBorders>
              <w:top w:val="single" w:sz="4" w:space="0" w:color="000000"/>
              <w:left w:val="nil"/>
              <w:bottom w:val="nil"/>
              <w:right w:val="nil"/>
              <w:tl2br w:val="nil"/>
              <w:tr2bl w:val="nil"/>
            </w:tcBorders>
            <w:tcMar>
              <w:left w:w="40" w:type="dxa"/>
              <w:right w:w="40" w:type="dxa"/>
            </w:tcMar>
            <w:vAlign w:val="center"/>
          </w:tcPr>
          <w:p w14:paraId="07381E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69,392</w:t>
            </w:r>
          </w:p>
        </w:tc>
        <w:tc>
          <w:tcPr>
            <w:tcW w:w="1005" w:type="dxa"/>
            <w:tcBorders>
              <w:top w:val="single" w:sz="4" w:space="0" w:color="000000"/>
              <w:left w:val="nil"/>
              <w:bottom w:val="nil"/>
              <w:right w:val="nil"/>
              <w:tl2br w:val="nil"/>
              <w:tr2bl w:val="nil"/>
            </w:tcBorders>
            <w:tcMar>
              <w:left w:w="40" w:type="dxa"/>
              <w:right w:w="40" w:type="dxa"/>
            </w:tcMar>
            <w:vAlign w:val="center"/>
          </w:tcPr>
          <w:p w14:paraId="0EEFBC8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15,888</w:t>
            </w:r>
          </w:p>
        </w:tc>
        <w:tc>
          <w:tcPr>
            <w:tcW w:w="1005" w:type="dxa"/>
            <w:tcBorders>
              <w:top w:val="single" w:sz="4" w:space="0" w:color="000000"/>
              <w:left w:val="nil"/>
              <w:bottom w:val="nil"/>
              <w:right w:val="nil"/>
              <w:tl2br w:val="nil"/>
              <w:tr2bl w:val="nil"/>
            </w:tcBorders>
            <w:tcMar>
              <w:left w:w="40" w:type="dxa"/>
              <w:right w:w="40" w:type="dxa"/>
            </w:tcMar>
            <w:vAlign w:val="center"/>
          </w:tcPr>
          <w:p w14:paraId="1E205C3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85,280</w:t>
            </w:r>
          </w:p>
        </w:tc>
      </w:tr>
      <w:tr w:rsidR="00FD1E19" w14:paraId="0A1794B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6257D31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w:t>
            </w:r>
          </w:p>
        </w:tc>
        <w:tc>
          <w:tcPr>
            <w:tcW w:w="1500" w:type="dxa"/>
            <w:tcBorders>
              <w:top w:val="nil"/>
              <w:left w:val="nil"/>
              <w:bottom w:val="nil"/>
              <w:right w:val="nil"/>
              <w:tl2br w:val="nil"/>
              <w:tr2bl w:val="nil"/>
            </w:tcBorders>
            <w:tcMar>
              <w:left w:w="40" w:type="dxa"/>
              <w:right w:w="40" w:type="dxa"/>
            </w:tcMar>
            <w:vAlign w:val="center"/>
          </w:tcPr>
          <w:p w14:paraId="5E4A437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-21,413</w:t>
            </w:r>
          </w:p>
        </w:tc>
        <w:tc>
          <w:tcPr>
            <w:tcW w:w="1005" w:type="dxa"/>
            <w:tcBorders>
              <w:top w:val="nil"/>
              <w:left w:val="nil"/>
              <w:bottom w:val="nil"/>
              <w:right w:val="nil"/>
              <w:tl2br w:val="nil"/>
              <w:tr2bl w:val="nil"/>
            </w:tcBorders>
            <w:tcMar>
              <w:left w:w="40" w:type="dxa"/>
              <w:right w:w="40" w:type="dxa"/>
            </w:tcMar>
            <w:vAlign w:val="center"/>
          </w:tcPr>
          <w:p w14:paraId="620A2C5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-3,185</w:t>
            </w:r>
          </w:p>
        </w:tc>
        <w:tc>
          <w:tcPr>
            <w:tcW w:w="1005" w:type="dxa"/>
            <w:tcBorders>
              <w:top w:val="nil"/>
              <w:left w:val="nil"/>
              <w:bottom w:val="nil"/>
              <w:right w:val="nil"/>
              <w:tl2br w:val="nil"/>
              <w:tr2bl w:val="nil"/>
            </w:tcBorders>
            <w:tcMar>
              <w:left w:w="40" w:type="dxa"/>
              <w:right w:w="40" w:type="dxa"/>
            </w:tcMar>
            <w:vAlign w:val="center"/>
          </w:tcPr>
          <w:p w14:paraId="3B536A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-24,598</w:t>
            </w:r>
          </w:p>
        </w:tc>
      </w:tr>
      <w:tr w:rsidR="00FD1E19" w14:paraId="26C6485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45B1FCB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capitalised</w:t>
            </w:r>
          </w:p>
        </w:tc>
        <w:tc>
          <w:tcPr>
            <w:tcW w:w="1500" w:type="dxa"/>
            <w:tcBorders>
              <w:top w:val="nil"/>
              <w:left w:val="nil"/>
              <w:bottom w:val="nil"/>
              <w:right w:val="nil"/>
              <w:tl2br w:val="nil"/>
              <w:tr2bl w:val="nil"/>
            </w:tcBorders>
            <w:tcMar>
              <w:left w:w="40" w:type="dxa"/>
              <w:right w:w="40" w:type="dxa"/>
            </w:tcMar>
            <w:vAlign w:val="center"/>
          </w:tcPr>
          <w:p w14:paraId="5838BB1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tcMar>
              <w:left w:w="40" w:type="dxa"/>
              <w:right w:w="40" w:type="dxa"/>
            </w:tcMar>
            <w:vAlign w:val="center"/>
          </w:tcPr>
          <w:p w14:paraId="136E4D8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2,243</w:t>
            </w:r>
          </w:p>
        </w:tc>
        <w:tc>
          <w:tcPr>
            <w:tcW w:w="1005" w:type="dxa"/>
            <w:tcBorders>
              <w:top w:val="nil"/>
              <w:left w:val="nil"/>
              <w:bottom w:val="nil"/>
              <w:right w:val="nil"/>
              <w:tl2br w:val="nil"/>
              <w:tr2bl w:val="nil"/>
            </w:tcBorders>
            <w:tcMar>
              <w:left w:w="40" w:type="dxa"/>
              <w:right w:w="40" w:type="dxa"/>
            </w:tcMar>
            <w:vAlign w:val="center"/>
          </w:tcPr>
          <w:p w14:paraId="09A1FF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2,243</w:t>
            </w:r>
          </w:p>
        </w:tc>
      </w:tr>
      <w:tr w:rsidR="00FD1E19" w14:paraId="673FF4A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1FD2354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Sales / Exits</w:t>
            </w:r>
          </w:p>
        </w:tc>
        <w:tc>
          <w:tcPr>
            <w:tcW w:w="1500" w:type="dxa"/>
            <w:tcBorders>
              <w:top w:val="nil"/>
              <w:left w:val="nil"/>
              <w:bottom w:val="nil"/>
              <w:right w:val="nil"/>
              <w:tl2br w:val="nil"/>
              <w:tr2bl w:val="nil"/>
            </w:tcBorders>
            <w:tcMar>
              <w:left w:w="40" w:type="dxa"/>
              <w:right w:w="40" w:type="dxa"/>
            </w:tcMar>
            <w:vAlign w:val="center"/>
          </w:tcPr>
          <w:p w14:paraId="5E51DDE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-25,623</w:t>
            </w:r>
          </w:p>
        </w:tc>
        <w:tc>
          <w:tcPr>
            <w:tcW w:w="1005" w:type="dxa"/>
            <w:tcBorders>
              <w:top w:val="nil"/>
              <w:left w:val="nil"/>
              <w:bottom w:val="nil"/>
              <w:right w:val="nil"/>
              <w:tl2br w:val="nil"/>
              <w:tr2bl w:val="nil"/>
            </w:tcBorders>
            <w:tcMar>
              <w:left w:w="40" w:type="dxa"/>
              <w:right w:w="40" w:type="dxa"/>
            </w:tcMar>
            <w:vAlign w:val="center"/>
          </w:tcPr>
          <w:p w14:paraId="05BB826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05" w:type="dxa"/>
            <w:tcBorders>
              <w:top w:val="nil"/>
              <w:left w:val="nil"/>
              <w:bottom w:val="nil"/>
              <w:right w:val="nil"/>
              <w:tl2br w:val="nil"/>
              <w:tr2bl w:val="nil"/>
            </w:tcBorders>
            <w:tcMar>
              <w:left w:w="40" w:type="dxa"/>
              <w:right w:w="40" w:type="dxa"/>
            </w:tcMar>
            <w:vAlign w:val="center"/>
          </w:tcPr>
          <w:p w14:paraId="058555F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-25,623</w:t>
            </w:r>
          </w:p>
        </w:tc>
      </w:tr>
      <w:tr w:rsidR="00FD1E19" w14:paraId="0CF763A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tcMar>
              <w:left w:w="40" w:type="dxa"/>
              <w:right w:w="40" w:type="dxa"/>
            </w:tcMar>
            <w:vAlign w:val="center"/>
          </w:tcPr>
          <w:p w14:paraId="1B9A1B5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500" w:type="dxa"/>
            <w:tcBorders>
              <w:top w:val="nil"/>
              <w:left w:val="nil"/>
              <w:bottom w:val="nil"/>
              <w:right w:val="nil"/>
              <w:tl2br w:val="nil"/>
              <w:tr2bl w:val="nil"/>
            </w:tcBorders>
            <w:tcMar>
              <w:left w:w="40" w:type="dxa"/>
              <w:right w:w="40" w:type="dxa"/>
            </w:tcMar>
            <w:vAlign w:val="center"/>
          </w:tcPr>
          <w:p w14:paraId="02179C9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23,199</w:t>
            </w:r>
          </w:p>
        </w:tc>
        <w:tc>
          <w:tcPr>
            <w:tcW w:w="1005" w:type="dxa"/>
            <w:tcBorders>
              <w:top w:val="nil"/>
              <w:left w:val="nil"/>
              <w:bottom w:val="nil"/>
              <w:right w:val="nil"/>
              <w:tl2br w:val="nil"/>
              <w:tr2bl w:val="nil"/>
            </w:tcBorders>
            <w:tcMar>
              <w:left w:w="40" w:type="dxa"/>
              <w:right w:w="40" w:type="dxa"/>
            </w:tcMar>
            <w:vAlign w:val="center"/>
          </w:tcPr>
          <w:p w14:paraId="5EDE36D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3,150</w:t>
            </w:r>
          </w:p>
        </w:tc>
        <w:tc>
          <w:tcPr>
            <w:tcW w:w="1005" w:type="dxa"/>
            <w:tcBorders>
              <w:top w:val="nil"/>
              <w:left w:val="nil"/>
              <w:bottom w:val="nil"/>
              <w:right w:val="nil"/>
              <w:tl2br w:val="nil"/>
              <w:tr2bl w:val="nil"/>
            </w:tcBorders>
            <w:tcMar>
              <w:left w:w="40" w:type="dxa"/>
              <w:right w:w="40" w:type="dxa"/>
            </w:tcMar>
            <w:vAlign w:val="center"/>
          </w:tcPr>
          <w:p w14:paraId="0DEB0A5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26,349</w:t>
            </w:r>
          </w:p>
        </w:tc>
      </w:tr>
      <w:tr w:rsidR="00FD1E19" w14:paraId="1DD04D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shd w:val="clear" w:color="FFFFFF" w:fill="BFBFBF"/>
            <w:tcMar>
              <w:left w:w="40" w:type="dxa"/>
              <w:right w:w="40" w:type="dxa"/>
            </w:tcMar>
            <w:vAlign w:val="center"/>
          </w:tcPr>
          <w:p w14:paraId="09B5AC5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31 December 2024</w:t>
            </w:r>
          </w:p>
        </w:tc>
        <w:tc>
          <w:tcPr>
            <w:tcW w:w="1500" w:type="dxa"/>
            <w:tcBorders>
              <w:top w:val="nil"/>
              <w:left w:val="nil"/>
              <w:bottom w:val="nil"/>
              <w:right w:val="nil"/>
              <w:tl2br w:val="nil"/>
              <w:tr2bl w:val="nil"/>
            </w:tcBorders>
            <w:shd w:val="clear" w:color="FFFFFF" w:fill="BFBFBF"/>
            <w:tcMar>
              <w:left w:w="40" w:type="dxa"/>
              <w:right w:w="100" w:type="dxa"/>
            </w:tcMar>
            <w:vAlign w:val="center"/>
          </w:tcPr>
          <w:p w14:paraId="19A08C4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834,621</w:t>
            </w:r>
          </w:p>
        </w:tc>
        <w:tc>
          <w:tcPr>
            <w:tcW w:w="1005" w:type="dxa"/>
            <w:tcBorders>
              <w:top w:val="nil"/>
              <w:left w:val="nil"/>
              <w:bottom w:val="nil"/>
              <w:right w:val="nil"/>
              <w:tl2br w:val="nil"/>
              <w:tr2bl w:val="nil"/>
            </w:tcBorders>
            <w:shd w:val="clear" w:color="FFFFFF" w:fill="BFBFBF"/>
            <w:tcMar>
              <w:left w:w="40" w:type="dxa"/>
              <w:right w:w="100" w:type="dxa"/>
            </w:tcMar>
            <w:vAlign w:val="center"/>
          </w:tcPr>
          <w:p w14:paraId="3F33168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136,983</w:t>
            </w:r>
          </w:p>
        </w:tc>
        <w:tc>
          <w:tcPr>
            <w:tcW w:w="1005" w:type="dxa"/>
            <w:tcBorders>
              <w:top w:val="nil"/>
              <w:left w:val="nil"/>
              <w:bottom w:val="nil"/>
              <w:right w:val="nil"/>
              <w:tl2br w:val="nil"/>
              <w:tr2bl w:val="nil"/>
            </w:tcBorders>
            <w:shd w:val="clear" w:color="FFFFFF" w:fill="BFBFBF"/>
            <w:tcMar>
              <w:left w:w="40" w:type="dxa"/>
              <w:right w:w="100" w:type="dxa"/>
            </w:tcMar>
            <w:vAlign w:val="center"/>
          </w:tcPr>
          <w:p w14:paraId="25F4077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971,604</w:t>
            </w:r>
          </w:p>
        </w:tc>
      </w:tr>
      <w:tr w:rsidR="00FD1E19" w14:paraId="75A88B3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5"/>
        </w:trPr>
        <w:tc>
          <w:tcPr>
            <w:tcW w:w="9825" w:type="dxa"/>
            <w:gridSpan w:val="4"/>
            <w:tcBorders>
              <w:top w:val="nil"/>
              <w:left w:val="nil"/>
              <w:bottom w:val="nil"/>
              <w:right w:val="nil"/>
              <w:tl2br w:val="nil"/>
              <w:tr2bl w:val="nil"/>
            </w:tcBorders>
            <w:tcMar>
              <w:left w:w="40" w:type="dxa"/>
              <w:right w:w="40" w:type="dxa"/>
            </w:tcMar>
            <w:vAlign w:val="center"/>
          </w:tcPr>
          <w:p w14:paraId="5B375AF0"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In 2025 and 2024 the Facility did not make transfers out or to Level 3 of the fair value hierarchy.</w:t>
            </w:r>
          </w:p>
        </w:tc>
      </w:tr>
      <w:tr w:rsidR="00FD1E19" w14:paraId="3734F33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315" w:type="dxa"/>
            <w:tcBorders>
              <w:top w:val="nil"/>
              <w:left w:val="nil"/>
              <w:bottom w:val="nil"/>
              <w:right w:val="nil"/>
              <w:tl2br w:val="nil"/>
              <w:tr2bl w:val="nil"/>
            </w:tcBorders>
            <w:noWrap/>
            <w:tcMar>
              <w:left w:w="0" w:type="dxa"/>
              <w:right w:w="0" w:type="dxa"/>
            </w:tcMar>
            <w:vAlign w:val="bottom"/>
          </w:tcPr>
          <w:p w14:paraId="5DF0C71E" w14:textId="77777777" w:rsidR="00FD1E19" w:rsidRDefault="00FD1E19" w:rsidP="00BE7E4A">
            <w:pPr>
              <w:suppressAutoHyphens/>
              <w:rPr>
                <w:rFonts w:ascii="Calibri" w:eastAsia="Calibri" w:hAnsi="Calibri" w:cs="Calibri"/>
                <w:noProof/>
                <w:color w:val="000000"/>
                <w:sz w:val="22"/>
                <w:lang w:eastAsia="ar-SA"/>
              </w:rPr>
            </w:pPr>
          </w:p>
        </w:tc>
        <w:tc>
          <w:tcPr>
            <w:tcW w:w="1500" w:type="dxa"/>
            <w:tcBorders>
              <w:top w:val="nil"/>
              <w:left w:val="nil"/>
              <w:bottom w:val="nil"/>
              <w:right w:val="nil"/>
              <w:tl2br w:val="nil"/>
              <w:tr2bl w:val="nil"/>
            </w:tcBorders>
            <w:noWrap/>
            <w:tcMar>
              <w:left w:w="0" w:type="dxa"/>
              <w:right w:w="0" w:type="dxa"/>
            </w:tcMar>
            <w:vAlign w:val="bottom"/>
          </w:tcPr>
          <w:p w14:paraId="7913AE86"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14:paraId="031B48B7" w14:textId="77777777" w:rsidR="00FD1E19" w:rsidRDefault="00FD1E19" w:rsidP="00BE7E4A">
            <w:pPr>
              <w:suppressAutoHyphens/>
              <w:rPr>
                <w:rFonts w:ascii="Calibri" w:eastAsia="Calibri" w:hAnsi="Calibri" w:cs="Calibri"/>
                <w:noProof/>
                <w:color w:val="000000"/>
                <w:sz w:val="22"/>
                <w:lang w:eastAsia="ar-SA"/>
              </w:rPr>
            </w:pPr>
          </w:p>
        </w:tc>
        <w:tc>
          <w:tcPr>
            <w:tcW w:w="1005" w:type="dxa"/>
            <w:tcBorders>
              <w:top w:val="nil"/>
              <w:left w:val="nil"/>
              <w:bottom w:val="nil"/>
              <w:right w:val="nil"/>
              <w:tl2br w:val="nil"/>
              <w:tr2bl w:val="nil"/>
            </w:tcBorders>
            <w:noWrap/>
            <w:tcMar>
              <w:left w:w="0" w:type="dxa"/>
              <w:right w:w="0" w:type="dxa"/>
            </w:tcMar>
            <w:vAlign w:val="bottom"/>
          </w:tcPr>
          <w:p w14:paraId="48C135AC" w14:textId="77777777" w:rsidR="00FD1E19" w:rsidRDefault="00FD1E19" w:rsidP="00BE7E4A">
            <w:pPr>
              <w:suppressAutoHyphens/>
              <w:rPr>
                <w:rFonts w:ascii="Calibri" w:eastAsia="Calibri" w:hAnsi="Calibri" w:cs="Calibri"/>
                <w:noProof/>
                <w:color w:val="000000"/>
                <w:sz w:val="22"/>
                <w:lang w:eastAsia="ar-SA"/>
              </w:rPr>
            </w:pPr>
          </w:p>
        </w:tc>
      </w:tr>
    </w:tbl>
    <w:p w14:paraId="056416EC" w14:textId="77777777" w:rsidR="00FD1E19" w:rsidRDefault="00FD1E19" w:rsidP="00FD1E19">
      <w:pPr>
        <w:pageBreakBefore/>
        <w:pBdr>
          <w:top w:val="nil"/>
          <w:left w:val="nil"/>
          <w:bottom w:val="nil"/>
          <w:right w:val="nil"/>
          <w:between w:val="nil"/>
          <w:bar w:val="nil"/>
        </w:pBdr>
        <w:suppressAutoHyphens/>
        <w:rPr>
          <w:rFonts w:ascii="Arial" w:hAnsi="Arial"/>
          <w:b/>
          <w:bCs/>
          <w:noProof/>
          <w:sz w:val="16"/>
          <w:szCs w:val="16"/>
          <w:bdr w:val="nil"/>
        </w:rPr>
      </w:pPr>
      <w:bookmarkStart w:id="276" w:name="RG_MARKER_90163"/>
      <w:r>
        <w:rPr>
          <w:rFonts w:ascii="Arial" w:hAnsi="Arial"/>
          <w:b/>
          <w:bCs/>
          <w:noProof/>
          <w:sz w:val="16"/>
          <w:szCs w:val="16"/>
        </w:rPr>
        <w:t>Sensitivity analysis</w:t>
      </w:r>
      <w:bookmarkEnd w:id="276"/>
    </w:p>
    <w:p w14:paraId="6BD01234" w14:textId="77777777" w:rsidR="00FD1E19" w:rsidRDefault="00FD1E19" w:rsidP="00FD1E19">
      <w:pPr>
        <w:pBdr>
          <w:top w:val="nil"/>
          <w:left w:val="nil"/>
          <w:bottom w:val="nil"/>
          <w:right w:val="nil"/>
          <w:between w:val="nil"/>
          <w:bar w:val="nil"/>
        </w:pBdr>
        <w:suppressAutoHyphens/>
        <w:spacing w:before="60" w:after="60"/>
        <w:rPr>
          <w:rFonts w:ascii="Arial" w:hAnsi="Arial"/>
          <w:bCs/>
          <w:noProof/>
          <w:sz w:val="16"/>
          <w:szCs w:val="16"/>
          <w:bdr w:val="nil"/>
        </w:rPr>
      </w:pPr>
    </w:p>
    <w:p w14:paraId="2857571E" w14:textId="77777777" w:rsidR="00FD1E19" w:rsidRDefault="00FD1E19" w:rsidP="00FD1E19">
      <w:pPr>
        <w:pBdr>
          <w:top w:val="nil"/>
          <w:left w:val="nil"/>
          <w:bottom w:val="nil"/>
          <w:right w:val="nil"/>
          <w:between w:val="nil"/>
          <w:bar w:val="nil"/>
        </w:pBdr>
        <w:suppressAutoHyphens/>
        <w:jc w:val="both"/>
        <w:rPr>
          <w:rFonts w:ascii="Arial" w:hAnsi="Arial"/>
          <w:bCs/>
          <w:noProof/>
          <w:sz w:val="16"/>
          <w:szCs w:val="16"/>
          <w:bdr w:val="nil"/>
        </w:rPr>
      </w:pPr>
      <w:r w:rsidRPr="00560C3F">
        <w:rPr>
          <w:rFonts w:ascii="Arial" w:hAnsi="Arial"/>
          <w:bCs/>
          <w:noProof/>
          <w:sz w:val="16"/>
          <w:szCs w:val="16"/>
        </w:rPr>
        <w:t>The effects on the Facility’s contributors’ resources</w:t>
      </w:r>
      <w:r>
        <w:rPr>
          <w:rFonts w:ascii="Arial" w:hAnsi="Arial"/>
          <w:bCs/>
          <w:noProof/>
          <w:sz w:val="16"/>
          <w:szCs w:val="16"/>
        </w:rPr>
        <w:t>,</w:t>
      </w:r>
      <w:r w:rsidRPr="00560C3F">
        <w:rPr>
          <w:rFonts w:ascii="Arial" w:hAnsi="Arial"/>
          <w:bCs/>
          <w:noProof/>
          <w:sz w:val="16"/>
          <w:szCs w:val="16"/>
        </w:rPr>
        <w:t xml:space="preserve"> </w:t>
      </w:r>
      <w:r>
        <w:rPr>
          <w:rFonts w:ascii="Arial" w:hAnsi="Arial"/>
          <w:bCs/>
          <w:noProof/>
          <w:sz w:val="16"/>
          <w:szCs w:val="16"/>
        </w:rPr>
        <w:t>and s</w:t>
      </w:r>
      <w:r w:rsidRPr="005E7775">
        <w:rPr>
          <w:rFonts w:ascii="Arial" w:hAnsi="Arial"/>
          <w:bCs/>
          <w:noProof/>
          <w:sz w:val="16"/>
          <w:szCs w:val="16"/>
        </w:rPr>
        <w:t>tatement of profit or loss and other</w:t>
      </w:r>
      <w:r>
        <w:rPr>
          <w:rFonts w:ascii="Arial" w:hAnsi="Arial"/>
          <w:bCs/>
          <w:noProof/>
          <w:sz w:val="16"/>
          <w:szCs w:val="16"/>
        </w:rPr>
        <w:t xml:space="preserve"> </w:t>
      </w:r>
      <w:r w:rsidRPr="005E7775">
        <w:rPr>
          <w:rFonts w:ascii="Arial" w:hAnsi="Arial"/>
          <w:bCs/>
          <w:noProof/>
          <w:sz w:val="16"/>
          <w:szCs w:val="16"/>
        </w:rPr>
        <w:t>comprehensive income</w:t>
      </w:r>
      <w:r>
        <w:rPr>
          <w:rFonts w:ascii="Arial" w:hAnsi="Arial"/>
          <w:bCs/>
          <w:noProof/>
          <w:sz w:val="16"/>
          <w:szCs w:val="16"/>
        </w:rPr>
        <w:t xml:space="preserve"> </w:t>
      </w:r>
      <w:r w:rsidRPr="00560C3F">
        <w:rPr>
          <w:rFonts w:ascii="Arial" w:hAnsi="Arial"/>
          <w:bCs/>
          <w:noProof/>
          <w:sz w:val="16"/>
          <w:szCs w:val="16"/>
        </w:rPr>
        <w:t xml:space="preserve">due to a +/- 10% </w:t>
      </w:r>
      <w:r w:rsidRPr="005E7775">
        <w:rPr>
          <w:rFonts w:ascii="Arial" w:hAnsi="Arial"/>
          <w:bCs/>
          <w:noProof/>
          <w:sz w:val="16"/>
          <w:szCs w:val="16"/>
        </w:rPr>
        <w:t xml:space="preserve">change in the value of direct equity and venture capital investments, with all other variables held constant is EUR </w:t>
      </w:r>
      <w:r>
        <w:rPr>
          <w:rFonts w:ascii="Arial" w:hAnsi="Arial"/>
          <w:bCs/>
          <w:noProof/>
          <w:sz w:val="16"/>
          <w:szCs w:val="16"/>
        </w:rPr>
        <w:t>74</w:t>
      </w:r>
      <w:r w:rsidRPr="005E7775">
        <w:rPr>
          <w:rFonts w:ascii="Arial" w:hAnsi="Arial"/>
          <w:bCs/>
          <w:noProof/>
          <w:sz w:val="16"/>
          <w:szCs w:val="16"/>
        </w:rPr>
        <w:t>.</w:t>
      </w:r>
      <w:r>
        <w:rPr>
          <w:rFonts w:ascii="Arial" w:hAnsi="Arial"/>
          <w:bCs/>
          <w:noProof/>
          <w:sz w:val="16"/>
          <w:szCs w:val="16"/>
        </w:rPr>
        <w:t>6</w:t>
      </w:r>
      <w:r w:rsidRPr="005E7775">
        <w:rPr>
          <w:rFonts w:ascii="Arial" w:hAnsi="Arial"/>
          <w:bCs/>
          <w:noProof/>
          <w:sz w:val="16"/>
          <w:szCs w:val="16"/>
        </w:rPr>
        <w:t xml:space="preserve"> million and EUR - </w:t>
      </w:r>
      <w:r>
        <w:rPr>
          <w:rFonts w:ascii="Arial" w:hAnsi="Arial"/>
          <w:bCs/>
          <w:noProof/>
          <w:sz w:val="16"/>
          <w:szCs w:val="16"/>
        </w:rPr>
        <w:t>74</w:t>
      </w:r>
      <w:r w:rsidRPr="005E7775">
        <w:rPr>
          <w:rFonts w:ascii="Arial" w:hAnsi="Arial"/>
          <w:bCs/>
          <w:noProof/>
          <w:sz w:val="16"/>
          <w:szCs w:val="16"/>
        </w:rPr>
        <w:t>.</w:t>
      </w:r>
      <w:r>
        <w:rPr>
          <w:rFonts w:ascii="Arial" w:hAnsi="Arial"/>
          <w:bCs/>
          <w:noProof/>
          <w:sz w:val="16"/>
          <w:szCs w:val="16"/>
        </w:rPr>
        <w:t>6</w:t>
      </w:r>
      <w:r w:rsidRPr="005E7775">
        <w:rPr>
          <w:rFonts w:ascii="Arial" w:hAnsi="Arial"/>
          <w:bCs/>
          <w:noProof/>
          <w:sz w:val="16"/>
          <w:szCs w:val="16"/>
        </w:rPr>
        <w:t xml:space="preserve"> million, respectively as at </w:t>
      </w:r>
      <w:r w:rsidRPr="005E7775">
        <w:rPr>
          <w:rFonts w:ascii="Arial" w:hAnsi="Arial"/>
          <w:noProof/>
          <w:sz w:val="16"/>
          <w:szCs w:val="16"/>
          <w:lang w:eastAsia="ar-SA"/>
        </w:rPr>
        <w:t>31 December 2025</w:t>
      </w:r>
      <w:r w:rsidRPr="005E7775">
        <w:rPr>
          <w:rFonts w:ascii="Arial" w:hAnsi="Arial"/>
          <w:bCs/>
          <w:noProof/>
          <w:sz w:val="16"/>
          <w:szCs w:val="16"/>
        </w:rPr>
        <w:t xml:space="preserve"> (EUR </w:t>
      </w:r>
      <w:r>
        <w:rPr>
          <w:rFonts w:ascii="Arial" w:hAnsi="Arial"/>
          <w:bCs/>
          <w:noProof/>
          <w:sz w:val="16"/>
          <w:szCs w:val="16"/>
        </w:rPr>
        <w:t>83</w:t>
      </w:r>
      <w:r w:rsidRPr="005E7775">
        <w:rPr>
          <w:rFonts w:ascii="Arial" w:hAnsi="Arial"/>
          <w:bCs/>
          <w:noProof/>
          <w:sz w:val="16"/>
          <w:szCs w:val="16"/>
        </w:rPr>
        <w:t>.</w:t>
      </w:r>
      <w:r>
        <w:rPr>
          <w:rFonts w:ascii="Arial" w:hAnsi="Arial"/>
          <w:bCs/>
          <w:noProof/>
          <w:sz w:val="16"/>
          <w:szCs w:val="16"/>
        </w:rPr>
        <w:t>5</w:t>
      </w:r>
      <w:r w:rsidRPr="005E7775">
        <w:rPr>
          <w:rFonts w:ascii="Arial" w:hAnsi="Arial"/>
          <w:bCs/>
          <w:noProof/>
          <w:sz w:val="16"/>
          <w:szCs w:val="16"/>
        </w:rPr>
        <w:t xml:space="preserve"> million and EUR - </w:t>
      </w:r>
      <w:r>
        <w:rPr>
          <w:rFonts w:ascii="Arial" w:hAnsi="Arial"/>
          <w:bCs/>
          <w:noProof/>
          <w:sz w:val="16"/>
          <w:szCs w:val="16"/>
        </w:rPr>
        <w:t>83</w:t>
      </w:r>
      <w:r w:rsidRPr="005E7775">
        <w:rPr>
          <w:rFonts w:ascii="Arial" w:hAnsi="Arial"/>
          <w:bCs/>
          <w:noProof/>
          <w:sz w:val="16"/>
          <w:szCs w:val="16"/>
        </w:rPr>
        <w:t>.</w:t>
      </w:r>
      <w:r>
        <w:rPr>
          <w:rFonts w:ascii="Arial" w:hAnsi="Arial"/>
          <w:bCs/>
          <w:noProof/>
          <w:sz w:val="16"/>
          <w:szCs w:val="16"/>
        </w:rPr>
        <w:t>5</w:t>
      </w:r>
      <w:r w:rsidRPr="005E7775">
        <w:rPr>
          <w:rFonts w:ascii="Arial" w:hAnsi="Arial"/>
          <w:bCs/>
          <w:noProof/>
          <w:sz w:val="16"/>
          <w:szCs w:val="16"/>
        </w:rPr>
        <w:t xml:space="preserve"> million, respectively as at 31 December </w:t>
      </w:r>
      <w:r w:rsidRPr="005E7775">
        <w:rPr>
          <w:rFonts w:ascii="Arial" w:hAnsi="Arial"/>
          <w:noProof/>
          <w:sz w:val="16"/>
          <w:szCs w:val="16"/>
          <w:lang w:eastAsia="ar-SA"/>
        </w:rPr>
        <w:t>2024</w:t>
      </w:r>
      <w:r w:rsidRPr="005E7775">
        <w:rPr>
          <w:rFonts w:ascii="Arial" w:hAnsi="Arial"/>
          <w:bCs/>
          <w:noProof/>
          <w:sz w:val="16"/>
          <w:szCs w:val="16"/>
        </w:rPr>
        <w:t>).</w:t>
      </w:r>
    </w:p>
    <w:p w14:paraId="39B5E80D" w14:textId="77777777" w:rsidR="00FD1E19" w:rsidRDefault="00FD1E19" w:rsidP="00FD1E19">
      <w:pPr>
        <w:pBdr>
          <w:top w:val="nil"/>
          <w:left w:val="nil"/>
          <w:bottom w:val="nil"/>
          <w:right w:val="nil"/>
          <w:between w:val="nil"/>
          <w:bar w:val="nil"/>
        </w:pBdr>
        <w:suppressAutoHyphens/>
        <w:jc w:val="both"/>
        <w:rPr>
          <w:rFonts w:ascii="Arial" w:hAnsi="Arial"/>
          <w:bCs/>
          <w:noProof/>
          <w:sz w:val="16"/>
          <w:szCs w:val="16"/>
          <w:bdr w:val="nil"/>
        </w:rPr>
      </w:pPr>
    </w:p>
    <w:p w14:paraId="52BDEE53" w14:textId="77777777" w:rsidR="00FD1E19" w:rsidRPr="00B60695" w:rsidRDefault="00FD1E19" w:rsidP="00FD1E19">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lang w:val="en-US" w:eastAsia="ar-SA"/>
        </w:rPr>
      </w:pPr>
      <w:bookmarkStart w:id="277" w:name="RG_MARKER_90165"/>
      <w:bookmarkStart w:id="278" w:name="RG_MARKER_90073"/>
      <w:r>
        <w:rPr>
          <w:rFonts w:ascii="Arial" w:hAnsi="Arial"/>
          <w:b/>
          <w:noProof/>
          <w:sz w:val="20"/>
          <w:lang w:eastAsia="ar-SA"/>
        </w:rPr>
        <w:t>5</w:t>
      </w:r>
      <w:bookmarkEnd w:id="277"/>
      <w:bookmarkEnd w:id="278"/>
      <w:r>
        <w:rPr>
          <w:rFonts w:ascii="Arial" w:hAnsi="Arial"/>
          <w:b/>
          <w:noProof/>
          <w:sz w:val="20"/>
          <w:lang w:eastAsia="ar-SA"/>
        </w:rPr>
        <w:tab/>
      </w:r>
      <w:r>
        <w:rPr>
          <w:rFonts w:ascii="Arial" w:hAnsi="Arial"/>
          <w:b/>
          <w:noProof/>
          <w:sz w:val="20"/>
          <w:lang w:val="en-US" w:eastAsia="ar-SA"/>
        </w:rPr>
        <w:t>Cash and cash equivalents</w:t>
      </w:r>
    </w:p>
    <w:p w14:paraId="5B6CC6A9"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770E196F" w14:textId="77777777" w:rsidR="00FD1E19" w:rsidRDefault="00FD1E19" w:rsidP="00FD1E19">
      <w:pPr>
        <w:pBdr>
          <w:top w:val="nil"/>
          <w:left w:val="nil"/>
          <w:bottom w:val="nil"/>
          <w:right w:val="nil"/>
          <w:between w:val="nil"/>
          <w:bar w:val="nil"/>
        </w:pBdr>
        <w:spacing w:before="60" w:after="60"/>
        <w:contextualSpacing/>
        <w:jc w:val="both"/>
        <w:rPr>
          <w:rFonts w:ascii="Arial" w:hAnsi="Arial"/>
          <w:noProof/>
          <w:sz w:val="16"/>
          <w:szCs w:val="16"/>
          <w:bdr w:val="nil"/>
          <w:lang w:eastAsia="ar-SA"/>
        </w:rPr>
      </w:pPr>
      <w:r>
        <w:rPr>
          <w:rFonts w:ascii="Arial" w:hAnsi="Arial"/>
          <w:noProof/>
          <w:sz w:val="16"/>
          <w:szCs w:val="16"/>
          <w:lang w:eastAsia="ar-SA"/>
        </w:rPr>
        <w:t>The cash and cash equivalents are composed of:</w:t>
      </w:r>
    </w:p>
    <w:tbl>
      <w:tblPr>
        <w:tblStyle w:val="CDMRange2"/>
        <w:tblW w:w="5000" w:type="pct"/>
        <w:tblLayout w:type="fixed"/>
        <w:tblLook w:val="0600" w:firstRow="0" w:lastRow="0" w:firstColumn="0" w:lastColumn="0" w:noHBand="1" w:noVBand="1"/>
      </w:tblPr>
      <w:tblGrid>
        <w:gridCol w:w="5624"/>
        <w:gridCol w:w="2047"/>
        <w:gridCol w:w="2047"/>
      </w:tblGrid>
      <w:tr w:rsidR="00FD1E19" w14:paraId="62C9317A" w14:textId="77777777" w:rsidTr="00BE7E4A">
        <w:trPr>
          <w:trHeight w:hRule="exact" w:val="255"/>
        </w:trPr>
        <w:tc>
          <w:tcPr>
            <w:tcW w:w="5775" w:type="dxa"/>
            <w:tcBorders>
              <w:top w:val="single" w:sz="4" w:space="0" w:color="000000"/>
              <w:left w:val="nil"/>
              <w:bottom w:val="single" w:sz="4" w:space="0" w:color="000000"/>
              <w:right w:val="nil"/>
              <w:tl2br w:val="nil"/>
              <w:tr2bl w:val="nil"/>
            </w:tcBorders>
            <w:noWrap/>
            <w:tcMar>
              <w:left w:w="40" w:type="dxa"/>
              <w:right w:w="40" w:type="dxa"/>
            </w:tcMar>
            <w:vAlign w:val="bottom"/>
          </w:tcPr>
          <w:p w14:paraId="72F2A192" w14:textId="77777777" w:rsidR="00FD1E19" w:rsidRDefault="00FD1E19" w:rsidP="00BE7E4A">
            <w:pPr>
              <w:suppressAutoHyphens/>
              <w:rPr>
                <w:rFonts w:ascii="Arial" w:eastAsia="Arial" w:hAnsi="Arial" w:cs="Arial"/>
                <w:b/>
                <w:noProof/>
                <w:color w:val="000000"/>
                <w:sz w:val="16"/>
                <w:lang w:eastAsia="ar-SA"/>
              </w:rPr>
            </w:pPr>
            <w:bookmarkStart w:id="279" w:name="RG_MARKER_90166"/>
            <w:r>
              <w:rPr>
                <w:rFonts w:ascii="Arial" w:eastAsia="Arial" w:hAnsi="Arial" w:cs="Arial"/>
                <w:b/>
                <w:noProof/>
                <w:color w:val="000000"/>
                <w:sz w:val="16"/>
                <w:lang w:eastAsia="ar-SA"/>
              </w:rPr>
              <w:t>in EUR'000</w:t>
            </w:r>
            <w:bookmarkEnd w:id="279"/>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14:paraId="612D4DC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2100" w:type="dxa"/>
            <w:tcBorders>
              <w:top w:val="single" w:sz="4" w:space="0" w:color="000000"/>
              <w:left w:val="nil"/>
              <w:bottom w:val="single" w:sz="4" w:space="0" w:color="000000"/>
              <w:right w:val="nil"/>
              <w:tl2br w:val="nil"/>
              <w:tr2bl w:val="nil"/>
            </w:tcBorders>
            <w:tcMar>
              <w:left w:w="40" w:type="dxa"/>
              <w:right w:w="40" w:type="dxa"/>
            </w:tcMar>
            <w:vAlign w:val="center"/>
          </w:tcPr>
          <w:p w14:paraId="220CDEB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669ABD3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single" w:sz="4" w:space="0" w:color="000000"/>
              <w:left w:val="nil"/>
              <w:bottom w:val="nil"/>
              <w:right w:val="nil"/>
              <w:tl2br w:val="nil"/>
              <w:tr2bl w:val="nil"/>
            </w:tcBorders>
            <w:tcMar>
              <w:left w:w="40" w:type="dxa"/>
              <w:right w:w="40" w:type="dxa"/>
            </w:tcMar>
            <w:vAlign w:val="center"/>
          </w:tcPr>
          <w:p w14:paraId="5B7C001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Cash in hand</w:t>
            </w:r>
          </w:p>
        </w:tc>
        <w:tc>
          <w:tcPr>
            <w:tcW w:w="2100" w:type="dxa"/>
            <w:tcBorders>
              <w:top w:val="single" w:sz="4" w:space="0" w:color="000000"/>
              <w:left w:val="nil"/>
              <w:bottom w:val="nil"/>
              <w:right w:val="nil"/>
              <w:tl2br w:val="nil"/>
              <w:tr2bl w:val="nil"/>
            </w:tcBorders>
            <w:tcMar>
              <w:left w:w="40" w:type="dxa"/>
              <w:right w:w="40" w:type="dxa"/>
            </w:tcMar>
            <w:vAlign w:val="center"/>
          </w:tcPr>
          <w:p w14:paraId="3F1C6C5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146,087</w:t>
            </w:r>
          </w:p>
        </w:tc>
        <w:tc>
          <w:tcPr>
            <w:tcW w:w="2100" w:type="dxa"/>
            <w:tcBorders>
              <w:top w:val="single" w:sz="4" w:space="0" w:color="000000"/>
              <w:left w:val="nil"/>
              <w:bottom w:val="nil"/>
              <w:right w:val="nil"/>
              <w:tl2br w:val="nil"/>
              <w:tr2bl w:val="nil"/>
            </w:tcBorders>
            <w:tcMar>
              <w:left w:w="40" w:type="dxa"/>
              <w:right w:w="40" w:type="dxa"/>
            </w:tcMar>
            <w:vAlign w:val="center"/>
          </w:tcPr>
          <w:p w14:paraId="407514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212,466</w:t>
            </w:r>
          </w:p>
        </w:tc>
      </w:tr>
      <w:tr w:rsidR="00FD1E19" w14:paraId="033F1B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14:paraId="595A2F9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Term deposits</w:t>
            </w:r>
          </w:p>
        </w:tc>
        <w:tc>
          <w:tcPr>
            <w:tcW w:w="2100" w:type="dxa"/>
            <w:tcBorders>
              <w:top w:val="nil"/>
              <w:left w:val="nil"/>
              <w:bottom w:val="nil"/>
              <w:right w:val="nil"/>
              <w:tl2br w:val="nil"/>
              <w:tr2bl w:val="nil"/>
            </w:tcBorders>
            <w:tcMar>
              <w:left w:w="40" w:type="dxa"/>
              <w:right w:w="40" w:type="dxa"/>
            </w:tcMar>
            <w:vAlign w:val="center"/>
          </w:tcPr>
          <w:p w14:paraId="73DF8AD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556,329</w:t>
            </w:r>
          </w:p>
        </w:tc>
        <w:tc>
          <w:tcPr>
            <w:tcW w:w="2100" w:type="dxa"/>
            <w:tcBorders>
              <w:top w:val="nil"/>
              <w:left w:val="nil"/>
              <w:bottom w:val="nil"/>
              <w:right w:val="nil"/>
              <w:tl2br w:val="nil"/>
              <w:tr2bl w:val="nil"/>
            </w:tcBorders>
            <w:tcMar>
              <w:left w:w="40" w:type="dxa"/>
              <w:right w:w="40" w:type="dxa"/>
            </w:tcMar>
            <w:vAlign w:val="center"/>
          </w:tcPr>
          <w:p w14:paraId="61DD56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304,538</w:t>
            </w:r>
          </w:p>
        </w:tc>
      </w:tr>
      <w:tr w:rsidR="00FD1E19" w14:paraId="526178A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14:paraId="270D836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Commercial papers</w:t>
            </w:r>
          </w:p>
        </w:tc>
        <w:tc>
          <w:tcPr>
            <w:tcW w:w="2100" w:type="dxa"/>
            <w:tcBorders>
              <w:top w:val="nil"/>
              <w:left w:val="nil"/>
              <w:bottom w:val="nil"/>
              <w:right w:val="nil"/>
              <w:tl2br w:val="nil"/>
              <w:tr2bl w:val="nil"/>
            </w:tcBorders>
            <w:tcMar>
              <w:left w:w="40" w:type="dxa"/>
              <w:right w:w="40" w:type="dxa"/>
            </w:tcMar>
            <w:vAlign w:val="center"/>
          </w:tcPr>
          <w:p w14:paraId="4C7661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960,270</w:t>
            </w:r>
          </w:p>
        </w:tc>
        <w:tc>
          <w:tcPr>
            <w:tcW w:w="2100" w:type="dxa"/>
            <w:tcBorders>
              <w:top w:val="nil"/>
              <w:left w:val="nil"/>
              <w:bottom w:val="nil"/>
              <w:right w:val="nil"/>
              <w:tl2br w:val="nil"/>
              <w:tr2bl w:val="nil"/>
            </w:tcBorders>
            <w:tcMar>
              <w:left w:w="40" w:type="dxa"/>
              <w:right w:w="40" w:type="dxa"/>
            </w:tcMar>
            <w:vAlign w:val="center"/>
          </w:tcPr>
          <w:p w14:paraId="7475483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1,116,826</w:t>
            </w:r>
          </w:p>
        </w:tc>
      </w:tr>
      <w:tr w:rsidR="00FD1E19" w14:paraId="4D86F37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shd w:val="clear" w:color="FFFFFF" w:fill="BFBFBF"/>
            <w:tcMar>
              <w:left w:w="40" w:type="dxa"/>
              <w:right w:w="40" w:type="dxa"/>
            </w:tcMar>
            <w:vAlign w:val="center"/>
          </w:tcPr>
          <w:p w14:paraId="005E312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Cash and cash equivalents in the cash flow statement</w:t>
            </w:r>
          </w:p>
        </w:tc>
        <w:tc>
          <w:tcPr>
            <w:tcW w:w="2100" w:type="dxa"/>
            <w:tcBorders>
              <w:top w:val="nil"/>
              <w:left w:val="nil"/>
              <w:bottom w:val="nil"/>
              <w:right w:val="nil"/>
              <w:tl2br w:val="nil"/>
              <w:tr2bl w:val="nil"/>
            </w:tcBorders>
            <w:shd w:val="clear" w:color="FFFFFF" w:fill="BFBFBF"/>
            <w:tcMar>
              <w:left w:w="40" w:type="dxa"/>
              <w:right w:w="40" w:type="dxa"/>
            </w:tcMar>
            <w:vAlign w:val="center"/>
          </w:tcPr>
          <w:p w14:paraId="3891600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1,662,686</w:t>
            </w:r>
          </w:p>
        </w:tc>
        <w:tc>
          <w:tcPr>
            <w:tcW w:w="2100" w:type="dxa"/>
            <w:tcBorders>
              <w:top w:val="nil"/>
              <w:left w:val="nil"/>
              <w:bottom w:val="nil"/>
              <w:right w:val="nil"/>
              <w:tl2br w:val="nil"/>
              <w:tr2bl w:val="nil"/>
            </w:tcBorders>
            <w:shd w:val="clear" w:color="FFFFFF" w:fill="BFBFBF"/>
            <w:tcMar>
              <w:left w:w="40" w:type="dxa"/>
              <w:right w:w="40" w:type="dxa"/>
            </w:tcMar>
            <w:vAlign w:val="center"/>
          </w:tcPr>
          <w:p w14:paraId="3C1D5D0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1,633,830</w:t>
            </w:r>
          </w:p>
        </w:tc>
      </w:tr>
      <w:tr w:rsidR="00FD1E19" w14:paraId="7236A63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tcMar>
              <w:left w:w="40" w:type="dxa"/>
              <w:right w:w="40" w:type="dxa"/>
            </w:tcMar>
            <w:vAlign w:val="center"/>
          </w:tcPr>
          <w:p w14:paraId="4D37FEB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Accrued interest </w:t>
            </w:r>
          </w:p>
        </w:tc>
        <w:tc>
          <w:tcPr>
            <w:tcW w:w="2100" w:type="dxa"/>
            <w:tcBorders>
              <w:top w:val="nil"/>
              <w:left w:val="nil"/>
              <w:bottom w:val="nil"/>
              <w:right w:val="nil"/>
              <w:tl2br w:val="nil"/>
              <w:tr2bl w:val="nil"/>
            </w:tcBorders>
            <w:tcMar>
              <w:left w:w="40" w:type="dxa"/>
              <w:right w:w="40" w:type="dxa"/>
            </w:tcMar>
            <w:vAlign w:val="center"/>
          </w:tcPr>
          <w:p w14:paraId="7833996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2,443</w:t>
            </w:r>
          </w:p>
        </w:tc>
        <w:tc>
          <w:tcPr>
            <w:tcW w:w="2100" w:type="dxa"/>
            <w:tcBorders>
              <w:top w:val="nil"/>
              <w:left w:val="nil"/>
              <w:bottom w:val="nil"/>
              <w:right w:val="nil"/>
              <w:tl2br w:val="nil"/>
              <w:tr2bl w:val="nil"/>
            </w:tcBorders>
            <w:tcMar>
              <w:left w:w="40" w:type="dxa"/>
              <w:right w:w="40" w:type="dxa"/>
            </w:tcMar>
            <w:vAlign w:val="center"/>
          </w:tcPr>
          <w:p w14:paraId="6E9200D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4,774</w:t>
            </w:r>
          </w:p>
        </w:tc>
      </w:tr>
      <w:tr w:rsidR="00FD1E19" w14:paraId="24DB48B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775" w:type="dxa"/>
            <w:tcBorders>
              <w:top w:val="nil"/>
              <w:left w:val="nil"/>
              <w:bottom w:val="nil"/>
              <w:right w:val="nil"/>
              <w:tl2br w:val="nil"/>
              <w:tr2bl w:val="nil"/>
            </w:tcBorders>
            <w:shd w:val="clear" w:color="FFFFFF" w:fill="C0C0C0"/>
            <w:tcMar>
              <w:left w:w="40" w:type="dxa"/>
              <w:right w:w="40" w:type="dxa"/>
            </w:tcMar>
            <w:vAlign w:val="center"/>
          </w:tcPr>
          <w:p w14:paraId="3592BCA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Cash and cash equivalents in the statement of financial position</w:t>
            </w:r>
          </w:p>
        </w:tc>
        <w:tc>
          <w:tcPr>
            <w:tcW w:w="2100" w:type="dxa"/>
            <w:tcBorders>
              <w:top w:val="nil"/>
              <w:left w:val="nil"/>
              <w:bottom w:val="nil"/>
              <w:right w:val="nil"/>
              <w:tl2br w:val="nil"/>
              <w:tr2bl w:val="nil"/>
            </w:tcBorders>
            <w:shd w:val="clear" w:color="FFFFFF" w:fill="C0C0C0"/>
            <w:tcMar>
              <w:left w:w="40" w:type="dxa"/>
              <w:right w:w="40" w:type="dxa"/>
            </w:tcMar>
            <w:vAlign w:val="center"/>
          </w:tcPr>
          <w:p w14:paraId="595B5F0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1,665,129</w:t>
            </w:r>
          </w:p>
        </w:tc>
        <w:tc>
          <w:tcPr>
            <w:tcW w:w="2100" w:type="dxa"/>
            <w:tcBorders>
              <w:top w:val="nil"/>
              <w:left w:val="nil"/>
              <w:bottom w:val="nil"/>
              <w:right w:val="nil"/>
              <w:tl2br w:val="nil"/>
              <w:tr2bl w:val="nil"/>
            </w:tcBorders>
            <w:shd w:val="clear" w:color="FFFFFF" w:fill="C0C0C0"/>
            <w:tcMar>
              <w:left w:w="40" w:type="dxa"/>
              <w:right w:w="40" w:type="dxa"/>
            </w:tcMar>
            <w:vAlign w:val="center"/>
          </w:tcPr>
          <w:p w14:paraId="215A6B8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1,638,604</w:t>
            </w:r>
          </w:p>
        </w:tc>
      </w:tr>
    </w:tbl>
    <w:p w14:paraId="0B829E28" w14:textId="77777777" w:rsidR="00FD1E19" w:rsidRDefault="00FD1E19" w:rsidP="00FD1E19">
      <w:pPr>
        <w:pBdr>
          <w:top w:val="nil"/>
          <w:left w:val="nil"/>
          <w:bottom w:val="nil"/>
          <w:right w:val="nil"/>
          <w:between w:val="nil"/>
          <w:bar w:val="nil"/>
        </w:pBdr>
        <w:spacing w:before="120"/>
        <w:rPr>
          <w:rFonts w:ascii="Arial" w:hAnsi="Arial"/>
          <w:noProof/>
          <w:sz w:val="16"/>
          <w:szCs w:val="16"/>
          <w:bdr w:val="nil"/>
          <w:lang w:eastAsia="ar-SA"/>
        </w:rPr>
      </w:pPr>
      <w:bookmarkStart w:id="280" w:name="RG_MARKER_90074"/>
      <w:bookmarkStart w:id="281" w:name="RG_MARKER_90167"/>
      <w:bookmarkEnd w:id="280"/>
      <w:bookmarkEnd w:id="281"/>
    </w:p>
    <w:p w14:paraId="2CFA250C" w14:textId="77777777" w:rsidR="00FD1E19"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eastAsia="ar-SA"/>
        </w:rPr>
      </w:pPr>
      <w:r>
        <w:rPr>
          <w:rFonts w:ascii="Arial" w:hAnsi="Arial"/>
          <w:b/>
          <w:noProof/>
          <w:sz w:val="20"/>
          <w:lang w:eastAsia="ar-SA"/>
        </w:rPr>
        <w:t>6</w:t>
      </w:r>
      <w:r>
        <w:rPr>
          <w:rFonts w:ascii="Arial" w:hAnsi="Arial"/>
          <w:b/>
          <w:noProof/>
          <w:sz w:val="20"/>
          <w:lang w:eastAsia="ar-SA"/>
        </w:rPr>
        <w:tab/>
      </w:r>
      <w:r>
        <w:rPr>
          <w:rFonts w:ascii="Arial" w:hAnsi="Arial"/>
          <w:b/>
          <w:noProof/>
          <w:sz w:val="20"/>
          <w:lang w:val="en-US" w:eastAsia="ar-SA"/>
        </w:rPr>
        <w:t>Derivative financial instruments</w:t>
      </w:r>
      <w:r>
        <w:rPr>
          <w:rFonts w:ascii="Arial" w:hAnsi="Arial"/>
          <w:b/>
          <w:noProof/>
          <w:sz w:val="20"/>
          <w:lang w:eastAsia="ar-SA"/>
        </w:rPr>
        <w:t xml:space="preserve"> </w:t>
      </w:r>
    </w:p>
    <w:p w14:paraId="136BFFE6"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3144D96C"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main components of derivative financial instruments, </w:t>
      </w:r>
      <w:r>
        <w:rPr>
          <w:rFonts w:ascii="Arial" w:hAnsi="Arial"/>
          <w:noProof/>
          <w:sz w:val="16"/>
          <w:szCs w:val="16"/>
          <w:lang w:eastAsia="ar-SA"/>
        </w:rPr>
        <w:t>classified as held for trading, are as follows:</w:t>
      </w:r>
    </w:p>
    <w:tbl>
      <w:tblPr>
        <w:tblStyle w:val="CDMRange1"/>
        <w:tblW w:w="5000" w:type="pct"/>
        <w:tblLayout w:type="fixed"/>
        <w:tblLook w:val="0600" w:firstRow="0" w:lastRow="0" w:firstColumn="0" w:lastColumn="0" w:noHBand="1" w:noVBand="1"/>
      </w:tblPr>
      <w:tblGrid>
        <w:gridCol w:w="5332"/>
        <w:gridCol w:w="1462"/>
        <w:gridCol w:w="1462"/>
        <w:gridCol w:w="1462"/>
      </w:tblGrid>
      <w:tr w:rsidR="00FD1E19" w14:paraId="7CE59B50" w14:textId="77777777" w:rsidTr="00BE7E4A">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14:paraId="3955C6EC" w14:textId="77777777" w:rsidR="00FD1E19" w:rsidRDefault="00FD1E19" w:rsidP="00BE7E4A">
            <w:pPr>
              <w:suppressAutoHyphens/>
              <w:rPr>
                <w:rFonts w:ascii="Arial" w:eastAsia="Arial" w:hAnsi="Arial" w:cs="Arial"/>
                <w:b/>
                <w:noProof/>
                <w:color w:val="000000"/>
                <w:sz w:val="16"/>
                <w:lang w:eastAsia="ar-SA"/>
              </w:rPr>
            </w:pPr>
            <w:bookmarkStart w:id="282" w:name="RG_MARKER_90168"/>
            <w:r>
              <w:rPr>
                <w:rFonts w:ascii="Arial" w:eastAsia="Arial" w:hAnsi="Arial" w:cs="Arial"/>
                <w:b/>
                <w:noProof/>
                <w:color w:val="000000"/>
                <w:sz w:val="16"/>
                <w:lang w:eastAsia="ar-SA"/>
              </w:rPr>
              <w:t>As at 31 December 2025</w:t>
            </w:r>
            <w:bookmarkEnd w:id="282"/>
          </w:p>
        </w:tc>
        <w:tc>
          <w:tcPr>
            <w:tcW w:w="30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2ABD188A"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Fair Value</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33632094"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Notional amount</w:t>
            </w:r>
          </w:p>
        </w:tc>
      </w:tr>
      <w:tr w:rsidR="00FD1E19" w14:paraId="107DB7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40" w:type="dxa"/>
              <w:right w:w="40" w:type="dxa"/>
            </w:tcMar>
            <w:vAlign w:val="bottom"/>
          </w:tcPr>
          <w:p w14:paraId="0F844C3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16BBEA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Assets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7D7DF81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Liabilities</w:t>
            </w:r>
          </w:p>
        </w:tc>
        <w:tc>
          <w:tcPr>
            <w:tcW w:w="1500" w:type="dxa"/>
            <w:vMerge/>
            <w:tcBorders>
              <w:top w:val="nil"/>
              <w:left w:val="nil"/>
              <w:bottom w:val="single" w:sz="4" w:space="0" w:color="000000"/>
              <w:right w:val="nil"/>
              <w:tl2br w:val="nil"/>
              <w:tr2bl w:val="nil"/>
            </w:tcBorders>
            <w:tcMar>
              <w:left w:w="0" w:type="dxa"/>
              <w:right w:w="0" w:type="dxa"/>
            </w:tcMar>
            <w:vAlign w:val="center"/>
          </w:tcPr>
          <w:p w14:paraId="64A45C81" w14:textId="77777777" w:rsidR="00FD1E19" w:rsidRDefault="00FD1E19" w:rsidP="00BE7E4A">
            <w:pPr>
              <w:suppressAutoHyphens/>
              <w:jc w:val="center"/>
              <w:rPr>
                <w:rFonts w:ascii="Arial" w:eastAsia="Arial" w:hAnsi="Arial" w:cs="Arial"/>
                <w:b/>
                <w:noProof/>
                <w:color w:val="000000"/>
                <w:sz w:val="16"/>
                <w:lang w:eastAsia="ar-SA"/>
              </w:rPr>
            </w:pPr>
          </w:p>
        </w:tc>
      </w:tr>
      <w:tr w:rsidR="00FD1E19" w14:paraId="42303F6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14:paraId="41EECBA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Cross currency swaps</w:t>
            </w:r>
          </w:p>
        </w:tc>
        <w:tc>
          <w:tcPr>
            <w:tcW w:w="1500" w:type="dxa"/>
            <w:tcBorders>
              <w:top w:val="single" w:sz="4" w:space="0" w:color="000000"/>
              <w:left w:val="nil"/>
              <w:bottom w:val="nil"/>
              <w:right w:val="nil"/>
              <w:tl2br w:val="nil"/>
              <w:tr2bl w:val="nil"/>
            </w:tcBorders>
            <w:tcMar>
              <w:left w:w="40" w:type="dxa"/>
              <w:right w:w="40" w:type="dxa"/>
            </w:tcMar>
            <w:vAlign w:val="center"/>
          </w:tcPr>
          <w:p w14:paraId="0107EA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1,829</w:t>
            </w:r>
          </w:p>
        </w:tc>
        <w:tc>
          <w:tcPr>
            <w:tcW w:w="1500" w:type="dxa"/>
            <w:tcBorders>
              <w:top w:val="single" w:sz="4" w:space="0" w:color="000000"/>
              <w:left w:val="nil"/>
              <w:bottom w:val="nil"/>
              <w:right w:val="nil"/>
              <w:tl2br w:val="nil"/>
              <w:tr2bl w:val="nil"/>
            </w:tcBorders>
            <w:tcMar>
              <w:left w:w="40" w:type="dxa"/>
              <w:right w:w="40" w:type="dxa"/>
            </w:tcMar>
            <w:vAlign w:val="center"/>
          </w:tcPr>
          <w:p w14:paraId="27B98E9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-411</w:t>
            </w:r>
          </w:p>
        </w:tc>
        <w:tc>
          <w:tcPr>
            <w:tcW w:w="1500" w:type="dxa"/>
            <w:tcBorders>
              <w:top w:val="single" w:sz="4" w:space="0" w:color="000000"/>
              <w:left w:val="nil"/>
              <w:bottom w:val="nil"/>
              <w:right w:val="nil"/>
              <w:tl2br w:val="nil"/>
              <w:tr2bl w:val="nil"/>
            </w:tcBorders>
            <w:tcMar>
              <w:left w:w="40" w:type="dxa"/>
              <w:right w:w="40" w:type="dxa"/>
            </w:tcMar>
            <w:vAlign w:val="center"/>
          </w:tcPr>
          <w:p w14:paraId="149F669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22,896</w:t>
            </w:r>
          </w:p>
        </w:tc>
      </w:tr>
      <w:tr w:rsidR="00FD1E19" w14:paraId="0A76B16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tcMar>
              <w:left w:w="40" w:type="dxa"/>
              <w:right w:w="40" w:type="dxa"/>
            </w:tcMar>
            <w:vAlign w:val="center"/>
          </w:tcPr>
          <w:p w14:paraId="4FFD5AF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FX swaps</w:t>
            </w:r>
          </w:p>
        </w:tc>
        <w:tc>
          <w:tcPr>
            <w:tcW w:w="1500" w:type="dxa"/>
            <w:tcBorders>
              <w:top w:val="nil"/>
              <w:left w:val="nil"/>
              <w:bottom w:val="nil"/>
              <w:right w:val="nil"/>
              <w:tl2br w:val="nil"/>
              <w:tr2bl w:val="nil"/>
            </w:tcBorders>
            <w:tcMar>
              <w:left w:w="40" w:type="dxa"/>
              <w:right w:w="40" w:type="dxa"/>
            </w:tcMar>
            <w:vAlign w:val="center"/>
          </w:tcPr>
          <w:p w14:paraId="4597F1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5,990</w:t>
            </w:r>
          </w:p>
        </w:tc>
        <w:tc>
          <w:tcPr>
            <w:tcW w:w="1500" w:type="dxa"/>
            <w:tcBorders>
              <w:top w:val="nil"/>
              <w:left w:val="nil"/>
              <w:bottom w:val="nil"/>
              <w:right w:val="nil"/>
              <w:tl2br w:val="nil"/>
              <w:tr2bl w:val="nil"/>
            </w:tcBorders>
            <w:tcMar>
              <w:left w:w="40" w:type="dxa"/>
              <w:right w:w="40" w:type="dxa"/>
            </w:tcMar>
            <w:vAlign w:val="center"/>
          </w:tcPr>
          <w:p w14:paraId="71075D7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4299344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1,060,000</w:t>
            </w:r>
          </w:p>
        </w:tc>
      </w:tr>
      <w:tr w:rsidR="00FD1E19" w14:paraId="0C299C0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shd w:val="clear" w:color="FFFFFF" w:fill="C4C4C4"/>
            <w:tcMar>
              <w:left w:w="40" w:type="dxa"/>
              <w:right w:w="40" w:type="dxa"/>
            </w:tcMar>
            <w:vAlign w:val="center"/>
          </w:tcPr>
          <w:p w14:paraId="068085B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derivative financial instruments</w:t>
            </w:r>
          </w:p>
        </w:tc>
        <w:tc>
          <w:tcPr>
            <w:tcW w:w="1500" w:type="dxa"/>
            <w:tcBorders>
              <w:top w:val="nil"/>
              <w:left w:val="nil"/>
              <w:bottom w:val="nil"/>
              <w:right w:val="nil"/>
              <w:tl2br w:val="nil"/>
              <w:tr2bl w:val="nil"/>
            </w:tcBorders>
            <w:shd w:val="clear" w:color="FFFFFF" w:fill="C4C4C4"/>
            <w:tcMar>
              <w:left w:w="40" w:type="dxa"/>
              <w:right w:w="40" w:type="dxa"/>
            </w:tcMar>
            <w:vAlign w:val="center"/>
          </w:tcPr>
          <w:p w14:paraId="0B95F03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7,819</w:t>
            </w:r>
          </w:p>
        </w:tc>
        <w:tc>
          <w:tcPr>
            <w:tcW w:w="1500" w:type="dxa"/>
            <w:tcBorders>
              <w:top w:val="nil"/>
              <w:left w:val="nil"/>
              <w:bottom w:val="nil"/>
              <w:right w:val="nil"/>
              <w:tl2br w:val="nil"/>
              <w:tr2bl w:val="nil"/>
            </w:tcBorders>
            <w:shd w:val="clear" w:color="FFFFFF" w:fill="C4C4C4"/>
            <w:tcMar>
              <w:left w:w="40" w:type="dxa"/>
              <w:right w:w="40" w:type="dxa"/>
            </w:tcMar>
            <w:vAlign w:val="center"/>
          </w:tcPr>
          <w:p w14:paraId="122DD6D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-411</w:t>
            </w:r>
          </w:p>
        </w:tc>
        <w:tc>
          <w:tcPr>
            <w:tcW w:w="1500" w:type="dxa"/>
            <w:tcBorders>
              <w:top w:val="nil"/>
              <w:left w:val="nil"/>
              <w:bottom w:val="nil"/>
              <w:right w:val="nil"/>
              <w:tl2br w:val="nil"/>
              <w:tr2bl w:val="nil"/>
            </w:tcBorders>
            <w:shd w:val="clear" w:color="FFFFFF" w:fill="C4C4C4"/>
            <w:tcMar>
              <w:left w:w="40" w:type="dxa"/>
              <w:right w:w="40" w:type="dxa"/>
            </w:tcMar>
            <w:vAlign w:val="center"/>
          </w:tcPr>
          <w:p w14:paraId="03987E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1,082,896</w:t>
            </w:r>
          </w:p>
        </w:tc>
      </w:tr>
      <w:tr w:rsidR="00FD1E19" w14:paraId="17B55DF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0" w:type="dxa"/>
              <w:right w:w="0" w:type="dxa"/>
            </w:tcMar>
            <w:vAlign w:val="bottom"/>
          </w:tcPr>
          <w:p w14:paraId="3353C5C9"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14:paraId="2FD7728F"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14:paraId="775296D0"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14:paraId="3670929D" w14:textId="77777777" w:rsidR="00FD1E19" w:rsidRDefault="00FD1E19" w:rsidP="00BE7E4A">
            <w:pPr>
              <w:suppressAutoHyphens/>
              <w:rPr>
                <w:rFonts w:ascii="Arial" w:eastAsia="Arial" w:hAnsi="Arial" w:cs="Arial"/>
                <w:noProof/>
                <w:color w:val="000000"/>
                <w:lang w:eastAsia="ar-SA"/>
              </w:rPr>
            </w:pPr>
          </w:p>
        </w:tc>
      </w:tr>
      <w:tr w:rsidR="00FD1E19" w14:paraId="515FFC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14:paraId="23E37B4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As at 31 December 2024</w:t>
            </w:r>
          </w:p>
        </w:tc>
        <w:tc>
          <w:tcPr>
            <w:tcW w:w="30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68FDB18D"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Fair Value</w:t>
            </w:r>
          </w:p>
        </w:tc>
        <w:tc>
          <w:tcPr>
            <w:tcW w:w="1500" w:type="dxa"/>
            <w:vMerge w:val="restart"/>
            <w:tcBorders>
              <w:top w:val="single" w:sz="4" w:space="0" w:color="000000"/>
              <w:left w:val="nil"/>
              <w:bottom w:val="nil"/>
              <w:right w:val="nil"/>
              <w:tl2br w:val="nil"/>
              <w:tr2bl w:val="nil"/>
            </w:tcBorders>
            <w:tcMar>
              <w:left w:w="40" w:type="dxa"/>
              <w:right w:w="40" w:type="dxa"/>
            </w:tcMar>
            <w:vAlign w:val="center"/>
          </w:tcPr>
          <w:p w14:paraId="67916F19"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Notional amount</w:t>
            </w:r>
          </w:p>
        </w:tc>
      </w:tr>
      <w:tr w:rsidR="00FD1E19" w14:paraId="011B224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single" w:sz="4" w:space="0" w:color="000000"/>
              <w:right w:val="nil"/>
              <w:tl2br w:val="nil"/>
              <w:tr2bl w:val="nil"/>
            </w:tcBorders>
            <w:noWrap/>
            <w:tcMar>
              <w:left w:w="40" w:type="dxa"/>
              <w:right w:w="40" w:type="dxa"/>
            </w:tcMar>
            <w:vAlign w:val="bottom"/>
          </w:tcPr>
          <w:p w14:paraId="6A57727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37CF5D8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Assets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2944E3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Liabilities</w:t>
            </w:r>
          </w:p>
        </w:tc>
        <w:tc>
          <w:tcPr>
            <w:tcW w:w="1500" w:type="dxa"/>
            <w:vMerge/>
            <w:tcBorders>
              <w:top w:val="nil"/>
              <w:left w:val="nil"/>
              <w:bottom w:val="single" w:sz="4" w:space="0" w:color="000000"/>
              <w:right w:val="nil"/>
              <w:tl2br w:val="nil"/>
              <w:tr2bl w:val="nil"/>
            </w:tcBorders>
            <w:tcMar>
              <w:left w:w="0" w:type="dxa"/>
              <w:right w:w="0" w:type="dxa"/>
            </w:tcMar>
            <w:vAlign w:val="center"/>
          </w:tcPr>
          <w:p w14:paraId="52C59612" w14:textId="77777777" w:rsidR="00FD1E19" w:rsidRDefault="00FD1E19" w:rsidP="00BE7E4A">
            <w:pPr>
              <w:suppressAutoHyphens/>
              <w:jc w:val="center"/>
              <w:rPr>
                <w:rFonts w:ascii="Arial" w:eastAsia="Arial" w:hAnsi="Arial" w:cs="Arial"/>
                <w:b/>
                <w:noProof/>
                <w:color w:val="000000"/>
                <w:sz w:val="16"/>
                <w:lang w:eastAsia="ar-SA"/>
              </w:rPr>
            </w:pPr>
          </w:p>
        </w:tc>
      </w:tr>
      <w:tr w:rsidR="00FD1E19" w14:paraId="44991A1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single" w:sz="4" w:space="0" w:color="000000"/>
              <w:left w:val="nil"/>
              <w:bottom w:val="nil"/>
              <w:right w:val="nil"/>
              <w:tl2br w:val="nil"/>
              <w:tr2bl w:val="nil"/>
            </w:tcBorders>
            <w:tcMar>
              <w:left w:w="40" w:type="dxa"/>
              <w:right w:w="40" w:type="dxa"/>
            </w:tcMar>
            <w:vAlign w:val="center"/>
          </w:tcPr>
          <w:p w14:paraId="08FEF3A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Cross currency interest rate swaps</w:t>
            </w:r>
          </w:p>
        </w:tc>
        <w:tc>
          <w:tcPr>
            <w:tcW w:w="1500" w:type="dxa"/>
            <w:tcBorders>
              <w:top w:val="single" w:sz="4" w:space="0" w:color="000000"/>
              <w:left w:val="nil"/>
              <w:bottom w:val="nil"/>
              <w:right w:val="nil"/>
              <w:tl2br w:val="nil"/>
              <w:tr2bl w:val="nil"/>
            </w:tcBorders>
            <w:tcMar>
              <w:left w:w="40" w:type="dxa"/>
              <w:right w:w="40" w:type="dxa"/>
            </w:tcMar>
            <w:vAlign w:val="center"/>
          </w:tcPr>
          <w:p w14:paraId="37D643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783</w:t>
            </w:r>
          </w:p>
        </w:tc>
        <w:tc>
          <w:tcPr>
            <w:tcW w:w="1500" w:type="dxa"/>
            <w:tcBorders>
              <w:top w:val="single" w:sz="4" w:space="0" w:color="000000"/>
              <w:left w:val="nil"/>
              <w:bottom w:val="nil"/>
              <w:right w:val="nil"/>
              <w:tl2br w:val="nil"/>
              <w:tr2bl w:val="nil"/>
            </w:tcBorders>
            <w:tcMar>
              <w:left w:w="40" w:type="dxa"/>
              <w:right w:w="40" w:type="dxa"/>
            </w:tcMar>
            <w:vAlign w:val="center"/>
          </w:tcPr>
          <w:p w14:paraId="31DB33A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-268</w:t>
            </w:r>
          </w:p>
        </w:tc>
        <w:tc>
          <w:tcPr>
            <w:tcW w:w="1500" w:type="dxa"/>
            <w:tcBorders>
              <w:top w:val="single" w:sz="4" w:space="0" w:color="000000"/>
              <w:left w:val="nil"/>
              <w:bottom w:val="nil"/>
              <w:right w:val="nil"/>
              <w:tl2br w:val="nil"/>
              <w:tr2bl w:val="nil"/>
            </w:tcBorders>
            <w:tcMar>
              <w:left w:w="40" w:type="dxa"/>
              <w:right w:w="40" w:type="dxa"/>
            </w:tcMar>
            <w:vAlign w:val="center"/>
          </w:tcPr>
          <w:p w14:paraId="415A69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33,073</w:t>
            </w:r>
          </w:p>
        </w:tc>
      </w:tr>
      <w:tr w:rsidR="00FD1E19" w14:paraId="5499185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tcMar>
              <w:left w:w="40" w:type="dxa"/>
              <w:right w:w="40" w:type="dxa"/>
            </w:tcMar>
            <w:vAlign w:val="center"/>
          </w:tcPr>
          <w:p w14:paraId="408B990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FX swaps</w:t>
            </w:r>
          </w:p>
        </w:tc>
        <w:tc>
          <w:tcPr>
            <w:tcW w:w="1500" w:type="dxa"/>
            <w:tcBorders>
              <w:top w:val="nil"/>
              <w:left w:val="nil"/>
              <w:bottom w:val="nil"/>
              <w:right w:val="nil"/>
              <w:tl2br w:val="nil"/>
              <w:tr2bl w:val="nil"/>
            </w:tcBorders>
            <w:tcMar>
              <w:left w:w="40" w:type="dxa"/>
              <w:right w:w="40" w:type="dxa"/>
            </w:tcMar>
            <w:vAlign w:val="center"/>
          </w:tcPr>
          <w:p w14:paraId="467BBC1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13EB06C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-38,942</w:t>
            </w:r>
          </w:p>
        </w:tc>
        <w:tc>
          <w:tcPr>
            <w:tcW w:w="1500" w:type="dxa"/>
            <w:tcBorders>
              <w:top w:val="nil"/>
              <w:left w:val="nil"/>
              <w:bottom w:val="nil"/>
              <w:right w:val="nil"/>
              <w:tl2br w:val="nil"/>
              <w:tr2bl w:val="nil"/>
            </w:tcBorders>
            <w:tcMar>
              <w:left w:w="40" w:type="dxa"/>
              <w:right w:w="40" w:type="dxa"/>
            </w:tcMar>
            <w:vAlign w:val="center"/>
          </w:tcPr>
          <w:p w14:paraId="3A6F22D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1,330,000</w:t>
            </w:r>
          </w:p>
        </w:tc>
      </w:tr>
      <w:tr w:rsidR="00FD1E19" w14:paraId="2D60FBC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shd w:val="clear" w:color="FFFFFF" w:fill="C4C4C4"/>
            <w:tcMar>
              <w:left w:w="40" w:type="dxa"/>
              <w:right w:w="40" w:type="dxa"/>
            </w:tcMar>
            <w:vAlign w:val="center"/>
          </w:tcPr>
          <w:p w14:paraId="10482B0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derivative financial instruments</w:t>
            </w:r>
          </w:p>
        </w:tc>
        <w:tc>
          <w:tcPr>
            <w:tcW w:w="1500" w:type="dxa"/>
            <w:tcBorders>
              <w:top w:val="nil"/>
              <w:left w:val="nil"/>
              <w:bottom w:val="nil"/>
              <w:right w:val="nil"/>
              <w:tl2br w:val="nil"/>
              <w:tr2bl w:val="nil"/>
            </w:tcBorders>
            <w:shd w:val="clear" w:color="FFFFFF" w:fill="C4C4C4"/>
            <w:tcMar>
              <w:left w:w="40" w:type="dxa"/>
              <w:right w:w="40" w:type="dxa"/>
            </w:tcMar>
            <w:vAlign w:val="center"/>
          </w:tcPr>
          <w:p w14:paraId="3BA6BE4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783</w:t>
            </w:r>
          </w:p>
        </w:tc>
        <w:tc>
          <w:tcPr>
            <w:tcW w:w="1500" w:type="dxa"/>
            <w:tcBorders>
              <w:top w:val="nil"/>
              <w:left w:val="nil"/>
              <w:bottom w:val="nil"/>
              <w:right w:val="nil"/>
              <w:tl2br w:val="nil"/>
              <w:tr2bl w:val="nil"/>
            </w:tcBorders>
            <w:shd w:val="clear" w:color="FFFFFF" w:fill="C4C4C4"/>
            <w:tcMar>
              <w:left w:w="40" w:type="dxa"/>
              <w:right w:w="40" w:type="dxa"/>
            </w:tcMar>
            <w:vAlign w:val="center"/>
          </w:tcPr>
          <w:p w14:paraId="06DF49E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-39,210</w:t>
            </w:r>
          </w:p>
        </w:tc>
        <w:tc>
          <w:tcPr>
            <w:tcW w:w="1500" w:type="dxa"/>
            <w:tcBorders>
              <w:top w:val="nil"/>
              <w:left w:val="nil"/>
              <w:bottom w:val="nil"/>
              <w:right w:val="nil"/>
              <w:tl2br w:val="nil"/>
              <w:tr2bl w:val="nil"/>
            </w:tcBorders>
            <w:shd w:val="clear" w:color="FFFFFF" w:fill="C4C4C4"/>
            <w:tcMar>
              <w:left w:w="40" w:type="dxa"/>
              <w:right w:w="40" w:type="dxa"/>
            </w:tcMar>
            <w:vAlign w:val="center"/>
          </w:tcPr>
          <w:p w14:paraId="3F22995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1,363,073</w:t>
            </w:r>
          </w:p>
        </w:tc>
      </w:tr>
      <w:tr w:rsidR="00FD1E19" w14:paraId="1A1BB41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475" w:type="dxa"/>
            <w:tcBorders>
              <w:top w:val="nil"/>
              <w:left w:val="nil"/>
              <w:bottom w:val="nil"/>
              <w:right w:val="nil"/>
              <w:tl2br w:val="nil"/>
              <w:tr2bl w:val="nil"/>
            </w:tcBorders>
            <w:noWrap/>
            <w:tcMar>
              <w:left w:w="0" w:type="dxa"/>
              <w:right w:w="0" w:type="dxa"/>
            </w:tcMar>
            <w:vAlign w:val="bottom"/>
          </w:tcPr>
          <w:p w14:paraId="7CA75648"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14:paraId="3AA5FE52"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14:paraId="0D1A5480"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14:paraId="46287BA1" w14:textId="77777777" w:rsidR="00FD1E19" w:rsidRDefault="00FD1E19" w:rsidP="00BE7E4A">
            <w:pPr>
              <w:suppressAutoHyphens/>
              <w:rPr>
                <w:rFonts w:ascii="Arial" w:eastAsia="Arial" w:hAnsi="Arial" w:cs="Arial"/>
                <w:noProof/>
                <w:color w:val="000000"/>
                <w:lang w:eastAsia="ar-SA"/>
              </w:rPr>
            </w:pPr>
          </w:p>
        </w:tc>
      </w:tr>
    </w:tbl>
    <w:p w14:paraId="33D9BA91" w14:textId="77777777" w:rsidR="00FD1E19"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val="en-US" w:eastAsia="ar-SA"/>
        </w:rPr>
      </w:pPr>
      <w:bookmarkStart w:id="283" w:name="RG_MARKER_90170"/>
      <w:bookmarkStart w:id="284" w:name="RG_MARKER_90169"/>
      <w:r w:rsidRPr="00E31B19">
        <w:rPr>
          <w:rFonts w:ascii="Arial" w:hAnsi="Arial"/>
          <w:b/>
          <w:noProof/>
          <w:sz w:val="20"/>
          <w:lang w:val="en-US" w:eastAsia="ar-SA"/>
        </w:rPr>
        <w:t>7</w:t>
      </w:r>
      <w:bookmarkEnd w:id="283"/>
      <w:bookmarkEnd w:id="284"/>
      <w:r>
        <w:rPr>
          <w:rFonts w:ascii="Arial" w:hAnsi="Arial"/>
          <w:b/>
          <w:noProof/>
          <w:sz w:val="20"/>
          <w:lang w:val="en-US" w:eastAsia="ar-SA"/>
        </w:rPr>
        <w:tab/>
        <w:t>Loans and advances</w:t>
      </w:r>
    </w:p>
    <w:p w14:paraId="42D71415" w14:textId="77777777" w:rsidR="00FD1E19" w:rsidRPr="00B11419" w:rsidRDefault="00FD1E19" w:rsidP="00FD1E19">
      <w:pPr>
        <w:pBdr>
          <w:top w:val="nil"/>
          <w:left w:val="nil"/>
          <w:bottom w:val="nil"/>
          <w:right w:val="nil"/>
          <w:between w:val="nil"/>
          <w:bar w:val="nil"/>
        </w:pBdr>
        <w:spacing w:before="60" w:after="60"/>
        <w:jc w:val="both"/>
        <w:rPr>
          <w:rFonts w:ascii="Arial" w:hAnsi="Arial"/>
          <w:noProof/>
          <w:sz w:val="12"/>
          <w:szCs w:val="16"/>
          <w:bdr w:val="nil"/>
          <w:lang w:eastAsia="ar-SA"/>
        </w:rPr>
      </w:pPr>
      <w:r w:rsidRPr="00B11419">
        <w:rPr>
          <w:rFonts w:ascii="Arial" w:hAnsi="Arial"/>
          <w:b/>
          <w:noProof/>
          <w:sz w:val="16"/>
          <w:bdr w:val="none" w:sz="0" w:space="0" w:color="auto" w:frame="1"/>
          <w:lang w:val="en-US" w:eastAsia="ar-SA"/>
        </w:rPr>
        <w:t>7.1 Loans and advances</w:t>
      </w:r>
    </w:p>
    <w:p w14:paraId="502A4770" w14:textId="77777777" w:rsidR="00FD1E19" w:rsidRPr="008F0663"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The following table shows the reconciliation from the opening to the closing balance of loans and advances:</w:t>
      </w:r>
    </w:p>
    <w:tbl>
      <w:tblPr>
        <w:tblStyle w:val="CDMRange2"/>
        <w:tblW w:w="5000" w:type="pct"/>
        <w:tblLayout w:type="fixed"/>
        <w:tblLook w:val="0600" w:firstRow="0" w:lastRow="0" w:firstColumn="0" w:lastColumn="0" w:noHBand="1" w:noVBand="1"/>
      </w:tblPr>
      <w:tblGrid>
        <w:gridCol w:w="5002"/>
        <w:gridCol w:w="1179"/>
        <w:gridCol w:w="1179"/>
        <w:gridCol w:w="1179"/>
        <w:gridCol w:w="1179"/>
      </w:tblGrid>
      <w:tr w:rsidR="00FD1E19" w14:paraId="440B0434" w14:textId="77777777" w:rsidTr="00BE7E4A">
        <w:trPr>
          <w:trHeight w:hRule="exact" w:val="450"/>
        </w:trPr>
        <w:tc>
          <w:tcPr>
            <w:tcW w:w="5100" w:type="dxa"/>
            <w:tcBorders>
              <w:top w:val="single" w:sz="4" w:space="0" w:color="000000"/>
              <w:left w:val="nil"/>
              <w:bottom w:val="single" w:sz="4" w:space="0" w:color="000000"/>
              <w:right w:val="nil"/>
              <w:tl2br w:val="nil"/>
              <w:tr2bl w:val="nil"/>
            </w:tcBorders>
            <w:noWrap/>
            <w:tcMar>
              <w:left w:w="40" w:type="dxa"/>
              <w:right w:w="40" w:type="dxa"/>
            </w:tcMar>
            <w:vAlign w:val="bottom"/>
          </w:tcPr>
          <w:p w14:paraId="01037D6A" w14:textId="77777777" w:rsidR="00FD1E19" w:rsidRDefault="00FD1E19" w:rsidP="00BE7E4A">
            <w:pPr>
              <w:suppressAutoHyphens/>
              <w:rPr>
                <w:rFonts w:ascii="Arial" w:eastAsia="Arial" w:hAnsi="Arial" w:cs="Arial"/>
                <w:b/>
                <w:noProof/>
                <w:color w:val="000000"/>
                <w:sz w:val="16"/>
                <w:lang w:eastAsia="ar-SA"/>
              </w:rPr>
            </w:pPr>
            <w:bookmarkStart w:id="285" w:name="RG_MARKER_90171"/>
            <w:r>
              <w:rPr>
                <w:rFonts w:ascii="Arial" w:eastAsia="Arial" w:hAnsi="Arial" w:cs="Arial"/>
                <w:b/>
                <w:noProof/>
                <w:color w:val="000000"/>
                <w:sz w:val="16"/>
                <w:lang w:eastAsia="ar-SA"/>
              </w:rPr>
              <w:t>in EUR'000</w:t>
            </w:r>
            <w:bookmarkEnd w:id="285"/>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DEF0A4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Global loans*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66AE7B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Senior loans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E474DD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Subordinated loans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081F11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1141F9B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75AD1AA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AC as at 1 January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CE54C3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995,328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3AAC7D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387,349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9C1F48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0CE9B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1,382,677</w:t>
            </w:r>
          </w:p>
        </w:tc>
      </w:tr>
      <w:tr w:rsidR="00FD1E19" w14:paraId="5BE4B1C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2B14E68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200" w:type="dxa"/>
            <w:tcBorders>
              <w:top w:val="single" w:sz="4" w:space="0" w:color="000000"/>
              <w:left w:val="nil"/>
              <w:bottom w:val="nil"/>
              <w:right w:val="nil"/>
              <w:tl2br w:val="nil"/>
              <w:tr2bl w:val="nil"/>
            </w:tcBorders>
            <w:tcMar>
              <w:left w:w="40" w:type="dxa"/>
              <w:right w:w="40" w:type="dxa"/>
            </w:tcMar>
            <w:vAlign w:val="center"/>
          </w:tcPr>
          <w:p w14:paraId="5BDC853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18,913</w:t>
            </w:r>
          </w:p>
        </w:tc>
        <w:tc>
          <w:tcPr>
            <w:tcW w:w="1200" w:type="dxa"/>
            <w:tcBorders>
              <w:top w:val="single" w:sz="4" w:space="0" w:color="000000"/>
              <w:left w:val="nil"/>
              <w:bottom w:val="nil"/>
              <w:right w:val="nil"/>
              <w:tl2br w:val="nil"/>
              <w:tr2bl w:val="nil"/>
            </w:tcBorders>
            <w:tcMar>
              <w:left w:w="40" w:type="dxa"/>
              <w:right w:w="40" w:type="dxa"/>
            </w:tcMar>
            <w:vAlign w:val="center"/>
          </w:tcPr>
          <w:p w14:paraId="35F0ACE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69,928</w:t>
            </w:r>
          </w:p>
        </w:tc>
        <w:tc>
          <w:tcPr>
            <w:tcW w:w="1200" w:type="dxa"/>
            <w:tcBorders>
              <w:top w:val="single" w:sz="4" w:space="0" w:color="000000"/>
              <w:left w:val="nil"/>
              <w:bottom w:val="nil"/>
              <w:right w:val="nil"/>
              <w:tl2br w:val="nil"/>
              <w:tr2bl w:val="nil"/>
            </w:tcBorders>
            <w:tcMar>
              <w:left w:w="40" w:type="dxa"/>
              <w:right w:w="40" w:type="dxa"/>
            </w:tcMar>
            <w:vAlign w:val="center"/>
          </w:tcPr>
          <w:p w14:paraId="6D26B2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009E81C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88,841</w:t>
            </w:r>
          </w:p>
        </w:tc>
      </w:tr>
      <w:tr w:rsidR="00FD1E19" w14:paraId="18C4F20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6F8562B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Write offs</w:t>
            </w:r>
          </w:p>
        </w:tc>
        <w:tc>
          <w:tcPr>
            <w:tcW w:w="1200" w:type="dxa"/>
            <w:tcBorders>
              <w:top w:val="nil"/>
              <w:left w:val="nil"/>
              <w:bottom w:val="nil"/>
              <w:right w:val="nil"/>
              <w:tl2br w:val="nil"/>
              <w:tr2bl w:val="nil"/>
            </w:tcBorders>
            <w:tcMar>
              <w:left w:w="40" w:type="dxa"/>
              <w:right w:w="40" w:type="dxa"/>
            </w:tcMar>
            <w:vAlign w:val="center"/>
          </w:tcPr>
          <w:p w14:paraId="6B28944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ECCDEB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489604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5408F4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17CC230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5684E31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w:t>
            </w:r>
          </w:p>
        </w:tc>
        <w:tc>
          <w:tcPr>
            <w:tcW w:w="1200" w:type="dxa"/>
            <w:tcBorders>
              <w:top w:val="nil"/>
              <w:left w:val="nil"/>
              <w:bottom w:val="nil"/>
              <w:right w:val="nil"/>
              <w:tl2br w:val="nil"/>
              <w:tr2bl w:val="nil"/>
            </w:tcBorders>
            <w:tcMar>
              <w:left w:w="40" w:type="dxa"/>
              <w:right w:w="40" w:type="dxa"/>
            </w:tcMar>
            <w:vAlign w:val="center"/>
          </w:tcPr>
          <w:p w14:paraId="43088AD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-303,792</w:t>
            </w:r>
          </w:p>
        </w:tc>
        <w:tc>
          <w:tcPr>
            <w:tcW w:w="1200" w:type="dxa"/>
            <w:tcBorders>
              <w:top w:val="nil"/>
              <w:left w:val="nil"/>
              <w:bottom w:val="nil"/>
              <w:right w:val="nil"/>
              <w:tl2br w:val="nil"/>
              <w:tr2bl w:val="nil"/>
            </w:tcBorders>
            <w:tcMar>
              <w:left w:w="40" w:type="dxa"/>
              <w:right w:w="40" w:type="dxa"/>
            </w:tcMar>
            <w:vAlign w:val="center"/>
          </w:tcPr>
          <w:p w14:paraId="39C3881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-66,494</w:t>
            </w:r>
          </w:p>
        </w:tc>
        <w:tc>
          <w:tcPr>
            <w:tcW w:w="1200" w:type="dxa"/>
            <w:tcBorders>
              <w:top w:val="nil"/>
              <w:left w:val="nil"/>
              <w:bottom w:val="nil"/>
              <w:right w:val="nil"/>
              <w:tl2br w:val="nil"/>
              <w:tr2bl w:val="nil"/>
            </w:tcBorders>
            <w:tcMar>
              <w:left w:w="40" w:type="dxa"/>
              <w:right w:w="40" w:type="dxa"/>
            </w:tcMar>
            <w:vAlign w:val="center"/>
          </w:tcPr>
          <w:p w14:paraId="1D48AB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7E2831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-370,286</w:t>
            </w:r>
          </w:p>
        </w:tc>
      </w:tr>
      <w:tr w:rsidR="00FD1E19" w14:paraId="295E5BB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0D68D8A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capitalised</w:t>
            </w:r>
          </w:p>
        </w:tc>
        <w:tc>
          <w:tcPr>
            <w:tcW w:w="1200" w:type="dxa"/>
            <w:tcBorders>
              <w:top w:val="nil"/>
              <w:left w:val="nil"/>
              <w:bottom w:val="nil"/>
              <w:right w:val="nil"/>
              <w:tl2br w:val="nil"/>
              <w:tr2bl w:val="nil"/>
            </w:tcBorders>
            <w:tcMar>
              <w:left w:w="40" w:type="dxa"/>
              <w:right w:w="40" w:type="dxa"/>
            </w:tcMar>
            <w:vAlign w:val="center"/>
          </w:tcPr>
          <w:p w14:paraId="0A4C43F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AD8A85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54BEAE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3248AE9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14349A5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23F1C0F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0C85A2A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-69,811</w:t>
            </w:r>
          </w:p>
        </w:tc>
        <w:tc>
          <w:tcPr>
            <w:tcW w:w="1200" w:type="dxa"/>
            <w:tcBorders>
              <w:top w:val="nil"/>
              <w:left w:val="nil"/>
              <w:bottom w:val="single" w:sz="4" w:space="0" w:color="000000"/>
              <w:right w:val="nil"/>
              <w:tl2br w:val="nil"/>
              <w:tr2bl w:val="nil"/>
            </w:tcBorders>
            <w:tcMar>
              <w:left w:w="40" w:type="dxa"/>
              <w:right w:w="40" w:type="dxa"/>
            </w:tcMar>
            <w:vAlign w:val="center"/>
          </w:tcPr>
          <w:p w14:paraId="7DBC792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-30,899</w:t>
            </w:r>
          </w:p>
        </w:tc>
        <w:tc>
          <w:tcPr>
            <w:tcW w:w="1200" w:type="dxa"/>
            <w:tcBorders>
              <w:top w:val="nil"/>
              <w:left w:val="nil"/>
              <w:bottom w:val="single" w:sz="4" w:space="0" w:color="000000"/>
              <w:right w:val="nil"/>
              <w:tl2br w:val="nil"/>
              <w:tr2bl w:val="nil"/>
            </w:tcBorders>
            <w:tcMar>
              <w:left w:w="40" w:type="dxa"/>
              <w:right w:w="40" w:type="dxa"/>
            </w:tcMar>
            <w:vAlign w:val="center"/>
          </w:tcPr>
          <w:p w14:paraId="428029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49C7E1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-100,710</w:t>
            </w:r>
          </w:p>
        </w:tc>
      </w:tr>
      <w:tr w:rsidR="00FD1E19" w14:paraId="056EE9F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4112051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AC as at 31 December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B5A75D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640,638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8675FD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359,884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0D4B7D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B9E5D5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1,000,522</w:t>
            </w:r>
          </w:p>
        </w:tc>
      </w:tr>
      <w:tr w:rsidR="00FD1E19" w14:paraId="169530A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14:paraId="0B113E6F"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2F94DC2D" w14:textId="77777777" w:rsidR="00FD1E19" w:rsidRDefault="00FD1E19" w:rsidP="00BE7E4A">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7CCF787F" w14:textId="77777777" w:rsidR="00FD1E19" w:rsidRDefault="00FD1E19" w:rsidP="00BE7E4A">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3E4E8B49" w14:textId="77777777" w:rsidR="00FD1E19" w:rsidRDefault="00FD1E19" w:rsidP="00BE7E4A">
            <w:pPr>
              <w:suppressAutoHyphens/>
              <w:jc w:val="right"/>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66423FC4" w14:textId="77777777" w:rsidR="00FD1E19" w:rsidRDefault="00FD1E19" w:rsidP="00BE7E4A">
            <w:pPr>
              <w:suppressAutoHyphens/>
              <w:jc w:val="right"/>
              <w:rPr>
                <w:noProof/>
                <w:color w:val="000000"/>
                <w:lang w:eastAsia="ar-SA"/>
              </w:rPr>
            </w:pPr>
          </w:p>
        </w:tc>
      </w:tr>
      <w:tr w:rsidR="00FD1E19" w14:paraId="1432DF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7478201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Impairment - loss allowance as at 1 January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F74707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-17,386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10A879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-17,125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BFFFB2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652DE9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-34,511</w:t>
            </w:r>
          </w:p>
        </w:tc>
      </w:tr>
      <w:tr w:rsidR="00FD1E19" w14:paraId="433C62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7EB674F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Net changes of the 12 month ECL </w:t>
            </w:r>
          </w:p>
        </w:tc>
        <w:tc>
          <w:tcPr>
            <w:tcW w:w="1200" w:type="dxa"/>
            <w:tcBorders>
              <w:top w:val="single" w:sz="4" w:space="0" w:color="000000"/>
              <w:left w:val="nil"/>
              <w:bottom w:val="nil"/>
              <w:right w:val="nil"/>
              <w:tl2br w:val="nil"/>
              <w:tr2bl w:val="nil"/>
            </w:tcBorders>
            <w:tcMar>
              <w:left w:w="40" w:type="dxa"/>
              <w:right w:w="40" w:type="dxa"/>
            </w:tcMar>
            <w:vAlign w:val="center"/>
          </w:tcPr>
          <w:p w14:paraId="38B12A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690</w:t>
            </w:r>
          </w:p>
        </w:tc>
        <w:tc>
          <w:tcPr>
            <w:tcW w:w="1200" w:type="dxa"/>
            <w:tcBorders>
              <w:top w:val="single" w:sz="4" w:space="0" w:color="000000"/>
              <w:left w:val="nil"/>
              <w:bottom w:val="nil"/>
              <w:right w:val="nil"/>
              <w:tl2br w:val="nil"/>
              <w:tr2bl w:val="nil"/>
            </w:tcBorders>
            <w:tcMar>
              <w:left w:w="40" w:type="dxa"/>
              <w:right w:w="40" w:type="dxa"/>
            </w:tcMar>
            <w:vAlign w:val="center"/>
          </w:tcPr>
          <w:p w14:paraId="7FAAE3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766</w:t>
            </w:r>
          </w:p>
        </w:tc>
        <w:tc>
          <w:tcPr>
            <w:tcW w:w="1200" w:type="dxa"/>
            <w:tcBorders>
              <w:top w:val="single" w:sz="4" w:space="0" w:color="000000"/>
              <w:left w:val="nil"/>
              <w:bottom w:val="nil"/>
              <w:right w:val="nil"/>
              <w:tl2br w:val="nil"/>
              <w:tr2bl w:val="nil"/>
            </w:tcBorders>
            <w:tcMar>
              <w:left w:w="40" w:type="dxa"/>
              <w:right w:w="40" w:type="dxa"/>
            </w:tcMar>
            <w:vAlign w:val="center"/>
          </w:tcPr>
          <w:p w14:paraId="59E75ED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1C2E9CA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1,456</w:t>
            </w:r>
          </w:p>
        </w:tc>
      </w:tr>
      <w:tr w:rsidR="00FD1E19" w14:paraId="3A4A4AF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7EA610E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changes of lifetime ECL not credit-impaired</w:t>
            </w:r>
          </w:p>
        </w:tc>
        <w:tc>
          <w:tcPr>
            <w:tcW w:w="1200" w:type="dxa"/>
            <w:tcBorders>
              <w:top w:val="nil"/>
              <w:left w:val="nil"/>
              <w:bottom w:val="nil"/>
              <w:right w:val="nil"/>
              <w:tl2br w:val="nil"/>
              <w:tr2bl w:val="nil"/>
            </w:tcBorders>
            <w:tcMar>
              <w:left w:w="40" w:type="dxa"/>
              <w:right w:w="40" w:type="dxa"/>
            </w:tcMar>
            <w:vAlign w:val="center"/>
          </w:tcPr>
          <w:p w14:paraId="43E473D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-896</w:t>
            </w:r>
          </w:p>
        </w:tc>
        <w:tc>
          <w:tcPr>
            <w:tcW w:w="1200" w:type="dxa"/>
            <w:tcBorders>
              <w:top w:val="nil"/>
              <w:left w:val="nil"/>
              <w:bottom w:val="nil"/>
              <w:right w:val="nil"/>
              <w:tl2br w:val="nil"/>
              <w:tr2bl w:val="nil"/>
            </w:tcBorders>
            <w:tcMar>
              <w:left w:w="40" w:type="dxa"/>
              <w:right w:w="40" w:type="dxa"/>
            </w:tcMar>
            <w:vAlign w:val="center"/>
          </w:tcPr>
          <w:p w14:paraId="2E3D093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-808</w:t>
            </w:r>
          </w:p>
        </w:tc>
        <w:tc>
          <w:tcPr>
            <w:tcW w:w="1200" w:type="dxa"/>
            <w:tcBorders>
              <w:top w:val="nil"/>
              <w:left w:val="nil"/>
              <w:bottom w:val="nil"/>
              <w:right w:val="nil"/>
              <w:tl2br w:val="nil"/>
              <w:tr2bl w:val="nil"/>
            </w:tcBorders>
            <w:tcMar>
              <w:left w:w="40" w:type="dxa"/>
              <w:right w:w="40" w:type="dxa"/>
            </w:tcMar>
            <w:vAlign w:val="center"/>
          </w:tcPr>
          <w:p w14:paraId="7696BA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F75EE7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-1,704</w:t>
            </w:r>
          </w:p>
        </w:tc>
      </w:tr>
      <w:tr w:rsidR="00FD1E19" w14:paraId="7C8D152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4F2B73C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Lifetime ECL credit-impaired</w:t>
            </w:r>
          </w:p>
        </w:tc>
        <w:tc>
          <w:tcPr>
            <w:tcW w:w="1200" w:type="dxa"/>
            <w:tcBorders>
              <w:top w:val="nil"/>
              <w:left w:val="nil"/>
              <w:bottom w:val="nil"/>
              <w:right w:val="nil"/>
              <w:tl2br w:val="nil"/>
              <w:tr2bl w:val="nil"/>
            </w:tcBorders>
            <w:tcMar>
              <w:left w:w="40" w:type="dxa"/>
              <w:right w:w="40" w:type="dxa"/>
            </w:tcMar>
            <w:vAlign w:val="center"/>
          </w:tcPr>
          <w:p w14:paraId="51053EA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51428B8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0F0811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595BD5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2A92F37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4B719C7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Reversal of lifetime ECL credit-impaired </w:t>
            </w:r>
          </w:p>
        </w:tc>
        <w:tc>
          <w:tcPr>
            <w:tcW w:w="1200" w:type="dxa"/>
            <w:tcBorders>
              <w:top w:val="nil"/>
              <w:left w:val="nil"/>
              <w:bottom w:val="nil"/>
              <w:right w:val="nil"/>
              <w:tl2br w:val="nil"/>
              <w:tr2bl w:val="nil"/>
            </w:tcBorders>
            <w:tcMar>
              <w:left w:w="40" w:type="dxa"/>
              <w:right w:w="40" w:type="dxa"/>
            </w:tcMar>
            <w:vAlign w:val="center"/>
          </w:tcPr>
          <w:p w14:paraId="608CB6A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4,248</w:t>
            </w:r>
          </w:p>
        </w:tc>
        <w:tc>
          <w:tcPr>
            <w:tcW w:w="1200" w:type="dxa"/>
            <w:tcBorders>
              <w:top w:val="nil"/>
              <w:left w:val="nil"/>
              <w:bottom w:val="nil"/>
              <w:right w:val="nil"/>
              <w:tl2br w:val="nil"/>
              <w:tr2bl w:val="nil"/>
            </w:tcBorders>
            <w:tcMar>
              <w:left w:w="40" w:type="dxa"/>
              <w:right w:w="40" w:type="dxa"/>
            </w:tcMar>
            <w:vAlign w:val="center"/>
          </w:tcPr>
          <w:p w14:paraId="114735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4,915</w:t>
            </w:r>
          </w:p>
        </w:tc>
        <w:tc>
          <w:tcPr>
            <w:tcW w:w="1200" w:type="dxa"/>
            <w:tcBorders>
              <w:top w:val="nil"/>
              <w:left w:val="nil"/>
              <w:bottom w:val="nil"/>
              <w:right w:val="nil"/>
              <w:tl2br w:val="nil"/>
              <w:tr2bl w:val="nil"/>
            </w:tcBorders>
            <w:tcMar>
              <w:left w:w="40" w:type="dxa"/>
              <w:right w:w="40" w:type="dxa"/>
            </w:tcMar>
            <w:vAlign w:val="center"/>
          </w:tcPr>
          <w:p w14:paraId="73CFCE6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62DEAB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9,163</w:t>
            </w:r>
          </w:p>
        </w:tc>
      </w:tr>
      <w:tr w:rsidR="00FD1E19" w14:paraId="369B190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62929C1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Write offs</w:t>
            </w:r>
          </w:p>
        </w:tc>
        <w:tc>
          <w:tcPr>
            <w:tcW w:w="1200" w:type="dxa"/>
            <w:tcBorders>
              <w:top w:val="nil"/>
              <w:left w:val="nil"/>
              <w:bottom w:val="nil"/>
              <w:right w:val="nil"/>
              <w:tl2br w:val="nil"/>
              <w:tr2bl w:val="nil"/>
            </w:tcBorders>
            <w:tcMar>
              <w:left w:w="40" w:type="dxa"/>
              <w:right w:w="40" w:type="dxa"/>
            </w:tcMar>
            <w:vAlign w:val="center"/>
          </w:tcPr>
          <w:p w14:paraId="2D7A9D8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53FA445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31BD66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DFE0F3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13F42C3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771C367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1063AA3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1,145</w:t>
            </w:r>
          </w:p>
        </w:tc>
        <w:tc>
          <w:tcPr>
            <w:tcW w:w="1200" w:type="dxa"/>
            <w:tcBorders>
              <w:top w:val="nil"/>
              <w:left w:val="nil"/>
              <w:bottom w:val="single" w:sz="4" w:space="0" w:color="000000"/>
              <w:right w:val="nil"/>
              <w:tl2br w:val="nil"/>
              <w:tr2bl w:val="nil"/>
            </w:tcBorders>
            <w:tcMar>
              <w:left w:w="40" w:type="dxa"/>
              <w:right w:w="40" w:type="dxa"/>
            </w:tcMar>
            <w:vAlign w:val="center"/>
          </w:tcPr>
          <w:p w14:paraId="5A86A2A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1,030</w:t>
            </w:r>
          </w:p>
        </w:tc>
        <w:tc>
          <w:tcPr>
            <w:tcW w:w="1200" w:type="dxa"/>
            <w:tcBorders>
              <w:top w:val="nil"/>
              <w:left w:val="nil"/>
              <w:bottom w:val="single" w:sz="4" w:space="0" w:color="000000"/>
              <w:right w:val="nil"/>
              <w:tl2br w:val="nil"/>
              <w:tr2bl w:val="nil"/>
            </w:tcBorders>
            <w:tcMar>
              <w:left w:w="40" w:type="dxa"/>
              <w:right w:w="40" w:type="dxa"/>
            </w:tcMar>
            <w:vAlign w:val="center"/>
          </w:tcPr>
          <w:p w14:paraId="7A19C45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498F27B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2,175</w:t>
            </w:r>
          </w:p>
        </w:tc>
      </w:tr>
      <w:tr w:rsidR="00FD1E19" w14:paraId="366DBA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195025E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Impairment - loss allowance as at 31 December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2CBAB9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-12,199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A81DBE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-11,222</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2DDFAE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8EFE69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-23,421</w:t>
            </w:r>
          </w:p>
        </w:tc>
      </w:tr>
      <w:tr w:rsidR="00FD1E19" w14:paraId="4F7FC05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single" w:sz="4" w:space="0" w:color="000000"/>
              <w:left w:val="nil"/>
              <w:bottom w:val="nil"/>
              <w:right w:val="nil"/>
              <w:tl2br w:val="nil"/>
              <w:tr2bl w:val="nil"/>
            </w:tcBorders>
            <w:tcMar>
              <w:left w:w="0" w:type="dxa"/>
              <w:right w:w="0" w:type="dxa"/>
            </w:tcMar>
            <w:vAlign w:val="center"/>
          </w:tcPr>
          <w:p w14:paraId="2A976D5B"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0E4AF4C8"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C9D6363"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CFAB8C9"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98FDF8B"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0491A8D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shd w:val="clear" w:color="FFFFFF" w:fill="C4C4C4"/>
            <w:tcMar>
              <w:left w:w="40" w:type="dxa"/>
              <w:right w:w="40" w:type="dxa"/>
            </w:tcMar>
            <w:vAlign w:val="center"/>
          </w:tcPr>
          <w:p w14:paraId="7301E80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AC as at 31 December 2025</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2B30018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628,439</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6BB78AE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348,662</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7B58D19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196CF8C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977,101</w:t>
            </w:r>
          </w:p>
        </w:tc>
      </w:tr>
      <w:tr w:rsidR="00FD1E19" w14:paraId="165EA6F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single" w:sz="4" w:space="0" w:color="000000"/>
              <w:right w:val="nil"/>
              <w:tl2br w:val="nil"/>
              <w:tr2bl w:val="nil"/>
            </w:tcBorders>
            <w:tcMar>
              <w:left w:w="0" w:type="dxa"/>
              <w:right w:w="0" w:type="dxa"/>
            </w:tcMar>
            <w:vAlign w:val="center"/>
          </w:tcPr>
          <w:p w14:paraId="63061352"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7B200FDF"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180DCB1C"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6435B6A1"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7BAC26EF"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2DE7133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4838539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FVTPL as at 1 January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3EB4CA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4E86E1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116,688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3D571B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79,620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E78DDE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197,388</w:t>
            </w:r>
          </w:p>
        </w:tc>
      </w:tr>
      <w:tr w:rsidR="00FD1E19" w14:paraId="45CCF4E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14D8BBF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200" w:type="dxa"/>
            <w:tcBorders>
              <w:top w:val="single" w:sz="4" w:space="0" w:color="000000"/>
              <w:left w:val="nil"/>
              <w:bottom w:val="nil"/>
              <w:right w:val="nil"/>
              <w:tl2br w:val="nil"/>
              <w:tr2bl w:val="nil"/>
            </w:tcBorders>
            <w:tcMar>
              <w:left w:w="40" w:type="dxa"/>
              <w:right w:w="40" w:type="dxa"/>
            </w:tcMar>
            <w:vAlign w:val="center"/>
          </w:tcPr>
          <w:p w14:paraId="59B083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63AAB34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3,631</w:t>
            </w:r>
          </w:p>
        </w:tc>
        <w:tc>
          <w:tcPr>
            <w:tcW w:w="1200" w:type="dxa"/>
            <w:tcBorders>
              <w:top w:val="single" w:sz="4" w:space="0" w:color="000000"/>
              <w:left w:val="nil"/>
              <w:bottom w:val="nil"/>
              <w:right w:val="nil"/>
              <w:tl2br w:val="nil"/>
              <w:tr2bl w:val="nil"/>
            </w:tcBorders>
            <w:tcMar>
              <w:left w:w="40" w:type="dxa"/>
              <w:right w:w="40" w:type="dxa"/>
            </w:tcMar>
            <w:vAlign w:val="center"/>
          </w:tcPr>
          <w:p w14:paraId="26ACD0D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14,181</w:t>
            </w:r>
          </w:p>
        </w:tc>
        <w:tc>
          <w:tcPr>
            <w:tcW w:w="1200" w:type="dxa"/>
            <w:tcBorders>
              <w:top w:val="single" w:sz="4" w:space="0" w:color="000000"/>
              <w:left w:val="nil"/>
              <w:bottom w:val="nil"/>
              <w:right w:val="nil"/>
              <w:tl2br w:val="nil"/>
              <w:tr2bl w:val="nil"/>
            </w:tcBorders>
            <w:tcMar>
              <w:left w:w="40" w:type="dxa"/>
              <w:right w:w="40" w:type="dxa"/>
            </w:tcMar>
            <w:vAlign w:val="center"/>
          </w:tcPr>
          <w:p w14:paraId="4ED4690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17,812</w:t>
            </w:r>
          </w:p>
        </w:tc>
      </w:tr>
      <w:tr w:rsidR="00FD1E19" w14:paraId="53D1C6B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62DB00F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capitalised</w:t>
            </w:r>
          </w:p>
        </w:tc>
        <w:tc>
          <w:tcPr>
            <w:tcW w:w="1200" w:type="dxa"/>
            <w:tcBorders>
              <w:top w:val="nil"/>
              <w:left w:val="nil"/>
              <w:bottom w:val="nil"/>
              <w:right w:val="nil"/>
              <w:tl2br w:val="nil"/>
              <w:tr2bl w:val="nil"/>
            </w:tcBorders>
            <w:tcMar>
              <w:left w:w="40" w:type="dxa"/>
              <w:right w:w="40" w:type="dxa"/>
            </w:tcMar>
            <w:vAlign w:val="center"/>
          </w:tcPr>
          <w:p w14:paraId="06C15B3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2D582D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408F9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835</w:t>
            </w:r>
          </w:p>
        </w:tc>
        <w:tc>
          <w:tcPr>
            <w:tcW w:w="1200" w:type="dxa"/>
            <w:tcBorders>
              <w:top w:val="nil"/>
              <w:left w:val="nil"/>
              <w:bottom w:val="nil"/>
              <w:right w:val="nil"/>
              <w:tl2br w:val="nil"/>
              <w:tr2bl w:val="nil"/>
            </w:tcBorders>
            <w:tcMar>
              <w:left w:w="40" w:type="dxa"/>
              <w:right w:w="40" w:type="dxa"/>
            </w:tcMar>
            <w:vAlign w:val="center"/>
          </w:tcPr>
          <w:p w14:paraId="374B037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835</w:t>
            </w:r>
          </w:p>
        </w:tc>
      </w:tr>
      <w:tr w:rsidR="00FD1E19" w14:paraId="6C1DD10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31C0974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w:t>
            </w:r>
          </w:p>
        </w:tc>
        <w:tc>
          <w:tcPr>
            <w:tcW w:w="1200" w:type="dxa"/>
            <w:tcBorders>
              <w:top w:val="nil"/>
              <w:left w:val="nil"/>
              <w:bottom w:val="nil"/>
              <w:right w:val="nil"/>
              <w:tl2br w:val="nil"/>
              <w:tr2bl w:val="nil"/>
            </w:tcBorders>
            <w:tcMar>
              <w:left w:w="40" w:type="dxa"/>
              <w:right w:w="40" w:type="dxa"/>
            </w:tcMar>
            <w:vAlign w:val="center"/>
          </w:tcPr>
          <w:p w14:paraId="44780E8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CD230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-28,712</w:t>
            </w:r>
          </w:p>
        </w:tc>
        <w:tc>
          <w:tcPr>
            <w:tcW w:w="1200" w:type="dxa"/>
            <w:tcBorders>
              <w:top w:val="nil"/>
              <w:left w:val="nil"/>
              <w:bottom w:val="nil"/>
              <w:right w:val="nil"/>
              <w:tl2br w:val="nil"/>
              <w:tr2bl w:val="nil"/>
            </w:tcBorders>
            <w:tcMar>
              <w:left w:w="40" w:type="dxa"/>
              <w:right w:w="40" w:type="dxa"/>
            </w:tcMar>
            <w:vAlign w:val="center"/>
          </w:tcPr>
          <w:p w14:paraId="3698A83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979AE3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-28,712</w:t>
            </w:r>
          </w:p>
        </w:tc>
      </w:tr>
      <w:tr w:rsidR="00FD1E19" w14:paraId="3193679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4EE8808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Guarantee call</w:t>
            </w:r>
          </w:p>
        </w:tc>
        <w:tc>
          <w:tcPr>
            <w:tcW w:w="1200" w:type="dxa"/>
            <w:tcBorders>
              <w:top w:val="nil"/>
              <w:left w:val="nil"/>
              <w:bottom w:val="nil"/>
              <w:right w:val="nil"/>
              <w:tl2br w:val="nil"/>
              <w:tr2bl w:val="nil"/>
            </w:tcBorders>
            <w:tcMar>
              <w:left w:w="40" w:type="dxa"/>
              <w:right w:w="40" w:type="dxa"/>
            </w:tcMar>
            <w:vAlign w:val="center"/>
          </w:tcPr>
          <w:p w14:paraId="4896F76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29D439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637D62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c>
          <w:tcPr>
            <w:tcW w:w="1200" w:type="dxa"/>
            <w:tcBorders>
              <w:top w:val="nil"/>
              <w:left w:val="nil"/>
              <w:bottom w:val="nil"/>
              <w:right w:val="nil"/>
              <w:tl2br w:val="nil"/>
              <w:tr2bl w:val="nil"/>
            </w:tcBorders>
            <w:tcMar>
              <w:left w:w="40" w:type="dxa"/>
              <w:right w:w="40" w:type="dxa"/>
            </w:tcMar>
            <w:vAlign w:val="center"/>
          </w:tcPr>
          <w:p w14:paraId="671F29C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-36,833</w:t>
            </w:r>
          </w:p>
        </w:tc>
      </w:tr>
      <w:tr w:rsidR="00FD1E19" w14:paraId="1D015ED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7EF964E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Write offs</w:t>
            </w:r>
          </w:p>
        </w:tc>
        <w:tc>
          <w:tcPr>
            <w:tcW w:w="1200" w:type="dxa"/>
            <w:tcBorders>
              <w:top w:val="nil"/>
              <w:left w:val="nil"/>
              <w:bottom w:val="nil"/>
              <w:right w:val="nil"/>
              <w:tl2br w:val="nil"/>
              <w:tr2bl w:val="nil"/>
            </w:tcBorders>
            <w:tcMar>
              <w:left w:w="40" w:type="dxa"/>
              <w:right w:w="40" w:type="dxa"/>
            </w:tcMar>
            <w:vAlign w:val="center"/>
          </w:tcPr>
          <w:p w14:paraId="40A06DA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59B45A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0CC1B6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0143B19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30ECFB2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589FA47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7F761A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70E7572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-4,042</w:t>
            </w:r>
          </w:p>
        </w:tc>
        <w:tc>
          <w:tcPr>
            <w:tcW w:w="1200" w:type="dxa"/>
            <w:tcBorders>
              <w:top w:val="nil"/>
              <w:left w:val="nil"/>
              <w:bottom w:val="single" w:sz="4" w:space="0" w:color="000000"/>
              <w:right w:val="nil"/>
              <w:tl2br w:val="nil"/>
              <w:tr2bl w:val="nil"/>
            </w:tcBorders>
            <w:tcMar>
              <w:left w:w="40" w:type="dxa"/>
              <w:right w:w="40" w:type="dxa"/>
            </w:tcMar>
            <w:vAlign w:val="center"/>
          </w:tcPr>
          <w:p w14:paraId="7607E29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-2,363</w:t>
            </w:r>
          </w:p>
        </w:tc>
        <w:tc>
          <w:tcPr>
            <w:tcW w:w="1200" w:type="dxa"/>
            <w:tcBorders>
              <w:top w:val="nil"/>
              <w:left w:val="nil"/>
              <w:bottom w:val="single" w:sz="4" w:space="0" w:color="000000"/>
              <w:right w:val="nil"/>
              <w:tl2br w:val="nil"/>
              <w:tr2bl w:val="nil"/>
            </w:tcBorders>
            <w:tcMar>
              <w:left w:w="40" w:type="dxa"/>
              <w:right w:w="40" w:type="dxa"/>
            </w:tcMar>
            <w:vAlign w:val="center"/>
          </w:tcPr>
          <w:p w14:paraId="278B955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-6,405</w:t>
            </w:r>
          </w:p>
        </w:tc>
      </w:tr>
      <w:tr w:rsidR="00FD1E19" w14:paraId="0FC2043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0E6BEB2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FVTPL as at 31 December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D27E9F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F4688A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87,565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FF67C0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55,440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E00622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144,085</w:t>
            </w:r>
          </w:p>
        </w:tc>
      </w:tr>
      <w:tr w:rsidR="00FD1E19" w14:paraId="10F100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14:paraId="2128F64B"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3B7D7130"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566C2563"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0DE336D6"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60BB6A7C"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21DE1E8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08ABEB3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Fair value adjustment as at 1 January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66C4F5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42D723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-34,395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E8349C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-24,930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DB207B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-60,405</w:t>
            </w:r>
          </w:p>
        </w:tc>
      </w:tr>
      <w:tr w:rsidR="00FD1E19" w14:paraId="74DB28B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61467D0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FV change</w:t>
            </w:r>
          </w:p>
        </w:tc>
        <w:tc>
          <w:tcPr>
            <w:tcW w:w="1200" w:type="dxa"/>
            <w:tcBorders>
              <w:top w:val="single" w:sz="4" w:space="0" w:color="000000"/>
              <w:left w:val="nil"/>
              <w:bottom w:val="nil"/>
              <w:right w:val="nil"/>
              <w:tl2br w:val="nil"/>
              <w:tr2bl w:val="nil"/>
            </w:tcBorders>
            <w:tcMar>
              <w:left w:w="40" w:type="dxa"/>
              <w:right w:w="40" w:type="dxa"/>
            </w:tcMar>
            <w:vAlign w:val="center"/>
          </w:tcPr>
          <w:p w14:paraId="6837812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3461DE6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-1,029</w:t>
            </w:r>
          </w:p>
        </w:tc>
        <w:tc>
          <w:tcPr>
            <w:tcW w:w="1200" w:type="dxa"/>
            <w:tcBorders>
              <w:top w:val="single" w:sz="4" w:space="0" w:color="000000"/>
              <w:left w:val="nil"/>
              <w:bottom w:val="nil"/>
              <w:right w:val="nil"/>
              <w:tl2br w:val="nil"/>
              <w:tr2bl w:val="nil"/>
            </w:tcBorders>
            <w:tcMar>
              <w:left w:w="40" w:type="dxa"/>
              <w:right w:w="40" w:type="dxa"/>
            </w:tcMar>
            <w:vAlign w:val="center"/>
          </w:tcPr>
          <w:p w14:paraId="299DE23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-5,919</w:t>
            </w:r>
          </w:p>
        </w:tc>
        <w:tc>
          <w:tcPr>
            <w:tcW w:w="1200" w:type="dxa"/>
            <w:tcBorders>
              <w:top w:val="single" w:sz="4" w:space="0" w:color="000000"/>
              <w:left w:val="nil"/>
              <w:bottom w:val="nil"/>
              <w:right w:val="nil"/>
              <w:tl2br w:val="nil"/>
              <w:tr2bl w:val="nil"/>
            </w:tcBorders>
            <w:tcMar>
              <w:left w:w="40" w:type="dxa"/>
              <w:right w:w="40" w:type="dxa"/>
            </w:tcMar>
            <w:vAlign w:val="center"/>
          </w:tcPr>
          <w:p w14:paraId="28FC5F2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-6,948</w:t>
            </w:r>
          </w:p>
        </w:tc>
      </w:tr>
      <w:tr w:rsidR="00FD1E19" w14:paraId="064D6AD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16B5F49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5D75CF8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0BA7332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438</w:t>
            </w:r>
          </w:p>
        </w:tc>
        <w:tc>
          <w:tcPr>
            <w:tcW w:w="1200" w:type="dxa"/>
            <w:tcBorders>
              <w:top w:val="nil"/>
              <w:left w:val="nil"/>
              <w:bottom w:val="single" w:sz="4" w:space="0" w:color="000000"/>
              <w:right w:val="nil"/>
              <w:tl2br w:val="nil"/>
              <w:tr2bl w:val="nil"/>
            </w:tcBorders>
            <w:tcMar>
              <w:left w:w="40" w:type="dxa"/>
              <w:right w:w="40" w:type="dxa"/>
            </w:tcMar>
            <w:vAlign w:val="center"/>
          </w:tcPr>
          <w:p w14:paraId="28613E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117</w:t>
            </w:r>
          </w:p>
        </w:tc>
        <w:tc>
          <w:tcPr>
            <w:tcW w:w="1200" w:type="dxa"/>
            <w:tcBorders>
              <w:top w:val="nil"/>
              <w:left w:val="nil"/>
              <w:bottom w:val="single" w:sz="4" w:space="0" w:color="000000"/>
              <w:right w:val="nil"/>
              <w:tl2br w:val="nil"/>
              <w:tr2bl w:val="nil"/>
            </w:tcBorders>
            <w:tcMar>
              <w:left w:w="40" w:type="dxa"/>
              <w:right w:w="40" w:type="dxa"/>
            </w:tcMar>
            <w:vAlign w:val="center"/>
          </w:tcPr>
          <w:p w14:paraId="35AB439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555</w:t>
            </w:r>
          </w:p>
        </w:tc>
      </w:tr>
      <w:tr w:rsidR="00FD1E19" w14:paraId="36DF3E3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6308E2F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Fair value adjustment as at 31 December 2025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6F9142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C86C28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-34,986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8E1B53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-30,732</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5F303A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-66,798</w:t>
            </w:r>
          </w:p>
        </w:tc>
      </w:tr>
      <w:tr w:rsidR="00FD1E19" w14:paraId="33E195F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14:paraId="2D6267B9"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3331F056"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1DDDDBB3"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3422E4D"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7CF73CBA"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C4DE20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95"/>
        </w:trPr>
        <w:tc>
          <w:tcPr>
            <w:tcW w:w="5100" w:type="dxa"/>
            <w:tcBorders>
              <w:top w:val="nil"/>
              <w:left w:val="nil"/>
              <w:bottom w:val="nil"/>
              <w:right w:val="nil"/>
              <w:tl2br w:val="nil"/>
              <w:tr2bl w:val="nil"/>
            </w:tcBorders>
            <w:shd w:val="clear" w:color="FFFFFF" w:fill="C0C0C0"/>
            <w:tcMar>
              <w:left w:w="40" w:type="dxa"/>
              <w:right w:w="40" w:type="dxa"/>
            </w:tcMar>
            <w:vAlign w:val="center"/>
          </w:tcPr>
          <w:p w14:paraId="7043223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FVTPL as at 31 December 2025</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5A853B2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443B1B9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52,579</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2A9F24B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24,708</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3650295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77,287</w:t>
            </w:r>
          </w:p>
        </w:tc>
      </w:tr>
      <w:tr w:rsidR="00FD1E19" w14:paraId="235B2BE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5100" w:type="dxa"/>
            <w:tcBorders>
              <w:top w:val="nil"/>
              <w:left w:val="nil"/>
              <w:bottom w:val="nil"/>
              <w:right w:val="nil"/>
              <w:tl2br w:val="nil"/>
              <w:tr2bl w:val="nil"/>
            </w:tcBorders>
            <w:tcMar>
              <w:left w:w="40" w:type="dxa"/>
              <w:right w:w="40" w:type="dxa"/>
            </w:tcMar>
            <w:vAlign w:val="center"/>
          </w:tcPr>
          <w:p w14:paraId="12E57CC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Amortised Cost</w:t>
            </w:r>
          </w:p>
        </w:tc>
        <w:tc>
          <w:tcPr>
            <w:tcW w:w="1200" w:type="dxa"/>
            <w:tcBorders>
              <w:top w:val="nil"/>
              <w:left w:val="nil"/>
              <w:bottom w:val="nil"/>
              <w:right w:val="nil"/>
              <w:tl2br w:val="nil"/>
              <w:tr2bl w:val="nil"/>
            </w:tcBorders>
            <w:tcMar>
              <w:left w:w="40" w:type="dxa"/>
              <w:right w:w="40" w:type="dxa"/>
            </w:tcMar>
            <w:vAlign w:val="center"/>
          </w:tcPr>
          <w:p w14:paraId="08F02A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-2,614</w:t>
            </w:r>
          </w:p>
        </w:tc>
        <w:tc>
          <w:tcPr>
            <w:tcW w:w="1200" w:type="dxa"/>
            <w:tcBorders>
              <w:top w:val="nil"/>
              <w:left w:val="nil"/>
              <w:bottom w:val="nil"/>
              <w:right w:val="nil"/>
              <w:tl2br w:val="nil"/>
              <w:tr2bl w:val="nil"/>
            </w:tcBorders>
            <w:tcMar>
              <w:left w:w="40" w:type="dxa"/>
              <w:right w:w="40" w:type="dxa"/>
            </w:tcMar>
            <w:vAlign w:val="center"/>
          </w:tcPr>
          <w:p w14:paraId="009ED65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-3,290</w:t>
            </w:r>
          </w:p>
        </w:tc>
        <w:tc>
          <w:tcPr>
            <w:tcW w:w="1200" w:type="dxa"/>
            <w:tcBorders>
              <w:top w:val="nil"/>
              <w:left w:val="nil"/>
              <w:bottom w:val="nil"/>
              <w:right w:val="nil"/>
              <w:tl2br w:val="nil"/>
              <w:tr2bl w:val="nil"/>
            </w:tcBorders>
            <w:tcMar>
              <w:left w:w="40" w:type="dxa"/>
              <w:right w:w="40" w:type="dxa"/>
            </w:tcMar>
            <w:vAlign w:val="center"/>
          </w:tcPr>
          <w:p w14:paraId="6890DE1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8A5953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-5,904</w:t>
            </w:r>
          </w:p>
        </w:tc>
      </w:tr>
      <w:tr w:rsidR="00FD1E19" w14:paraId="79267A1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7BAF7E6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w:t>
            </w:r>
          </w:p>
        </w:tc>
        <w:tc>
          <w:tcPr>
            <w:tcW w:w="1200" w:type="dxa"/>
            <w:tcBorders>
              <w:top w:val="nil"/>
              <w:left w:val="nil"/>
              <w:bottom w:val="nil"/>
              <w:right w:val="nil"/>
              <w:tl2br w:val="nil"/>
              <w:tr2bl w:val="nil"/>
            </w:tcBorders>
            <w:tcMar>
              <w:left w:w="40" w:type="dxa"/>
              <w:right w:w="40" w:type="dxa"/>
            </w:tcMar>
            <w:vAlign w:val="center"/>
          </w:tcPr>
          <w:p w14:paraId="1692091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7,209</w:t>
            </w:r>
          </w:p>
        </w:tc>
        <w:tc>
          <w:tcPr>
            <w:tcW w:w="1200" w:type="dxa"/>
            <w:tcBorders>
              <w:top w:val="nil"/>
              <w:left w:val="nil"/>
              <w:bottom w:val="nil"/>
              <w:right w:val="nil"/>
              <w:tl2br w:val="nil"/>
              <w:tr2bl w:val="nil"/>
            </w:tcBorders>
            <w:tcMar>
              <w:left w:w="40" w:type="dxa"/>
              <w:right w:w="40" w:type="dxa"/>
            </w:tcMar>
            <w:vAlign w:val="center"/>
          </w:tcPr>
          <w:p w14:paraId="7B72B98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7,256</w:t>
            </w:r>
          </w:p>
        </w:tc>
        <w:tc>
          <w:tcPr>
            <w:tcW w:w="1200" w:type="dxa"/>
            <w:tcBorders>
              <w:top w:val="nil"/>
              <w:left w:val="nil"/>
              <w:bottom w:val="nil"/>
              <w:right w:val="nil"/>
              <w:tl2br w:val="nil"/>
              <w:tr2bl w:val="nil"/>
            </w:tcBorders>
            <w:tcMar>
              <w:left w:w="40" w:type="dxa"/>
              <w:right w:w="40" w:type="dxa"/>
            </w:tcMar>
            <w:vAlign w:val="center"/>
          </w:tcPr>
          <w:p w14:paraId="7B4531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562</w:t>
            </w:r>
          </w:p>
        </w:tc>
        <w:tc>
          <w:tcPr>
            <w:tcW w:w="1200" w:type="dxa"/>
            <w:tcBorders>
              <w:top w:val="nil"/>
              <w:left w:val="nil"/>
              <w:bottom w:val="nil"/>
              <w:right w:val="nil"/>
              <w:tl2br w:val="nil"/>
              <w:tr2bl w:val="nil"/>
            </w:tcBorders>
            <w:tcMar>
              <w:left w:w="40" w:type="dxa"/>
              <w:right w:w="40" w:type="dxa"/>
            </w:tcMar>
            <w:vAlign w:val="center"/>
          </w:tcPr>
          <w:p w14:paraId="287705C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15,027</w:t>
            </w:r>
          </w:p>
        </w:tc>
      </w:tr>
      <w:tr w:rsidR="00FD1E19" w14:paraId="3FB998C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100" w:type="dxa"/>
            <w:tcBorders>
              <w:top w:val="nil"/>
              <w:left w:val="nil"/>
              <w:bottom w:val="nil"/>
              <w:right w:val="nil"/>
              <w:tl2br w:val="nil"/>
              <w:tr2bl w:val="nil"/>
            </w:tcBorders>
            <w:shd w:val="clear" w:color="FFFFFF" w:fill="C4C4C4"/>
            <w:tcMar>
              <w:left w:w="40" w:type="dxa"/>
              <w:right w:w="40" w:type="dxa"/>
            </w:tcMar>
            <w:vAlign w:val="center"/>
          </w:tcPr>
          <w:p w14:paraId="54269E6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as at 31 December 2025</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6898559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633,034</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3718A98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405,207</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482D26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25,270</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073CBA0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1,063,511</w:t>
            </w:r>
          </w:p>
        </w:tc>
      </w:tr>
      <w:tr w:rsidR="00FD1E19" w14:paraId="6CADAC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noWrap/>
            <w:tcMar>
              <w:left w:w="40" w:type="dxa"/>
              <w:right w:w="40" w:type="dxa"/>
            </w:tcMar>
            <w:vAlign w:val="bottom"/>
          </w:tcPr>
          <w:p w14:paraId="4E25E16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Including agency agreements</w:t>
            </w:r>
          </w:p>
        </w:tc>
        <w:tc>
          <w:tcPr>
            <w:tcW w:w="1200" w:type="dxa"/>
            <w:tcBorders>
              <w:top w:val="nil"/>
              <w:left w:val="nil"/>
              <w:bottom w:val="nil"/>
              <w:right w:val="nil"/>
              <w:tl2br w:val="nil"/>
              <w:tr2bl w:val="nil"/>
            </w:tcBorders>
            <w:tcMar>
              <w:left w:w="0" w:type="dxa"/>
              <w:right w:w="0" w:type="dxa"/>
            </w:tcMar>
            <w:vAlign w:val="center"/>
          </w:tcPr>
          <w:p w14:paraId="1E451C97" w14:textId="77777777" w:rsidR="00FD1E19" w:rsidRDefault="00FD1E19" w:rsidP="00BE7E4A">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14:paraId="5C667D1C" w14:textId="77777777" w:rsidR="00FD1E19" w:rsidRDefault="00FD1E19" w:rsidP="00BE7E4A">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14:paraId="62DA741C" w14:textId="77777777" w:rsidR="00FD1E19" w:rsidRDefault="00FD1E19" w:rsidP="00BE7E4A">
            <w:pPr>
              <w:suppressAutoHyphens/>
              <w:jc w:val="right"/>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14:paraId="71A54750" w14:textId="77777777" w:rsidR="00FD1E19" w:rsidRDefault="00FD1E19" w:rsidP="00BE7E4A">
            <w:pPr>
              <w:suppressAutoHyphens/>
              <w:jc w:val="right"/>
              <w:rPr>
                <w:noProof/>
                <w:color w:val="000000"/>
                <w:lang w:eastAsia="ar-SA"/>
              </w:rPr>
            </w:pPr>
          </w:p>
        </w:tc>
      </w:tr>
    </w:tbl>
    <w:p w14:paraId="5DC11A4D" w14:textId="77777777" w:rsidR="00FD1E19" w:rsidRPr="00331B9D"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1" w:hanging="431"/>
        <w:contextualSpacing/>
        <w:jc w:val="both"/>
        <w:rPr>
          <w:rFonts w:ascii="Arial" w:eastAsia="Calibri" w:hAnsi="Arial"/>
          <w:b/>
          <w:noProof/>
          <w:sz w:val="20"/>
          <w:szCs w:val="20"/>
          <w:bdr w:val="nil"/>
          <w:lang w:val="en-US" w:eastAsia="ar-SA"/>
        </w:rPr>
      </w:pPr>
      <w:bookmarkStart w:id="286" w:name="RG_MARKER_90172"/>
      <w:r w:rsidRPr="00331B9D">
        <w:rPr>
          <w:rFonts w:ascii="Arial" w:eastAsia="Calibri" w:hAnsi="Arial" w:cs="Arial"/>
          <w:b/>
          <w:noProof/>
          <w:sz w:val="20"/>
          <w:szCs w:val="20"/>
          <w:bdr w:val="none" w:sz="0" w:space="0" w:color="auto" w:frame="1"/>
          <w:lang w:val="en-US" w:eastAsia="ar-SA"/>
        </w:rPr>
        <w:t>7</w:t>
      </w:r>
      <w:bookmarkEnd w:id="286"/>
      <w:r w:rsidRPr="00331B9D">
        <w:rPr>
          <w:rFonts w:ascii="Arial" w:eastAsia="Calibri" w:hAnsi="Arial" w:cs="Arial"/>
          <w:b/>
          <w:noProof/>
          <w:sz w:val="20"/>
          <w:szCs w:val="20"/>
          <w:bdr w:val="none" w:sz="0" w:space="0" w:color="auto" w:frame="1"/>
          <w:lang w:val="en-US" w:eastAsia="ar-SA"/>
        </w:rPr>
        <w:tab/>
        <w:t xml:space="preserve">Loans and advances </w:t>
      </w:r>
      <w:r w:rsidRPr="00331B9D">
        <w:rPr>
          <w:rFonts w:ascii="Arial" w:eastAsia="Calibri" w:hAnsi="Arial" w:cs="Arial"/>
          <w:b/>
          <w:noProof/>
          <w:sz w:val="20"/>
          <w:szCs w:val="20"/>
          <w:bdr w:val="none" w:sz="0" w:space="0" w:color="auto" w:frame="1"/>
          <w:lang w:eastAsia="ar-SA"/>
        </w:rPr>
        <w:t>(continued)</w:t>
      </w:r>
    </w:p>
    <w:p w14:paraId="541AD2AA" w14:textId="77777777" w:rsidR="00FD1E19" w:rsidRPr="00911C69" w:rsidRDefault="00FD1E19" w:rsidP="00FD1E19">
      <w:pPr>
        <w:pBdr>
          <w:top w:val="nil"/>
          <w:left w:val="nil"/>
          <w:bottom w:val="nil"/>
          <w:right w:val="nil"/>
          <w:between w:val="nil"/>
          <w:bar w:val="nil"/>
        </w:pBdr>
        <w:spacing w:after="60"/>
        <w:ind w:left="357" w:hanging="357"/>
        <w:rPr>
          <w:rFonts w:ascii="Arial" w:eastAsia="Calibri" w:hAnsi="Arial" w:cs="Arial"/>
          <w:b/>
          <w:noProof/>
          <w:sz w:val="16"/>
          <w:szCs w:val="16"/>
          <w:bdr w:val="nil"/>
          <w:lang w:val="en-US"/>
        </w:rPr>
      </w:pPr>
      <w:r w:rsidRPr="006D521D">
        <w:rPr>
          <w:rFonts w:ascii="Arial" w:eastAsia="Calibri" w:hAnsi="Arial" w:cs="Arial"/>
          <w:b/>
          <w:noProof/>
          <w:sz w:val="16"/>
          <w:szCs w:val="16"/>
          <w:bdr w:val="none" w:sz="0" w:space="0" w:color="auto" w:frame="1"/>
          <w:lang w:val="en-US"/>
        </w:rPr>
        <w:t>7.1</w:t>
      </w:r>
      <w:r>
        <w:rPr>
          <w:rFonts w:ascii="Arial" w:eastAsia="Calibri" w:hAnsi="Arial" w:cs="Arial"/>
          <w:b/>
          <w:noProof/>
          <w:sz w:val="16"/>
          <w:szCs w:val="16"/>
          <w:bdr w:val="none" w:sz="0" w:space="0" w:color="auto" w:frame="1"/>
          <w:lang w:val="en-US"/>
        </w:rPr>
        <w:tab/>
      </w:r>
      <w:r w:rsidRPr="006D521D">
        <w:rPr>
          <w:rFonts w:ascii="Arial" w:eastAsia="Calibri" w:hAnsi="Arial" w:cs="Arial"/>
          <w:b/>
          <w:noProof/>
          <w:sz w:val="16"/>
          <w:szCs w:val="16"/>
          <w:bdr w:val="none" w:sz="0" w:space="0" w:color="auto" w:frame="1"/>
          <w:lang w:val="en-US"/>
        </w:rPr>
        <w:t>Loans and advances (continued)</w:t>
      </w:r>
    </w:p>
    <w:tbl>
      <w:tblPr>
        <w:tblStyle w:val="CDMRange1"/>
        <w:tblW w:w="5000" w:type="pct"/>
        <w:tblLayout w:type="fixed"/>
        <w:tblLook w:val="0600" w:firstRow="0" w:lastRow="0" w:firstColumn="0" w:lastColumn="0" w:noHBand="1" w:noVBand="1"/>
      </w:tblPr>
      <w:tblGrid>
        <w:gridCol w:w="5002"/>
        <w:gridCol w:w="1179"/>
        <w:gridCol w:w="1179"/>
        <w:gridCol w:w="1179"/>
        <w:gridCol w:w="1179"/>
      </w:tblGrid>
      <w:tr w:rsidR="00FD1E19" w14:paraId="53D36312" w14:textId="77777777" w:rsidTr="00BE7E4A">
        <w:trPr>
          <w:trHeight w:hRule="exact" w:val="492"/>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2410A3AB" w14:textId="77777777" w:rsidR="00FD1E19" w:rsidRDefault="00FD1E19" w:rsidP="00BE7E4A">
            <w:pPr>
              <w:suppressAutoHyphens/>
              <w:rPr>
                <w:rFonts w:ascii="Arial" w:eastAsia="Arial" w:hAnsi="Arial" w:cs="Arial"/>
                <w:b/>
                <w:noProof/>
                <w:color w:val="000000"/>
                <w:sz w:val="16"/>
                <w:lang w:eastAsia="ar-SA"/>
              </w:rPr>
            </w:pPr>
            <w:bookmarkStart w:id="287" w:name="RG_MARKER_90173"/>
            <w:r>
              <w:rPr>
                <w:rFonts w:ascii="Arial" w:eastAsia="Arial" w:hAnsi="Arial" w:cs="Arial"/>
                <w:b/>
                <w:noProof/>
                <w:color w:val="000000"/>
                <w:sz w:val="16"/>
                <w:lang w:eastAsia="ar-SA"/>
              </w:rPr>
              <w:t>In EUR'000</w:t>
            </w:r>
            <w:bookmarkEnd w:id="287"/>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D639DC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Global loans*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1A8C02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Senior loans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1E0380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Subordinated loans</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1D1AC7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45CA1A4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6F8C88B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AC as at 1 January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D6508B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1,098,121</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280CAF5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495,337</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9AFB2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46C9CD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1,593,458</w:t>
            </w:r>
          </w:p>
        </w:tc>
      </w:tr>
      <w:tr w:rsidR="00FD1E19" w14:paraId="44BE435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755E1F4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200" w:type="dxa"/>
            <w:tcBorders>
              <w:top w:val="single" w:sz="4" w:space="0" w:color="000000"/>
              <w:left w:val="nil"/>
              <w:bottom w:val="nil"/>
              <w:right w:val="nil"/>
              <w:tl2br w:val="nil"/>
              <w:tr2bl w:val="nil"/>
            </w:tcBorders>
            <w:tcMar>
              <w:left w:w="40" w:type="dxa"/>
              <w:right w:w="40" w:type="dxa"/>
            </w:tcMar>
            <w:vAlign w:val="center"/>
          </w:tcPr>
          <w:p w14:paraId="36E1F3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68,519</w:t>
            </w:r>
          </w:p>
        </w:tc>
        <w:tc>
          <w:tcPr>
            <w:tcW w:w="1200" w:type="dxa"/>
            <w:tcBorders>
              <w:top w:val="single" w:sz="4" w:space="0" w:color="000000"/>
              <w:left w:val="nil"/>
              <w:bottom w:val="nil"/>
              <w:right w:val="nil"/>
              <w:tl2br w:val="nil"/>
              <w:tr2bl w:val="nil"/>
            </w:tcBorders>
            <w:tcMar>
              <w:left w:w="40" w:type="dxa"/>
              <w:right w:w="40" w:type="dxa"/>
            </w:tcMar>
            <w:vAlign w:val="center"/>
          </w:tcPr>
          <w:p w14:paraId="153AFB3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16,987</w:t>
            </w:r>
          </w:p>
        </w:tc>
        <w:tc>
          <w:tcPr>
            <w:tcW w:w="1200" w:type="dxa"/>
            <w:tcBorders>
              <w:top w:val="single" w:sz="4" w:space="0" w:color="000000"/>
              <w:left w:val="nil"/>
              <w:bottom w:val="nil"/>
              <w:right w:val="nil"/>
              <w:tl2br w:val="nil"/>
              <w:tr2bl w:val="nil"/>
            </w:tcBorders>
            <w:tcMar>
              <w:left w:w="40" w:type="dxa"/>
              <w:right w:w="40" w:type="dxa"/>
            </w:tcMar>
            <w:vAlign w:val="center"/>
          </w:tcPr>
          <w:p w14:paraId="12C415B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0782ECA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85,506</w:t>
            </w:r>
          </w:p>
        </w:tc>
      </w:tr>
      <w:tr w:rsidR="00FD1E19" w14:paraId="0E8E88E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522B78E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Write offs</w:t>
            </w:r>
          </w:p>
        </w:tc>
        <w:tc>
          <w:tcPr>
            <w:tcW w:w="1200" w:type="dxa"/>
            <w:tcBorders>
              <w:top w:val="nil"/>
              <w:left w:val="nil"/>
              <w:bottom w:val="nil"/>
              <w:right w:val="nil"/>
              <w:tl2br w:val="nil"/>
              <w:tr2bl w:val="nil"/>
            </w:tcBorders>
            <w:tcMar>
              <w:left w:w="40" w:type="dxa"/>
              <w:right w:w="40" w:type="dxa"/>
            </w:tcMar>
            <w:vAlign w:val="center"/>
          </w:tcPr>
          <w:p w14:paraId="68C9937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-4,945</w:t>
            </w:r>
          </w:p>
        </w:tc>
        <w:tc>
          <w:tcPr>
            <w:tcW w:w="1200" w:type="dxa"/>
            <w:tcBorders>
              <w:top w:val="nil"/>
              <w:left w:val="nil"/>
              <w:bottom w:val="nil"/>
              <w:right w:val="nil"/>
              <w:tl2br w:val="nil"/>
              <w:tr2bl w:val="nil"/>
            </w:tcBorders>
            <w:tcMar>
              <w:left w:w="40" w:type="dxa"/>
              <w:right w:w="40" w:type="dxa"/>
            </w:tcMar>
            <w:vAlign w:val="center"/>
          </w:tcPr>
          <w:p w14:paraId="182A8DB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338AED9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73C959F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-4,945</w:t>
            </w:r>
          </w:p>
        </w:tc>
      </w:tr>
      <w:tr w:rsidR="00FD1E19" w14:paraId="23E71A3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0D276DD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w:t>
            </w:r>
          </w:p>
        </w:tc>
        <w:tc>
          <w:tcPr>
            <w:tcW w:w="1200" w:type="dxa"/>
            <w:tcBorders>
              <w:top w:val="nil"/>
              <w:left w:val="nil"/>
              <w:bottom w:val="nil"/>
              <w:right w:val="nil"/>
              <w:tl2br w:val="nil"/>
              <w:tr2bl w:val="nil"/>
            </w:tcBorders>
            <w:tcMar>
              <w:left w:w="40" w:type="dxa"/>
              <w:right w:w="40" w:type="dxa"/>
            </w:tcMar>
            <w:vAlign w:val="center"/>
          </w:tcPr>
          <w:p w14:paraId="3CACF1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-226,719</w:t>
            </w:r>
          </w:p>
        </w:tc>
        <w:tc>
          <w:tcPr>
            <w:tcW w:w="1200" w:type="dxa"/>
            <w:tcBorders>
              <w:top w:val="nil"/>
              <w:left w:val="nil"/>
              <w:bottom w:val="nil"/>
              <w:right w:val="nil"/>
              <w:tl2br w:val="nil"/>
              <w:tr2bl w:val="nil"/>
            </w:tcBorders>
            <w:tcMar>
              <w:left w:w="40" w:type="dxa"/>
              <w:right w:w="40" w:type="dxa"/>
            </w:tcMar>
            <w:vAlign w:val="center"/>
          </w:tcPr>
          <w:p w14:paraId="51CAB6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-141,664</w:t>
            </w:r>
          </w:p>
        </w:tc>
        <w:tc>
          <w:tcPr>
            <w:tcW w:w="1200" w:type="dxa"/>
            <w:tcBorders>
              <w:top w:val="nil"/>
              <w:left w:val="nil"/>
              <w:bottom w:val="nil"/>
              <w:right w:val="nil"/>
              <w:tl2br w:val="nil"/>
              <w:tr2bl w:val="nil"/>
            </w:tcBorders>
            <w:tcMar>
              <w:left w:w="40" w:type="dxa"/>
              <w:right w:w="40" w:type="dxa"/>
            </w:tcMar>
            <w:vAlign w:val="center"/>
          </w:tcPr>
          <w:p w14:paraId="68D72AD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21931DB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-368,383</w:t>
            </w:r>
          </w:p>
        </w:tc>
      </w:tr>
      <w:tr w:rsidR="00FD1E19" w14:paraId="0498B1E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73E5A70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4C461C8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60,352</w:t>
            </w:r>
          </w:p>
        </w:tc>
        <w:tc>
          <w:tcPr>
            <w:tcW w:w="1200" w:type="dxa"/>
            <w:tcBorders>
              <w:top w:val="nil"/>
              <w:left w:val="nil"/>
              <w:bottom w:val="single" w:sz="4" w:space="0" w:color="000000"/>
              <w:right w:val="nil"/>
              <w:tl2br w:val="nil"/>
              <w:tr2bl w:val="nil"/>
            </w:tcBorders>
            <w:tcMar>
              <w:left w:w="40" w:type="dxa"/>
              <w:right w:w="40" w:type="dxa"/>
            </w:tcMar>
            <w:vAlign w:val="center"/>
          </w:tcPr>
          <w:p w14:paraId="38C11E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16,689</w:t>
            </w:r>
          </w:p>
        </w:tc>
        <w:tc>
          <w:tcPr>
            <w:tcW w:w="1200" w:type="dxa"/>
            <w:tcBorders>
              <w:top w:val="nil"/>
              <w:left w:val="nil"/>
              <w:bottom w:val="single" w:sz="4" w:space="0" w:color="000000"/>
              <w:right w:val="nil"/>
              <w:tl2br w:val="nil"/>
              <w:tr2bl w:val="nil"/>
            </w:tcBorders>
            <w:tcMar>
              <w:left w:w="40" w:type="dxa"/>
              <w:right w:w="40" w:type="dxa"/>
            </w:tcMar>
            <w:vAlign w:val="center"/>
          </w:tcPr>
          <w:p w14:paraId="63AD2BC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05756B0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77,041</w:t>
            </w:r>
          </w:p>
        </w:tc>
      </w:tr>
      <w:tr w:rsidR="00FD1E19" w14:paraId="7072F69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70EED9F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AC as at 31 December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62DB9A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995,328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337B6C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387,349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B6C915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F11944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1,382,677</w:t>
            </w:r>
          </w:p>
        </w:tc>
      </w:tr>
      <w:tr w:rsidR="00FD1E19" w14:paraId="4CDA9D7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14:paraId="056A9D35"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661D9D18"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19208D52"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10DA2FF9" w14:textId="77777777" w:rsidR="00FD1E19" w:rsidRDefault="00FD1E19" w:rsidP="00BE7E4A">
            <w:pPr>
              <w:suppressAutoHyphens/>
              <w:rPr>
                <w:noProof/>
                <w:color w:val="000000"/>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1D6F2B3E" w14:textId="77777777" w:rsidR="00FD1E19" w:rsidRDefault="00FD1E19" w:rsidP="00BE7E4A">
            <w:pPr>
              <w:suppressAutoHyphens/>
              <w:rPr>
                <w:noProof/>
                <w:color w:val="000000"/>
                <w:lang w:eastAsia="ar-SA"/>
              </w:rPr>
            </w:pPr>
          </w:p>
        </w:tc>
      </w:tr>
      <w:tr w:rsidR="00FD1E19" w14:paraId="43852E6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79D719E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Impairment - loss allowance as at 1 January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C094D3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-32,398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BE42DE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-17,199</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BC167C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5B7495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-49,597</w:t>
            </w:r>
          </w:p>
        </w:tc>
      </w:tr>
      <w:tr w:rsidR="00FD1E19" w14:paraId="281F23A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6750F35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Net changes of the 12 month ECL </w:t>
            </w:r>
          </w:p>
        </w:tc>
        <w:tc>
          <w:tcPr>
            <w:tcW w:w="1200" w:type="dxa"/>
            <w:tcBorders>
              <w:top w:val="single" w:sz="4" w:space="0" w:color="000000"/>
              <w:left w:val="nil"/>
              <w:bottom w:val="nil"/>
              <w:right w:val="nil"/>
              <w:tl2br w:val="nil"/>
              <w:tr2bl w:val="nil"/>
            </w:tcBorders>
            <w:tcMar>
              <w:left w:w="40" w:type="dxa"/>
              <w:right w:w="40" w:type="dxa"/>
            </w:tcMar>
            <w:vAlign w:val="center"/>
          </w:tcPr>
          <w:p w14:paraId="279327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2,081</w:t>
            </w:r>
          </w:p>
        </w:tc>
        <w:tc>
          <w:tcPr>
            <w:tcW w:w="1200" w:type="dxa"/>
            <w:tcBorders>
              <w:top w:val="single" w:sz="4" w:space="0" w:color="000000"/>
              <w:left w:val="nil"/>
              <w:bottom w:val="nil"/>
              <w:right w:val="nil"/>
              <w:tl2br w:val="nil"/>
              <w:tr2bl w:val="nil"/>
            </w:tcBorders>
            <w:tcMar>
              <w:left w:w="40" w:type="dxa"/>
              <w:right w:w="40" w:type="dxa"/>
            </w:tcMar>
            <w:vAlign w:val="center"/>
          </w:tcPr>
          <w:p w14:paraId="535088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124</w:t>
            </w:r>
          </w:p>
        </w:tc>
        <w:tc>
          <w:tcPr>
            <w:tcW w:w="1200" w:type="dxa"/>
            <w:tcBorders>
              <w:top w:val="single" w:sz="4" w:space="0" w:color="000000"/>
              <w:left w:val="nil"/>
              <w:bottom w:val="nil"/>
              <w:right w:val="nil"/>
              <w:tl2br w:val="nil"/>
              <w:tr2bl w:val="nil"/>
            </w:tcBorders>
            <w:tcMar>
              <w:left w:w="40" w:type="dxa"/>
              <w:right w:w="40" w:type="dxa"/>
            </w:tcMar>
            <w:vAlign w:val="center"/>
          </w:tcPr>
          <w:p w14:paraId="539872C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1A78D20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2,205</w:t>
            </w:r>
          </w:p>
        </w:tc>
      </w:tr>
      <w:tr w:rsidR="00FD1E19" w14:paraId="7530AE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4DA86D5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changes of lifetime ECL not credit-impaired</w:t>
            </w:r>
          </w:p>
        </w:tc>
        <w:tc>
          <w:tcPr>
            <w:tcW w:w="1200" w:type="dxa"/>
            <w:tcBorders>
              <w:top w:val="nil"/>
              <w:left w:val="nil"/>
              <w:bottom w:val="nil"/>
              <w:right w:val="nil"/>
              <w:tl2br w:val="nil"/>
              <w:tr2bl w:val="nil"/>
            </w:tcBorders>
            <w:tcMar>
              <w:left w:w="40" w:type="dxa"/>
              <w:right w:w="40" w:type="dxa"/>
            </w:tcMar>
            <w:vAlign w:val="center"/>
          </w:tcPr>
          <w:p w14:paraId="5177F6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7,071</w:t>
            </w:r>
          </w:p>
        </w:tc>
        <w:tc>
          <w:tcPr>
            <w:tcW w:w="1200" w:type="dxa"/>
            <w:tcBorders>
              <w:top w:val="nil"/>
              <w:left w:val="nil"/>
              <w:bottom w:val="nil"/>
              <w:right w:val="nil"/>
              <w:tl2br w:val="nil"/>
              <w:tr2bl w:val="nil"/>
            </w:tcBorders>
            <w:tcMar>
              <w:left w:w="40" w:type="dxa"/>
              <w:right w:w="40" w:type="dxa"/>
            </w:tcMar>
            <w:vAlign w:val="center"/>
          </w:tcPr>
          <w:p w14:paraId="0243FF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5,567</w:t>
            </w:r>
          </w:p>
        </w:tc>
        <w:tc>
          <w:tcPr>
            <w:tcW w:w="1200" w:type="dxa"/>
            <w:tcBorders>
              <w:top w:val="nil"/>
              <w:left w:val="nil"/>
              <w:bottom w:val="nil"/>
              <w:right w:val="nil"/>
              <w:tl2br w:val="nil"/>
              <w:tr2bl w:val="nil"/>
            </w:tcBorders>
            <w:tcMar>
              <w:left w:w="40" w:type="dxa"/>
              <w:right w:w="40" w:type="dxa"/>
            </w:tcMar>
            <w:vAlign w:val="center"/>
          </w:tcPr>
          <w:p w14:paraId="05BCE3D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3A7D54F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12,638</w:t>
            </w:r>
          </w:p>
        </w:tc>
      </w:tr>
      <w:tr w:rsidR="00FD1E19" w14:paraId="7E9B7BA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679CC90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Lifetime ECL credit-impaired</w:t>
            </w:r>
          </w:p>
        </w:tc>
        <w:tc>
          <w:tcPr>
            <w:tcW w:w="1200" w:type="dxa"/>
            <w:tcBorders>
              <w:top w:val="nil"/>
              <w:left w:val="nil"/>
              <w:bottom w:val="nil"/>
              <w:right w:val="nil"/>
              <w:tl2br w:val="nil"/>
              <w:tr2bl w:val="nil"/>
            </w:tcBorders>
            <w:tcMar>
              <w:left w:w="40" w:type="dxa"/>
              <w:right w:w="40" w:type="dxa"/>
            </w:tcMar>
            <w:vAlign w:val="center"/>
          </w:tcPr>
          <w:p w14:paraId="04D9A7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-581</w:t>
            </w:r>
          </w:p>
        </w:tc>
        <w:tc>
          <w:tcPr>
            <w:tcW w:w="1200" w:type="dxa"/>
            <w:tcBorders>
              <w:top w:val="nil"/>
              <w:left w:val="nil"/>
              <w:bottom w:val="nil"/>
              <w:right w:val="nil"/>
              <w:tl2br w:val="nil"/>
              <w:tr2bl w:val="nil"/>
            </w:tcBorders>
            <w:tcMar>
              <w:left w:w="40" w:type="dxa"/>
              <w:right w:w="40" w:type="dxa"/>
            </w:tcMar>
            <w:vAlign w:val="center"/>
          </w:tcPr>
          <w:p w14:paraId="2CE89C7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-5,205</w:t>
            </w:r>
          </w:p>
        </w:tc>
        <w:tc>
          <w:tcPr>
            <w:tcW w:w="1200" w:type="dxa"/>
            <w:tcBorders>
              <w:top w:val="nil"/>
              <w:left w:val="nil"/>
              <w:bottom w:val="nil"/>
              <w:right w:val="nil"/>
              <w:tl2br w:val="nil"/>
              <w:tr2bl w:val="nil"/>
            </w:tcBorders>
            <w:tcMar>
              <w:left w:w="40" w:type="dxa"/>
              <w:right w:w="40" w:type="dxa"/>
            </w:tcMar>
            <w:vAlign w:val="center"/>
          </w:tcPr>
          <w:p w14:paraId="72C6750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4284E03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-5,786</w:t>
            </w:r>
          </w:p>
        </w:tc>
      </w:tr>
      <w:tr w:rsidR="00FD1E19" w14:paraId="0CBA222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2DE4447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Reversal of lifetime ECL credit-impaired </w:t>
            </w:r>
          </w:p>
        </w:tc>
        <w:tc>
          <w:tcPr>
            <w:tcW w:w="1200" w:type="dxa"/>
            <w:tcBorders>
              <w:top w:val="nil"/>
              <w:left w:val="nil"/>
              <w:bottom w:val="nil"/>
              <w:right w:val="nil"/>
              <w:tl2br w:val="nil"/>
              <w:tr2bl w:val="nil"/>
            </w:tcBorders>
            <w:tcMar>
              <w:left w:w="40" w:type="dxa"/>
              <w:right w:w="40" w:type="dxa"/>
            </w:tcMar>
            <w:vAlign w:val="center"/>
          </w:tcPr>
          <w:p w14:paraId="292327B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2,796</w:t>
            </w:r>
          </w:p>
        </w:tc>
        <w:tc>
          <w:tcPr>
            <w:tcW w:w="1200" w:type="dxa"/>
            <w:tcBorders>
              <w:top w:val="nil"/>
              <w:left w:val="nil"/>
              <w:bottom w:val="nil"/>
              <w:right w:val="nil"/>
              <w:tl2br w:val="nil"/>
              <w:tr2bl w:val="nil"/>
            </w:tcBorders>
            <w:tcMar>
              <w:left w:w="40" w:type="dxa"/>
              <w:right w:w="40" w:type="dxa"/>
            </w:tcMar>
            <w:vAlign w:val="center"/>
          </w:tcPr>
          <w:p w14:paraId="44B7E1A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292</w:t>
            </w:r>
          </w:p>
        </w:tc>
        <w:tc>
          <w:tcPr>
            <w:tcW w:w="1200" w:type="dxa"/>
            <w:tcBorders>
              <w:top w:val="nil"/>
              <w:left w:val="nil"/>
              <w:bottom w:val="nil"/>
              <w:right w:val="nil"/>
              <w:tl2br w:val="nil"/>
              <w:tr2bl w:val="nil"/>
            </w:tcBorders>
            <w:tcMar>
              <w:left w:w="40" w:type="dxa"/>
              <w:right w:w="40" w:type="dxa"/>
            </w:tcMar>
            <w:vAlign w:val="center"/>
          </w:tcPr>
          <w:p w14:paraId="5D58069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15021A5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3,088</w:t>
            </w:r>
          </w:p>
        </w:tc>
      </w:tr>
      <w:tr w:rsidR="00FD1E19" w14:paraId="3D05A65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5BBCE6C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Write offs</w:t>
            </w:r>
          </w:p>
        </w:tc>
        <w:tc>
          <w:tcPr>
            <w:tcW w:w="1200" w:type="dxa"/>
            <w:tcBorders>
              <w:top w:val="nil"/>
              <w:left w:val="nil"/>
              <w:bottom w:val="nil"/>
              <w:right w:val="nil"/>
              <w:tl2br w:val="nil"/>
              <w:tr2bl w:val="nil"/>
            </w:tcBorders>
            <w:tcMar>
              <w:left w:w="40" w:type="dxa"/>
              <w:right w:w="40" w:type="dxa"/>
            </w:tcMar>
            <w:vAlign w:val="center"/>
          </w:tcPr>
          <w:p w14:paraId="78EDDAA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4,945</w:t>
            </w:r>
          </w:p>
        </w:tc>
        <w:tc>
          <w:tcPr>
            <w:tcW w:w="1200" w:type="dxa"/>
            <w:tcBorders>
              <w:top w:val="nil"/>
              <w:left w:val="nil"/>
              <w:bottom w:val="nil"/>
              <w:right w:val="nil"/>
              <w:tl2br w:val="nil"/>
              <w:tr2bl w:val="nil"/>
            </w:tcBorders>
            <w:tcMar>
              <w:left w:w="40" w:type="dxa"/>
              <w:right w:w="40" w:type="dxa"/>
            </w:tcMar>
            <w:vAlign w:val="center"/>
          </w:tcPr>
          <w:p w14:paraId="57EAE0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8BE52D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87DCBF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4,945</w:t>
            </w:r>
          </w:p>
        </w:tc>
      </w:tr>
      <w:tr w:rsidR="00FD1E19" w14:paraId="542E76F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1CCBC7A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50B810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-1,300</w:t>
            </w:r>
          </w:p>
        </w:tc>
        <w:tc>
          <w:tcPr>
            <w:tcW w:w="1200" w:type="dxa"/>
            <w:tcBorders>
              <w:top w:val="nil"/>
              <w:left w:val="nil"/>
              <w:bottom w:val="single" w:sz="4" w:space="0" w:color="000000"/>
              <w:right w:val="nil"/>
              <w:tl2br w:val="nil"/>
              <w:tr2bl w:val="nil"/>
            </w:tcBorders>
            <w:tcMar>
              <w:left w:w="40" w:type="dxa"/>
              <w:right w:w="40" w:type="dxa"/>
            </w:tcMar>
            <w:vAlign w:val="center"/>
          </w:tcPr>
          <w:p w14:paraId="4068E02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-704</w:t>
            </w:r>
          </w:p>
        </w:tc>
        <w:tc>
          <w:tcPr>
            <w:tcW w:w="1200" w:type="dxa"/>
            <w:tcBorders>
              <w:top w:val="nil"/>
              <w:left w:val="nil"/>
              <w:bottom w:val="single" w:sz="4" w:space="0" w:color="000000"/>
              <w:right w:val="nil"/>
              <w:tl2br w:val="nil"/>
              <w:tr2bl w:val="nil"/>
            </w:tcBorders>
            <w:tcMar>
              <w:left w:w="40" w:type="dxa"/>
              <w:right w:w="40" w:type="dxa"/>
            </w:tcMar>
            <w:vAlign w:val="center"/>
          </w:tcPr>
          <w:p w14:paraId="126C696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6413519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-2,004</w:t>
            </w:r>
          </w:p>
        </w:tc>
      </w:tr>
      <w:tr w:rsidR="00FD1E19" w14:paraId="2B046FF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1596721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Impairment - loss allowance as at 31 December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7A2C09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-17,386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9C2D5C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-17,125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28F9E8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AC1E1E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-34,511</w:t>
            </w:r>
          </w:p>
        </w:tc>
      </w:tr>
      <w:tr w:rsidR="00FD1E19" w14:paraId="1CECC93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14:paraId="6447A1FB"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2B1DF8D2"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37DF5393"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0D960C97"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506DBCB2" w14:textId="77777777" w:rsidR="00FD1E19" w:rsidRDefault="00FD1E19" w:rsidP="00BE7E4A">
            <w:pPr>
              <w:suppressAutoHyphens/>
              <w:rPr>
                <w:rFonts w:ascii="Arial" w:eastAsia="Arial" w:hAnsi="Arial" w:cs="Arial"/>
                <w:b/>
                <w:noProof/>
                <w:color w:val="000000"/>
                <w:sz w:val="16"/>
                <w:lang w:eastAsia="ar-SA"/>
              </w:rPr>
            </w:pPr>
          </w:p>
        </w:tc>
      </w:tr>
      <w:tr w:rsidR="00FD1E19" w14:paraId="74F453D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4C4C4"/>
            <w:tcMar>
              <w:left w:w="40" w:type="dxa"/>
              <w:right w:w="40" w:type="dxa"/>
            </w:tcMar>
            <w:vAlign w:val="center"/>
          </w:tcPr>
          <w:p w14:paraId="42F0009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AC as at 31 December 2024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0C52C6B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977,942</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5E9E46F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370,224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7915BF4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52572A0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1,348,166</w:t>
            </w:r>
          </w:p>
        </w:tc>
      </w:tr>
      <w:tr w:rsidR="00FD1E19" w14:paraId="73A9A22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0" w:type="dxa"/>
              <w:right w:w="0" w:type="dxa"/>
            </w:tcMar>
            <w:vAlign w:val="center"/>
          </w:tcPr>
          <w:p w14:paraId="5C413E43"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4DFE848E"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38300ADC"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261D7A82"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nil"/>
              <w:left w:val="nil"/>
              <w:bottom w:val="single" w:sz="4" w:space="0" w:color="000000"/>
              <w:right w:val="nil"/>
              <w:tl2br w:val="nil"/>
              <w:tr2bl w:val="nil"/>
            </w:tcBorders>
            <w:tcMar>
              <w:left w:w="0" w:type="dxa"/>
              <w:right w:w="0" w:type="dxa"/>
            </w:tcMar>
            <w:vAlign w:val="center"/>
          </w:tcPr>
          <w:p w14:paraId="53F185DF" w14:textId="77777777" w:rsidR="00FD1E19" w:rsidRDefault="00FD1E19" w:rsidP="00BE7E4A">
            <w:pPr>
              <w:suppressAutoHyphens/>
              <w:jc w:val="right"/>
              <w:rPr>
                <w:rFonts w:ascii="Arial" w:eastAsia="Arial" w:hAnsi="Arial" w:cs="Arial"/>
                <w:noProof/>
                <w:color w:val="000000"/>
                <w:sz w:val="16"/>
                <w:lang w:eastAsia="ar-SA"/>
              </w:rPr>
            </w:pPr>
          </w:p>
        </w:tc>
      </w:tr>
      <w:tr w:rsidR="00FD1E19" w14:paraId="39F5728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4DBE08A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FVTPL as at 1 January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E5EFD4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D2699D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106,576</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CE927F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70,453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7AF44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178,109</w:t>
            </w:r>
          </w:p>
        </w:tc>
      </w:tr>
      <w:tr w:rsidR="00FD1E19" w14:paraId="48601F8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1838554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200" w:type="dxa"/>
            <w:tcBorders>
              <w:top w:val="single" w:sz="4" w:space="0" w:color="000000"/>
              <w:left w:val="nil"/>
              <w:bottom w:val="nil"/>
              <w:right w:val="nil"/>
              <w:tl2br w:val="nil"/>
              <w:tr2bl w:val="nil"/>
            </w:tcBorders>
            <w:tcMar>
              <w:left w:w="40" w:type="dxa"/>
              <w:right w:w="40" w:type="dxa"/>
            </w:tcMar>
            <w:vAlign w:val="center"/>
          </w:tcPr>
          <w:p w14:paraId="442B63C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4F9F6F8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7,851</w:t>
            </w:r>
          </w:p>
        </w:tc>
        <w:tc>
          <w:tcPr>
            <w:tcW w:w="1200" w:type="dxa"/>
            <w:tcBorders>
              <w:top w:val="single" w:sz="4" w:space="0" w:color="000000"/>
              <w:left w:val="nil"/>
              <w:bottom w:val="nil"/>
              <w:right w:val="nil"/>
              <w:tl2br w:val="nil"/>
              <w:tr2bl w:val="nil"/>
            </w:tcBorders>
            <w:tcMar>
              <w:left w:w="40" w:type="dxa"/>
              <w:right w:w="40" w:type="dxa"/>
            </w:tcMar>
            <w:vAlign w:val="center"/>
          </w:tcPr>
          <w:p w14:paraId="32859A2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8,037</w:t>
            </w:r>
          </w:p>
        </w:tc>
        <w:tc>
          <w:tcPr>
            <w:tcW w:w="1200" w:type="dxa"/>
            <w:tcBorders>
              <w:top w:val="single" w:sz="4" w:space="0" w:color="000000"/>
              <w:left w:val="nil"/>
              <w:bottom w:val="nil"/>
              <w:right w:val="nil"/>
              <w:tl2br w:val="nil"/>
              <w:tr2bl w:val="nil"/>
            </w:tcBorders>
            <w:tcMar>
              <w:left w:w="40" w:type="dxa"/>
              <w:right w:w="40" w:type="dxa"/>
            </w:tcMar>
            <w:vAlign w:val="center"/>
          </w:tcPr>
          <w:p w14:paraId="4A76BDE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15,888</w:t>
            </w:r>
          </w:p>
        </w:tc>
      </w:tr>
      <w:tr w:rsidR="00FD1E19" w14:paraId="4351D8B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2AA7863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capitalised</w:t>
            </w:r>
          </w:p>
        </w:tc>
        <w:tc>
          <w:tcPr>
            <w:tcW w:w="1200" w:type="dxa"/>
            <w:tcBorders>
              <w:top w:val="nil"/>
              <w:left w:val="nil"/>
              <w:bottom w:val="nil"/>
              <w:right w:val="nil"/>
              <w:tl2br w:val="nil"/>
              <w:tr2bl w:val="nil"/>
            </w:tcBorders>
            <w:tcMar>
              <w:left w:w="40" w:type="dxa"/>
              <w:right w:w="40" w:type="dxa"/>
            </w:tcMar>
            <w:vAlign w:val="center"/>
          </w:tcPr>
          <w:p w14:paraId="77D4E0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3CC66C2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1,675</w:t>
            </w:r>
          </w:p>
        </w:tc>
        <w:tc>
          <w:tcPr>
            <w:tcW w:w="1200" w:type="dxa"/>
            <w:tcBorders>
              <w:top w:val="nil"/>
              <w:left w:val="nil"/>
              <w:bottom w:val="nil"/>
              <w:right w:val="nil"/>
              <w:tl2br w:val="nil"/>
              <w:tr2bl w:val="nil"/>
            </w:tcBorders>
            <w:tcMar>
              <w:left w:w="40" w:type="dxa"/>
              <w:right w:w="40" w:type="dxa"/>
            </w:tcMar>
            <w:vAlign w:val="center"/>
          </w:tcPr>
          <w:p w14:paraId="232FA5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568</w:t>
            </w:r>
          </w:p>
        </w:tc>
        <w:tc>
          <w:tcPr>
            <w:tcW w:w="1200" w:type="dxa"/>
            <w:tcBorders>
              <w:top w:val="nil"/>
              <w:left w:val="nil"/>
              <w:bottom w:val="nil"/>
              <w:right w:val="nil"/>
              <w:tl2br w:val="nil"/>
              <w:tr2bl w:val="nil"/>
            </w:tcBorders>
            <w:tcMar>
              <w:left w:w="40" w:type="dxa"/>
              <w:right w:w="40" w:type="dxa"/>
            </w:tcMar>
            <w:vAlign w:val="center"/>
          </w:tcPr>
          <w:p w14:paraId="75E0921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2,243</w:t>
            </w:r>
          </w:p>
        </w:tc>
      </w:tr>
      <w:tr w:rsidR="00FD1E19" w14:paraId="4466A2E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35F3ECA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w:t>
            </w:r>
          </w:p>
        </w:tc>
        <w:tc>
          <w:tcPr>
            <w:tcW w:w="1200" w:type="dxa"/>
            <w:tcBorders>
              <w:top w:val="nil"/>
              <w:left w:val="nil"/>
              <w:bottom w:val="nil"/>
              <w:right w:val="nil"/>
              <w:tl2br w:val="nil"/>
              <w:tr2bl w:val="nil"/>
            </w:tcBorders>
            <w:tcMar>
              <w:left w:w="40" w:type="dxa"/>
              <w:right w:w="40" w:type="dxa"/>
            </w:tcMar>
            <w:vAlign w:val="center"/>
          </w:tcPr>
          <w:p w14:paraId="69C9918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74E125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-3,185</w:t>
            </w:r>
          </w:p>
        </w:tc>
        <w:tc>
          <w:tcPr>
            <w:tcW w:w="1200" w:type="dxa"/>
            <w:tcBorders>
              <w:top w:val="nil"/>
              <w:left w:val="nil"/>
              <w:bottom w:val="nil"/>
              <w:right w:val="nil"/>
              <w:tl2br w:val="nil"/>
              <w:tr2bl w:val="nil"/>
            </w:tcBorders>
            <w:tcMar>
              <w:left w:w="40" w:type="dxa"/>
              <w:right w:w="40" w:type="dxa"/>
            </w:tcMar>
            <w:vAlign w:val="center"/>
          </w:tcPr>
          <w:p w14:paraId="7C6FA08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616D97D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-3,185</w:t>
            </w:r>
          </w:p>
        </w:tc>
      </w:tr>
      <w:tr w:rsidR="00FD1E19" w14:paraId="680C132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3084D15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726094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7E3D63F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3,771</w:t>
            </w:r>
          </w:p>
        </w:tc>
        <w:tc>
          <w:tcPr>
            <w:tcW w:w="1200" w:type="dxa"/>
            <w:tcBorders>
              <w:top w:val="nil"/>
              <w:left w:val="nil"/>
              <w:bottom w:val="single" w:sz="4" w:space="0" w:color="000000"/>
              <w:right w:val="nil"/>
              <w:tl2br w:val="nil"/>
              <w:tr2bl w:val="nil"/>
            </w:tcBorders>
            <w:tcMar>
              <w:left w:w="40" w:type="dxa"/>
              <w:right w:w="40" w:type="dxa"/>
            </w:tcMar>
            <w:vAlign w:val="center"/>
          </w:tcPr>
          <w:p w14:paraId="1431EDB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562</w:t>
            </w:r>
          </w:p>
        </w:tc>
        <w:tc>
          <w:tcPr>
            <w:tcW w:w="1200" w:type="dxa"/>
            <w:tcBorders>
              <w:top w:val="nil"/>
              <w:left w:val="nil"/>
              <w:bottom w:val="single" w:sz="4" w:space="0" w:color="000000"/>
              <w:right w:val="nil"/>
              <w:tl2br w:val="nil"/>
              <w:tr2bl w:val="nil"/>
            </w:tcBorders>
            <w:tcMar>
              <w:left w:w="40" w:type="dxa"/>
              <w:right w:w="40" w:type="dxa"/>
            </w:tcMar>
            <w:vAlign w:val="center"/>
          </w:tcPr>
          <w:p w14:paraId="5A78D18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4,333</w:t>
            </w:r>
          </w:p>
        </w:tc>
      </w:tr>
      <w:tr w:rsidR="00FD1E19" w14:paraId="33BBB4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3247552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Nominal of loans at FVTPL as at 31 December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759968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94D688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116,688</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9AEF1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79,620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760B2E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197,388</w:t>
            </w:r>
          </w:p>
        </w:tc>
      </w:tr>
      <w:tr w:rsidR="00FD1E19" w14:paraId="3A3E72D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0" w:type="dxa"/>
              <w:right w:w="0" w:type="dxa"/>
            </w:tcMar>
            <w:vAlign w:val="center"/>
          </w:tcPr>
          <w:p w14:paraId="4308DDB5"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462E339B"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757EACC1"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17B65416"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single" w:sz="4" w:space="0" w:color="000000"/>
              <w:right w:val="nil"/>
              <w:tl2br w:val="nil"/>
              <w:tr2bl w:val="nil"/>
            </w:tcBorders>
            <w:tcMar>
              <w:left w:w="0" w:type="dxa"/>
              <w:right w:w="0" w:type="dxa"/>
            </w:tcMar>
            <w:vAlign w:val="center"/>
          </w:tcPr>
          <w:p w14:paraId="48C4A017" w14:textId="77777777" w:rsidR="00FD1E19" w:rsidRDefault="00FD1E19" w:rsidP="00BE7E4A">
            <w:pPr>
              <w:suppressAutoHyphens/>
              <w:rPr>
                <w:rFonts w:ascii="Arial" w:eastAsia="Arial" w:hAnsi="Arial" w:cs="Arial"/>
                <w:noProof/>
                <w:color w:val="000000"/>
                <w:sz w:val="16"/>
                <w:lang w:eastAsia="ar-SA"/>
              </w:rPr>
            </w:pPr>
          </w:p>
        </w:tc>
      </w:tr>
      <w:tr w:rsidR="00FD1E19" w14:paraId="6C0506D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08C9605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Fair value adjustment as at 1 January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0813A6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8AA4A9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-34,983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67FDA15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-17,723</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082419F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-53,786</w:t>
            </w:r>
          </w:p>
        </w:tc>
      </w:tr>
      <w:tr w:rsidR="00FD1E19" w14:paraId="6CD799B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40" w:type="dxa"/>
              <w:right w:w="40" w:type="dxa"/>
            </w:tcMar>
            <w:vAlign w:val="center"/>
          </w:tcPr>
          <w:p w14:paraId="17E599A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FV change</w:t>
            </w:r>
          </w:p>
        </w:tc>
        <w:tc>
          <w:tcPr>
            <w:tcW w:w="1200" w:type="dxa"/>
            <w:tcBorders>
              <w:top w:val="single" w:sz="4" w:space="0" w:color="000000"/>
              <w:left w:val="nil"/>
              <w:bottom w:val="nil"/>
              <w:right w:val="nil"/>
              <w:tl2br w:val="nil"/>
              <w:tr2bl w:val="nil"/>
            </w:tcBorders>
            <w:tcMar>
              <w:left w:w="40" w:type="dxa"/>
              <w:right w:w="40" w:type="dxa"/>
            </w:tcMar>
            <w:vAlign w:val="center"/>
          </w:tcPr>
          <w:p w14:paraId="5E44E3F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single" w:sz="4" w:space="0" w:color="000000"/>
              <w:left w:val="nil"/>
              <w:bottom w:val="nil"/>
              <w:right w:val="nil"/>
              <w:tl2br w:val="nil"/>
              <w:tr2bl w:val="nil"/>
            </w:tcBorders>
            <w:tcMar>
              <w:left w:w="40" w:type="dxa"/>
              <w:right w:w="40" w:type="dxa"/>
            </w:tcMar>
            <w:vAlign w:val="center"/>
          </w:tcPr>
          <w:p w14:paraId="13E9CF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1,724</w:t>
            </w:r>
          </w:p>
        </w:tc>
        <w:tc>
          <w:tcPr>
            <w:tcW w:w="1200" w:type="dxa"/>
            <w:tcBorders>
              <w:top w:val="single" w:sz="4" w:space="0" w:color="000000"/>
              <w:left w:val="nil"/>
              <w:bottom w:val="nil"/>
              <w:right w:val="nil"/>
              <w:tl2br w:val="nil"/>
              <w:tr2bl w:val="nil"/>
            </w:tcBorders>
            <w:tcMar>
              <w:left w:w="40" w:type="dxa"/>
              <w:right w:w="40" w:type="dxa"/>
            </w:tcMar>
            <w:vAlign w:val="center"/>
          </w:tcPr>
          <w:p w14:paraId="0BC17C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-7,160</w:t>
            </w:r>
          </w:p>
        </w:tc>
        <w:tc>
          <w:tcPr>
            <w:tcW w:w="1200" w:type="dxa"/>
            <w:tcBorders>
              <w:top w:val="single" w:sz="4" w:space="0" w:color="000000"/>
              <w:left w:val="nil"/>
              <w:bottom w:val="nil"/>
              <w:right w:val="nil"/>
              <w:tl2br w:val="nil"/>
              <w:tr2bl w:val="nil"/>
            </w:tcBorders>
            <w:tcMar>
              <w:left w:w="40" w:type="dxa"/>
              <w:right w:w="40" w:type="dxa"/>
            </w:tcMar>
            <w:vAlign w:val="center"/>
          </w:tcPr>
          <w:p w14:paraId="18DCE20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-5,436</w:t>
            </w:r>
          </w:p>
        </w:tc>
      </w:tr>
      <w:tr w:rsidR="00FD1E19" w14:paraId="6B1B3E1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single" w:sz="4" w:space="0" w:color="000000"/>
              <w:right w:val="nil"/>
              <w:tl2br w:val="nil"/>
              <w:tr2bl w:val="nil"/>
            </w:tcBorders>
            <w:tcMar>
              <w:left w:w="40" w:type="dxa"/>
              <w:right w:w="40" w:type="dxa"/>
            </w:tcMar>
            <w:vAlign w:val="center"/>
          </w:tcPr>
          <w:p w14:paraId="2631727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200" w:type="dxa"/>
            <w:tcBorders>
              <w:top w:val="nil"/>
              <w:left w:val="nil"/>
              <w:bottom w:val="single" w:sz="4" w:space="0" w:color="000000"/>
              <w:right w:val="nil"/>
              <w:tl2br w:val="nil"/>
              <w:tr2bl w:val="nil"/>
            </w:tcBorders>
            <w:tcMar>
              <w:left w:w="40" w:type="dxa"/>
              <w:right w:w="40" w:type="dxa"/>
            </w:tcMar>
            <w:vAlign w:val="center"/>
          </w:tcPr>
          <w:p w14:paraId="5200859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single" w:sz="4" w:space="0" w:color="000000"/>
              <w:right w:val="nil"/>
              <w:tl2br w:val="nil"/>
              <w:tr2bl w:val="nil"/>
            </w:tcBorders>
            <w:tcMar>
              <w:left w:w="40" w:type="dxa"/>
              <w:right w:w="40" w:type="dxa"/>
            </w:tcMar>
            <w:vAlign w:val="center"/>
          </w:tcPr>
          <w:p w14:paraId="791297B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-1,136</w:t>
            </w:r>
          </w:p>
        </w:tc>
        <w:tc>
          <w:tcPr>
            <w:tcW w:w="1200" w:type="dxa"/>
            <w:tcBorders>
              <w:top w:val="nil"/>
              <w:left w:val="nil"/>
              <w:bottom w:val="single" w:sz="4" w:space="0" w:color="000000"/>
              <w:right w:val="nil"/>
              <w:tl2br w:val="nil"/>
              <w:tr2bl w:val="nil"/>
            </w:tcBorders>
            <w:tcMar>
              <w:left w:w="40" w:type="dxa"/>
              <w:right w:w="40" w:type="dxa"/>
            </w:tcMar>
            <w:vAlign w:val="center"/>
          </w:tcPr>
          <w:p w14:paraId="59537D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-47</w:t>
            </w:r>
          </w:p>
        </w:tc>
        <w:tc>
          <w:tcPr>
            <w:tcW w:w="1200" w:type="dxa"/>
            <w:tcBorders>
              <w:top w:val="nil"/>
              <w:left w:val="nil"/>
              <w:bottom w:val="single" w:sz="4" w:space="0" w:color="000000"/>
              <w:right w:val="nil"/>
              <w:tl2br w:val="nil"/>
              <w:tr2bl w:val="nil"/>
            </w:tcBorders>
            <w:tcMar>
              <w:left w:w="40" w:type="dxa"/>
              <w:right w:w="40" w:type="dxa"/>
            </w:tcMar>
            <w:vAlign w:val="center"/>
          </w:tcPr>
          <w:p w14:paraId="72F639F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-1,183</w:t>
            </w:r>
          </w:p>
        </w:tc>
      </w:tr>
      <w:tr w:rsidR="00FD1E19" w14:paraId="4186F16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single" w:sz="4" w:space="0" w:color="000000"/>
              <w:right w:val="nil"/>
              <w:tl2br w:val="nil"/>
              <w:tr2bl w:val="nil"/>
            </w:tcBorders>
            <w:tcMar>
              <w:left w:w="40" w:type="dxa"/>
              <w:right w:w="40" w:type="dxa"/>
            </w:tcMar>
            <w:vAlign w:val="center"/>
          </w:tcPr>
          <w:p w14:paraId="0F2974B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Fair value adjustment as at 31 December 2024</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446E3B4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-1,080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53E628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-34,395</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3FAAD36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-24,930</w:t>
            </w:r>
          </w:p>
        </w:tc>
        <w:tc>
          <w:tcPr>
            <w:tcW w:w="1200" w:type="dxa"/>
            <w:tcBorders>
              <w:top w:val="single" w:sz="4" w:space="0" w:color="000000"/>
              <w:left w:val="nil"/>
              <w:bottom w:val="single" w:sz="4" w:space="0" w:color="000000"/>
              <w:right w:val="nil"/>
              <w:tl2br w:val="nil"/>
              <w:tr2bl w:val="nil"/>
            </w:tcBorders>
            <w:tcMar>
              <w:left w:w="40" w:type="dxa"/>
              <w:right w:w="40" w:type="dxa"/>
            </w:tcMar>
            <w:vAlign w:val="center"/>
          </w:tcPr>
          <w:p w14:paraId="177D6B3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-60,405</w:t>
            </w:r>
          </w:p>
        </w:tc>
      </w:tr>
      <w:tr w:rsidR="00FD1E19" w14:paraId="331C07D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single" w:sz="4" w:space="0" w:color="000000"/>
              <w:left w:val="nil"/>
              <w:bottom w:val="nil"/>
              <w:right w:val="nil"/>
              <w:tl2br w:val="nil"/>
              <w:tr2bl w:val="nil"/>
            </w:tcBorders>
            <w:tcMar>
              <w:left w:w="0" w:type="dxa"/>
              <w:right w:w="0" w:type="dxa"/>
            </w:tcMar>
            <w:vAlign w:val="center"/>
          </w:tcPr>
          <w:p w14:paraId="70E8B145" w14:textId="77777777" w:rsidR="00FD1E19" w:rsidRDefault="00FD1E19" w:rsidP="00BE7E4A">
            <w:pPr>
              <w:suppressAutoHyphens/>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29E599A1"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68438F2D"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02D89B73" w14:textId="77777777" w:rsidR="00FD1E19" w:rsidRDefault="00FD1E19" w:rsidP="00BE7E4A">
            <w:pPr>
              <w:suppressAutoHyphens/>
              <w:jc w:val="right"/>
              <w:rPr>
                <w:rFonts w:ascii="Arial" w:eastAsia="Arial" w:hAnsi="Arial" w:cs="Arial"/>
                <w:noProof/>
                <w:color w:val="000000"/>
                <w:sz w:val="16"/>
                <w:lang w:eastAsia="ar-SA"/>
              </w:rPr>
            </w:pPr>
          </w:p>
        </w:tc>
        <w:tc>
          <w:tcPr>
            <w:tcW w:w="1200" w:type="dxa"/>
            <w:tcBorders>
              <w:top w:val="single" w:sz="4" w:space="0" w:color="000000"/>
              <w:left w:val="nil"/>
              <w:bottom w:val="nil"/>
              <w:right w:val="nil"/>
              <w:tl2br w:val="nil"/>
              <w:tr2bl w:val="nil"/>
            </w:tcBorders>
            <w:tcMar>
              <w:left w:w="0" w:type="dxa"/>
              <w:right w:w="0" w:type="dxa"/>
            </w:tcMar>
            <w:vAlign w:val="center"/>
          </w:tcPr>
          <w:p w14:paraId="4AD0460C" w14:textId="77777777" w:rsidR="00FD1E19" w:rsidRDefault="00FD1E19" w:rsidP="00BE7E4A">
            <w:pPr>
              <w:suppressAutoHyphens/>
              <w:jc w:val="right"/>
              <w:rPr>
                <w:rFonts w:ascii="Arial" w:eastAsia="Arial" w:hAnsi="Arial" w:cs="Arial"/>
                <w:noProof/>
                <w:color w:val="000000"/>
                <w:sz w:val="16"/>
                <w:lang w:eastAsia="ar-SA"/>
              </w:rPr>
            </w:pPr>
          </w:p>
        </w:tc>
      </w:tr>
      <w:tr w:rsidR="00FD1E19" w14:paraId="1ABEB3E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4C4C4"/>
            <w:tcMar>
              <w:left w:w="40" w:type="dxa"/>
              <w:right w:w="40" w:type="dxa"/>
            </w:tcMar>
            <w:vAlign w:val="center"/>
          </w:tcPr>
          <w:p w14:paraId="5565868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FVTPL as at 31 December 2024</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32E7484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6DCBC39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82,293</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3D1AAFB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54,690</w:t>
            </w:r>
          </w:p>
        </w:tc>
        <w:tc>
          <w:tcPr>
            <w:tcW w:w="1200" w:type="dxa"/>
            <w:tcBorders>
              <w:top w:val="nil"/>
              <w:left w:val="nil"/>
              <w:bottom w:val="nil"/>
              <w:right w:val="nil"/>
              <w:tl2br w:val="nil"/>
              <w:tr2bl w:val="nil"/>
            </w:tcBorders>
            <w:shd w:val="clear" w:color="FFFFFF" w:fill="C4C4C4"/>
            <w:tcMar>
              <w:left w:w="40" w:type="dxa"/>
              <w:right w:w="40" w:type="dxa"/>
            </w:tcMar>
            <w:vAlign w:val="center"/>
          </w:tcPr>
          <w:p w14:paraId="43D3430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136,983</w:t>
            </w:r>
          </w:p>
        </w:tc>
      </w:tr>
      <w:tr w:rsidR="00FD1E19" w14:paraId="688C4B7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2107F79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Amortised Cost</w:t>
            </w:r>
          </w:p>
        </w:tc>
        <w:tc>
          <w:tcPr>
            <w:tcW w:w="1200" w:type="dxa"/>
            <w:tcBorders>
              <w:top w:val="nil"/>
              <w:left w:val="nil"/>
              <w:bottom w:val="nil"/>
              <w:right w:val="nil"/>
              <w:tl2br w:val="nil"/>
              <w:tr2bl w:val="nil"/>
            </w:tcBorders>
            <w:tcMar>
              <w:left w:w="40" w:type="dxa"/>
              <w:right w:w="40" w:type="dxa"/>
            </w:tcMar>
            <w:vAlign w:val="center"/>
          </w:tcPr>
          <w:p w14:paraId="49B2137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-3,079</w:t>
            </w:r>
          </w:p>
        </w:tc>
        <w:tc>
          <w:tcPr>
            <w:tcW w:w="1200" w:type="dxa"/>
            <w:tcBorders>
              <w:top w:val="nil"/>
              <w:left w:val="nil"/>
              <w:bottom w:val="nil"/>
              <w:right w:val="nil"/>
              <w:tl2br w:val="nil"/>
              <w:tr2bl w:val="nil"/>
            </w:tcBorders>
            <w:tcMar>
              <w:left w:w="40" w:type="dxa"/>
              <w:right w:w="40" w:type="dxa"/>
            </w:tcMar>
            <w:vAlign w:val="center"/>
          </w:tcPr>
          <w:p w14:paraId="4FA11A7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-3,681</w:t>
            </w:r>
          </w:p>
        </w:tc>
        <w:tc>
          <w:tcPr>
            <w:tcW w:w="1200" w:type="dxa"/>
            <w:tcBorders>
              <w:top w:val="nil"/>
              <w:left w:val="nil"/>
              <w:bottom w:val="nil"/>
              <w:right w:val="nil"/>
              <w:tl2br w:val="nil"/>
              <w:tr2bl w:val="nil"/>
            </w:tcBorders>
            <w:tcMar>
              <w:left w:w="40" w:type="dxa"/>
              <w:right w:w="40" w:type="dxa"/>
            </w:tcMar>
            <w:vAlign w:val="center"/>
          </w:tcPr>
          <w:p w14:paraId="7280179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200" w:type="dxa"/>
            <w:tcBorders>
              <w:top w:val="nil"/>
              <w:left w:val="nil"/>
              <w:bottom w:val="nil"/>
              <w:right w:val="nil"/>
              <w:tl2br w:val="nil"/>
              <w:tr2bl w:val="nil"/>
            </w:tcBorders>
            <w:tcMar>
              <w:left w:w="40" w:type="dxa"/>
              <w:right w:w="40" w:type="dxa"/>
            </w:tcMar>
            <w:vAlign w:val="center"/>
          </w:tcPr>
          <w:p w14:paraId="37162B6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-6,760</w:t>
            </w:r>
          </w:p>
        </w:tc>
      </w:tr>
      <w:tr w:rsidR="00FD1E19" w14:paraId="5FCE233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6937D26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w:t>
            </w:r>
          </w:p>
        </w:tc>
        <w:tc>
          <w:tcPr>
            <w:tcW w:w="1200" w:type="dxa"/>
            <w:tcBorders>
              <w:top w:val="nil"/>
              <w:left w:val="nil"/>
              <w:bottom w:val="nil"/>
              <w:right w:val="nil"/>
              <w:tl2br w:val="nil"/>
              <w:tr2bl w:val="nil"/>
            </w:tcBorders>
            <w:tcMar>
              <w:left w:w="40" w:type="dxa"/>
              <w:right w:w="40" w:type="dxa"/>
            </w:tcMar>
            <w:vAlign w:val="center"/>
          </w:tcPr>
          <w:p w14:paraId="1D9049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10,766</w:t>
            </w:r>
          </w:p>
        </w:tc>
        <w:tc>
          <w:tcPr>
            <w:tcW w:w="1200" w:type="dxa"/>
            <w:tcBorders>
              <w:top w:val="nil"/>
              <w:left w:val="nil"/>
              <w:bottom w:val="nil"/>
              <w:right w:val="nil"/>
              <w:tl2br w:val="nil"/>
              <w:tr2bl w:val="nil"/>
            </w:tcBorders>
            <w:tcMar>
              <w:left w:w="40" w:type="dxa"/>
              <w:right w:w="40" w:type="dxa"/>
            </w:tcMar>
            <w:vAlign w:val="center"/>
          </w:tcPr>
          <w:p w14:paraId="4371215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8,429</w:t>
            </w:r>
          </w:p>
        </w:tc>
        <w:tc>
          <w:tcPr>
            <w:tcW w:w="1200" w:type="dxa"/>
            <w:tcBorders>
              <w:top w:val="nil"/>
              <w:left w:val="nil"/>
              <w:bottom w:val="nil"/>
              <w:right w:val="nil"/>
              <w:tl2br w:val="nil"/>
              <w:tr2bl w:val="nil"/>
            </w:tcBorders>
            <w:tcMar>
              <w:left w:w="40" w:type="dxa"/>
              <w:right w:w="40" w:type="dxa"/>
            </w:tcMar>
            <w:vAlign w:val="center"/>
          </w:tcPr>
          <w:p w14:paraId="6619572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464</w:t>
            </w:r>
          </w:p>
        </w:tc>
        <w:tc>
          <w:tcPr>
            <w:tcW w:w="1200" w:type="dxa"/>
            <w:tcBorders>
              <w:top w:val="nil"/>
              <w:left w:val="nil"/>
              <w:bottom w:val="nil"/>
              <w:right w:val="nil"/>
              <w:tl2br w:val="nil"/>
              <w:tr2bl w:val="nil"/>
            </w:tcBorders>
            <w:tcMar>
              <w:left w:w="40" w:type="dxa"/>
              <w:right w:w="40" w:type="dxa"/>
            </w:tcMar>
            <w:vAlign w:val="center"/>
          </w:tcPr>
          <w:p w14:paraId="75307A3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19,659</w:t>
            </w:r>
          </w:p>
        </w:tc>
      </w:tr>
      <w:tr w:rsidR="00FD1E19" w14:paraId="3C573B3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shd w:val="clear" w:color="FFFFFF" w:fill="C0C0C0"/>
            <w:tcMar>
              <w:left w:w="40" w:type="dxa"/>
              <w:right w:w="40" w:type="dxa"/>
            </w:tcMar>
            <w:vAlign w:val="center"/>
          </w:tcPr>
          <w:p w14:paraId="0228EF1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as at 31 December 2024</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7768E22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985,629</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0DB7DC3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457,265</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6188EF3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55,154</w:t>
            </w:r>
          </w:p>
        </w:tc>
        <w:tc>
          <w:tcPr>
            <w:tcW w:w="1200" w:type="dxa"/>
            <w:tcBorders>
              <w:top w:val="nil"/>
              <w:left w:val="nil"/>
              <w:bottom w:val="nil"/>
              <w:right w:val="nil"/>
              <w:tl2br w:val="nil"/>
              <w:tr2bl w:val="nil"/>
            </w:tcBorders>
            <w:shd w:val="clear" w:color="FFFFFF" w:fill="C0C0C0"/>
            <w:tcMar>
              <w:left w:w="40" w:type="dxa"/>
              <w:right w:w="40" w:type="dxa"/>
            </w:tcMar>
            <w:vAlign w:val="center"/>
          </w:tcPr>
          <w:p w14:paraId="5D4F0A9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1,498,048</w:t>
            </w:r>
          </w:p>
        </w:tc>
      </w:tr>
      <w:tr w:rsidR="00FD1E19" w14:paraId="514914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5100" w:type="dxa"/>
            <w:tcBorders>
              <w:top w:val="nil"/>
              <w:left w:val="nil"/>
              <w:bottom w:val="nil"/>
              <w:right w:val="nil"/>
              <w:tl2br w:val="nil"/>
              <w:tr2bl w:val="nil"/>
            </w:tcBorders>
            <w:tcMar>
              <w:left w:w="40" w:type="dxa"/>
              <w:right w:w="40" w:type="dxa"/>
            </w:tcMar>
            <w:vAlign w:val="center"/>
          </w:tcPr>
          <w:p w14:paraId="7987BBCA" w14:textId="77777777" w:rsidR="00FD1E19" w:rsidRDefault="00FD1E19" w:rsidP="00BE7E4A">
            <w:pPr>
              <w:suppressAutoHyphens/>
              <w:rPr>
                <w:rFonts w:ascii="Arial" w:eastAsia="Arial" w:hAnsi="Arial" w:cs="Arial"/>
                <w:noProof/>
                <w:color w:val="000000"/>
                <w:sz w:val="14"/>
                <w:lang w:eastAsia="ar-SA"/>
              </w:rPr>
            </w:pPr>
            <w:r>
              <w:rPr>
                <w:rFonts w:ascii="Arial" w:eastAsia="Arial" w:hAnsi="Arial" w:cs="Arial"/>
                <w:noProof/>
                <w:color w:val="000000"/>
                <w:sz w:val="14"/>
                <w:lang w:eastAsia="ar-SA"/>
              </w:rPr>
              <w:t>* Including agency agreements</w:t>
            </w:r>
          </w:p>
        </w:tc>
        <w:tc>
          <w:tcPr>
            <w:tcW w:w="1200" w:type="dxa"/>
            <w:tcBorders>
              <w:top w:val="nil"/>
              <w:left w:val="nil"/>
              <w:bottom w:val="nil"/>
              <w:right w:val="nil"/>
              <w:tl2br w:val="nil"/>
              <w:tr2bl w:val="nil"/>
            </w:tcBorders>
            <w:tcMar>
              <w:left w:w="0" w:type="dxa"/>
              <w:right w:w="0" w:type="dxa"/>
            </w:tcMar>
            <w:vAlign w:val="center"/>
          </w:tcPr>
          <w:p w14:paraId="673C3C87"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14:paraId="0CEAE289"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14:paraId="2A014CEE" w14:textId="77777777" w:rsidR="00FD1E19" w:rsidRDefault="00FD1E19" w:rsidP="00BE7E4A">
            <w:pPr>
              <w:suppressAutoHyphens/>
              <w:rPr>
                <w:noProof/>
                <w:color w:val="000000"/>
                <w:lang w:eastAsia="ar-SA"/>
              </w:rPr>
            </w:pPr>
          </w:p>
        </w:tc>
        <w:tc>
          <w:tcPr>
            <w:tcW w:w="1200" w:type="dxa"/>
            <w:tcBorders>
              <w:top w:val="nil"/>
              <w:left w:val="nil"/>
              <w:bottom w:val="nil"/>
              <w:right w:val="nil"/>
              <w:tl2br w:val="nil"/>
              <w:tr2bl w:val="nil"/>
            </w:tcBorders>
            <w:tcMar>
              <w:left w:w="0" w:type="dxa"/>
              <w:right w:w="0" w:type="dxa"/>
            </w:tcMar>
            <w:vAlign w:val="center"/>
          </w:tcPr>
          <w:p w14:paraId="0EF111EB" w14:textId="77777777" w:rsidR="00FD1E19" w:rsidRDefault="00FD1E19" w:rsidP="00BE7E4A">
            <w:pPr>
              <w:suppressAutoHyphens/>
              <w:rPr>
                <w:noProof/>
                <w:color w:val="000000"/>
                <w:lang w:eastAsia="ar-SA"/>
              </w:rPr>
            </w:pPr>
          </w:p>
        </w:tc>
      </w:tr>
    </w:tbl>
    <w:p w14:paraId="7BA35752" w14:textId="77777777" w:rsidR="00FD1E19" w:rsidRDefault="00FD1E19" w:rsidP="00FD1E19">
      <w:pPr>
        <w:pageBreakBefore/>
        <w:pBdr>
          <w:top w:val="nil"/>
          <w:left w:val="nil"/>
          <w:bottom w:val="nil"/>
          <w:right w:val="nil"/>
          <w:between w:val="nil"/>
          <w:bar w:val="nil"/>
        </w:pBdr>
        <w:ind w:left="357" w:hanging="357"/>
        <w:rPr>
          <w:rFonts w:ascii="Arial" w:eastAsia="Calibri" w:hAnsi="Arial" w:cs="Arial"/>
          <w:b/>
          <w:noProof/>
          <w:sz w:val="18"/>
          <w:bdr w:val="nil"/>
          <w:lang w:val="en-US"/>
        </w:rPr>
      </w:pPr>
      <w:bookmarkStart w:id="288" w:name="RG_MARKER_90174"/>
      <w:r w:rsidRPr="00893B5F">
        <w:rPr>
          <w:rFonts w:ascii="Arial" w:eastAsia="Calibri" w:hAnsi="Arial" w:cs="Arial"/>
          <w:b/>
          <w:noProof/>
          <w:sz w:val="18"/>
          <w:bdr w:val="none" w:sz="0" w:space="0" w:color="auto" w:frame="1"/>
          <w:lang w:val="en-US"/>
        </w:rPr>
        <w:t>7.2</w:t>
      </w:r>
      <w:bookmarkEnd w:id="288"/>
      <w:r>
        <w:rPr>
          <w:rFonts w:ascii="Arial" w:eastAsia="Calibri" w:hAnsi="Arial" w:cs="Arial"/>
          <w:b/>
          <w:noProof/>
          <w:sz w:val="18"/>
          <w:bdr w:val="none" w:sz="0" w:space="0" w:color="auto" w:frame="1"/>
          <w:lang w:val="en-US"/>
        </w:rPr>
        <w:tab/>
      </w:r>
      <w:r w:rsidRPr="00893B5F">
        <w:rPr>
          <w:rFonts w:ascii="Arial" w:eastAsia="Calibri" w:hAnsi="Arial" w:cs="Arial"/>
          <w:b/>
          <w:noProof/>
          <w:sz w:val="18"/>
          <w:bdr w:val="none" w:sz="0" w:space="0" w:color="auto" w:frame="1"/>
          <w:lang w:val="en-US"/>
        </w:rPr>
        <w:t>Impairment on loans and advances – Loss allowances</w:t>
      </w:r>
    </w:p>
    <w:tbl>
      <w:tblPr>
        <w:tblStyle w:val="CDMRange2"/>
        <w:tblW w:w="5000" w:type="pct"/>
        <w:tblLayout w:type="fixed"/>
        <w:tblLook w:val="0600" w:firstRow="0" w:lastRow="0" w:firstColumn="0" w:lastColumn="0" w:noHBand="1" w:noVBand="1"/>
      </w:tblPr>
      <w:tblGrid>
        <w:gridCol w:w="4480"/>
        <w:gridCol w:w="1344"/>
        <w:gridCol w:w="1419"/>
        <w:gridCol w:w="1389"/>
        <w:gridCol w:w="1046"/>
      </w:tblGrid>
      <w:tr w:rsidR="00FD1E19" w14:paraId="7AF33A40" w14:textId="77777777" w:rsidTr="00BE7E4A">
        <w:trPr>
          <w:trHeight w:hRule="exact" w:val="300"/>
        </w:trPr>
        <w:tc>
          <w:tcPr>
            <w:tcW w:w="4500" w:type="dxa"/>
            <w:tcBorders>
              <w:top w:val="single" w:sz="4" w:space="0" w:color="000000"/>
              <w:left w:val="nil"/>
              <w:bottom w:val="nil"/>
              <w:right w:val="nil"/>
              <w:tl2br w:val="nil"/>
              <w:tr2bl w:val="nil"/>
            </w:tcBorders>
            <w:noWrap/>
            <w:tcMar>
              <w:left w:w="0" w:type="dxa"/>
              <w:right w:w="0" w:type="dxa"/>
            </w:tcMar>
            <w:vAlign w:val="bottom"/>
          </w:tcPr>
          <w:p w14:paraId="4459DE2C" w14:textId="77777777" w:rsidR="00FD1E19" w:rsidRDefault="00FD1E19" w:rsidP="00BE7E4A">
            <w:pPr>
              <w:suppressAutoHyphens/>
              <w:rPr>
                <w:rFonts w:ascii="Arial" w:eastAsia="Arial" w:hAnsi="Arial" w:cs="Arial"/>
                <w:b/>
                <w:noProof/>
                <w:color w:val="000000"/>
                <w:sz w:val="16"/>
                <w:lang w:eastAsia="ar-SA"/>
              </w:rPr>
            </w:pPr>
            <w:bookmarkStart w:id="289" w:name="RG_MARKER_90175"/>
            <w:bookmarkEnd w:id="289"/>
          </w:p>
        </w:tc>
        <w:tc>
          <w:tcPr>
            <w:tcW w:w="522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14:paraId="46AD21B7"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2025</w:t>
            </w:r>
          </w:p>
        </w:tc>
      </w:tr>
      <w:tr w:rsidR="00FD1E19" w14:paraId="34B4307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0" w:type="dxa"/>
              <w:right w:w="0" w:type="dxa"/>
            </w:tcMar>
            <w:vAlign w:val="bottom"/>
          </w:tcPr>
          <w:p w14:paraId="600EA21C" w14:textId="77777777" w:rsidR="00FD1E19" w:rsidRDefault="00FD1E19" w:rsidP="00BE7E4A">
            <w:pPr>
              <w:suppressAutoHyphens/>
              <w:rPr>
                <w:rFonts w:ascii="Arial" w:eastAsia="Arial" w:hAnsi="Arial" w:cs="Arial"/>
                <w:b/>
                <w:noProof/>
                <w:color w:val="000000"/>
                <w:sz w:val="16"/>
                <w:lang w:eastAsia="ar-SA"/>
              </w:rPr>
            </w:pPr>
          </w:p>
        </w:tc>
        <w:tc>
          <w:tcPr>
            <w:tcW w:w="1350" w:type="dxa"/>
            <w:tcBorders>
              <w:top w:val="single" w:sz="4" w:space="0" w:color="000000"/>
              <w:left w:val="nil"/>
              <w:bottom w:val="nil"/>
              <w:right w:val="nil"/>
              <w:tl2br w:val="nil"/>
              <w:tr2bl w:val="nil"/>
            </w:tcBorders>
            <w:noWrap/>
            <w:tcMar>
              <w:left w:w="0" w:type="dxa"/>
              <w:right w:w="0" w:type="dxa"/>
            </w:tcMar>
            <w:vAlign w:val="bottom"/>
          </w:tcPr>
          <w:p w14:paraId="2C6DE590" w14:textId="77777777" w:rsidR="00FD1E19" w:rsidRDefault="00FD1E19" w:rsidP="00BE7E4A">
            <w:pPr>
              <w:suppressAutoHyphens/>
              <w:jc w:val="center"/>
              <w:rPr>
                <w:rFonts w:ascii="Arial" w:eastAsia="Arial" w:hAnsi="Arial" w:cs="Arial"/>
                <w:b/>
                <w:noProof/>
                <w:color w:val="000000"/>
                <w:sz w:val="16"/>
                <w:lang w:eastAsia="ar-SA"/>
              </w:rPr>
            </w:pPr>
          </w:p>
        </w:tc>
        <w:tc>
          <w:tcPr>
            <w:tcW w:w="2820" w:type="dxa"/>
            <w:gridSpan w:val="2"/>
            <w:tcBorders>
              <w:top w:val="single" w:sz="4" w:space="0" w:color="000000"/>
              <w:left w:val="nil"/>
              <w:bottom w:val="nil"/>
              <w:right w:val="nil"/>
              <w:tl2br w:val="nil"/>
              <w:tr2bl w:val="nil"/>
            </w:tcBorders>
            <w:tcMar>
              <w:left w:w="40" w:type="dxa"/>
              <w:right w:w="40" w:type="dxa"/>
            </w:tcMar>
            <w:vAlign w:val="center"/>
          </w:tcPr>
          <w:p w14:paraId="0F0C938A"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Lifetime ECL</w:t>
            </w:r>
          </w:p>
        </w:tc>
        <w:tc>
          <w:tcPr>
            <w:tcW w:w="1050" w:type="dxa"/>
            <w:tcBorders>
              <w:top w:val="single" w:sz="4" w:space="0" w:color="000000"/>
              <w:left w:val="nil"/>
              <w:bottom w:val="nil"/>
              <w:right w:val="nil"/>
              <w:tl2br w:val="nil"/>
              <w:tr2bl w:val="nil"/>
            </w:tcBorders>
            <w:noWrap/>
            <w:tcMar>
              <w:left w:w="0" w:type="dxa"/>
              <w:right w:w="0" w:type="dxa"/>
            </w:tcMar>
            <w:vAlign w:val="bottom"/>
          </w:tcPr>
          <w:p w14:paraId="7084E0E2" w14:textId="77777777" w:rsidR="00FD1E19" w:rsidRDefault="00FD1E19" w:rsidP="00BE7E4A">
            <w:pPr>
              <w:suppressAutoHyphens/>
              <w:jc w:val="center"/>
              <w:rPr>
                <w:rFonts w:ascii="Arial" w:eastAsia="Arial" w:hAnsi="Arial" w:cs="Arial"/>
                <w:b/>
                <w:noProof/>
                <w:color w:val="000000"/>
                <w:sz w:val="16"/>
                <w:lang w:eastAsia="ar-SA"/>
              </w:rPr>
            </w:pPr>
          </w:p>
        </w:tc>
      </w:tr>
      <w:tr w:rsidR="00FD1E19" w14:paraId="6FF8C78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35"/>
        </w:trPr>
        <w:tc>
          <w:tcPr>
            <w:tcW w:w="4500" w:type="dxa"/>
            <w:tcBorders>
              <w:top w:val="nil"/>
              <w:left w:val="nil"/>
              <w:bottom w:val="single" w:sz="4" w:space="0" w:color="000000"/>
              <w:right w:val="nil"/>
              <w:tl2br w:val="nil"/>
              <w:tr2bl w:val="nil"/>
            </w:tcBorders>
            <w:tcMar>
              <w:left w:w="40" w:type="dxa"/>
              <w:right w:w="40" w:type="dxa"/>
            </w:tcMar>
            <w:vAlign w:val="bottom"/>
          </w:tcPr>
          <w:p w14:paraId="7FB3401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350" w:type="dxa"/>
            <w:tcBorders>
              <w:top w:val="nil"/>
              <w:left w:val="nil"/>
              <w:bottom w:val="single" w:sz="4" w:space="0" w:color="000000"/>
              <w:right w:val="nil"/>
              <w:tl2br w:val="nil"/>
              <w:tr2bl w:val="nil"/>
            </w:tcBorders>
            <w:tcMar>
              <w:left w:w="40" w:type="dxa"/>
              <w:right w:w="40" w:type="dxa"/>
            </w:tcMar>
            <w:vAlign w:val="center"/>
          </w:tcPr>
          <w:p w14:paraId="1AAE481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12-month ECL</w:t>
            </w:r>
          </w:p>
        </w:tc>
        <w:tc>
          <w:tcPr>
            <w:tcW w:w="1425" w:type="dxa"/>
            <w:tcBorders>
              <w:top w:val="nil"/>
              <w:left w:val="nil"/>
              <w:bottom w:val="single" w:sz="4" w:space="0" w:color="000000"/>
              <w:right w:val="nil"/>
              <w:tl2br w:val="nil"/>
              <w:tr2bl w:val="nil"/>
            </w:tcBorders>
            <w:tcMar>
              <w:left w:w="40" w:type="dxa"/>
              <w:right w:w="40" w:type="dxa"/>
            </w:tcMar>
            <w:vAlign w:val="center"/>
          </w:tcPr>
          <w:p w14:paraId="2B10418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not credit-impaired</w:t>
            </w:r>
          </w:p>
        </w:tc>
        <w:tc>
          <w:tcPr>
            <w:tcW w:w="1395" w:type="dxa"/>
            <w:tcBorders>
              <w:top w:val="nil"/>
              <w:left w:val="nil"/>
              <w:bottom w:val="single" w:sz="4" w:space="0" w:color="000000"/>
              <w:right w:val="nil"/>
              <w:tl2br w:val="nil"/>
              <w:tr2bl w:val="nil"/>
            </w:tcBorders>
            <w:tcMar>
              <w:left w:w="40" w:type="dxa"/>
              <w:right w:w="40" w:type="dxa"/>
            </w:tcMar>
            <w:vAlign w:val="center"/>
          </w:tcPr>
          <w:p w14:paraId="29AF4B4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credit-impaired</w:t>
            </w:r>
          </w:p>
        </w:tc>
        <w:tc>
          <w:tcPr>
            <w:tcW w:w="1050" w:type="dxa"/>
            <w:tcBorders>
              <w:top w:val="nil"/>
              <w:left w:val="nil"/>
              <w:bottom w:val="single" w:sz="4" w:space="0" w:color="000000"/>
              <w:right w:val="nil"/>
              <w:tl2br w:val="nil"/>
              <w:tr2bl w:val="nil"/>
            </w:tcBorders>
            <w:tcMar>
              <w:left w:w="40" w:type="dxa"/>
              <w:right w:w="40" w:type="dxa"/>
            </w:tcMar>
            <w:vAlign w:val="center"/>
          </w:tcPr>
          <w:p w14:paraId="44E7140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160686F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360A941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AC</w:t>
            </w:r>
          </w:p>
        </w:tc>
        <w:tc>
          <w:tcPr>
            <w:tcW w:w="1350" w:type="dxa"/>
            <w:tcBorders>
              <w:top w:val="single" w:sz="4" w:space="0" w:color="000000"/>
              <w:left w:val="nil"/>
              <w:bottom w:val="single" w:sz="4" w:space="0" w:color="000000"/>
              <w:right w:val="nil"/>
              <w:tl2br w:val="nil"/>
              <w:tr2bl w:val="nil"/>
            </w:tcBorders>
            <w:noWrap/>
            <w:tcMar>
              <w:left w:w="0" w:type="dxa"/>
              <w:right w:w="0" w:type="dxa"/>
            </w:tcMar>
            <w:vAlign w:val="bottom"/>
          </w:tcPr>
          <w:p w14:paraId="4EDF929D" w14:textId="77777777" w:rsidR="00FD1E19" w:rsidRDefault="00FD1E19" w:rsidP="00BE7E4A">
            <w:pPr>
              <w:suppressAutoHyphens/>
              <w:rPr>
                <w:rFonts w:ascii="Arial" w:eastAsia="Arial" w:hAnsi="Arial" w:cs="Arial"/>
                <w:b/>
                <w:noProof/>
                <w:color w:val="000000"/>
                <w:sz w:val="16"/>
                <w:lang w:eastAsia="ar-SA"/>
              </w:rPr>
            </w:pPr>
          </w:p>
        </w:tc>
        <w:tc>
          <w:tcPr>
            <w:tcW w:w="1425" w:type="dxa"/>
            <w:tcBorders>
              <w:top w:val="single" w:sz="4" w:space="0" w:color="000000"/>
              <w:left w:val="nil"/>
              <w:bottom w:val="single" w:sz="4" w:space="0" w:color="000000"/>
              <w:right w:val="nil"/>
              <w:tl2br w:val="nil"/>
              <w:tr2bl w:val="nil"/>
            </w:tcBorders>
            <w:noWrap/>
            <w:tcMar>
              <w:left w:w="0" w:type="dxa"/>
              <w:right w:w="0" w:type="dxa"/>
            </w:tcMar>
            <w:vAlign w:val="bottom"/>
          </w:tcPr>
          <w:p w14:paraId="72087895" w14:textId="77777777" w:rsidR="00FD1E19" w:rsidRDefault="00FD1E19" w:rsidP="00BE7E4A">
            <w:pPr>
              <w:suppressAutoHyphens/>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noWrap/>
            <w:tcMar>
              <w:left w:w="0" w:type="dxa"/>
              <w:right w:w="0" w:type="dxa"/>
            </w:tcMar>
            <w:vAlign w:val="bottom"/>
          </w:tcPr>
          <w:p w14:paraId="4A06ED61" w14:textId="77777777" w:rsidR="00FD1E19" w:rsidRDefault="00FD1E19" w:rsidP="00BE7E4A">
            <w:pPr>
              <w:suppressAutoHyphens/>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0" w:type="dxa"/>
              <w:right w:w="0" w:type="dxa"/>
            </w:tcMar>
            <w:vAlign w:val="bottom"/>
          </w:tcPr>
          <w:p w14:paraId="06CD88D2" w14:textId="77777777" w:rsidR="00FD1E19" w:rsidRDefault="00FD1E19" w:rsidP="00BE7E4A">
            <w:pPr>
              <w:suppressAutoHyphens/>
              <w:rPr>
                <w:rFonts w:ascii="Arial" w:eastAsia="Arial" w:hAnsi="Arial" w:cs="Arial"/>
                <w:b/>
                <w:noProof/>
                <w:color w:val="000000"/>
                <w:sz w:val="16"/>
                <w:lang w:eastAsia="ar-SA"/>
              </w:rPr>
            </w:pPr>
          </w:p>
        </w:tc>
      </w:tr>
      <w:tr w:rsidR="00FD1E19" w14:paraId="687E5BF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bottom"/>
          </w:tcPr>
          <w:p w14:paraId="13740DF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1 January 2025</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66498A7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9,675</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2E51ABC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12,576</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0E36F19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12,260</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14:paraId="6CE000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34,511</w:t>
            </w:r>
          </w:p>
        </w:tc>
      </w:tr>
      <w:tr w:rsidR="00FD1E19" w14:paraId="7AB2DB8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40" w:type="dxa"/>
              <w:right w:w="40" w:type="dxa"/>
            </w:tcMar>
            <w:vAlign w:val="center"/>
          </w:tcPr>
          <w:p w14:paraId="529B46C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12-month ECL</w:t>
            </w:r>
          </w:p>
        </w:tc>
        <w:tc>
          <w:tcPr>
            <w:tcW w:w="1350" w:type="dxa"/>
            <w:tcBorders>
              <w:top w:val="single" w:sz="4" w:space="0" w:color="000000"/>
              <w:left w:val="nil"/>
              <w:bottom w:val="nil"/>
              <w:right w:val="nil"/>
              <w:tl2br w:val="nil"/>
              <w:tr2bl w:val="nil"/>
            </w:tcBorders>
            <w:tcMar>
              <w:left w:w="40" w:type="dxa"/>
              <w:right w:w="40" w:type="dxa"/>
            </w:tcMar>
            <w:vAlign w:val="center"/>
          </w:tcPr>
          <w:p w14:paraId="29F7530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25" w:type="dxa"/>
            <w:tcBorders>
              <w:top w:val="single" w:sz="4" w:space="0" w:color="000000"/>
              <w:left w:val="nil"/>
              <w:bottom w:val="nil"/>
              <w:right w:val="nil"/>
              <w:tl2br w:val="nil"/>
              <w:tr2bl w:val="nil"/>
            </w:tcBorders>
            <w:tcMar>
              <w:left w:w="40" w:type="dxa"/>
              <w:right w:w="40" w:type="dxa"/>
            </w:tcMar>
            <w:vAlign w:val="center"/>
          </w:tcPr>
          <w:p w14:paraId="103819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single" w:sz="4" w:space="0" w:color="000000"/>
              <w:left w:val="nil"/>
              <w:bottom w:val="nil"/>
              <w:right w:val="nil"/>
              <w:tl2br w:val="nil"/>
              <w:tr2bl w:val="nil"/>
            </w:tcBorders>
            <w:tcMar>
              <w:left w:w="40" w:type="dxa"/>
              <w:right w:w="40" w:type="dxa"/>
            </w:tcMar>
            <w:vAlign w:val="center"/>
          </w:tcPr>
          <w:p w14:paraId="53451E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single" w:sz="4" w:space="0" w:color="000000"/>
              <w:left w:val="nil"/>
              <w:bottom w:val="nil"/>
              <w:right w:val="nil"/>
              <w:tl2br w:val="nil"/>
              <w:tr2bl w:val="nil"/>
            </w:tcBorders>
            <w:tcMar>
              <w:left w:w="40" w:type="dxa"/>
              <w:right w:w="40" w:type="dxa"/>
            </w:tcMar>
            <w:vAlign w:val="center"/>
          </w:tcPr>
          <w:p w14:paraId="1DB3182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32D903D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14:paraId="3A9C7C7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lifetime ECL not credit-impaired</w:t>
            </w:r>
          </w:p>
        </w:tc>
        <w:tc>
          <w:tcPr>
            <w:tcW w:w="1350" w:type="dxa"/>
            <w:tcBorders>
              <w:top w:val="nil"/>
              <w:left w:val="nil"/>
              <w:bottom w:val="nil"/>
              <w:right w:val="nil"/>
              <w:tl2br w:val="nil"/>
              <w:tr2bl w:val="nil"/>
            </w:tcBorders>
            <w:tcMar>
              <w:left w:w="40" w:type="dxa"/>
              <w:right w:w="40" w:type="dxa"/>
            </w:tcMar>
            <w:vAlign w:val="center"/>
          </w:tcPr>
          <w:p w14:paraId="205FEAE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-575</w:t>
            </w:r>
          </w:p>
        </w:tc>
        <w:tc>
          <w:tcPr>
            <w:tcW w:w="1425" w:type="dxa"/>
            <w:tcBorders>
              <w:top w:val="nil"/>
              <w:left w:val="nil"/>
              <w:bottom w:val="nil"/>
              <w:right w:val="nil"/>
              <w:tl2br w:val="nil"/>
              <w:tr2bl w:val="nil"/>
            </w:tcBorders>
            <w:tcMar>
              <w:left w:w="40" w:type="dxa"/>
              <w:right w:w="40" w:type="dxa"/>
            </w:tcMar>
            <w:vAlign w:val="center"/>
          </w:tcPr>
          <w:p w14:paraId="1AC260B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1,598</w:t>
            </w:r>
          </w:p>
        </w:tc>
        <w:tc>
          <w:tcPr>
            <w:tcW w:w="1395" w:type="dxa"/>
            <w:tcBorders>
              <w:top w:val="nil"/>
              <w:left w:val="nil"/>
              <w:bottom w:val="nil"/>
              <w:right w:val="nil"/>
              <w:tl2br w:val="nil"/>
              <w:tr2bl w:val="nil"/>
            </w:tcBorders>
            <w:tcMar>
              <w:left w:w="40" w:type="dxa"/>
              <w:right w:w="40" w:type="dxa"/>
            </w:tcMar>
            <w:vAlign w:val="center"/>
          </w:tcPr>
          <w:p w14:paraId="2E049E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w:t>
            </w:r>
          </w:p>
        </w:tc>
        <w:tc>
          <w:tcPr>
            <w:tcW w:w="1050" w:type="dxa"/>
            <w:tcBorders>
              <w:top w:val="nil"/>
              <w:left w:val="nil"/>
              <w:bottom w:val="nil"/>
              <w:right w:val="nil"/>
              <w:tl2br w:val="nil"/>
              <w:tr2bl w:val="nil"/>
            </w:tcBorders>
            <w:tcMar>
              <w:left w:w="40" w:type="dxa"/>
              <w:right w:w="40" w:type="dxa"/>
            </w:tcMar>
            <w:vAlign w:val="center"/>
          </w:tcPr>
          <w:p w14:paraId="0237D45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985</w:t>
            </w:r>
          </w:p>
        </w:tc>
      </w:tr>
      <w:tr w:rsidR="00FD1E19" w14:paraId="1803336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14:paraId="4A741AF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lifetime ECL credit-impaired</w:t>
            </w:r>
          </w:p>
        </w:tc>
        <w:tc>
          <w:tcPr>
            <w:tcW w:w="1350" w:type="dxa"/>
            <w:tcBorders>
              <w:top w:val="nil"/>
              <w:left w:val="nil"/>
              <w:bottom w:val="nil"/>
              <w:right w:val="nil"/>
              <w:tl2br w:val="nil"/>
              <w:tr2bl w:val="nil"/>
            </w:tcBorders>
            <w:tcMar>
              <w:left w:w="40" w:type="dxa"/>
              <w:right w:w="40" w:type="dxa"/>
            </w:tcMar>
            <w:vAlign w:val="center"/>
          </w:tcPr>
          <w:p w14:paraId="633BE68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25" w:type="dxa"/>
            <w:tcBorders>
              <w:top w:val="nil"/>
              <w:left w:val="nil"/>
              <w:bottom w:val="nil"/>
              <w:right w:val="nil"/>
              <w:tl2br w:val="nil"/>
              <w:tr2bl w:val="nil"/>
            </w:tcBorders>
            <w:tcMar>
              <w:left w:w="40" w:type="dxa"/>
              <w:right w:w="40" w:type="dxa"/>
            </w:tcMar>
            <w:vAlign w:val="center"/>
          </w:tcPr>
          <w:p w14:paraId="0C0881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nil"/>
              <w:left w:val="nil"/>
              <w:bottom w:val="nil"/>
              <w:right w:val="nil"/>
              <w:tl2br w:val="nil"/>
              <w:tr2bl w:val="nil"/>
            </w:tcBorders>
            <w:tcMar>
              <w:left w:w="40" w:type="dxa"/>
              <w:right w:w="40" w:type="dxa"/>
            </w:tcMar>
            <w:vAlign w:val="center"/>
          </w:tcPr>
          <w:p w14:paraId="3D4E4A3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7F81220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17249CE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14:paraId="4DD877C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measurement of loss allowance</w:t>
            </w:r>
          </w:p>
        </w:tc>
        <w:tc>
          <w:tcPr>
            <w:tcW w:w="1350" w:type="dxa"/>
            <w:tcBorders>
              <w:top w:val="nil"/>
              <w:left w:val="nil"/>
              <w:bottom w:val="nil"/>
              <w:right w:val="nil"/>
              <w:tl2br w:val="nil"/>
              <w:tr2bl w:val="nil"/>
            </w:tcBorders>
            <w:tcMar>
              <w:left w:w="40" w:type="dxa"/>
              <w:right w:w="40" w:type="dxa"/>
            </w:tcMar>
            <w:vAlign w:val="center"/>
          </w:tcPr>
          <w:p w14:paraId="0478A47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71</w:t>
            </w:r>
          </w:p>
        </w:tc>
        <w:tc>
          <w:tcPr>
            <w:tcW w:w="1425" w:type="dxa"/>
            <w:tcBorders>
              <w:top w:val="nil"/>
              <w:left w:val="nil"/>
              <w:bottom w:val="nil"/>
              <w:right w:val="nil"/>
              <w:tl2br w:val="nil"/>
              <w:tr2bl w:val="nil"/>
            </w:tcBorders>
            <w:tcMar>
              <w:left w:w="40" w:type="dxa"/>
              <w:right w:w="40" w:type="dxa"/>
            </w:tcMar>
            <w:vAlign w:val="center"/>
          </w:tcPr>
          <w:p w14:paraId="234AAE3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143</w:t>
            </w:r>
          </w:p>
        </w:tc>
        <w:tc>
          <w:tcPr>
            <w:tcW w:w="1395" w:type="dxa"/>
            <w:tcBorders>
              <w:top w:val="nil"/>
              <w:left w:val="nil"/>
              <w:bottom w:val="nil"/>
              <w:right w:val="nil"/>
              <w:tl2br w:val="nil"/>
              <w:tr2bl w:val="nil"/>
            </w:tcBorders>
            <w:tcMar>
              <w:left w:w="40" w:type="dxa"/>
              <w:right w:w="40" w:type="dxa"/>
            </w:tcMar>
            <w:vAlign w:val="center"/>
          </w:tcPr>
          <w:p w14:paraId="030A624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-9,013</w:t>
            </w:r>
          </w:p>
        </w:tc>
        <w:tc>
          <w:tcPr>
            <w:tcW w:w="1050" w:type="dxa"/>
            <w:tcBorders>
              <w:top w:val="nil"/>
              <w:left w:val="nil"/>
              <w:bottom w:val="nil"/>
              <w:right w:val="nil"/>
              <w:tl2br w:val="nil"/>
              <w:tr2bl w:val="nil"/>
            </w:tcBorders>
            <w:tcMar>
              <w:left w:w="40" w:type="dxa"/>
              <w:right w:w="40" w:type="dxa"/>
            </w:tcMar>
            <w:vAlign w:val="center"/>
          </w:tcPr>
          <w:p w14:paraId="4068FF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-8,799</w:t>
            </w:r>
          </w:p>
        </w:tc>
      </w:tr>
      <w:tr w:rsidR="00FD1E19" w14:paraId="563080C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14:paraId="72A46F0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New financial assets originated or purchased</w:t>
            </w:r>
          </w:p>
        </w:tc>
        <w:tc>
          <w:tcPr>
            <w:tcW w:w="1350" w:type="dxa"/>
            <w:tcBorders>
              <w:top w:val="nil"/>
              <w:left w:val="nil"/>
              <w:bottom w:val="nil"/>
              <w:right w:val="nil"/>
              <w:tl2br w:val="nil"/>
              <w:tr2bl w:val="nil"/>
            </w:tcBorders>
            <w:tcMar>
              <w:left w:w="40" w:type="dxa"/>
              <w:right w:w="40" w:type="dxa"/>
            </w:tcMar>
            <w:vAlign w:val="center"/>
          </w:tcPr>
          <w:p w14:paraId="2945792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w:t>
            </w:r>
          </w:p>
        </w:tc>
        <w:tc>
          <w:tcPr>
            <w:tcW w:w="1425" w:type="dxa"/>
            <w:tcBorders>
              <w:top w:val="nil"/>
              <w:left w:val="nil"/>
              <w:bottom w:val="nil"/>
              <w:right w:val="nil"/>
              <w:tl2br w:val="nil"/>
              <w:tr2bl w:val="nil"/>
            </w:tcBorders>
            <w:tcMar>
              <w:left w:w="40" w:type="dxa"/>
              <w:right w:w="40" w:type="dxa"/>
            </w:tcMar>
            <w:vAlign w:val="center"/>
          </w:tcPr>
          <w:p w14:paraId="69468E6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nil"/>
              <w:left w:val="nil"/>
              <w:bottom w:val="nil"/>
              <w:right w:val="nil"/>
              <w:tl2br w:val="nil"/>
              <w:tr2bl w:val="nil"/>
            </w:tcBorders>
            <w:tcMar>
              <w:left w:w="40" w:type="dxa"/>
              <w:right w:w="40" w:type="dxa"/>
            </w:tcMar>
            <w:vAlign w:val="center"/>
          </w:tcPr>
          <w:p w14:paraId="52D13A0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3FAC75D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w:t>
            </w:r>
          </w:p>
        </w:tc>
      </w:tr>
      <w:tr w:rsidR="00FD1E19" w14:paraId="5C328CB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14:paraId="1DC958C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assets that have been derecognised</w:t>
            </w:r>
          </w:p>
        </w:tc>
        <w:tc>
          <w:tcPr>
            <w:tcW w:w="1350" w:type="dxa"/>
            <w:tcBorders>
              <w:top w:val="nil"/>
              <w:left w:val="nil"/>
              <w:bottom w:val="nil"/>
              <w:right w:val="nil"/>
              <w:tl2br w:val="nil"/>
              <w:tr2bl w:val="nil"/>
            </w:tcBorders>
            <w:tcMar>
              <w:left w:w="40" w:type="dxa"/>
              <w:right w:w="40" w:type="dxa"/>
            </w:tcMar>
            <w:vAlign w:val="center"/>
          </w:tcPr>
          <w:p w14:paraId="506018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-961</w:t>
            </w:r>
          </w:p>
        </w:tc>
        <w:tc>
          <w:tcPr>
            <w:tcW w:w="1425" w:type="dxa"/>
            <w:tcBorders>
              <w:top w:val="nil"/>
              <w:left w:val="nil"/>
              <w:bottom w:val="nil"/>
              <w:right w:val="nil"/>
              <w:tl2br w:val="nil"/>
              <w:tr2bl w:val="nil"/>
            </w:tcBorders>
            <w:tcMar>
              <w:left w:w="40" w:type="dxa"/>
              <w:right w:w="40" w:type="dxa"/>
            </w:tcMar>
            <w:vAlign w:val="center"/>
          </w:tcPr>
          <w:p w14:paraId="11A9D46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w:t>
            </w:r>
          </w:p>
        </w:tc>
        <w:tc>
          <w:tcPr>
            <w:tcW w:w="1395" w:type="dxa"/>
            <w:tcBorders>
              <w:top w:val="nil"/>
              <w:left w:val="nil"/>
              <w:bottom w:val="nil"/>
              <w:right w:val="nil"/>
              <w:tl2br w:val="nil"/>
              <w:tr2bl w:val="nil"/>
            </w:tcBorders>
            <w:tcMar>
              <w:left w:w="40" w:type="dxa"/>
              <w:right w:w="40" w:type="dxa"/>
            </w:tcMar>
            <w:vAlign w:val="center"/>
          </w:tcPr>
          <w:p w14:paraId="3B46611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-113</w:t>
            </w:r>
          </w:p>
        </w:tc>
        <w:tc>
          <w:tcPr>
            <w:tcW w:w="1050" w:type="dxa"/>
            <w:tcBorders>
              <w:top w:val="nil"/>
              <w:left w:val="nil"/>
              <w:bottom w:val="nil"/>
              <w:right w:val="nil"/>
              <w:tl2br w:val="nil"/>
              <w:tr2bl w:val="nil"/>
            </w:tcBorders>
            <w:tcMar>
              <w:left w:w="40" w:type="dxa"/>
              <w:right w:w="40" w:type="dxa"/>
            </w:tcMar>
            <w:vAlign w:val="center"/>
          </w:tcPr>
          <w:p w14:paraId="16086C6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-1,109</w:t>
            </w:r>
          </w:p>
        </w:tc>
      </w:tr>
      <w:tr w:rsidR="00FD1E19" w14:paraId="188CEB5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14:paraId="1A4D53A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Write offs</w:t>
            </w:r>
          </w:p>
        </w:tc>
        <w:tc>
          <w:tcPr>
            <w:tcW w:w="1350" w:type="dxa"/>
            <w:tcBorders>
              <w:top w:val="nil"/>
              <w:left w:val="nil"/>
              <w:bottom w:val="nil"/>
              <w:right w:val="nil"/>
              <w:tl2br w:val="nil"/>
              <w:tr2bl w:val="nil"/>
            </w:tcBorders>
            <w:tcMar>
              <w:left w:w="40" w:type="dxa"/>
              <w:right w:w="40" w:type="dxa"/>
            </w:tcMar>
            <w:vAlign w:val="center"/>
          </w:tcPr>
          <w:p w14:paraId="238DE05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25" w:type="dxa"/>
            <w:tcBorders>
              <w:top w:val="nil"/>
              <w:left w:val="nil"/>
              <w:bottom w:val="nil"/>
              <w:right w:val="nil"/>
              <w:tl2br w:val="nil"/>
              <w:tr2bl w:val="nil"/>
            </w:tcBorders>
            <w:tcMar>
              <w:left w:w="40" w:type="dxa"/>
              <w:right w:w="40" w:type="dxa"/>
            </w:tcMar>
            <w:vAlign w:val="center"/>
          </w:tcPr>
          <w:p w14:paraId="14E535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nil"/>
              <w:left w:val="nil"/>
              <w:bottom w:val="nil"/>
              <w:right w:val="nil"/>
              <w:tl2br w:val="nil"/>
              <w:tr2bl w:val="nil"/>
            </w:tcBorders>
            <w:tcMar>
              <w:left w:w="40" w:type="dxa"/>
              <w:right w:w="40" w:type="dxa"/>
            </w:tcMar>
            <w:vAlign w:val="center"/>
          </w:tcPr>
          <w:p w14:paraId="383B1C9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4EC5E27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7523E27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center"/>
          </w:tcPr>
          <w:p w14:paraId="712DE7E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350" w:type="dxa"/>
            <w:tcBorders>
              <w:top w:val="nil"/>
              <w:left w:val="nil"/>
              <w:bottom w:val="nil"/>
              <w:right w:val="nil"/>
              <w:tl2br w:val="nil"/>
              <w:tr2bl w:val="nil"/>
            </w:tcBorders>
            <w:tcMar>
              <w:left w:w="40" w:type="dxa"/>
              <w:right w:w="40" w:type="dxa"/>
            </w:tcMar>
            <w:vAlign w:val="center"/>
          </w:tcPr>
          <w:p w14:paraId="0925C38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-1,032</w:t>
            </w:r>
          </w:p>
        </w:tc>
        <w:tc>
          <w:tcPr>
            <w:tcW w:w="1425" w:type="dxa"/>
            <w:tcBorders>
              <w:top w:val="nil"/>
              <w:left w:val="nil"/>
              <w:bottom w:val="nil"/>
              <w:right w:val="nil"/>
              <w:tl2br w:val="nil"/>
              <w:tr2bl w:val="nil"/>
            </w:tcBorders>
            <w:tcMar>
              <w:left w:w="40" w:type="dxa"/>
              <w:right w:w="40" w:type="dxa"/>
            </w:tcMar>
            <w:vAlign w:val="center"/>
          </w:tcPr>
          <w:p w14:paraId="08CB31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-518</w:t>
            </w:r>
          </w:p>
        </w:tc>
        <w:tc>
          <w:tcPr>
            <w:tcW w:w="1395" w:type="dxa"/>
            <w:tcBorders>
              <w:top w:val="nil"/>
              <w:left w:val="nil"/>
              <w:bottom w:val="nil"/>
              <w:right w:val="nil"/>
              <w:tl2br w:val="nil"/>
              <w:tr2bl w:val="nil"/>
            </w:tcBorders>
            <w:tcMar>
              <w:left w:w="40" w:type="dxa"/>
              <w:right w:w="40" w:type="dxa"/>
            </w:tcMar>
            <w:vAlign w:val="center"/>
          </w:tcPr>
          <w:p w14:paraId="762817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-625</w:t>
            </w:r>
          </w:p>
        </w:tc>
        <w:tc>
          <w:tcPr>
            <w:tcW w:w="1050" w:type="dxa"/>
            <w:tcBorders>
              <w:top w:val="nil"/>
              <w:left w:val="nil"/>
              <w:bottom w:val="nil"/>
              <w:right w:val="nil"/>
              <w:tl2br w:val="nil"/>
              <w:tr2bl w:val="nil"/>
            </w:tcBorders>
            <w:tcMar>
              <w:left w:w="40" w:type="dxa"/>
              <w:right w:w="40" w:type="dxa"/>
            </w:tcMar>
            <w:vAlign w:val="center"/>
          </w:tcPr>
          <w:p w14:paraId="7B11CE4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-2,175</w:t>
            </w:r>
          </w:p>
        </w:tc>
      </w:tr>
      <w:tr w:rsidR="00FD1E19" w14:paraId="7C7C4DD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noWrap/>
            <w:tcMar>
              <w:left w:w="40" w:type="dxa"/>
              <w:right w:w="40" w:type="dxa"/>
            </w:tcMar>
            <w:vAlign w:val="center"/>
          </w:tcPr>
          <w:p w14:paraId="7CB3091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31 December 2025</w:t>
            </w:r>
          </w:p>
        </w:tc>
        <w:tc>
          <w:tcPr>
            <w:tcW w:w="1350" w:type="dxa"/>
            <w:tcBorders>
              <w:top w:val="nil"/>
              <w:left w:val="nil"/>
              <w:bottom w:val="nil"/>
              <w:right w:val="nil"/>
              <w:tl2br w:val="nil"/>
              <w:tr2bl w:val="nil"/>
            </w:tcBorders>
            <w:shd w:val="clear" w:color="FFFFFF" w:fill="C0C0C0"/>
            <w:tcMar>
              <w:left w:w="40" w:type="dxa"/>
              <w:right w:w="40" w:type="dxa"/>
            </w:tcMar>
            <w:vAlign w:val="center"/>
          </w:tcPr>
          <w:p w14:paraId="7B71149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7,186</w:t>
            </w:r>
          </w:p>
        </w:tc>
        <w:tc>
          <w:tcPr>
            <w:tcW w:w="1425" w:type="dxa"/>
            <w:tcBorders>
              <w:top w:val="nil"/>
              <w:left w:val="nil"/>
              <w:bottom w:val="nil"/>
              <w:right w:val="nil"/>
              <w:tl2br w:val="nil"/>
              <w:tr2bl w:val="nil"/>
            </w:tcBorders>
            <w:shd w:val="clear" w:color="FFFFFF" w:fill="C0C0C0"/>
            <w:tcMar>
              <w:left w:w="40" w:type="dxa"/>
              <w:right w:w="40" w:type="dxa"/>
            </w:tcMar>
            <w:vAlign w:val="center"/>
          </w:tcPr>
          <w:p w14:paraId="3C30DA1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13,764</w:t>
            </w:r>
          </w:p>
        </w:tc>
        <w:tc>
          <w:tcPr>
            <w:tcW w:w="1395" w:type="dxa"/>
            <w:tcBorders>
              <w:top w:val="nil"/>
              <w:left w:val="nil"/>
              <w:bottom w:val="nil"/>
              <w:right w:val="nil"/>
              <w:tl2br w:val="nil"/>
              <w:tr2bl w:val="nil"/>
            </w:tcBorders>
            <w:shd w:val="clear" w:color="FFFFFF" w:fill="C0C0C0"/>
            <w:tcMar>
              <w:left w:w="40" w:type="dxa"/>
              <w:right w:w="40" w:type="dxa"/>
            </w:tcMar>
            <w:vAlign w:val="center"/>
          </w:tcPr>
          <w:p w14:paraId="392ADB4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2,471</w:t>
            </w:r>
          </w:p>
        </w:tc>
        <w:tc>
          <w:tcPr>
            <w:tcW w:w="1050" w:type="dxa"/>
            <w:tcBorders>
              <w:top w:val="nil"/>
              <w:left w:val="nil"/>
              <w:bottom w:val="nil"/>
              <w:right w:val="nil"/>
              <w:tl2br w:val="nil"/>
              <w:tr2bl w:val="nil"/>
            </w:tcBorders>
            <w:shd w:val="clear" w:color="FFFFFF" w:fill="C0C0C0"/>
            <w:tcMar>
              <w:left w:w="40" w:type="dxa"/>
              <w:right w:w="40" w:type="dxa"/>
            </w:tcMar>
            <w:vAlign w:val="center"/>
          </w:tcPr>
          <w:p w14:paraId="3C2BEEF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23,421</w:t>
            </w:r>
          </w:p>
        </w:tc>
      </w:tr>
      <w:tr w:rsidR="00FD1E19" w14:paraId="11F77F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529"/>
        </w:trPr>
        <w:tc>
          <w:tcPr>
            <w:tcW w:w="9720" w:type="dxa"/>
            <w:gridSpan w:val="5"/>
            <w:tcBorders>
              <w:top w:val="nil"/>
              <w:left w:val="nil"/>
              <w:bottom w:val="single" w:sz="4" w:space="0" w:color="000000"/>
              <w:right w:val="nil"/>
              <w:tl2br w:val="nil"/>
              <w:tr2bl w:val="nil"/>
            </w:tcBorders>
            <w:tcMar>
              <w:left w:w="0" w:type="dxa"/>
              <w:right w:w="0" w:type="dxa"/>
            </w:tcMar>
            <w:vAlign w:val="bottom"/>
          </w:tcPr>
          <w:p w14:paraId="47C2A9C3" w14:textId="77777777" w:rsidR="00FD1E19" w:rsidRDefault="00FD1E19" w:rsidP="00BE7E4A">
            <w:pPr>
              <w:suppressAutoHyphens/>
              <w:jc w:val="both"/>
              <w:rPr>
                <w:rFonts w:ascii="Arial" w:eastAsia="Arial" w:hAnsi="Arial" w:cs="Arial"/>
                <w:noProof/>
                <w:color w:val="000000"/>
                <w:sz w:val="16"/>
                <w:lang w:eastAsia="ar-SA"/>
              </w:rPr>
            </w:pPr>
          </w:p>
        </w:tc>
      </w:tr>
      <w:tr w:rsidR="00FD1E19" w14:paraId="28ED171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0" w:type="dxa"/>
              <w:right w:w="0" w:type="dxa"/>
            </w:tcMar>
            <w:vAlign w:val="bottom"/>
          </w:tcPr>
          <w:p w14:paraId="5EE2126E" w14:textId="77777777" w:rsidR="00FD1E19" w:rsidRDefault="00FD1E19" w:rsidP="00BE7E4A">
            <w:pPr>
              <w:suppressAutoHyphens/>
              <w:rPr>
                <w:rFonts w:ascii="Arial" w:eastAsia="Arial" w:hAnsi="Arial" w:cs="Arial"/>
                <w:b/>
                <w:noProof/>
                <w:color w:val="000000"/>
                <w:sz w:val="16"/>
                <w:lang w:eastAsia="ar-SA"/>
              </w:rPr>
            </w:pPr>
          </w:p>
        </w:tc>
        <w:tc>
          <w:tcPr>
            <w:tcW w:w="522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14:paraId="21E9FF1F"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2024</w:t>
            </w:r>
          </w:p>
        </w:tc>
      </w:tr>
      <w:tr w:rsidR="00FD1E19" w14:paraId="1AE333D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4500" w:type="dxa"/>
            <w:tcBorders>
              <w:top w:val="nil"/>
              <w:left w:val="nil"/>
              <w:bottom w:val="nil"/>
              <w:right w:val="nil"/>
              <w:tl2br w:val="nil"/>
              <w:tr2bl w:val="nil"/>
            </w:tcBorders>
            <w:noWrap/>
            <w:tcMar>
              <w:left w:w="0" w:type="dxa"/>
              <w:right w:w="0" w:type="dxa"/>
            </w:tcMar>
            <w:vAlign w:val="bottom"/>
          </w:tcPr>
          <w:p w14:paraId="2A9B8421" w14:textId="77777777" w:rsidR="00FD1E19" w:rsidRDefault="00FD1E19" w:rsidP="00BE7E4A">
            <w:pPr>
              <w:suppressAutoHyphens/>
              <w:rPr>
                <w:rFonts w:ascii="Arial" w:eastAsia="Arial" w:hAnsi="Arial" w:cs="Arial"/>
                <w:b/>
                <w:noProof/>
                <w:color w:val="000000"/>
                <w:sz w:val="16"/>
                <w:lang w:eastAsia="ar-SA"/>
              </w:rPr>
            </w:pPr>
          </w:p>
        </w:tc>
        <w:tc>
          <w:tcPr>
            <w:tcW w:w="1350" w:type="dxa"/>
            <w:tcBorders>
              <w:top w:val="single" w:sz="4" w:space="0" w:color="000000"/>
              <w:left w:val="nil"/>
              <w:bottom w:val="nil"/>
              <w:right w:val="nil"/>
              <w:tl2br w:val="nil"/>
              <w:tr2bl w:val="nil"/>
            </w:tcBorders>
            <w:noWrap/>
            <w:tcMar>
              <w:left w:w="0" w:type="dxa"/>
              <w:right w:w="0" w:type="dxa"/>
            </w:tcMar>
            <w:vAlign w:val="bottom"/>
          </w:tcPr>
          <w:p w14:paraId="2B28B75D" w14:textId="77777777" w:rsidR="00FD1E19" w:rsidRDefault="00FD1E19" w:rsidP="00BE7E4A">
            <w:pPr>
              <w:suppressAutoHyphens/>
              <w:jc w:val="center"/>
              <w:rPr>
                <w:rFonts w:ascii="Arial" w:eastAsia="Arial" w:hAnsi="Arial" w:cs="Arial"/>
                <w:b/>
                <w:noProof/>
                <w:color w:val="000000"/>
                <w:sz w:val="16"/>
                <w:lang w:eastAsia="ar-SA"/>
              </w:rPr>
            </w:pPr>
          </w:p>
        </w:tc>
        <w:tc>
          <w:tcPr>
            <w:tcW w:w="2820" w:type="dxa"/>
            <w:gridSpan w:val="2"/>
            <w:tcBorders>
              <w:top w:val="single" w:sz="4" w:space="0" w:color="000000"/>
              <w:left w:val="nil"/>
              <w:bottom w:val="nil"/>
              <w:right w:val="nil"/>
              <w:tl2br w:val="nil"/>
              <w:tr2bl w:val="nil"/>
            </w:tcBorders>
            <w:tcMar>
              <w:left w:w="40" w:type="dxa"/>
              <w:right w:w="40" w:type="dxa"/>
            </w:tcMar>
            <w:vAlign w:val="center"/>
          </w:tcPr>
          <w:p w14:paraId="540F284D"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Lifetime ECL</w:t>
            </w:r>
          </w:p>
        </w:tc>
        <w:tc>
          <w:tcPr>
            <w:tcW w:w="1050" w:type="dxa"/>
            <w:tcBorders>
              <w:top w:val="single" w:sz="4" w:space="0" w:color="000000"/>
              <w:left w:val="nil"/>
              <w:bottom w:val="nil"/>
              <w:right w:val="nil"/>
              <w:tl2br w:val="nil"/>
              <w:tr2bl w:val="nil"/>
            </w:tcBorders>
            <w:noWrap/>
            <w:tcMar>
              <w:left w:w="0" w:type="dxa"/>
              <w:right w:w="0" w:type="dxa"/>
            </w:tcMar>
            <w:vAlign w:val="bottom"/>
          </w:tcPr>
          <w:p w14:paraId="6489F0AE" w14:textId="77777777" w:rsidR="00FD1E19" w:rsidRDefault="00FD1E19" w:rsidP="00BE7E4A">
            <w:pPr>
              <w:suppressAutoHyphens/>
              <w:jc w:val="center"/>
              <w:rPr>
                <w:rFonts w:ascii="Arial" w:eastAsia="Arial" w:hAnsi="Arial" w:cs="Arial"/>
                <w:b/>
                <w:noProof/>
                <w:color w:val="000000"/>
                <w:sz w:val="16"/>
                <w:lang w:eastAsia="ar-SA"/>
              </w:rPr>
            </w:pPr>
          </w:p>
        </w:tc>
      </w:tr>
      <w:tr w:rsidR="00FD1E19" w14:paraId="70009D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735"/>
        </w:trPr>
        <w:tc>
          <w:tcPr>
            <w:tcW w:w="4500" w:type="dxa"/>
            <w:tcBorders>
              <w:top w:val="nil"/>
              <w:left w:val="nil"/>
              <w:bottom w:val="single" w:sz="4" w:space="0" w:color="000000"/>
              <w:right w:val="nil"/>
              <w:tl2br w:val="nil"/>
              <w:tr2bl w:val="nil"/>
            </w:tcBorders>
            <w:tcMar>
              <w:left w:w="40" w:type="dxa"/>
              <w:right w:w="40" w:type="dxa"/>
            </w:tcMar>
            <w:vAlign w:val="bottom"/>
          </w:tcPr>
          <w:p w14:paraId="1948261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350" w:type="dxa"/>
            <w:tcBorders>
              <w:top w:val="nil"/>
              <w:left w:val="nil"/>
              <w:bottom w:val="single" w:sz="4" w:space="0" w:color="000000"/>
              <w:right w:val="nil"/>
              <w:tl2br w:val="nil"/>
              <w:tr2bl w:val="nil"/>
            </w:tcBorders>
            <w:tcMar>
              <w:left w:w="40" w:type="dxa"/>
              <w:right w:w="40" w:type="dxa"/>
            </w:tcMar>
            <w:vAlign w:val="center"/>
          </w:tcPr>
          <w:p w14:paraId="7FE9B3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12-month ECL</w:t>
            </w:r>
          </w:p>
        </w:tc>
        <w:tc>
          <w:tcPr>
            <w:tcW w:w="1425" w:type="dxa"/>
            <w:tcBorders>
              <w:top w:val="nil"/>
              <w:left w:val="nil"/>
              <w:bottom w:val="single" w:sz="4" w:space="0" w:color="000000"/>
              <w:right w:val="nil"/>
              <w:tl2br w:val="nil"/>
              <w:tr2bl w:val="nil"/>
            </w:tcBorders>
            <w:tcMar>
              <w:left w:w="40" w:type="dxa"/>
              <w:right w:w="40" w:type="dxa"/>
            </w:tcMar>
            <w:vAlign w:val="center"/>
          </w:tcPr>
          <w:p w14:paraId="43A5327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not credit-impaired</w:t>
            </w:r>
          </w:p>
        </w:tc>
        <w:tc>
          <w:tcPr>
            <w:tcW w:w="1395" w:type="dxa"/>
            <w:tcBorders>
              <w:top w:val="nil"/>
              <w:left w:val="nil"/>
              <w:bottom w:val="single" w:sz="4" w:space="0" w:color="000000"/>
              <w:right w:val="nil"/>
              <w:tl2br w:val="nil"/>
              <w:tr2bl w:val="nil"/>
            </w:tcBorders>
            <w:tcMar>
              <w:left w:w="40" w:type="dxa"/>
              <w:right w:w="40" w:type="dxa"/>
            </w:tcMar>
            <w:vAlign w:val="center"/>
          </w:tcPr>
          <w:p w14:paraId="338F017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credit-impaired</w:t>
            </w:r>
          </w:p>
        </w:tc>
        <w:tc>
          <w:tcPr>
            <w:tcW w:w="1050" w:type="dxa"/>
            <w:tcBorders>
              <w:top w:val="nil"/>
              <w:left w:val="nil"/>
              <w:bottom w:val="single" w:sz="4" w:space="0" w:color="000000"/>
              <w:right w:val="nil"/>
              <w:tl2br w:val="nil"/>
              <w:tr2bl w:val="nil"/>
            </w:tcBorders>
            <w:tcMar>
              <w:left w:w="40" w:type="dxa"/>
              <w:right w:w="40" w:type="dxa"/>
            </w:tcMar>
            <w:vAlign w:val="center"/>
          </w:tcPr>
          <w:p w14:paraId="1038D99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2A3890F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62A5EB1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and advances at AC</w:t>
            </w:r>
          </w:p>
        </w:tc>
        <w:tc>
          <w:tcPr>
            <w:tcW w:w="1350" w:type="dxa"/>
            <w:tcBorders>
              <w:top w:val="single" w:sz="4" w:space="0" w:color="000000"/>
              <w:left w:val="nil"/>
              <w:bottom w:val="single" w:sz="4" w:space="0" w:color="000000"/>
              <w:right w:val="nil"/>
              <w:tl2br w:val="nil"/>
              <w:tr2bl w:val="nil"/>
            </w:tcBorders>
            <w:noWrap/>
            <w:tcMar>
              <w:left w:w="0" w:type="dxa"/>
              <w:right w:w="0" w:type="dxa"/>
            </w:tcMar>
            <w:vAlign w:val="bottom"/>
          </w:tcPr>
          <w:p w14:paraId="1238E425" w14:textId="77777777" w:rsidR="00FD1E19" w:rsidRDefault="00FD1E19" w:rsidP="00BE7E4A">
            <w:pPr>
              <w:suppressAutoHyphens/>
              <w:rPr>
                <w:rFonts w:ascii="Arial" w:eastAsia="Arial" w:hAnsi="Arial" w:cs="Arial"/>
                <w:b/>
                <w:noProof/>
                <w:color w:val="000000"/>
                <w:sz w:val="16"/>
                <w:lang w:eastAsia="ar-SA"/>
              </w:rPr>
            </w:pPr>
          </w:p>
        </w:tc>
        <w:tc>
          <w:tcPr>
            <w:tcW w:w="1425" w:type="dxa"/>
            <w:tcBorders>
              <w:top w:val="single" w:sz="4" w:space="0" w:color="000000"/>
              <w:left w:val="nil"/>
              <w:bottom w:val="single" w:sz="4" w:space="0" w:color="000000"/>
              <w:right w:val="nil"/>
              <w:tl2br w:val="nil"/>
              <w:tr2bl w:val="nil"/>
            </w:tcBorders>
            <w:noWrap/>
            <w:tcMar>
              <w:left w:w="0" w:type="dxa"/>
              <w:right w:w="0" w:type="dxa"/>
            </w:tcMar>
            <w:vAlign w:val="bottom"/>
          </w:tcPr>
          <w:p w14:paraId="2B950C8D" w14:textId="77777777" w:rsidR="00FD1E19" w:rsidRDefault="00FD1E19" w:rsidP="00BE7E4A">
            <w:pPr>
              <w:suppressAutoHyphens/>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noWrap/>
            <w:tcMar>
              <w:left w:w="0" w:type="dxa"/>
              <w:right w:w="0" w:type="dxa"/>
            </w:tcMar>
            <w:vAlign w:val="bottom"/>
          </w:tcPr>
          <w:p w14:paraId="100F3E0A" w14:textId="77777777" w:rsidR="00FD1E19" w:rsidRDefault="00FD1E19" w:rsidP="00BE7E4A">
            <w:pPr>
              <w:suppressAutoHyphens/>
              <w:rPr>
                <w:rFonts w:ascii="Arial" w:eastAsia="Arial" w:hAnsi="Arial" w:cs="Arial"/>
                <w:b/>
                <w:noProof/>
                <w:color w:val="000000"/>
                <w:sz w:val="16"/>
                <w:lang w:eastAsia="ar-SA"/>
              </w:rPr>
            </w:pPr>
          </w:p>
        </w:tc>
        <w:tc>
          <w:tcPr>
            <w:tcW w:w="1050" w:type="dxa"/>
            <w:tcBorders>
              <w:top w:val="single" w:sz="4" w:space="0" w:color="000000"/>
              <w:left w:val="nil"/>
              <w:bottom w:val="single" w:sz="4" w:space="0" w:color="000000"/>
              <w:right w:val="nil"/>
              <w:tl2br w:val="nil"/>
              <w:tr2bl w:val="nil"/>
            </w:tcBorders>
            <w:noWrap/>
            <w:tcMar>
              <w:left w:w="0" w:type="dxa"/>
              <w:right w:w="0" w:type="dxa"/>
            </w:tcMar>
            <w:vAlign w:val="bottom"/>
          </w:tcPr>
          <w:p w14:paraId="33CBBDAE" w14:textId="77777777" w:rsidR="00FD1E19" w:rsidRDefault="00FD1E19" w:rsidP="00BE7E4A">
            <w:pPr>
              <w:suppressAutoHyphens/>
              <w:rPr>
                <w:rFonts w:ascii="Arial" w:eastAsia="Arial" w:hAnsi="Arial" w:cs="Arial"/>
                <w:b/>
                <w:noProof/>
                <w:color w:val="000000"/>
                <w:sz w:val="16"/>
                <w:lang w:eastAsia="ar-SA"/>
              </w:rPr>
            </w:pPr>
          </w:p>
        </w:tc>
      </w:tr>
      <w:tr w:rsidR="00FD1E19" w14:paraId="6482350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single" w:sz="4" w:space="0" w:color="000000"/>
              <w:right w:val="nil"/>
              <w:tl2br w:val="nil"/>
              <w:tr2bl w:val="nil"/>
            </w:tcBorders>
            <w:noWrap/>
            <w:tcMar>
              <w:left w:w="40" w:type="dxa"/>
              <w:right w:w="40" w:type="dxa"/>
            </w:tcMar>
            <w:vAlign w:val="bottom"/>
          </w:tcPr>
          <w:p w14:paraId="571DCB3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1 January 2024</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2D08D58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10,964</w:t>
            </w:r>
          </w:p>
        </w:tc>
        <w:tc>
          <w:tcPr>
            <w:tcW w:w="1425" w:type="dxa"/>
            <w:tcBorders>
              <w:top w:val="single" w:sz="4" w:space="0" w:color="000000"/>
              <w:left w:val="nil"/>
              <w:bottom w:val="single" w:sz="4" w:space="0" w:color="000000"/>
              <w:right w:val="nil"/>
              <w:tl2br w:val="nil"/>
              <w:tr2bl w:val="nil"/>
            </w:tcBorders>
            <w:tcMar>
              <w:left w:w="40" w:type="dxa"/>
              <w:right w:w="40" w:type="dxa"/>
            </w:tcMar>
            <w:vAlign w:val="center"/>
          </w:tcPr>
          <w:p w14:paraId="46F4041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24,674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1A4CD53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13,959</w:t>
            </w:r>
          </w:p>
        </w:tc>
        <w:tc>
          <w:tcPr>
            <w:tcW w:w="1050" w:type="dxa"/>
            <w:tcBorders>
              <w:top w:val="single" w:sz="4" w:space="0" w:color="000000"/>
              <w:left w:val="nil"/>
              <w:bottom w:val="single" w:sz="4" w:space="0" w:color="000000"/>
              <w:right w:val="nil"/>
              <w:tl2br w:val="nil"/>
              <w:tr2bl w:val="nil"/>
            </w:tcBorders>
            <w:tcMar>
              <w:left w:w="40" w:type="dxa"/>
              <w:right w:w="40" w:type="dxa"/>
            </w:tcMar>
            <w:vAlign w:val="center"/>
          </w:tcPr>
          <w:p w14:paraId="109CA56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49,597</w:t>
            </w:r>
          </w:p>
        </w:tc>
      </w:tr>
      <w:tr w:rsidR="00FD1E19" w14:paraId="721087F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single" w:sz="4" w:space="0" w:color="000000"/>
              <w:left w:val="nil"/>
              <w:bottom w:val="nil"/>
              <w:right w:val="nil"/>
              <w:tl2br w:val="nil"/>
              <w:tr2bl w:val="nil"/>
            </w:tcBorders>
            <w:noWrap/>
            <w:tcMar>
              <w:left w:w="40" w:type="dxa"/>
              <w:right w:w="40" w:type="dxa"/>
            </w:tcMar>
            <w:vAlign w:val="bottom"/>
          </w:tcPr>
          <w:p w14:paraId="723890B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12-month ECL</w:t>
            </w:r>
          </w:p>
        </w:tc>
        <w:tc>
          <w:tcPr>
            <w:tcW w:w="1350" w:type="dxa"/>
            <w:tcBorders>
              <w:top w:val="single" w:sz="4" w:space="0" w:color="000000"/>
              <w:left w:val="nil"/>
              <w:bottom w:val="nil"/>
              <w:right w:val="nil"/>
              <w:tl2br w:val="nil"/>
              <w:tr2bl w:val="nil"/>
            </w:tcBorders>
            <w:tcMar>
              <w:left w:w="40" w:type="dxa"/>
              <w:right w:w="40" w:type="dxa"/>
            </w:tcMar>
            <w:vAlign w:val="center"/>
          </w:tcPr>
          <w:p w14:paraId="7F14105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2,271</w:t>
            </w:r>
          </w:p>
        </w:tc>
        <w:tc>
          <w:tcPr>
            <w:tcW w:w="1425" w:type="dxa"/>
            <w:tcBorders>
              <w:top w:val="single" w:sz="4" w:space="0" w:color="000000"/>
              <w:left w:val="nil"/>
              <w:bottom w:val="nil"/>
              <w:right w:val="nil"/>
              <w:tl2br w:val="nil"/>
              <w:tr2bl w:val="nil"/>
            </w:tcBorders>
            <w:tcMar>
              <w:left w:w="40" w:type="dxa"/>
              <w:right w:w="40" w:type="dxa"/>
            </w:tcMar>
            <w:vAlign w:val="center"/>
          </w:tcPr>
          <w:p w14:paraId="3FC400C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-9,511</w:t>
            </w:r>
          </w:p>
        </w:tc>
        <w:tc>
          <w:tcPr>
            <w:tcW w:w="1395" w:type="dxa"/>
            <w:tcBorders>
              <w:top w:val="single" w:sz="4" w:space="0" w:color="000000"/>
              <w:left w:val="nil"/>
              <w:bottom w:val="nil"/>
              <w:right w:val="nil"/>
              <w:tl2br w:val="nil"/>
              <w:tr2bl w:val="nil"/>
            </w:tcBorders>
            <w:tcMar>
              <w:left w:w="40" w:type="dxa"/>
              <w:right w:w="40" w:type="dxa"/>
            </w:tcMar>
            <w:vAlign w:val="center"/>
          </w:tcPr>
          <w:p w14:paraId="5D5E68B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single" w:sz="4" w:space="0" w:color="000000"/>
              <w:left w:val="nil"/>
              <w:bottom w:val="nil"/>
              <w:right w:val="nil"/>
              <w:tl2br w:val="nil"/>
              <w:tr2bl w:val="nil"/>
            </w:tcBorders>
            <w:tcMar>
              <w:left w:w="40" w:type="dxa"/>
              <w:right w:w="40" w:type="dxa"/>
            </w:tcMar>
            <w:vAlign w:val="center"/>
          </w:tcPr>
          <w:p w14:paraId="09E35A6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-7,240</w:t>
            </w:r>
          </w:p>
        </w:tc>
      </w:tr>
      <w:tr w:rsidR="00FD1E19" w14:paraId="5A5DE3B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14:paraId="7F3D31C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lifetime ECL not credit-impaired</w:t>
            </w:r>
          </w:p>
        </w:tc>
        <w:tc>
          <w:tcPr>
            <w:tcW w:w="1350" w:type="dxa"/>
            <w:tcBorders>
              <w:top w:val="nil"/>
              <w:left w:val="nil"/>
              <w:bottom w:val="nil"/>
              <w:right w:val="nil"/>
              <w:tl2br w:val="nil"/>
              <w:tr2bl w:val="nil"/>
            </w:tcBorders>
            <w:tcMar>
              <w:left w:w="40" w:type="dxa"/>
              <w:right w:w="40" w:type="dxa"/>
            </w:tcMar>
            <w:vAlign w:val="center"/>
          </w:tcPr>
          <w:p w14:paraId="69AB5C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-288</w:t>
            </w:r>
          </w:p>
        </w:tc>
        <w:tc>
          <w:tcPr>
            <w:tcW w:w="1425" w:type="dxa"/>
            <w:tcBorders>
              <w:top w:val="nil"/>
              <w:left w:val="nil"/>
              <w:bottom w:val="nil"/>
              <w:right w:val="nil"/>
              <w:tl2br w:val="nil"/>
              <w:tr2bl w:val="nil"/>
            </w:tcBorders>
            <w:tcMar>
              <w:left w:w="40" w:type="dxa"/>
              <w:right w:w="40" w:type="dxa"/>
            </w:tcMar>
            <w:vAlign w:val="center"/>
          </w:tcPr>
          <w:p w14:paraId="6E0310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948</w:t>
            </w:r>
          </w:p>
        </w:tc>
        <w:tc>
          <w:tcPr>
            <w:tcW w:w="1395" w:type="dxa"/>
            <w:tcBorders>
              <w:top w:val="nil"/>
              <w:left w:val="nil"/>
              <w:bottom w:val="nil"/>
              <w:right w:val="nil"/>
              <w:tl2br w:val="nil"/>
              <w:tr2bl w:val="nil"/>
            </w:tcBorders>
            <w:tcMar>
              <w:left w:w="40" w:type="dxa"/>
              <w:right w:w="40" w:type="dxa"/>
            </w:tcMar>
            <w:vAlign w:val="center"/>
          </w:tcPr>
          <w:p w14:paraId="06A6CC6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47FD457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660</w:t>
            </w:r>
          </w:p>
        </w:tc>
      </w:tr>
      <w:tr w:rsidR="00FD1E19" w14:paraId="1F18E3B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14:paraId="5EF5608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lifetime ECL credit-impaired</w:t>
            </w:r>
          </w:p>
        </w:tc>
        <w:tc>
          <w:tcPr>
            <w:tcW w:w="1350" w:type="dxa"/>
            <w:tcBorders>
              <w:top w:val="nil"/>
              <w:left w:val="nil"/>
              <w:bottom w:val="nil"/>
              <w:right w:val="nil"/>
              <w:tl2br w:val="nil"/>
              <w:tr2bl w:val="nil"/>
            </w:tcBorders>
            <w:tcMar>
              <w:left w:w="40" w:type="dxa"/>
              <w:right w:w="40" w:type="dxa"/>
            </w:tcMar>
            <w:vAlign w:val="center"/>
          </w:tcPr>
          <w:p w14:paraId="0686249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25" w:type="dxa"/>
            <w:tcBorders>
              <w:top w:val="nil"/>
              <w:left w:val="nil"/>
              <w:bottom w:val="nil"/>
              <w:right w:val="nil"/>
              <w:tl2br w:val="nil"/>
              <w:tr2bl w:val="nil"/>
            </w:tcBorders>
            <w:tcMar>
              <w:left w:w="40" w:type="dxa"/>
              <w:right w:w="40" w:type="dxa"/>
            </w:tcMar>
            <w:vAlign w:val="center"/>
          </w:tcPr>
          <w:p w14:paraId="6335A79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-1,428</w:t>
            </w:r>
          </w:p>
        </w:tc>
        <w:tc>
          <w:tcPr>
            <w:tcW w:w="1395" w:type="dxa"/>
            <w:tcBorders>
              <w:top w:val="nil"/>
              <w:left w:val="nil"/>
              <w:bottom w:val="nil"/>
              <w:right w:val="nil"/>
              <w:tl2br w:val="nil"/>
              <w:tr2bl w:val="nil"/>
            </w:tcBorders>
            <w:tcMar>
              <w:left w:w="40" w:type="dxa"/>
              <w:right w:w="40" w:type="dxa"/>
            </w:tcMar>
            <w:vAlign w:val="center"/>
          </w:tcPr>
          <w:p w14:paraId="1C6C23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5,786</w:t>
            </w:r>
          </w:p>
        </w:tc>
        <w:tc>
          <w:tcPr>
            <w:tcW w:w="1050" w:type="dxa"/>
            <w:tcBorders>
              <w:top w:val="nil"/>
              <w:left w:val="nil"/>
              <w:bottom w:val="nil"/>
              <w:right w:val="nil"/>
              <w:tl2br w:val="nil"/>
              <w:tr2bl w:val="nil"/>
            </w:tcBorders>
            <w:tcMar>
              <w:left w:w="40" w:type="dxa"/>
              <w:right w:w="40" w:type="dxa"/>
            </w:tcMar>
            <w:vAlign w:val="center"/>
          </w:tcPr>
          <w:p w14:paraId="7B8E59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4,358</w:t>
            </w:r>
          </w:p>
        </w:tc>
      </w:tr>
      <w:tr w:rsidR="00FD1E19" w14:paraId="51BE678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14:paraId="18E5E60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measurement of loss allowance</w:t>
            </w:r>
          </w:p>
        </w:tc>
        <w:tc>
          <w:tcPr>
            <w:tcW w:w="1350" w:type="dxa"/>
            <w:tcBorders>
              <w:top w:val="nil"/>
              <w:left w:val="nil"/>
              <w:bottom w:val="nil"/>
              <w:right w:val="nil"/>
              <w:tl2br w:val="nil"/>
              <w:tr2bl w:val="nil"/>
            </w:tcBorders>
            <w:tcMar>
              <w:left w:w="40" w:type="dxa"/>
              <w:right w:w="40" w:type="dxa"/>
            </w:tcMar>
            <w:vAlign w:val="center"/>
          </w:tcPr>
          <w:p w14:paraId="46B6C45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-3,160</w:t>
            </w:r>
          </w:p>
        </w:tc>
        <w:tc>
          <w:tcPr>
            <w:tcW w:w="1425" w:type="dxa"/>
            <w:tcBorders>
              <w:top w:val="nil"/>
              <w:left w:val="nil"/>
              <w:bottom w:val="nil"/>
              <w:right w:val="nil"/>
              <w:tl2br w:val="nil"/>
              <w:tr2bl w:val="nil"/>
            </w:tcBorders>
            <w:tcMar>
              <w:left w:w="40" w:type="dxa"/>
              <w:right w:w="40" w:type="dxa"/>
            </w:tcMar>
            <w:vAlign w:val="center"/>
          </w:tcPr>
          <w:p w14:paraId="6C96BB4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-2,394</w:t>
            </w:r>
          </w:p>
        </w:tc>
        <w:tc>
          <w:tcPr>
            <w:tcW w:w="1395" w:type="dxa"/>
            <w:tcBorders>
              <w:top w:val="nil"/>
              <w:left w:val="nil"/>
              <w:bottom w:val="nil"/>
              <w:right w:val="nil"/>
              <w:tl2br w:val="nil"/>
              <w:tr2bl w:val="nil"/>
            </w:tcBorders>
            <w:tcMar>
              <w:left w:w="40" w:type="dxa"/>
              <w:right w:w="40" w:type="dxa"/>
            </w:tcMar>
            <w:vAlign w:val="center"/>
          </w:tcPr>
          <w:p w14:paraId="6D9BA1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-3,088</w:t>
            </w:r>
          </w:p>
        </w:tc>
        <w:tc>
          <w:tcPr>
            <w:tcW w:w="1050" w:type="dxa"/>
            <w:tcBorders>
              <w:top w:val="nil"/>
              <w:left w:val="nil"/>
              <w:bottom w:val="nil"/>
              <w:right w:val="nil"/>
              <w:tl2br w:val="nil"/>
              <w:tr2bl w:val="nil"/>
            </w:tcBorders>
            <w:tcMar>
              <w:left w:w="40" w:type="dxa"/>
              <w:right w:w="40" w:type="dxa"/>
            </w:tcMar>
            <w:vAlign w:val="center"/>
          </w:tcPr>
          <w:p w14:paraId="068259D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-8,642</w:t>
            </w:r>
          </w:p>
        </w:tc>
      </w:tr>
      <w:tr w:rsidR="00FD1E19" w14:paraId="143AC6B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14:paraId="109568C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New financial assets originated or purchased</w:t>
            </w:r>
          </w:p>
        </w:tc>
        <w:tc>
          <w:tcPr>
            <w:tcW w:w="1350" w:type="dxa"/>
            <w:tcBorders>
              <w:top w:val="nil"/>
              <w:left w:val="nil"/>
              <w:bottom w:val="nil"/>
              <w:right w:val="nil"/>
              <w:tl2br w:val="nil"/>
              <w:tr2bl w:val="nil"/>
            </w:tcBorders>
            <w:tcMar>
              <w:left w:w="40" w:type="dxa"/>
              <w:right w:w="40" w:type="dxa"/>
            </w:tcMar>
            <w:vAlign w:val="center"/>
          </w:tcPr>
          <w:p w14:paraId="4EE1548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25" w:type="dxa"/>
            <w:tcBorders>
              <w:top w:val="nil"/>
              <w:left w:val="nil"/>
              <w:bottom w:val="nil"/>
              <w:right w:val="nil"/>
              <w:tl2br w:val="nil"/>
              <w:tr2bl w:val="nil"/>
            </w:tcBorders>
            <w:tcMar>
              <w:left w:w="40" w:type="dxa"/>
              <w:right w:w="40" w:type="dxa"/>
            </w:tcMar>
            <w:vAlign w:val="center"/>
          </w:tcPr>
          <w:p w14:paraId="3574049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nil"/>
              <w:left w:val="nil"/>
              <w:bottom w:val="nil"/>
              <w:right w:val="nil"/>
              <w:tl2br w:val="nil"/>
              <w:tr2bl w:val="nil"/>
            </w:tcBorders>
            <w:tcMar>
              <w:left w:w="40" w:type="dxa"/>
              <w:right w:w="40" w:type="dxa"/>
            </w:tcMar>
            <w:vAlign w:val="center"/>
          </w:tcPr>
          <w:p w14:paraId="3EE147B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6388DAB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5BE37A3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14:paraId="2DE725F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assets that have been derecognised</w:t>
            </w:r>
          </w:p>
        </w:tc>
        <w:tc>
          <w:tcPr>
            <w:tcW w:w="1350" w:type="dxa"/>
            <w:tcBorders>
              <w:top w:val="nil"/>
              <w:left w:val="nil"/>
              <w:bottom w:val="nil"/>
              <w:right w:val="nil"/>
              <w:tl2br w:val="nil"/>
              <w:tr2bl w:val="nil"/>
            </w:tcBorders>
            <w:tcMar>
              <w:left w:w="40" w:type="dxa"/>
              <w:right w:w="40" w:type="dxa"/>
            </w:tcMar>
            <w:vAlign w:val="center"/>
          </w:tcPr>
          <w:p w14:paraId="17A83E6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-1,028</w:t>
            </w:r>
          </w:p>
        </w:tc>
        <w:tc>
          <w:tcPr>
            <w:tcW w:w="1425" w:type="dxa"/>
            <w:tcBorders>
              <w:top w:val="nil"/>
              <w:left w:val="nil"/>
              <w:bottom w:val="nil"/>
              <w:right w:val="nil"/>
              <w:tl2br w:val="nil"/>
              <w:tr2bl w:val="nil"/>
            </w:tcBorders>
            <w:tcMar>
              <w:left w:w="40" w:type="dxa"/>
              <w:right w:w="40" w:type="dxa"/>
            </w:tcMar>
            <w:vAlign w:val="center"/>
          </w:tcPr>
          <w:p w14:paraId="2C6E24A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-253</w:t>
            </w:r>
          </w:p>
        </w:tc>
        <w:tc>
          <w:tcPr>
            <w:tcW w:w="1395" w:type="dxa"/>
            <w:tcBorders>
              <w:top w:val="nil"/>
              <w:left w:val="nil"/>
              <w:bottom w:val="nil"/>
              <w:right w:val="nil"/>
              <w:tl2br w:val="nil"/>
              <w:tr2bl w:val="nil"/>
            </w:tcBorders>
            <w:tcMar>
              <w:left w:w="40" w:type="dxa"/>
              <w:right w:w="40" w:type="dxa"/>
            </w:tcMar>
            <w:vAlign w:val="center"/>
          </w:tcPr>
          <w:p w14:paraId="1880AF2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050" w:type="dxa"/>
            <w:tcBorders>
              <w:top w:val="nil"/>
              <w:left w:val="nil"/>
              <w:bottom w:val="nil"/>
              <w:right w:val="nil"/>
              <w:tl2br w:val="nil"/>
              <w:tr2bl w:val="nil"/>
            </w:tcBorders>
            <w:tcMar>
              <w:left w:w="40" w:type="dxa"/>
              <w:right w:w="40" w:type="dxa"/>
            </w:tcMar>
            <w:vAlign w:val="center"/>
          </w:tcPr>
          <w:p w14:paraId="1BCB28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-1,281</w:t>
            </w:r>
          </w:p>
        </w:tc>
      </w:tr>
      <w:tr w:rsidR="00FD1E19" w14:paraId="449D016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14:paraId="40D3766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Write offs</w:t>
            </w:r>
          </w:p>
        </w:tc>
        <w:tc>
          <w:tcPr>
            <w:tcW w:w="1350" w:type="dxa"/>
            <w:tcBorders>
              <w:top w:val="nil"/>
              <w:left w:val="nil"/>
              <w:bottom w:val="nil"/>
              <w:right w:val="nil"/>
              <w:tl2br w:val="nil"/>
              <w:tr2bl w:val="nil"/>
            </w:tcBorders>
            <w:tcMar>
              <w:left w:w="40" w:type="dxa"/>
              <w:right w:w="40" w:type="dxa"/>
            </w:tcMar>
            <w:vAlign w:val="center"/>
          </w:tcPr>
          <w:p w14:paraId="0B71332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25" w:type="dxa"/>
            <w:tcBorders>
              <w:top w:val="nil"/>
              <w:left w:val="nil"/>
              <w:bottom w:val="nil"/>
              <w:right w:val="nil"/>
              <w:tl2br w:val="nil"/>
              <w:tr2bl w:val="nil"/>
            </w:tcBorders>
            <w:tcMar>
              <w:left w:w="40" w:type="dxa"/>
              <w:right w:w="40" w:type="dxa"/>
            </w:tcMar>
            <w:vAlign w:val="center"/>
          </w:tcPr>
          <w:p w14:paraId="10C3C5F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nil"/>
              <w:left w:val="nil"/>
              <w:bottom w:val="nil"/>
              <w:right w:val="nil"/>
              <w:tl2br w:val="nil"/>
              <w:tr2bl w:val="nil"/>
            </w:tcBorders>
            <w:tcMar>
              <w:left w:w="40" w:type="dxa"/>
              <w:right w:w="40" w:type="dxa"/>
            </w:tcMar>
            <w:vAlign w:val="center"/>
          </w:tcPr>
          <w:p w14:paraId="418F79E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-4,945</w:t>
            </w:r>
          </w:p>
        </w:tc>
        <w:tc>
          <w:tcPr>
            <w:tcW w:w="1050" w:type="dxa"/>
            <w:tcBorders>
              <w:top w:val="nil"/>
              <w:left w:val="nil"/>
              <w:bottom w:val="nil"/>
              <w:right w:val="nil"/>
              <w:tl2br w:val="nil"/>
              <w:tr2bl w:val="nil"/>
            </w:tcBorders>
            <w:tcMar>
              <w:left w:w="40" w:type="dxa"/>
              <w:right w:w="40" w:type="dxa"/>
            </w:tcMar>
            <w:vAlign w:val="center"/>
          </w:tcPr>
          <w:p w14:paraId="3844DB4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-4,945</w:t>
            </w:r>
          </w:p>
        </w:tc>
      </w:tr>
      <w:tr w:rsidR="00FD1E19" w14:paraId="03712C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noWrap/>
            <w:tcMar>
              <w:left w:w="40" w:type="dxa"/>
              <w:right w:w="40" w:type="dxa"/>
            </w:tcMar>
            <w:vAlign w:val="bottom"/>
          </w:tcPr>
          <w:p w14:paraId="564B47E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350" w:type="dxa"/>
            <w:tcBorders>
              <w:top w:val="nil"/>
              <w:left w:val="nil"/>
              <w:bottom w:val="nil"/>
              <w:right w:val="nil"/>
              <w:tl2br w:val="nil"/>
              <w:tr2bl w:val="nil"/>
            </w:tcBorders>
            <w:tcMar>
              <w:left w:w="40" w:type="dxa"/>
              <w:right w:w="40" w:type="dxa"/>
            </w:tcMar>
            <w:vAlign w:val="center"/>
          </w:tcPr>
          <w:p w14:paraId="2113067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916</w:t>
            </w:r>
          </w:p>
        </w:tc>
        <w:tc>
          <w:tcPr>
            <w:tcW w:w="1425" w:type="dxa"/>
            <w:tcBorders>
              <w:top w:val="nil"/>
              <w:left w:val="nil"/>
              <w:bottom w:val="nil"/>
              <w:right w:val="nil"/>
              <w:tl2br w:val="nil"/>
              <w:tr2bl w:val="nil"/>
            </w:tcBorders>
            <w:tcMar>
              <w:left w:w="40" w:type="dxa"/>
              <w:right w:w="40" w:type="dxa"/>
            </w:tcMar>
            <w:vAlign w:val="center"/>
          </w:tcPr>
          <w:p w14:paraId="71EC0C5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540</w:t>
            </w:r>
          </w:p>
        </w:tc>
        <w:tc>
          <w:tcPr>
            <w:tcW w:w="1395" w:type="dxa"/>
            <w:tcBorders>
              <w:top w:val="nil"/>
              <w:left w:val="nil"/>
              <w:bottom w:val="nil"/>
              <w:right w:val="nil"/>
              <w:tl2br w:val="nil"/>
              <w:tr2bl w:val="nil"/>
            </w:tcBorders>
            <w:tcMar>
              <w:left w:w="40" w:type="dxa"/>
              <w:right w:w="40" w:type="dxa"/>
            </w:tcMar>
            <w:vAlign w:val="center"/>
          </w:tcPr>
          <w:p w14:paraId="07A29B9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548</w:t>
            </w:r>
          </w:p>
        </w:tc>
        <w:tc>
          <w:tcPr>
            <w:tcW w:w="1050" w:type="dxa"/>
            <w:tcBorders>
              <w:top w:val="nil"/>
              <w:left w:val="nil"/>
              <w:bottom w:val="nil"/>
              <w:right w:val="nil"/>
              <w:tl2br w:val="nil"/>
              <w:tr2bl w:val="nil"/>
            </w:tcBorders>
            <w:tcMar>
              <w:left w:w="40" w:type="dxa"/>
              <w:right w:w="40" w:type="dxa"/>
            </w:tcMar>
            <w:vAlign w:val="center"/>
          </w:tcPr>
          <w:p w14:paraId="04386B1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2,004</w:t>
            </w:r>
          </w:p>
        </w:tc>
      </w:tr>
      <w:tr w:rsidR="00FD1E19" w14:paraId="56A6A35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4500" w:type="dxa"/>
            <w:tcBorders>
              <w:top w:val="nil"/>
              <w:left w:val="nil"/>
              <w:bottom w:val="nil"/>
              <w:right w:val="nil"/>
              <w:tl2br w:val="nil"/>
              <w:tr2bl w:val="nil"/>
            </w:tcBorders>
            <w:shd w:val="clear" w:color="FFFFFF" w:fill="C0C0C0"/>
            <w:noWrap/>
            <w:tcMar>
              <w:left w:w="40" w:type="dxa"/>
              <w:right w:w="40" w:type="dxa"/>
            </w:tcMar>
            <w:vAlign w:val="bottom"/>
          </w:tcPr>
          <w:p w14:paraId="27CF4C1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31 December 2024</w:t>
            </w:r>
          </w:p>
        </w:tc>
        <w:tc>
          <w:tcPr>
            <w:tcW w:w="1350" w:type="dxa"/>
            <w:tcBorders>
              <w:top w:val="nil"/>
              <w:left w:val="nil"/>
              <w:bottom w:val="nil"/>
              <w:right w:val="nil"/>
              <w:tl2br w:val="nil"/>
              <w:tr2bl w:val="nil"/>
            </w:tcBorders>
            <w:shd w:val="clear" w:color="FFFFFF" w:fill="C0C0C0"/>
            <w:tcMar>
              <w:left w:w="40" w:type="dxa"/>
              <w:right w:w="40" w:type="dxa"/>
            </w:tcMar>
            <w:vAlign w:val="center"/>
          </w:tcPr>
          <w:p w14:paraId="56A810D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9,675</w:t>
            </w:r>
          </w:p>
        </w:tc>
        <w:tc>
          <w:tcPr>
            <w:tcW w:w="1425" w:type="dxa"/>
            <w:tcBorders>
              <w:top w:val="nil"/>
              <w:left w:val="nil"/>
              <w:bottom w:val="nil"/>
              <w:right w:val="nil"/>
              <w:tl2br w:val="nil"/>
              <w:tr2bl w:val="nil"/>
            </w:tcBorders>
            <w:shd w:val="clear" w:color="FFFFFF" w:fill="C0C0C0"/>
            <w:tcMar>
              <w:left w:w="40" w:type="dxa"/>
              <w:right w:w="40" w:type="dxa"/>
            </w:tcMar>
            <w:vAlign w:val="center"/>
          </w:tcPr>
          <w:p w14:paraId="089AB7D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12,576</w:t>
            </w:r>
          </w:p>
        </w:tc>
        <w:tc>
          <w:tcPr>
            <w:tcW w:w="1395" w:type="dxa"/>
            <w:tcBorders>
              <w:top w:val="nil"/>
              <w:left w:val="nil"/>
              <w:bottom w:val="nil"/>
              <w:right w:val="nil"/>
              <w:tl2br w:val="nil"/>
              <w:tr2bl w:val="nil"/>
            </w:tcBorders>
            <w:shd w:val="clear" w:color="FFFFFF" w:fill="C0C0C0"/>
            <w:tcMar>
              <w:left w:w="40" w:type="dxa"/>
              <w:right w:w="40" w:type="dxa"/>
            </w:tcMar>
            <w:vAlign w:val="center"/>
          </w:tcPr>
          <w:p w14:paraId="328B5B4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12,260</w:t>
            </w:r>
          </w:p>
        </w:tc>
        <w:tc>
          <w:tcPr>
            <w:tcW w:w="1050" w:type="dxa"/>
            <w:tcBorders>
              <w:top w:val="nil"/>
              <w:left w:val="nil"/>
              <w:bottom w:val="nil"/>
              <w:right w:val="nil"/>
              <w:tl2br w:val="nil"/>
              <w:tr2bl w:val="nil"/>
            </w:tcBorders>
            <w:shd w:val="clear" w:color="FFFFFF" w:fill="C0C0C0"/>
            <w:tcMar>
              <w:left w:w="40" w:type="dxa"/>
              <w:right w:w="40" w:type="dxa"/>
            </w:tcMar>
            <w:vAlign w:val="center"/>
          </w:tcPr>
          <w:p w14:paraId="2739275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34,511</w:t>
            </w:r>
          </w:p>
        </w:tc>
      </w:tr>
    </w:tbl>
    <w:p w14:paraId="51D655E4" w14:textId="77777777" w:rsidR="00FD1E19"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val="en-US" w:eastAsia="ar-SA"/>
        </w:rPr>
      </w:pPr>
      <w:bookmarkStart w:id="290" w:name="RG_MARKER_90176"/>
      <w:bookmarkStart w:id="291" w:name="RG_MARKER_90075"/>
      <w:r w:rsidRPr="0074139E">
        <w:rPr>
          <w:rFonts w:ascii="Arial" w:hAnsi="Arial"/>
          <w:b/>
          <w:noProof/>
          <w:sz w:val="20"/>
          <w:lang w:val="en-US" w:eastAsia="ar-SA"/>
        </w:rPr>
        <w:t>8</w:t>
      </w:r>
      <w:bookmarkEnd w:id="290"/>
      <w:bookmarkEnd w:id="291"/>
      <w:r>
        <w:rPr>
          <w:rFonts w:ascii="Arial" w:hAnsi="Arial"/>
          <w:b/>
          <w:noProof/>
          <w:sz w:val="20"/>
          <w:lang w:val="en-US" w:eastAsia="ar-SA"/>
        </w:rPr>
        <w:tab/>
        <w:t>Shares and other variable yield securities</w:t>
      </w:r>
    </w:p>
    <w:p w14:paraId="26A9F8A0"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61B3E212" w14:textId="77777777" w:rsidR="00FD1E19" w:rsidRPr="00294944"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The following table show reconciliation from the opening to the closing balance of the Equity investments:</w:t>
      </w:r>
    </w:p>
    <w:tbl>
      <w:tblPr>
        <w:tblStyle w:val="CDMRange1"/>
        <w:tblW w:w="5000" w:type="pct"/>
        <w:tblLayout w:type="fixed"/>
        <w:tblLook w:val="0600" w:firstRow="0" w:lastRow="0" w:firstColumn="0" w:lastColumn="0" w:noHBand="1" w:noVBand="1"/>
      </w:tblPr>
      <w:tblGrid>
        <w:gridCol w:w="5631"/>
        <w:gridCol w:w="1348"/>
        <w:gridCol w:w="1362"/>
        <w:gridCol w:w="1377"/>
      </w:tblGrid>
      <w:tr w:rsidR="00FD1E19" w14:paraId="365E4D06" w14:textId="77777777" w:rsidTr="00BE7E4A">
        <w:trPr>
          <w:trHeight w:hRule="exact" w:val="42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4CF4C579" w14:textId="77777777" w:rsidR="00FD1E19" w:rsidRDefault="00FD1E19" w:rsidP="00BE7E4A">
            <w:pPr>
              <w:suppressAutoHyphens/>
              <w:rPr>
                <w:rFonts w:ascii="Arial" w:eastAsia="Arial" w:hAnsi="Arial" w:cs="Arial"/>
                <w:b/>
                <w:noProof/>
                <w:color w:val="000000"/>
                <w:sz w:val="16"/>
                <w:lang w:eastAsia="ar-SA"/>
              </w:rPr>
            </w:pPr>
            <w:bookmarkStart w:id="292" w:name="RG_MARKER_90177"/>
            <w:r>
              <w:rPr>
                <w:rFonts w:ascii="Arial" w:eastAsia="Arial" w:hAnsi="Arial" w:cs="Arial"/>
                <w:b/>
                <w:noProof/>
                <w:color w:val="000000"/>
                <w:sz w:val="16"/>
                <w:lang w:eastAsia="ar-SA"/>
              </w:rPr>
              <w:t>in EUR'000</w:t>
            </w:r>
            <w:bookmarkEnd w:id="292"/>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6548933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Venture Capital Funds</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2C4574A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Direct Equity Investments</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7F9947A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3ADA521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5ABDAF2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Cost as at 1 January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39F4578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663,881</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6DCFE93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93,835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5C3365E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757,716</w:t>
            </w:r>
          </w:p>
        </w:tc>
      </w:tr>
      <w:tr w:rsidR="00FD1E19" w14:paraId="793E356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14:paraId="648B6AF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Reclassification</w:t>
            </w:r>
          </w:p>
        </w:tc>
        <w:tc>
          <w:tcPr>
            <w:tcW w:w="1380" w:type="dxa"/>
            <w:tcBorders>
              <w:top w:val="single" w:sz="4" w:space="0" w:color="000000"/>
              <w:left w:val="nil"/>
              <w:bottom w:val="nil"/>
              <w:right w:val="nil"/>
              <w:tl2br w:val="nil"/>
              <w:tr2bl w:val="nil"/>
            </w:tcBorders>
            <w:tcMar>
              <w:left w:w="40" w:type="dxa"/>
              <w:right w:w="40" w:type="dxa"/>
            </w:tcMar>
            <w:vAlign w:val="center"/>
          </w:tcPr>
          <w:p w14:paraId="5394155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single" w:sz="4" w:space="0" w:color="000000"/>
              <w:left w:val="nil"/>
              <w:bottom w:val="nil"/>
              <w:right w:val="nil"/>
              <w:tl2br w:val="nil"/>
              <w:tr2bl w:val="nil"/>
            </w:tcBorders>
            <w:tcMar>
              <w:left w:w="40" w:type="dxa"/>
              <w:right w:w="40" w:type="dxa"/>
            </w:tcMar>
            <w:vAlign w:val="center"/>
          </w:tcPr>
          <w:p w14:paraId="7303BBF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10" w:type="dxa"/>
            <w:tcBorders>
              <w:top w:val="single" w:sz="4" w:space="0" w:color="000000"/>
              <w:left w:val="nil"/>
              <w:bottom w:val="nil"/>
              <w:right w:val="nil"/>
              <w:tl2br w:val="nil"/>
              <w:tr2bl w:val="nil"/>
            </w:tcBorders>
            <w:tcMar>
              <w:left w:w="40" w:type="dxa"/>
              <w:right w:w="40" w:type="dxa"/>
            </w:tcMar>
            <w:vAlign w:val="center"/>
          </w:tcPr>
          <w:p w14:paraId="714EDB4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0CC2B4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6294E80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380" w:type="dxa"/>
            <w:tcBorders>
              <w:top w:val="nil"/>
              <w:left w:val="nil"/>
              <w:bottom w:val="nil"/>
              <w:right w:val="nil"/>
              <w:tl2br w:val="nil"/>
              <w:tr2bl w:val="nil"/>
            </w:tcBorders>
            <w:tcMar>
              <w:left w:w="40" w:type="dxa"/>
              <w:right w:w="40" w:type="dxa"/>
            </w:tcMar>
            <w:vAlign w:val="center"/>
          </w:tcPr>
          <w:p w14:paraId="0595FC0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51,701</w:t>
            </w:r>
          </w:p>
        </w:tc>
        <w:tc>
          <w:tcPr>
            <w:tcW w:w="1395" w:type="dxa"/>
            <w:tcBorders>
              <w:top w:val="nil"/>
              <w:left w:val="nil"/>
              <w:bottom w:val="nil"/>
              <w:right w:val="nil"/>
              <w:tl2br w:val="nil"/>
              <w:tr2bl w:val="nil"/>
            </w:tcBorders>
            <w:tcMar>
              <w:left w:w="40" w:type="dxa"/>
              <w:right w:w="40" w:type="dxa"/>
            </w:tcMar>
            <w:vAlign w:val="center"/>
          </w:tcPr>
          <w:p w14:paraId="65F28E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10" w:type="dxa"/>
            <w:tcBorders>
              <w:top w:val="nil"/>
              <w:left w:val="nil"/>
              <w:bottom w:val="nil"/>
              <w:right w:val="nil"/>
              <w:tl2br w:val="nil"/>
              <w:tr2bl w:val="nil"/>
            </w:tcBorders>
            <w:tcMar>
              <w:left w:w="40" w:type="dxa"/>
              <w:right w:w="40" w:type="dxa"/>
            </w:tcMar>
            <w:vAlign w:val="center"/>
          </w:tcPr>
          <w:p w14:paraId="25455B4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51,701</w:t>
            </w:r>
          </w:p>
        </w:tc>
      </w:tr>
      <w:tr w:rsidR="00FD1E19" w14:paraId="3623B81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63A442B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w:t>
            </w:r>
          </w:p>
        </w:tc>
        <w:tc>
          <w:tcPr>
            <w:tcW w:w="1380" w:type="dxa"/>
            <w:tcBorders>
              <w:top w:val="nil"/>
              <w:left w:val="nil"/>
              <w:bottom w:val="nil"/>
              <w:right w:val="nil"/>
              <w:tl2br w:val="nil"/>
              <w:tr2bl w:val="nil"/>
            </w:tcBorders>
            <w:tcMar>
              <w:left w:w="40" w:type="dxa"/>
              <w:right w:w="40" w:type="dxa"/>
            </w:tcMar>
            <w:vAlign w:val="center"/>
          </w:tcPr>
          <w:p w14:paraId="2FA13CA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-87,319</w:t>
            </w:r>
          </w:p>
        </w:tc>
        <w:tc>
          <w:tcPr>
            <w:tcW w:w="1395" w:type="dxa"/>
            <w:tcBorders>
              <w:top w:val="nil"/>
              <w:left w:val="nil"/>
              <w:bottom w:val="nil"/>
              <w:right w:val="nil"/>
              <w:tl2br w:val="nil"/>
              <w:tr2bl w:val="nil"/>
            </w:tcBorders>
            <w:tcMar>
              <w:left w:w="40" w:type="dxa"/>
              <w:right w:w="40" w:type="dxa"/>
            </w:tcMar>
            <w:vAlign w:val="center"/>
          </w:tcPr>
          <w:p w14:paraId="57A1A7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-2,033</w:t>
            </w:r>
          </w:p>
        </w:tc>
        <w:tc>
          <w:tcPr>
            <w:tcW w:w="1410" w:type="dxa"/>
            <w:tcBorders>
              <w:top w:val="nil"/>
              <w:left w:val="nil"/>
              <w:bottom w:val="nil"/>
              <w:right w:val="nil"/>
              <w:tl2br w:val="nil"/>
              <w:tr2bl w:val="nil"/>
            </w:tcBorders>
            <w:tcMar>
              <w:left w:w="40" w:type="dxa"/>
              <w:right w:w="40" w:type="dxa"/>
            </w:tcMar>
            <w:vAlign w:val="center"/>
          </w:tcPr>
          <w:p w14:paraId="6FB2B7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-89,352</w:t>
            </w:r>
          </w:p>
        </w:tc>
      </w:tr>
      <w:tr w:rsidR="00FD1E19" w14:paraId="68C9AF1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135B426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Sales / Exits</w:t>
            </w:r>
          </w:p>
        </w:tc>
        <w:tc>
          <w:tcPr>
            <w:tcW w:w="1380" w:type="dxa"/>
            <w:tcBorders>
              <w:top w:val="nil"/>
              <w:left w:val="nil"/>
              <w:bottom w:val="nil"/>
              <w:right w:val="nil"/>
              <w:tl2br w:val="nil"/>
              <w:tr2bl w:val="nil"/>
            </w:tcBorders>
            <w:tcMar>
              <w:left w:w="40" w:type="dxa"/>
              <w:right w:w="40" w:type="dxa"/>
            </w:tcMar>
            <w:vAlign w:val="center"/>
          </w:tcPr>
          <w:p w14:paraId="2F0FF5D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-11,227</w:t>
            </w:r>
          </w:p>
        </w:tc>
        <w:tc>
          <w:tcPr>
            <w:tcW w:w="1395" w:type="dxa"/>
            <w:tcBorders>
              <w:top w:val="nil"/>
              <w:left w:val="nil"/>
              <w:bottom w:val="nil"/>
              <w:right w:val="nil"/>
              <w:tl2br w:val="nil"/>
              <w:tr2bl w:val="nil"/>
            </w:tcBorders>
            <w:tcMar>
              <w:left w:w="40" w:type="dxa"/>
              <w:right w:w="40" w:type="dxa"/>
            </w:tcMar>
            <w:vAlign w:val="center"/>
          </w:tcPr>
          <w:p w14:paraId="1255F87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-4,000</w:t>
            </w:r>
          </w:p>
        </w:tc>
        <w:tc>
          <w:tcPr>
            <w:tcW w:w="1410" w:type="dxa"/>
            <w:tcBorders>
              <w:top w:val="nil"/>
              <w:left w:val="nil"/>
              <w:bottom w:val="nil"/>
              <w:right w:val="nil"/>
              <w:tl2br w:val="nil"/>
              <w:tr2bl w:val="nil"/>
            </w:tcBorders>
            <w:tcMar>
              <w:left w:w="40" w:type="dxa"/>
              <w:right w:w="40" w:type="dxa"/>
            </w:tcMar>
            <w:vAlign w:val="center"/>
          </w:tcPr>
          <w:p w14:paraId="0729C72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-15,227</w:t>
            </w:r>
          </w:p>
        </w:tc>
      </w:tr>
      <w:tr w:rsidR="00FD1E19" w14:paraId="1014D92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14:paraId="1C4E8DE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Foreign exchange rates differences </w:t>
            </w:r>
          </w:p>
        </w:tc>
        <w:tc>
          <w:tcPr>
            <w:tcW w:w="1380" w:type="dxa"/>
            <w:tcBorders>
              <w:top w:val="nil"/>
              <w:left w:val="nil"/>
              <w:bottom w:val="single" w:sz="4" w:space="0" w:color="000000"/>
              <w:right w:val="nil"/>
              <w:tl2br w:val="nil"/>
              <w:tr2bl w:val="nil"/>
            </w:tcBorders>
            <w:tcMar>
              <w:left w:w="40" w:type="dxa"/>
              <w:right w:w="40" w:type="dxa"/>
            </w:tcMar>
            <w:vAlign w:val="center"/>
          </w:tcPr>
          <w:p w14:paraId="0CA67F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-57,991</w:t>
            </w:r>
          </w:p>
        </w:tc>
        <w:tc>
          <w:tcPr>
            <w:tcW w:w="1395" w:type="dxa"/>
            <w:tcBorders>
              <w:top w:val="nil"/>
              <w:left w:val="nil"/>
              <w:bottom w:val="single" w:sz="4" w:space="0" w:color="000000"/>
              <w:right w:val="nil"/>
              <w:tl2br w:val="nil"/>
              <w:tr2bl w:val="nil"/>
            </w:tcBorders>
            <w:tcMar>
              <w:left w:w="40" w:type="dxa"/>
              <w:right w:w="40" w:type="dxa"/>
            </w:tcMar>
            <w:vAlign w:val="center"/>
          </w:tcPr>
          <w:p w14:paraId="6A68E9C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-2,287</w:t>
            </w:r>
          </w:p>
        </w:tc>
        <w:tc>
          <w:tcPr>
            <w:tcW w:w="1410" w:type="dxa"/>
            <w:tcBorders>
              <w:top w:val="nil"/>
              <w:left w:val="nil"/>
              <w:bottom w:val="single" w:sz="4" w:space="0" w:color="000000"/>
              <w:right w:val="nil"/>
              <w:tl2br w:val="nil"/>
              <w:tr2bl w:val="nil"/>
            </w:tcBorders>
            <w:tcMar>
              <w:left w:w="40" w:type="dxa"/>
              <w:right w:w="40" w:type="dxa"/>
            </w:tcMar>
            <w:vAlign w:val="center"/>
          </w:tcPr>
          <w:p w14:paraId="55DCBB9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-60,278</w:t>
            </w:r>
          </w:p>
        </w:tc>
      </w:tr>
      <w:tr w:rsidR="00FD1E19" w14:paraId="793B606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0ADBBCC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Cost as at 31 December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2AE70C8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559,045</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7CD904F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85,515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2C9F603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644,560</w:t>
            </w:r>
          </w:p>
        </w:tc>
      </w:tr>
      <w:tr w:rsidR="00FD1E19" w14:paraId="6C317E1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14:paraId="75EED06B" w14:textId="77777777" w:rsidR="00FD1E19" w:rsidRDefault="00FD1E19" w:rsidP="00BE7E4A">
            <w:pPr>
              <w:suppressAutoHyphens/>
              <w:rPr>
                <w:rFonts w:ascii="Arial" w:eastAsia="Arial" w:hAnsi="Arial" w:cs="Arial"/>
                <w:b/>
                <w:noProof/>
                <w:color w:val="000000"/>
                <w:sz w:val="16"/>
                <w:lang w:eastAsia="ar-SA"/>
              </w:rPr>
            </w:pPr>
          </w:p>
        </w:tc>
        <w:tc>
          <w:tcPr>
            <w:tcW w:w="1380" w:type="dxa"/>
            <w:tcBorders>
              <w:top w:val="single" w:sz="4" w:space="0" w:color="000000"/>
              <w:left w:val="nil"/>
              <w:bottom w:val="single" w:sz="4" w:space="0" w:color="000000"/>
              <w:right w:val="nil"/>
              <w:tl2br w:val="nil"/>
              <w:tr2bl w:val="nil"/>
            </w:tcBorders>
            <w:tcMar>
              <w:left w:w="0" w:type="dxa"/>
              <w:right w:w="0" w:type="dxa"/>
            </w:tcMar>
            <w:vAlign w:val="center"/>
          </w:tcPr>
          <w:p w14:paraId="65BE9A45" w14:textId="77777777" w:rsidR="00FD1E19" w:rsidRDefault="00FD1E19" w:rsidP="00BE7E4A">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tcMar>
              <w:left w:w="0" w:type="dxa"/>
              <w:right w:w="0" w:type="dxa"/>
            </w:tcMar>
            <w:vAlign w:val="center"/>
          </w:tcPr>
          <w:p w14:paraId="5C313D94" w14:textId="77777777" w:rsidR="00FD1E19" w:rsidRDefault="00FD1E19" w:rsidP="00BE7E4A">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single" w:sz="4" w:space="0" w:color="000000"/>
              <w:right w:val="nil"/>
              <w:tl2br w:val="nil"/>
              <w:tr2bl w:val="nil"/>
            </w:tcBorders>
            <w:tcMar>
              <w:left w:w="0" w:type="dxa"/>
              <w:right w:w="0" w:type="dxa"/>
            </w:tcMar>
            <w:vAlign w:val="center"/>
          </w:tcPr>
          <w:p w14:paraId="681441E9"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118FDAC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41BFB25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Unrealised gains and losses as at 1 January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7228A57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-8,064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1C60B07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84,969</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445F280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76,905</w:t>
            </w:r>
          </w:p>
        </w:tc>
      </w:tr>
      <w:tr w:rsidR="00FD1E19" w14:paraId="16D54B8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14:paraId="56C9DC2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Reclassification</w:t>
            </w:r>
          </w:p>
        </w:tc>
        <w:tc>
          <w:tcPr>
            <w:tcW w:w="1380" w:type="dxa"/>
            <w:tcBorders>
              <w:top w:val="single" w:sz="4" w:space="0" w:color="000000"/>
              <w:left w:val="nil"/>
              <w:bottom w:val="nil"/>
              <w:right w:val="nil"/>
              <w:tl2br w:val="nil"/>
              <w:tr2bl w:val="nil"/>
            </w:tcBorders>
            <w:tcMar>
              <w:left w:w="40" w:type="dxa"/>
              <w:right w:w="40" w:type="dxa"/>
            </w:tcMar>
            <w:vAlign w:val="center"/>
          </w:tcPr>
          <w:p w14:paraId="190F199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95" w:type="dxa"/>
            <w:tcBorders>
              <w:top w:val="single" w:sz="4" w:space="0" w:color="000000"/>
              <w:left w:val="nil"/>
              <w:bottom w:val="nil"/>
              <w:right w:val="nil"/>
              <w:tl2br w:val="nil"/>
              <w:tr2bl w:val="nil"/>
            </w:tcBorders>
            <w:tcMar>
              <w:left w:w="40" w:type="dxa"/>
              <w:right w:w="40" w:type="dxa"/>
            </w:tcMar>
            <w:vAlign w:val="center"/>
          </w:tcPr>
          <w:p w14:paraId="735648E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10" w:type="dxa"/>
            <w:tcBorders>
              <w:top w:val="single" w:sz="4" w:space="0" w:color="000000"/>
              <w:left w:val="nil"/>
              <w:bottom w:val="nil"/>
              <w:right w:val="nil"/>
              <w:tl2br w:val="nil"/>
              <w:tr2bl w:val="nil"/>
            </w:tcBorders>
            <w:tcMar>
              <w:left w:w="40" w:type="dxa"/>
              <w:right w:w="40" w:type="dxa"/>
            </w:tcMar>
            <w:vAlign w:val="center"/>
          </w:tcPr>
          <w:p w14:paraId="503831A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27734C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0FBE4F0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change in unrealised gains and losses</w:t>
            </w:r>
          </w:p>
        </w:tc>
        <w:tc>
          <w:tcPr>
            <w:tcW w:w="1380" w:type="dxa"/>
            <w:tcBorders>
              <w:top w:val="nil"/>
              <w:left w:val="nil"/>
              <w:bottom w:val="nil"/>
              <w:right w:val="nil"/>
              <w:tl2br w:val="nil"/>
              <w:tr2bl w:val="nil"/>
            </w:tcBorders>
            <w:tcMar>
              <w:left w:w="40" w:type="dxa"/>
              <w:right w:w="40" w:type="dxa"/>
            </w:tcMar>
            <w:vAlign w:val="center"/>
          </w:tcPr>
          <w:p w14:paraId="12EBB8F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-16,118</w:t>
            </w:r>
          </w:p>
        </w:tc>
        <w:tc>
          <w:tcPr>
            <w:tcW w:w="1395" w:type="dxa"/>
            <w:tcBorders>
              <w:top w:val="nil"/>
              <w:left w:val="nil"/>
              <w:bottom w:val="nil"/>
              <w:right w:val="nil"/>
              <w:tl2br w:val="nil"/>
              <w:tr2bl w:val="nil"/>
            </w:tcBorders>
            <w:tcMar>
              <w:left w:w="40" w:type="dxa"/>
              <w:right w:w="40" w:type="dxa"/>
            </w:tcMar>
            <w:vAlign w:val="center"/>
          </w:tcPr>
          <w:p w14:paraId="782365E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22,905</w:t>
            </w:r>
          </w:p>
        </w:tc>
        <w:tc>
          <w:tcPr>
            <w:tcW w:w="1410" w:type="dxa"/>
            <w:tcBorders>
              <w:top w:val="nil"/>
              <w:left w:val="nil"/>
              <w:bottom w:val="nil"/>
              <w:right w:val="nil"/>
              <w:tl2br w:val="nil"/>
              <w:tr2bl w:val="nil"/>
            </w:tcBorders>
            <w:tcMar>
              <w:left w:w="40" w:type="dxa"/>
              <w:right w:w="40" w:type="dxa"/>
            </w:tcMar>
            <w:vAlign w:val="center"/>
          </w:tcPr>
          <w:p w14:paraId="0109DD3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6,787</w:t>
            </w:r>
          </w:p>
        </w:tc>
      </w:tr>
      <w:tr w:rsidR="00FD1E19" w14:paraId="7B1D994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6231AFC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Derecognition of fair value adjustment due to Sales / Exits</w:t>
            </w:r>
          </w:p>
        </w:tc>
        <w:tc>
          <w:tcPr>
            <w:tcW w:w="1380" w:type="dxa"/>
            <w:tcBorders>
              <w:top w:val="nil"/>
              <w:left w:val="nil"/>
              <w:bottom w:val="nil"/>
              <w:right w:val="nil"/>
              <w:tl2br w:val="nil"/>
              <w:tr2bl w:val="nil"/>
            </w:tcBorders>
            <w:tcMar>
              <w:left w:w="40" w:type="dxa"/>
              <w:right w:w="40" w:type="dxa"/>
            </w:tcMar>
            <w:vAlign w:val="center"/>
          </w:tcPr>
          <w:p w14:paraId="2731751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11,534</w:t>
            </w:r>
          </w:p>
        </w:tc>
        <w:tc>
          <w:tcPr>
            <w:tcW w:w="1395" w:type="dxa"/>
            <w:tcBorders>
              <w:top w:val="nil"/>
              <w:left w:val="nil"/>
              <w:bottom w:val="nil"/>
              <w:right w:val="nil"/>
              <w:tl2br w:val="nil"/>
              <w:tr2bl w:val="nil"/>
            </w:tcBorders>
            <w:tcMar>
              <w:left w:w="40" w:type="dxa"/>
              <w:right w:w="40" w:type="dxa"/>
            </w:tcMar>
            <w:vAlign w:val="center"/>
          </w:tcPr>
          <w:p w14:paraId="2F656FE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4,314</w:t>
            </w:r>
          </w:p>
        </w:tc>
        <w:tc>
          <w:tcPr>
            <w:tcW w:w="1410" w:type="dxa"/>
            <w:tcBorders>
              <w:top w:val="nil"/>
              <w:left w:val="nil"/>
              <w:bottom w:val="nil"/>
              <w:right w:val="nil"/>
              <w:tl2br w:val="nil"/>
              <w:tr2bl w:val="nil"/>
            </w:tcBorders>
            <w:tcMar>
              <w:left w:w="40" w:type="dxa"/>
              <w:right w:w="40" w:type="dxa"/>
            </w:tcMar>
            <w:vAlign w:val="center"/>
          </w:tcPr>
          <w:p w14:paraId="618309D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15,848</w:t>
            </w:r>
          </w:p>
        </w:tc>
      </w:tr>
      <w:tr w:rsidR="00FD1E19" w14:paraId="3AB2873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14:paraId="398D412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380" w:type="dxa"/>
            <w:tcBorders>
              <w:top w:val="nil"/>
              <w:left w:val="nil"/>
              <w:bottom w:val="single" w:sz="4" w:space="0" w:color="000000"/>
              <w:right w:val="nil"/>
              <w:tl2br w:val="nil"/>
              <w:tr2bl w:val="nil"/>
            </w:tcBorders>
            <w:tcMar>
              <w:left w:w="40" w:type="dxa"/>
              <w:right w:w="40" w:type="dxa"/>
            </w:tcMar>
            <w:vAlign w:val="center"/>
          </w:tcPr>
          <w:p w14:paraId="7B088C3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4,131</w:t>
            </w:r>
          </w:p>
        </w:tc>
        <w:tc>
          <w:tcPr>
            <w:tcW w:w="1395" w:type="dxa"/>
            <w:tcBorders>
              <w:top w:val="nil"/>
              <w:left w:val="nil"/>
              <w:bottom w:val="single" w:sz="4" w:space="0" w:color="000000"/>
              <w:right w:val="nil"/>
              <w:tl2br w:val="nil"/>
              <w:tr2bl w:val="nil"/>
            </w:tcBorders>
            <w:tcMar>
              <w:left w:w="40" w:type="dxa"/>
              <w:right w:w="40" w:type="dxa"/>
            </w:tcMar>
            <w:vAlign w:val="center"/>
          </w:tcPr>
          <w:p w14:paraId="11F721A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-2,297</w:t>
            </w:r>
          </w:p>
        </w:tc>
        <w:tc>
          <w:tcPr>
            <w:tcW w:w="1410" w:type="dxa"/>
            <w:tcBorders>
              <w:top w:val="nil"/>
              <w:left w:val="nil"/>
              <w:bottom w:val="single" w:sz="4" w:space="0" w:color="000000"/>
              <w:right w:val="nil"/>
              <w:tl2br w:val="nil"/>
              <w:tr2bl w:val="nil"/>
            </w:tcBorders>
            <w:tcMar>
              <w:left w:w="40" w:type="dxa"/>
              <w:right w:w="40" w:type="dxa"/>
            </w:tcMar>
            <w:vAlign w:val="center"/>
          </w:tcPr>
          <w:p w14:paraId="50D29B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1,834</w:t>
            </w:r>
          </w:p>
        </w:tc>
      </w:tr>
      <w:tr w:rsidR="00FD1E19" w14:paraId="65ECC2A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6DF919B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Unrealised gains and losses as at 31 December 2025</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085CAD8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-8,517</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66797C9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109,891</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5DAD8C5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101,374</w:t>
            </w:r>
          </w:p>
        </w:tc>
      </w:tr>
      <w:tr w:rsidR="00FD1E19" w14:paraId="30C41B3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0" w:type="dxa"/>
              <w:right w:w="0" w:type="dxa"/>
            </w:tcMar>
            <w:vAlign w:val="center"/>
          </w:tcPr>
          <w:p w14:paraId="46F3BE6E" w14:textId="77777777" w:rsidR="00FD1E19" w:rsidRDefault="00FD1E19" w:rsidP="00BE7E4A">
            <w:pPr>
              <w:suppressAutoHyphens/>
              <w:rPr>
                <w:rFonts w:ascii="Arial" w:eastAsia="Arial" w:hAnsi="Arial" w:cs="Arial"/>
                <w:b/>
                <w:noProof/>
                <w:color w:val="000000"/>
                <w:sz w:val="16"/>
                <w:lang w:eastAsia="ar-SA"/>
              </w:rPr>
            </w:pPr>
          </w:p>
        </w:tc>
        <w:tc>
          <w:tcPr>
            <w:tcW w:w="1380" w:type="dxa"/>
            <w:tcBorders>
              <w:top w:val="single" w:sz="4" w:space="0" w:color="000000"/>
              <w:left w:val="nil"/>
              <w:bottom w:val="nil"/>
              <w:right w:val="nil"/>
              <w:tl2br w:val="nil"/>
              <w:tr2bl w:val="nil"/>
            </w:tcBorders>
            <w:tcMar>
              <w:left w:w="0" w:type="dxa"/>
              <w:right w:w="0" w:type="dxa"/>
            </w:tcMar>
            <w:vAlign w:val="center"/>
          </w:tcPr>
          <w:p w14:paraId="0FDD6C4A" w14:textId="77777777" w:rsidR="00FD1E19" w:rsidRDefault="00FD1E19" w:rsidP="00BE7E4A">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nil"/>
              <w:right w:val="nil"/>
              <w:tl2br w:val="nil"/>
              <w:tr2bl w:val="nil"/>
            </w:tcBorders>
            <w:tcMar>
              <w:left w:w="0" w:type="dxa"/>
              <w:right w:w="0" w:type="dxa"/>
            </w:tcMar>
            <w:vAlign w:val="center"/>
          </w:tcPr>
          <w:p w14:paraId="3C8FFCB1" w14:textId="77777777" w:rsidR="00FD1E19" w:rsidRDefault="00FD1E19" w:rsidP="00BE7E4A">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nil"/>
              <w:right w:val="nil"/>
              <w:tl2br w:val="nil"/>
              <w:tr2bl w:val="nil"/>
            </w:tcBorders>
            <w:tcMar>
              <w:left w:w="0" w:type="dxa"/>
              <w:right w:w="0" w:type="dxa"/>
            </w:tcMar>
            <w:vAlign w:val="center"/>
          </w:tcPr>
          <w:p w14:paraId="7ADDF9C6"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75DC7A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35"/>
        </w:trPr>
        <w:tc>
          <w:tcPr>
            <w:tcW w:w="5775" w:type="dxa"/>
            <w:tcBorders>
              <w:top w:val="nil"/>
              <w:left w:val="nil"/>
              <w:bottom w:val="nil"/>
              <w:right w:val="nil"/>
              <w:tl2br w:val="nil"/>
              <w:tr2bl w:val="nil"/>
            </w:tcBorders>
            <w:shd w:val="clear" w:color="FFFFFF" w:fill="C3C3C3"/>
            <w:tcMar>
              <w:left w:w="40" w:type="dxa"/>
              <w:right w:w="40" w:type="dxa"/>
            </w:tcMar>
            <w:vAlign w:val="center"/>
          </w:tcPr>
          <w:p w14:paraId="6E54D13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Shares and other variable yield securities as at 31 December 2025</w:t>
            </w:r>
          </w:p>
        </w:tc>
        <w:tc>
          <w:tcPr>
            <w:tcW w:w="1380" w:type="dxa"/>
            <w:tcBorders>
              <w:top w:val="nil"/>
              <w:left w:val="nil"/>
              <w:bottom w:val="nil"/>
              <w:right w:val="nil"/>
              <w:tl2br w:val="nil"/>
              <w:tr2bl w:val="nil"/>
            </w:tcBorders>
            <w:shd w:val="clear" w:color="FFFFFF" w:fill="C0C0C0"/>
            <w:tcMar>
              <w:left w:w="40" w:type="dxa"/>
              <w:right w:w="40" w:type="dxa"/>
            </w:tcMar>
            <w:vAlign w:val="center"/>
          </w:tcPr>
          <w:p w14:paraId="46EBFD3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550,528</w:t>
            </w:r>
          </w:p>
        </w:tc>
        <w:tc>
          <w:tcPr>
            <w:tcW w:w="1395" w:type="dxa"/>
            <w:tcBorders>
              <w:top w:val="nil"/>
              <w:left w:val="nil"/>
              <w:bottom w:val="nil"/>
              <w:right w:val="nil"/>
              <w:tl2br w:val="nil"/>
              <w:tr2bl w:val="nil"/>
            </w:tcBorders>
            <w:shd w:val="clear" w:color="FFFFFF" w:fill="C0C0C0"/>
            <w:tcMar>
              <w:left w:w="40" w:type="dxa"/>
              <w:right w:w="40" w:type="dxa"/>
            </w:tcMar>
            <w:vAlign w:val="center"/>
          </w:tcPr>
          <w:p w14:paraId="665DB16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195,406</w:t>
            </w:r>
          </w:p>
        </w:tc>
        <w:tc>
          <w:tcPr>
            <w:tcW w:w="1410" w:type="dxa"/>
            <w:tcBorders>
              <w:top w:val="nil"/>
              <w:left w:val="nil"/>
              <w:bottom w:val="nil"/>
              <w:right w:val="nil"/>
              <w:tl2br w:val="nil"/>
              <w:tr2bl w:val="nil"/>
            </w:tcBorders>
            <w:shd w:val="clear" w:color="FFFFFF" w:fill="C0C0C0"/>
            <w:tcMar>
              <w:left w:w="40" w:type="dxa"/>
              <w:right w:w="40" w:type="dxa"/>
            </w:tcMar>
            <w:vAlign w:val="center"/>
          </w:tcPr>
          <w:p w14:paraId="336B530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745,934</w:t>
            </w:r>
          </w:p>
        </w:tc>
      </w:tr>
      <w:tr w:rsidR="00FD1E19" w14:paraId="7FFF0A2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noWrap/>
            <w:tcMar>
              <w:left w:w="0" w:type="dxa"/>
              <w:right w:w="0" w:type="dxa"/>
            </w:tcMar>
            <w:vAlign w:val="center"/>
          </w:tcPr>
          <w:p w14:paraId="23C138C5" w14:textId="77777777" w:rsidR="00FD1E19" w:rsidRDefault="00FD1E19" w:rsidP="00BE7E4A">
            <w:pPr>
              <w:suppressAutoHyphens/>
              <w:rPr>
                <w:rFonts w:ascii="Arial" w:eastAsia="Arial" w:hAnsi="Arial" w:cs="Arial"/>
                <w:noProof/>
                <w:color w:val="000000"/>
                <w:lang w:eastAsia="ar-SA"/>
              </w:rPr>
            </w:pPr>
          </w:p>
        </w:tc>
        <w:tc>
          <w:tcPr>
            <w:tcW w:w="1380" w:type="dxa"/>
            <w:tcBorders>
              <w:top w:val="nil"/>
              <w:left w:val="nil"/>
              <w:bottom w:val="single" w:sz="4" w:space="0" w:color="000000"/>
              <w:right w:val="nil"/>
              <w:tl2br w:val="nil"/>
              <w:tr2bl w:val="nil"/>
            </w:tcBorders>
            <w:noWrap/>
            <w:tcMar>
              <w:left w:w="0" w:type="dxa"/>
              <w:right w:w="0" w:type="dxa"/>
            </w:tcMar>
            <w:vAlign w:val="center"/>
          </w:tcPr>
          <w:p w14:paraId="46ABB502" w14:textId="77777777" w:rsidR="00FD1E19" w:rsidRDefault="00FD1E19" w:rsidP="00BE7E4A">
            <w:pPr>
              <w:suppressAutoHyphens/>
              <w:jc w:val="right"/>
              <w:rPr>
                <w:rFonts w:ascii="Arial" w:eastAsia="Arial" w:hAnsi="Arial" w:cs="Arial"/>
                <w:noProof/>
                <w:color w:val="000000"/>
                <w:lang w:eastAsia="ar-SA"/>
              </w:rPr>
            </w:pPr>
          </w:p>
        </w:tc>
        <w:tc>
          <w:tcPr>
            <w:tcW w:w="1395" w:type="dxa"/>
            <w:tcBorders>
              <w:top w:val="nil"/>
              <w:left w:val="nil"/>
              <w:bottom w:val="single" w:sz="4" w:space="0" w:color="000000"/>
              <w:right w:val="nil"/>
              <w:tl2br w:val="nil"/>
              <w:tr2bl w:val="nil"/>
            </w:tcBorders>
            <w:noWrap/>
            <w:tcMar>
              <w:left w:w="0" w:type="dxa"/>
              <w:right w:w="0" w:type="dxa"/>
            </w:tcMar>
            <w:vAlign w:val="center"/>
          </w:tcPr>
          <w:p w14:paraId="444BE697" w14:textId="77777777" w:rsidR="00FD1E19" w:rsidRDefault="00FD1E19" w:rsidP="00BE7E4A">
            <w:pPr>
              <w:suppressAutoHyphens/>
              <w:jc w:val="right"/>
              <w:rPr>
                <w:rFonts w:ascii="Arial" w:eastAsia="Arial" w:hAnsi="Arial" w:cs="Arial"/>
                <w:noProof/>
                <w:color w:val="000000"/>
                <w:lang w:eastAsia="ar-SA"/>
              </w:rPr>
            </w:pPr>
          </w:p>
        </w:tc>
        <w:tc>
          <w:tcPr>
            <w:tcW w:w="1410" w:type="dxa"/>
            <w:tcBorders>
              <w:top w:val="nil"/>
              <w:left w:val="nil"/>
              <w:bottom w:val="single" w:sz="4" w:space="0" w:color="000000"/>
              <w:right w:val="nil"/>
              <w:tl2br w:val="nil"/>
              <w:tr2bl w:val="nil"/>
            </w:tcBorders>
            <w:noWrap/>
            <w:tcMar>
              <w:left w:w="0" w:type="dxa"/>
              <w:right w:w="0" w:type="dxa"/>
            </w:tcMar>
            <w:vAlign w:val="center"/>
          </w:tcPr>
          <w:p w14:paraId="2EDA1908" w14:textId="77777777" w:rsidR="00FD1E19" w:rsidRDefault="00FD1E19" w:rsidP="00BE7E4A">
            <w:pPr>
              <w:suppressAutoHyphens/>
              <w:jc w:val="right"/>
              <w:rPr>
                <w:rFonts w:ascii="Arial" w:eastAsia="Arial" w:hAnsi="Arial" w:cs="Arial"/>
                <w:noProof/>
                <w:color w:val="000000"/>
                <w:lang w:eastAsia="ar-SA"/>
              </w:rPr>
            </w:pPr>
          </w:p>
        </w:tc>
      </w:tr>
      <w:tr w:rsidR="00FD1E19" w14:paraId="03E6DD6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5775" w:type="dxa"/>
            <w:tcBorders>
              <w:top w:val="single" w:sz="4" w:space="0" w:color="000000"/>
              <w:left w:val="nil"/>
              <w:bottom w:val="single" w:sz="4" w:space="0" w:color="000000"/>
              <w:right w:val="nil"/>
              <w:tl2br w:val="nil"/>
              <w:tr2bl w:val="nil"/>
            </w:tcBorders>
            <w:noWrap/>
            <w:tcMar>
              <w:left w:w="40" w:type="dxa"/>
              <w:right w:w="40" w:type="dxa"/>
            </w:tcMar>
            <w:vAlign w:val="center"/>
          </w:tcPr>
          <w:p w14:paraId="7634F6C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68ECC35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Venture Capital Funds</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5E0F4C6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Direct Equity Investments</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0BF2FD2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42FC3CB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4AC83AD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Cost as at 1 January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7E8536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633,347</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578B664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73,455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19E00A6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706,802</w:t>
            </w:r>
          </w:p>
        </w:tc>
      </w:tr>
      <w:tr w:rsidR="00FD1E19" w14:paraId="746E305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14:paraId="61B1A81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Reclassification*</w:t>
            </w:r>
          </w:p>
        </w:tc>
        <w:tc>
          <w:tcPr>
            <w:tcW w:w="1380" w:type="dxa"/>
            <w:tcBorders>
              <w:top w:val="single" w:sz="4" w:space="0" w:color="000000"/>
              <w:left w:val="nil"/>
              <w:bottom w:val="nil"/>
              <w:right w:val="nil"/>
              <w:tl2br w:val="nil"/>
              <w:tr2bl w:val="nil"/>
            </w:tcBorders>
            <w:tcMar>
              <w:left w:w="40" w:type="dxa"/>
              <w:right w:w="40" w:type="dxa"/>
            </w:tcMar>
            <w:vAlign w:val="center"/>
          </w:tcPr>
          <w:p w14:paraId="77899CD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-25,059</w:t>
            </w:r>
          </w:p>
        </w:tc>
        <w:tc>
          <w:tcPr>
            <w:tcW w:w="1395" w:type="dxa"/>
            <w:tcBorders>
              <w:top w:val="single" w:sz="4" w:space="0" w:color="000000"/>
              <w:left w:val="nil"/>
              <w:bottom w:val="nil"/>
              <w:right w:val="nil"/>
              <w:tl2br w:val="nil"/>
              <w:tr2bl w:val="nil"/>
            </w:tcBorders>
            <w:tcMar>
              <w:left w:w="40" w:type="dxa"/>
              <w:right w:w="40" w:type="dxa"/>
            </w:tcMar>
            <w:vAlign w:val="center"/>
          </w:tcPr>
          <w:p w14:paraId="7552F04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25,059</w:t>
            </w:r>
          </w:p>
        </w:tc>
        <w:tc>
          <w:tcPr>
            <w:tcW w:w="1410" w:type="dxa"/>
            <w:tcBorders>
              <w:top w:val="single" w:sz="4" w:space="0" w:color="000000"/>
              <w:left w:val="nil"/>
              <w:bottom w:val="nil"/>
              <w:right w:val="nil"/>
              <w:tl2br w:val="nil"/>
              <w:tr2bl w:val="nil"/>
            </w:tcBorders>
            <w:tcMar>
              <w:left w:w="40" w:type="dxa"/>
              <w:right w:w="40" w:type="dxa"/>
            </w:tcMar>
            <w:vAlign w:val="center"/>
          </w:tcPr>
          <w:p w14:paraId="09D967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1096BFC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4241D35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Disbursements</w:t>
            </w:r>
          </w:p>
        </w:tc>
        <w:tc>
          <w:tcPr>
            <w:tcW w:w="1380" w:type="dxa"/>
            <w:tcBorders>
              <w:top w:val="nil"/>
              <w:left w:val="nil"/>
              <w:bottom w:val="nil"/>
              <w:right w:val="nil"/>
              <w:tl2br w:val="nil"/>
              <w:tr2bl w:val="nil"/>
            </w:tcBorders>
            <w:tcMar>
              <w:left w:w="40" w:type="dxa"/>
              <w:right w:w="40" w:type="dxa"/>
            </w:tcMar>
            <w:vAlign w:val="center"/>
          </w:tcPr>
          <w:p w14:paraId="7255D17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69,392</w:t>
            </w:r>
          </w:p>
        </w:tc>
        <w:tc>
          <w:tcPr>
            <w:tcW w:w="1395" w:type="dxa"/>
            <w:tcBorders>
              <w:top w:val="nil"/>
              <w:left w:val="nil"/>
              <w:bottom w:val="nil"/>
              <w:right w:val="nil"/>
              <w:tl2br w:val="nil"/>
              <w:tr2bl w:val="nil"/>
            </w:tcBorders>
            <w:tcMar>
              <w:left w:w="40" w:type="dxa"/>
              <w:right w:w="40" w:type="dxa"/>
            </w:tcMar>
            <w:vAlign w:val="center"/>
          </w:tcPr>
          <w:p w14:paraId="61520E7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410" w:type="dxa"/>
            <w:tcBorders>
              <w:top w:val="nil"/>
              <w:left w:val="nil"/>
              <w:bottom w:val="nil"/>
              <w:right w:val="nil"/>
              <w:tl2br w:val="nil"/>
              <w:tr2bl w:val="nil"/>
            </w:tcBorders>
            <w:tcMar>
              <w:left w:w="40" w:type="dxa"/>
              <w:right w:w="40" w:type="dxa"/>
            </w:tcMar>
            <w:vAlign w:val="center"/>
          </w:tcPr>
          <w:p w14:paraId="24028AE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69,392</w:t>
            </w:r>
          </w:p>
        </w:tc>
      </w:tr>
      <w:tr w:rsidR="00FD1E19" w14:paraId="23E7F72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0248915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Repayments / sales</w:t>
            </w:r>
          </w:p>
        </w:tc>
        <w:tc>
          <w:tcPr>
            <w:tcW w:w="1380" w:type="dxa"/>
            <w:tcBorders>
              <w:top w:val="nil"/>
              <w:left w:val="nil"/>
              <w:bottom w:val="nil"/>
              <w:right w:val="nil"/>
              <w:tl2br w:val="nil"/>
              <w:tr2bl w:val="nil"/>
            </w:tcBorders>
            <w:tcMar>
              <w:left w:w="40" w:type="dxa"/>
              <w:right w:w="40" w:type="dxa"/>
            </w:tcMar>
            <w:vAlign w:val="center"/>
          </w:tcPr>
          <w:p w14:paraId="34FD3C4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-21,181</w:t>
            </w:r>
          </w:p>
        </w:tc>
        <w:tc>
          <w:tcPr>
            <w:tcW w:w="1395" w:type="dxa"/>
            <w:tcBorders>
              <w:top w:val="nil"/>
              <w:left w:val="nil"/>
              <w:bottom w:val="nil"/>
              <w:right w:val="nil"/>
              <w:tl2br w:val="nil"/>
              <w:tr2bl w:val="nil"/>
            </w:tcBorders>
            <w:tcMar>
              <w:left w:w="40" w:type="dxa"/>
              <w:right w:w="40" w:type="dxa"/>
            </w:tcMar>
            <w:vAlign w:val="center"/>
          </w:tcPr>
          <w:p w14:paraId="71FD6E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-232</w:t>
            </w:r>
          </w:p>
        </w:tc>
        <w:tc>
          <w:tcPr>
            <w:tcW w:w="1410" w:type="dxa"/>
            <w:tcBorders>
              <w:top w:val="nil"/>
              <w:left w:val="nil"/>
              <w:bottom w:val="nil"/>
              <w:right w:val="nil"/>
              <w:tl2br w:val="nil"/>
              <w:tr2bl w:val="nil"/>
            </w:tcBorders>
            <w:tcMar>
              <w:left w:w="40" w:type="dxa"/>
              <w:right w:w="40" w:type="dxa"/>
            </w:tcMar>
            <w:vAlign w:val="center"/>
          </w:tcPr>
          <w:p w14:paraId="2286AEA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-21,413</w:t>
            </w:r>
          </w:p>
        </w:tc>
      </w:tr>
      <w:tr w:rsidR="00FD1E19" w14:paraId="7AC2CCD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1501072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Sales / Exits</w:t>
            </w:r>
          </w:p>
        </w:tc>
        <w:tc>
          <w:tcPr>
            <w:tcW w:w="1380" w:type="dxa"/>
            <w:tcBorders>
              <w:top w:val="nil"/>
              <w:left w:val="nil"/>
              <w:bottom w:val="nil"/>
              <w:right w:val="nil"/>
              <w:tl2br w:val="nil"/>
              <w:tr2bl w:val="nil"/>
            </w:tcBorders>
            <w:tcMar>
              <w:left w:w="40" w:type="dxa"/>
              <w:right w:w="40" w:type="dxa"/>
            </w:tcMar>
            <w:vAlign w:val="center"/>
          </w:tcPr>
          <w:p w14:paraId="637D47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-22,992</w:t>
            </w:r>
          </w:p>
        </w:tc>
        <w:tc>
          <w:tcPr>
            <w:tcW w:w="1395" w:type="dxa"/>
            <w:tcBorders>
              <w:top w:val="nil"/>
              <w:left w:val="nil"/>
              <w:bottom w:val="nil"/>
              <w:right w:val="nil"/>
              <w:tl2br w:val="nil"/>
              <w:tr2bl w:val="nil"/>
            </w:tcBorders>
            <w:tcMar>
              <w:left w:w="40" w:type="dxa"/>
              <w:right w:w="40" w:type="dxa"/>
            </w:tcMar>
            <w:vAlign w:val="center"/>
          </w:tcPr>
          <w:p w14:paraId="581F7C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-2,631</w:t>
            </w:r>
          </w:p>
        </w:tc>
        <w:tc>
          <w:tcPr>
            <w:tcW w:w="1410" w:type="dxa"/>
            <w:tcBorders>
              <w:top w:val="nil"/>
              <w:left w:val="nil"/>
              <w:bottom w:val="nil"/>
              <w:right w:val="nil"/>
              <w:tl2br w:val="nil"/>
              <w:tr2bl w:val="nil"/>
            </w:tcBorders>
            <w:tcMar>
              <w:left w:w="40" w:type="dxa"/>
              <w:right w:w="40" w:type="dxa"/>
            </w:tcMar>
            <w:vAlign w:val="center"/>
          </w:tcPr>
          <w:p w14:paraId="4AE6291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-25,623</w:t>
            </w:r>
          </w:p>
        </w:tc>
      </w:tr>
      <w:tr w:rsidR="00FD1E19" w14:paraId="529994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14:paraId="1E3A2A0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Foreign exchange rates differences </w:t>
            </w:r>
          </w:p>
        </w:tc>
        <w:tc>
          <w:tcPr>
            <w:tcW w:w="1380" w:type="dxa"/>
            <w:tcBorders>
              <w:top w:val="nil"/>
              <w:left w:val="nil"/>
              <w:bottom w:val="single" w:sz="4" w:space="0" w:color="000000"/>
              <w:right w:val="nil"/>
              <w:tl2br w:val="nil"/>
              <w:tr2bl w:val="nil"/>
            </w:tcBorders>
            <w:tcMar>
              <w:left w:w="40" w:type="dxa"/>
              <w:right w:w="40" w:type="dxa"/>
            </w:tcMar>
            <w:vAlign w:val="center"/>
          </w:tcPr>
          <w:p w14:paraId="386A3B9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30,374</w:t>
            </w:r>
          </w:p>
        </w:tc>
        <w:tc>
          <w:tcPr>
            <w:tcW w:w="1395" w:type="dxa"/>
            <w:tcBorders>
              <w:top w:val="nil"/>
              <w:left w:val="nil"/>
              <w:bottom w:val="single" w:sz="4" w:space="0" w:color="000000"/>
              <w:right w:val="nil"/>
              <w:tl2br w:val="nil"/>
              <w:tr2bl w:val="nil"/>
            </w:tcBorders>
            <w:tcMar>
              <w:left w:w="40" w:type="dxa"/>
              <w:right w:w="40" w:type="dxa"/>
            </w:tcMar>
            <w:vAlign w:val="center"/>
          </w:tcPr>
          <w:p w14:paraId="5E7DA1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-1,816</w:t>
            </w:r>
          </w:p>
        </w:tc>
        <w:tc>
          <w:tcPr>
            <w:tcW w:w="1410" w:type="dxa"/>
            <w:tcBorders>
              <w:top w:val="nil"/>
              <w:left w:val="nil"/>
              <w:bottom w:val="single" w:sz="4" w:space="0" w:color="000000"/>
              <w:right w:val="nil"/>
              <w:tl2br w:val="nil"/>
              <w:tr2bl w:val="nil"/>
            </w:tcBorders>
            <w:tcMar>
              <w:left w:w="40" w:type="dxa"/>
              <w:right w:w="40" w:type="dxa"/>
            </w:tcMar>
            <w:vAlign w:val="center"/>
          </w:tcPr>
          <w:p w14:paraId="14BA855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28,558</w:t>
            </w:r>
          </w:p>
        </w:tc>
      </w:tr>
      <w:tr w:rsidR="00FD1E19" w14:paraId="00E228C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68ED3EA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Cost as at 31 December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708A6F6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663,881</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09DFB1B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93,835</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65B2368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757,716</w:t>
            </w:r>
          </w:p>
        </w:tc>
      </w:tr>
      <w:tr w:rsidR="00FD1E19" w14:paraId="405D8ED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0" w:type="dxa"/>
              <w:right w:w="0" w:type="dxa"/>
            </w:tcMar>
            <w:vAlign w:val="center"/>
          </w:tcPr>
          <w:p w14:paraId="7F43A81E" w14:textId="77777777" w:rsidR="00FD1E19" w:rsidRDefault="00FD1E19" w:rsidP="00BE7E4A">
            <w:pPr>
              <w:suppressAutoHyphens/>
              <w:rPr>
                <w:rFonts w:ascii="Arial" w:eastAsia="Arial" w:hAnsi="Arial" w:cs="Arial"/>
                <w:b/>
                <w:noProof/>
                <w:color w:val="000000"/>
                <w:sz w:val="16"/>
                <w:lang w:eastAsia="ar-SA"/>
              </w:rPr>
            </w:pPr>
          </w:p>
        </w:tc>
        <w:tc>
          <w:tcPr>
            <w:tcW w:w="1380" w:type="dxa"/>
            <w:tcBorders>
              <w:top w:val="single" w:sz="4" w:space="0" w:color="000000"/>
              <w:left w:val="nil"/>
              <w:bottom w:val="single" w:sz="4" w:space="0" w:color="000000"/>
              <w:right w:val="nil"/>
              <w:tl2br w:val="nil"/>
              <w:tr2bl w:val="nil"/>
            </w:tcBorders>
            <w:tcMar>
              <w:left w:w="0" w:type="dxa"/>
              <w:right w:w="0" w:type="dxa"/>
            </w:tcMar>
            <w:vAlign w:val="center"/>
          </w:tcPr>
          <w:p w14:paraId="619585D4" w14:textId="77777777" w:rsidR="00FD1E19" w:rsidRDefault="00FD1E19" w:rsidP="00BE7E4A">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single" w:sz="4" w:space="0" w:color="000000"/>
              <w:right w:val="nil"/>
              <w:tl2br w:val="nil"/>
              <w:tr2bl w:val="nil"/>
            </w:tcBorders>
            <w:tcMar>
              <w:left w:w="0" w:type="dxa"/>
              <w:right w:w="0" w:type="dxa"/>
            </w:tcMar>
            <w:vAlign w:val="center"/>
          </w:tcPr>
          <w:p w14:paraId="403BEFDB" w14:textId="77777777" w:rsidR="00FD1E19" w:rsidRDefault="00FD1E19" w:rsidP="00BE7E4A">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single" w:sz="4" w:space="0" w:color="000000"/>
              <w:right w:val="nil"/>
              <w:tl2br w:val="nil"/>
              <w:tr2bl w:val="nil"/>
            </w:tcBorders>
            <w:tcMar>
              <w:left w:w="0" w:type="dxa"/>
              <w:right w:w="0" w:type="dxa"/>
            </w:tcMar>
            <w:vAlign w:val="center"/>
          </w:tcPr>
          <w:p w14:paraId="566D763B"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1E5F6F7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603D02E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Unrealised gains and losses as at 1 January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1FA43D7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59,695</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7AD7D6B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54,216</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455664A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113,911</w:t>
            </w:r>
          </w:p>
        </w:tc>
      </w:tr>
      <w:tr w:rsidR="00FD1E19" w14:paraId="0AC4AD6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40" w:type="dxa"/>
              <w:right w:w="40" w:type="dxa"/>
            </w:tcMar>
            <w:vAlign w:val="center"/>
          </w:tcPr>
          <w:p w14:paraId="4E43450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Reclassification*</w:t>
            </w:r>
          </w:p>
        </w:tc>
        <w:tc>
          <w:tcPr>
            <w:tcW w:w="1380" w:type="dxa"/>
            <w:tcBorders>
              <w:top w:val="single" w:sz="4" w:space="0" w:color="000000"/>
              <w:left w:val="nil"/>
              <w:bottom w:val="nil"/>
              <w:right w:val="nil"/>
              <w:tl2br w:val="nil"/>
              <w:tr2bl w:val="nil"/>
            </w:tcBorders>
            <w:tcMar>
              <w:left w:w="40" w:type="dxa"/>
              <w:right w:w="40" w:type="dxa"/>
            </w:tcMar>
            <w:vAlign w:val="center"/>
          </w:tcPr>
          <w:p w14:paraId="05BBE48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-395</w:t>
            </w:r>
          </w:p>
        </w:tc>
        <w:tc>
          <w:tcPr>
            <w:tcW w:w="1395" w:type="dxa"/>
            <w:tcBorders>
              <w:top w:val="single" w:sz="4" w:space="0" w:color="000000"/>
              <w:left w:val="nil"/>
              <w:bottom w:val="nil"/>
              <w:right w:val="nil"/>
              <w:tl2br w:val="nil"/>
              <w:tr2bl w:val="nil"/>
            </w:tcBorders>
            <w:tcMar>
              <w:left w:w="40" w:type="dxa"/>
              <w:right w:w="40" w:type="dxa"/>
            </w:tcMar>
            <w:vAlign w:val="center"/>
          </w:tcPr>
          <w:p w14:paraId="1439DC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395</w:t>
            </w:r>
          </w:p>
        </w:tc>
        <w:tc>
          <w:tcPr>
            <w:tcW w:w="1410" w:type="dxa"/>
            <w:tcBorders>
              <w:top w:val="single" w:sz="4" w:space="0" w:color="000000"/>
              <w:left w:val="nil"/>
              <w:bottom w:val="nil"/>
              <w:right w:val="nil"/>
              <w:tl2br w:val="nil"/>
              <w:tr2bl w:val="nil"/>
            </w:tcBorders>
            <w:tcMar>
              <w:left w:w="40" w:type="dxa"/>
              <w:right w:w="40" w:type="dxa"/>
            </w:tcMar>
            <w:vAlign w:val="center"/>
          </w:tcPr>
          <w:p w14:paraId="0ADAE66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59EB3E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363DB2B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change in unrealised gains and losses</w:t>
            </w:r>
          </w:p>
        </w:tc>
        <w:tc>
          <w:tcPr>
            <w:tcW w:w="1380" w:type="dxa"/>
            <w:tcBorders>
              <w:top w:val="nil"/>
              <w:left w:val="nil"/>
              <w:bottom w:val="nil"/>
              <w:right w:val="nil"/>
              <w:tl2br w:val="nil"/>
              <w:tr2bl w:val="nil"/>
            </w:tcBorders>
            <w:tcMar>
              <w:left w:w="40" w:type="dxa"/>
              <w:right w:w="40" w:type="dxa"/>
            </w:tcMar>
            <w:vAlign w:val="center"/>
          </w:tcPr>
          <w:p w14:paraId="77FE164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-77,795</w:t>
            </w:r>
          </w:p>
        </w:tc>
        <w:tc>
          <w:tcPr>
            <w:tcW w:w="1395" w:type="dxa"/>
            <w:tcBorders>
              <w:top w:val="nil"/>
              <w:left w:val="nil"/>
              <w:bottom w:val="nil"/>
              <w:right w:val="nil"/>
              <w:tl2br w:val="nil"/>
              <w:tr2bl w:val="nil"/>
            </w:tcBorders>
            <w:tcMar>
              <w:left w:w="40" w:type="dxa"/>
              <w:right w:w="40" w:type="dxa"/>
            </w:tcMar>
            <w:vAlign w:val="center"/>
          </w:tcPr>
          <w:p w14:paraId="69AAA9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32,097</w:t>
            </w:r>
          </w:p>
        </w:tc>
        <w:tc>
          <w:tcPr>
            <w:tcW w:w="1410" w:type="dxa"/>
            <w:tcBorders>
              <w:top w:val="nil"/>
              <w:left w:val="nil"/>
              <w:bottom w:val="nil"/>
              <w:right w:val="nil"/>
              <w:tl2br w:val="nil"/>
              <w:tr2bl w:val="nil"/>
            </w:tcBorders>
            <w:tcMar>
              <w:left w:w="40" w:type="dxa"/>
              <w:right w:w="40" w:type="dxa"/>
            </w:tcMar>
            <w:vAlign w:val="center"/>
          </w:tcPr>
          <w:p w14:paraId="53447DE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-45,698</w:t>
            </w:r>
          </w:p>
        </w:tc>
      </w:tr>
      <w:tr w:rsidR="00FD1E19" w14:paraId="5D18D38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nil"/>
              <w:right w:val="nil"/>
              <w:tl2br w:val="nil"/>
              <w:tr2bl w:val="nil"/>
            </w:tcBorders>
            <w:tcMar>
              <w:left w:w="40" w:type="dxa"/>
              <w:right w:w="40" w:type="dxa"/>
            </w:tcMar>
            <w:vAlign w:val="center"/>
          </w:tcPr>
          <w:p w14:paraId="3467719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Derecognition of fair value adjustment due to Sales / Exits</w:t>
            </w:r>
          </w:p>
        </w:tc>
        <w:tc>
          <w:tcPr>
            <w:tcW w:w="1380" w:type="dxa"/>
            <w:tcBorders>
              <w:top w:val="nil"/>
              <w:left w:val="nil"/>
              <w:bottom w:val="nil"/>
              <w:right w:val="nil"/>
              <w:tl2br w:val="nil"/>
              <w:tr2bl w:val="nil"/>
            </w:tcBorders>
            <w:tcMar>
              <w:left w:w="40" w:type="dxa"/>
              <w:right w:w="40" w:type="dxa"/>
            </w:tcMar>
            <w:vAlign w:val="center"/>
          </w:tcPr>
          <w:p w14:paraId="7F7E7A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11,202</w:t>
            </w:r>
          </w:p>
        </w:tc>
        <w:tc>
          <w:tcPr>
            <w:tcW w:w="1395" w:type="dxa"/>
            <w:tcBorders>
              <w:top w:val="nil"/>
              <w:left w:val="nil"/>
              <w:bottom w:val="nil"/>
              <w:right w:val="nil"/>
              <w:tl2br w:val="nil"/>
              <w:tr2bl w:val="nil"/>
            </w:tcBorders>
            <w:tcMar>
              <w:left w:w="40" w:type="dxa"/>
              <w:right w:w="40" w:type="dxa"/>
            </w:tcMar>
            <w:vAlign w:val="center"/>
          </w:tcPr>
          <w:p w14:paraId="323585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2,849</w:t>
            </w:r>
          </w:p>
        </w:tc>
        <w:tc>
          <w:tcPr>
            <w:tcW w:w="1410" w:type="dxa"/>
            <w:tcBorders>
              <w:top w:val="nil"/>
              <w:left w:val="nil"/>
              <w:bottom w:val="nil"/>
              <w:right w:val="nil"/>
              <w:tl2br w:val="nil"/>
              <w:tr2bl w:val="nil"/>
            </w:tcBorders>
            <w:tcMar>
              <w:left w:w="40" w:type="dxa"/>
              <w:right w:w="40" w:type="dxa"/>
            </w:tcMar>
            <w:vAlign w:val="center"/>
          </w:tcPr>
          <w:p w14:paraId="4A5FED2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14,051</w:t>
            </w:r>
          </w:p>
        </w:tc>
      </w:tr>
      <w:tr w:rsidR="00FD1E19" w14:paraId="5D451DE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nil"/>
              <w:left w:val="nil"/>
              <w:bottom w:val="single" w:sz="4" w:space="0" w:color="000000"/>
              <w:right w:val="nil"/>
              <w:tl2br w:val="nil"/>
              <w:tr2bl w:val="nil"/>
            </w:tcBorders>
            <w:tcMar>
              <w:left w:w="40" w:type="dxa"/>
              <w:right w:w="40" w:type="dxa"/>
            </w:tcMar>
            <w:vAlign w:val="center"/>
          </w:tcPr>
          <w:p w14:paraId="1C77689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Foreign exchange rates differences</w:t>
            </w:r>
          </w:p>
        </w:tc>
        <w:tc>
          <w:tcPr>
            <w:tcW w:w="1380" w:type="dxa"/>
            <w:tcBorders>
              <w:top w:val="nil"/>
              <w:left w:val="nil"/>
              <w:bottom w:val="single" w:sz="4" w:space="0" w:color="000000"/>
              <w:right w:val="nil"/>
              <w:tl2br w:val="nil"/>
              <w:tr2bl w:val="nil"/>
            </w:tcBorders>
            <w:tcMar>
              <w:left w:w="40" w:type="dxa"/>
              <w:right w:w="40" w:type="dxa"/>
            </w:tcMar>
            <w:vAlign w:val="center"/>
          </w:tcPr>
          <w:p w14:paraId="2BF32E9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-771</w:t>
            </w:r>
          </w:p>
        </w:tc>
        <w:tc>
          <w:tcPr>
            <w:tcW w:w="1395" w:type="dxa"/>
            <w:tcBorders>
              <w:top w:val="nil"/>
              <w:left w:val="nil"/>
              <w:bottom w:val="single" w:sz="4" w:space="0" w:color="000000"/>
              <w:right w:val="nil"/>
              <w:tl2br w:val="nil"/>
              <w:tr2bl w:val="nil"/>
            </w:tcBorders>
            <w:tcMar>
              <w:left w:w="40" w:type="dxa"/>
              <w:right w:w="40" w:type="dxa"/>
            </w:tcMar>
            <w:vAlign w:val="center"/>
          </w:tcPr>
          <w:p w14:paraId="2B4EF4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-4,588</w:t>
            </w:r>
          </w:p>
        </w:tc>
        <w:tc>
          <w:tcPr>
            <w:tcW w:w="1410" w:type="dxa"/>
            <w:tcBorders>
              <w:top w:val="nil"/>
              <w:left w:val="nil"/>
              <w:bottom w:val="single" w:sz="4" w:space="0" w:color="000000"/>
              <w:right w:val="nil"/>
              <w:tl2br w:val="nil"/>
              <w:tr2bl w:val="nil"/>
            </w:tcBorders>
            <w:tcMar>
              <w:left w:w="40" w:type="dxa"/>
              <w:right w:w="40" w:type="dxa"/>
            </w:tcMar>
            <w:vAlign w:val="center"/>
          </w:tcPr>
          <w:p w14:paraId="0F1615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-5,359</w:t>
            </w:r>
          </w:p>
        </w:tc>
      </w:tr>
      <w:tr w:rsidR="00FD1E19" w14:paraId="3799115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single" w:sz="4" w:space="0" w:color="000000"/>
              <w:right w:val="nil"/>
              <w:tl2br w:val="nil"/>
              <w:tr2bl w:val="nil"/>
            </w:tcBorders>
            <w:tcMar>
              <w:left w:w="40" w:type="dxa"/>
              <w:right w:w="40" w:type="dxa"/>
            </w:tcMar>
            <w:vAlign w:val="center"/>
          </w:tcPr>
          <w:p w14:paraId="3F983D4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Unrealised gains and losses as at 31 December 2024</w:t>
            </w:r>
          </w:p>
        </w:tc>
        <w:tc>
          <w:tcPr>
            <w:tcW w:w="1380" w:type="dxa"/>
            <w:tcBorders>
              <w:top w:val="single" w:sz="4" w:space="0" w:color="000000"/>
              <w:left w:val="nil"/>
              <w:bottom w:val="single" w:sz="4" w:space="0" w:color="000000"/>
              <w:right w:val="nil"/>
              <w:tl2br w:val="nil"/>
              <w:tr2bl w:val="nil"/>
            </w:tcBorders>
            <w:tcMar>
              <w:left w:w="40" w:type="dxa"/>
              <w:right w:w="40" w:type="dxa"/>
            </w:tcMar>
            <w:vAlign w:val="center"/>
          </w:tcPr>
          <w:p w14:paraId="4E73558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-8,064</w:t>
            </w:r>
          </w:p>
        </w:tc>
        <w:tc>
          <w:tcPr>
            <w:tcW w:w="1395" w:type="dxa"/>
            <w:tcBorders>
              <w:top w:val="single" w:sz="4" w:space="0" w:color="000000"/>
              <w:left w:val="nil"/>
              <w:bottom w:val="single" w:sz="4" w:space="0" w:color="000000"/>
              <w:right w:val="nil"/>
              <w:tl2br w:val="nil"/>
              <w:tr2bl w:val="nil"/>
            </w:tcBorders>
            <w:tcMar>
              <w:left w:w="40" w:type="dxa"/>
              <w:right w:w="40" w:type="dxa"/>
            </w:tcMar>
            <w:vAlign w:val="center"/>
          </w:tcPr>
          <w:p w14:paraId="39A632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84,969</w:t>
            </w:r>
          </w:p>
        </w:tc>
        <w:tc>
          <w:tcPr>
            <w:tcW w:w="1410" w:type="dxa"/>
            <w:tcBorders>
              <w:top w:val="single" w:sz="4" w:space="0" w:color="000000"/>
              <w:left w:val="nil"/>
              <w:bottom w:val="single" w:sz="4" w:space="0" w:color="000000"/>
              <w:right w:val="nil"/>
              <w:tl2br w:val="nil"/>
              <w:tr2bl w:val="nil"/>
            </w:tcBorders>
            <w:tcMar>
              <w:left w:w="40" w:type="dxa"/>
              <w:right w:w="40" w:type="dxa"/>
            </w:tcMar>
            <w:vAlign w:val="center"/>
          </w:tcPr>
          <w:p w14:paraId="37EA6E5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76,905</w:t>
            </w:r>
          </w:p>
        </w:tc>
      </w:tr>
      <w:tr w:rsidR="00FD1E19" w14:paraId="6D0DFF0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5775" w:type="dxa"/>
            <w:tcBorders>
              <w:top w:val="single" w:sz="4" w:space="0" w:color="000000"/>
              <w:left w:val="nil"/>
              <w:bottom w:val="nil"/>
              <w:right w:val="nil"/>
              <w:tl2br w:val="nil"/>
              <w:tr2bl w:val="nil"/>
            </w:tcBorders>
            <w:tcMar>
              <w:left w:w="0" w:type="dxa"/>
              <w:right w:w="0" w:type="dxa"/>
            </w:tcMar>
            <w:vAlign w:val="center"/>
          </w:tcPr>
          <w:p w14:paraId="063C41B5" w14:textId="77777777" w:rsidR="00FD1E19" w:rsidRDefault="00FD1E19" w:rsidP="00BE7E4A">
            <w:pPr>
              <w:suppressAutoHyphens/>
              <w:rPr>
                <w:rFonts w:ascii="Arial" w:eastAsia="Arial" w:hAnsi="Arial" w:cs="Arial"/>
                <w:b/>
                <w:noProof/>
                <w:color w:val="000000"/>
                <w:sz w:val="16"/>
                <w:lang w:eastAsia="ar-SA"/>
              </w:rPr>
            </w:pPr>
          </w:p>
        </w:tc>
        <w:tc>
          <w:tcPr>
            <w:tcW w:w="1380" w:type="dxa"/>
            <w:tcBorders>
              <w:top w:val="single" w:sz="4" w:space="0" w:color="000000"/>
              <w:left w:val="nil"/>
              <w:bottom w:val="nil"/>
              <w:right w:val="nil"/>
              <w:tl2br w:val="nil"/>
              <w:tr2bl w:val="nil"/>
            </w:tcBorders>
            <w:tcMar>
              <w:left w:w="0" w:type="dxa"/>
              <w:right w:w="0" w:type="dxa"/>
            </w:tcMar>
            <w:vAlign w:val="center"/>
          </w:tcPr>
          <w:p w14:paraId="50B16836" w14:textId="77777777" w:rsidR="00FD1E19" w:rsidRDefault="00FD1E19" w:rsidP="00BE7E4A">
            <w:pPr>
              <w:suppressAutoHyphens/>
              <w:jc w:val="right"/>
              <w:rPr>
                <w:rFonts w:ascii="Arial" w:eastAsia="Arial" w:hAnsi="Arial" w:cs="Arial"/>
                <w:b/>
                <w:noProof/>
                <w:color w:val="000000"/>
                <w:sz w:val="16"/>
                <w:lang w:eastAsia="ar-SA"/>
              </w:rPr>
            </w:pPr>
          </w:p>
        </w:tc>
        <w:tc>
          <w:tcPr>
            <w:tcW w:w="1395" w:type="dxa"/>
            <w:tcBorders>
              <w:top w:val="single" w:sz="4" w:space="0" w:color="000000"/>
              <w:left w:val="nil"/>
              <w:bottom w:val="nil"/>
              <w:right w:val="nil"/>
              <w:tl2br w:val="nil"/>
              <w:tr2bl w:val="nil"/>
            </w:tcBorders>
            <w:tcMar>
              <w:left w:w="0" w:type="dxa"/>
              <w:right w:w="0" w:type="dxa"/>
            </w:tcMar>
            <w:vAlign w:val="center"/>
          </w:tcPr>
          <w:p w14:paraId="40F7C6F2" w14:textId="77777777" w:rsidR="00FD1E19" w:rsidRDefault="00FD1E19" w:rsidP="00BE7E4A">
            <w:pPr>
              <w:suppressAutoHyphens/>
              <w:jc w:val="right"/>
              <w:rPr>
                <w:rFonts w:ascii="Arial" w:eastAsia="Arial" w:hAnsi="Arial" w:cs="Arial"/>
                <w:b/>
                <w:noProof/>
                <w:color w:val="000000"/>
                <w:sz w:val="16"/>
                <w:lang w:eastAsia="ar-SA"/>
              </w:rPr>
            </w:pPr>
          </w:p>
        </w:tc>
        <w:tc>
          <w:tcPr>
            <w:tcW w:w="1410" w:type="dxa"/>
            <w:tcBorders>
              <w:top w:val="single" w:sz="4" w:space="0" w:color="000000"/>
              <w:left w:val="nil"/>
              <w:bottom w:val="nil"/>
              <w:right w:val="nil"/>
              <w:tl2br w:val="nil"/>
              <w:tr2bl w:val="nil"/>
            </w:tcBorders>
            <w:tcMar>
              <w:left w:w="0" w:type="dxa"/>
              <w:right w:w="0" w:type="dxa"/>
            </w:tcMar>
            <w:vAlign w:val="center"/>
          </w:tcPr>
          <w:p w14:paraId="7C97F7E5"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68F03CB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5775" w:type="dxa"/>
            <w:tcBorders>
              <w:top w:val="nil"/>
              <w:left w:val="nil"/>
              <w:bottom w:val="nil"/>
              <w:right w:val="nil"/>
              <w:tl2br w:val="nil"/>
              <w:tr2bl w:val="nil"/>
            </w:tcBorders>
            <w:shd w:val="clear" w:color="FFFFFF" w:fill="C0C0C0"/>
            <w:tcMar>
              <w:left w:w="40" w:type="dxa"/>
              <w:right w:w="40" w:type="dxa"/>
            </w:tcMar>
            <w:vAlign w:val="center"/>
          </w:tcPr>
          <w:p w14:paraId="4CFEA77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Shares and other variable yield securities as at 31 December 2024</w:t>
            </w:r>
          </w:p>
        </w:tc>
        <w:tc>
          <w:tcPr>
            <w:tcW w:w="1380" w:type="dxa"/>
            <w:tcBorders>
              <w:top w:val="nil"/>
              <w:left w:val="nil"/>
              <w:bottom w:val="nil"/>
              <w:right w:val="nil"/>
              <w:tl2br w:val="nil"/>
              <w:tr2bl w:val="nil"/>
            </w:tcBorders>
            <w:shd w:val="clear" w:color="FFFFFF" w:fill="C0C0C0"/>
            <w:tcMar>
              <w:left w:w="40" w:type="dxa"/>
              <w:right w:w="40" w:type="dxa"/>
            </w:tcMar>
            <w:vAlign w:val="center"/>
          </w:tcPr>
          <w:p w14:paraId="606B189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655,817</w:t>
            </w:r>
          </w:p>
        </w:tc>
        <w:tc>
          <w:tcPr>
            <w:tcW w:w="1395" w:type="dxa"/>
            <w:tcBorders>
              <w:top w:val="nil"/>
              <w:left w:val="nil"/>
              <w:bottom w:val="nil"/>
              <w:right w:val="nil"/>
              <w:tl2br w:val="nil"/>
              <w:tr2bl w:val="nil"/>
            </w:tcBorders>
            <w:shd w:val="clear" w:color="FFFFFF" w:fill="C0C0C0"/>
            <w:tcMar>
              <w:left w:w="40" w:type="dxa"/>
              <w:right w:w="40" w:type="dxa"/>
            </w:tcMar>
            <w:vAlign w:val="center"/>
          </w:tcPr>
          <w:p w14:paraId="079AE73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178,804</w:t>
            </w:r>
          </w:p>
        </w:tc>
        <w:tc>
          <w:tcPr>
            <w:tcW w:w="1410" w:type="dxa"/>
            <w:tcBorders>
              <w:top w:val="nil"/>
              <w:left w:val="nil"/>
              <w:bottom w:val="nil"/>
              <w:right w:val="nil"/>
              <w:tl2br w:val="nil"/>
              <w:tr2bl w:val="nil"/>
            </w:tcBorders>
            <w:shd w:val="clear" w:color="FFFFFF" w:fill="C0C0C0"/>
            <w:tcMar>
              <w:left w:w="40" w:type="dxa"/>
              <w:right w:w="40" w:type="dxa"/>
            </w:tcMar>
            <w:vAlign w:val="center"/>
          </w:tcPr>
          <w:p w14:paraId="5CA60A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834,621</w:t>
            </w:r>
          </w:p>
        </w:tc>
      </w:tr>
    </w:tbl>
    <w:p w14:paraId="6356CCE4" w14:textId="77777777" w:rsidR="00FD1E19" w:rsidRPr="000F5238" w:rsidRDefault="00FD1E19" w:rsidP="00FD1E19">
      <w:pPr>
        <w:pageBreakBefore/>
        <w:pBdr>
          <w:top w:val="nil"/>
          <w:left w:val="nil"/>
          <w:bottom w:val="nil"/>
          <w:right w:val="nil"/>
          <w:between w:val="nil"/>
          <w:bar w:val="nil"/>
        </w:pBdr>
        <w:tabs>
          <w:tab w:val="center" w:pos="4320"/>
          <w:tab w:val="right" w:pos="8640"/>
        </w:tabs>
        <w:suppressAutoHyphens/>
        <w:ind w:left="431" w:hanging="431"/>
        <w:jc w:val="both"/>
        <w:rPr>
          <w:rFonts w:ascii="Arial" w:hAnsi="Arial"/>
          <w:b/>
          <w:noProof/>
          <w:sz w:val="20"/>
          <w:bdr w:val="nil"/>
          <w:lang w:val="en-US" w:eastAsia="ar-SA"/>
        </w:rPr>
      </w:pPr>
      <w:bookmarkStart w:id="293" w:name="RG_MARKER_90179"/>
      <w:bookmarkStart w:id="294" w:name="RG_MARKER_90178"/>
      <w:r w:rsidRPr="00A914C3">
        <w:rPr>
          <w:rFonts w:ascii="Arial" w:hAnsi="Arial"/>
          <w:b/>
          <w:noProof/>
          <w:sz w:val="20"/>
          <w:lang w:val="en-US" w:eastAsia="ar-SA"/>
        </w:rPr>
        <w:t>9</w:t>
      </w:r>
      <w:bookmarkEnd w:id="293"/>
      <w:bookmarkEnd w:id="294"/>
      <w:r>
        <w:rPr>
          <w:rFonts w:ascii="Arial" w:hAnsi="Arial"/>
          <w:b/>
          <w:noProof/>
          <w:sz w:val="20"/>
          <w:lang w:val="en-US" w:eastAsia="ar-SA"/>
        </w:rPr>
        <w:tab/>
        <w:t>Amounts receivable from contributors</w:t>
      </w:r>
    </w:p>
    <w:p w14:paraId="13FF2371"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3DFF6D02" w14:textId="77777777" w:rsidR="00FD1E19" w:rsidRPr="00EF53A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Pr>
          <w:rFonts w:ascii="Arial" w:hAnsi="Arial"/>
          <w:noProof/>
          <w:sz w:val="16"/>
          <w:szCs w:val="16"/>
          <w:lang w:eastAsia="ar-SA"/>
        </w:rPr>
        <w:t xml:space="preserve">There were no receivables from contributors, which are entirely composed of </w:t>
      </w:r>
      <w:r w:rsidRPr="006C6F4B">
        <w:rPr>
          <w:rFonts w:ascii="Arial" w:hAnsi="Arial"/>
          <w:noProof/>
          <w:sz w:val="16"/>
          <w:szCs w:val="16"/>
          <w:lang w:eastAsia="ar-SA"/>
        </w:rPr>
        <w:t>Member States contribution</w:t>
      </w:r>
      <w:r>
        <w:rPr>
          <w:rFonts w:ascii="Arial" w:hAnsi="Arial"/>
          <w:noProof/>
          <w:sz w:val="16"/>
          <w:szCs w:val="16"/>
          <w:lang w:eastAsia="ar-SA"/>
        </w:rPr>
        <w:t>s</w:t>
      </w:r>
      <w:r w:rsidRPr="006C6F4B">
        <w:rPr>
          <w:rFonts w:ascii="Arial" w:hAnsi="Arial"/>
          <w:noProof/>
          <w:sz w:val="16"/>
          <w:szCs w:val="16"/>
          <w:lang w:eastAsia="ar-SA"/>
        </w:rPr>
        <w:t xml:space="preserve"> called but not paid</w:t>
      </w:r>
      <w:r>
        <w:rPr>
          <w:rFonts w:ascii="Arial" w:hAnsi="Arial"/>
          <w:noProof/>
          <w:sz w:val="16"/>
          <w:szCs w:val="16"/>
          <w:lang w:eastAsia="ar-SA"/>
        </w:rPr>
        <w:t xml:space="preserve"> for </w:t>
      </w:r>
      <w:r>
        <w:rPr>
          <w:rFonts w:ascii="Arial" w:hAnsi="Arial"/>
          <w:iCs/>
          <w:noProof/>
          <w:sz w:val="16"/>
          <w:szCs w:val="16"/>
          <w:lang w:eastAsia="ar-SA"/>
        </w:rPr>
        <w:t>2025</w:t>
      </w:r>
      <w:r>
        <w:rPr>
          <w:rFonts w:ascii="Arial" w:hAnsi="Arial"/>
          <w:noProof/>
          <w:sz w:val="16"/>
          <w:szCs w:val="16"/>
          <w:lang w:eastAsia="ar-SA"/>
        </w:rPr>
        <w:t xml:space="preserve"> </w:t>
      </w:r>
      <w:r>
        <w:rPr>
          <w:rFonts w:ascii="Arial" w:hAnsi="Arial"/>
          <w:iCs/>
          <w:noProof/>
          <w:sz w:val="16"/>
          <w:szCs w:val="16"/>
          <w:lang w:eastAsia="ar-SA"/>
        </w:rPr>
        <w:t xml:space="preserve">(2024: EUR 7.5 million) </w:t>
      </w:r>
      <w:r w:rsidRPr="00BD1346">
        <w:rPr>
          <w:rFonts w:ascii="Arial" w:hAnsi="Arial"/>
          <w:noProof/>
          <w:sz w:val="16"/>
          <w:szCs w:val="16"/>
          <w:lang w:eastAsia="ar-SA"/>
        </w:rPr>
        <w:t xml:space="preserve">receivable from contributors </w:t>
      </w:r>
    </w:p>
    <w:p w14:paraId="0B05C018" w14:textId="77777777" w:rsidR="00FD1E19" w:rsidRDefault="00FD1E19" w:rsidP="00FD1E19">
      <w:pPr>
        <w:pBdr>
          <w:top w:val="nil"/>
          <w:left w:val="nil"/>
          <w:bottom w:val="nil"/>
          <w:right w:val="nil"/>
          <w:between w:val="nil"/>
          <w:bar w:val="nil"/>
        </w:pBdr>
        <w:suppressAutoHyphens/>
        <w:rPr>
          <w:noProof/>
          <w:bdr w:val="nil"/>
          <w:lang w:eastAsia="ar-SA"/>
        </w:rPr>
      </w:pPr>
    </w:p>
    <w:p w14:paraId="76A70E70" w14:textId="77777777" w:rsidR="00FD1E19" w:rsidRDefault="00FD1E19" w:rsidP="00FD1E19">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hAnsi="Arial"/>
          <w:b/>
          <w:noProof/>
          <w:sz w:val="20"/>
          <w:bdr w:val="nil"/>
          <w:lang w:val="en-US" w:eastAsia="ar-SA"/>
        </w:rPr>
      </w:pPr>
      <w:bookmarkStart w:id="295" w:name="RG_MARKER_90191"/>
      <w:bookmarkStart w:id="296" w:name="RG_MARKER_90076"/>
      <w:r w:rsidRPr="0036419C">
        <w:rPr>
          <w:rFonts w:ascii="Arial" w:hAnsi="Arial"/>
          <w:b/>
          <w:noProof/>
          <w:sz w:val="20"/>
          <w:lang w:val="en-US" w:eastAsia="ar-SA"/>
        </w:rPr>
        <w:t>10</w:t>
      </w:r>
      <w:bookmarkEnd w:id="295"/>
      <w:bookmarkEnd w:id="296"/>
      <w:r>
        <w:rPr>
          <w:rFonts w:ascii="Arial" w:hAnsi="Arial"/>
          <w:b/>
          <w:noProof/>
          <w:sz w:val="20"/>
          <w:lang w:val="en-US" w:eastAsia="ar-SA"/>
        </w:rPr>
        <w:tab/>
        <w:t>Treasury financial assets</w:t>
      </w:r>
    </w:p>
    <w:p w14:paraId="01E1E7F6" w14:textId="77777777" w:rsidR="00FD1E19" w:rsidRDefault="00FD1E19" w:rsidP="00FD1E19">
      <w:pPr>
        <w:pBdr>
          <w:top w:val="nil"/>
          <w:left w:val="nil"/>
          <w:bottom w:val="nil"/>
          <w:right w:val="nil"/>
          <w:between w:val="nil"/>
          <w:bar w:val="nil"/>
        </w:pBdr>
        <w:spacing w:before="60" w:after="60"/>
        <w:contextualSpacing/>
        <w:jc w:val="both"/>
        <w:rPr>
          <w:noProof/>
          <w:sz w:val="16"/>
          <w:szCs w:val="16"/>
          <w:bdr w:val="nil"/>
          <w:lang w:eastAsia="ar-SA"/>
        </w:rPr>
      </w:pPr>
    </w:p>
    <w:p w14:paraId="528C72DA"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Pr>
          <w:rFonts w:ascii="Arial" w:hAnsi="Arial"/>
          <w:noProof/>
          <w:sz w:val="16"/>
          <w:szCs w:val="16"/>
          <w:lang w:eastAsia="ar-SA"/>
        </w:rPr>
        <w:t xml:space="preserve">The treasury portfolio is composed of quoted bonds which have a remaining maturity of less than three months at reporting date. There were no treasury financial assets either in </w:t>
      </w:r>
      <w:r w:rsidRPr="00230C07">
        <w:rPr>
          <w:rFonts w:ascii="Arial" w:hAnsi="Arial"/>
          <w:iCs/>
          <w:noProof/>
          <w:sz w:val="16"/>
          <w:szCs w:val="16"/>
          <w:lang w:eastAsia="ar-SA"/>
        </w:rPr>
        <w:t>2025</w:t>
      </w:r>
      <w:r w:rsidRPr="00230C07">
        <w:rPr>
          <w:rFonts w:ascii="Arial" w:hAnsi="Arial"/>
          <w:noProof/>
          <w:sz w:val="16"/>
          <w:szCs w:val="16"/>
          <w:lang w:eastAsia="ar-SA"/>
        </w:rPr>
        <w:t xml:space="preserve"> </w:t>
      </w:r>
      <w:r>
        <w:rPr>
          <w:rFonts w:ascii="Arial" w:hAnsi="Arial"/>
          <w:noProof/>
          <w:sz w:val="16"/>
          <w:szCs w:val="16"/>
          <w:lang w:eastAsia="ar-SA"/>
        </w:rPr>
        <w:t xml:space="preserve">or in </w:t>
      </w:r>
      <w:r w:rsidRPr="00230C07">
        <w:rPr>
          <w:rFonts w:ascii="Arial" w:hAnsi="Arial"/>
          <w:iCs/>
          <w:noProof/>
          <w:sz w:val="16"/>
          <w:szCs w:val="16"/>
          <w:lang w:eastAsia="ar-SA"/>
        </w:rPr>
        <w:t>2024</w:t>
      </w:r>
      <w:r>
        <w:rPr>
          <w:rFonts w:ascii="Arial" w:hAnsi="Arial"/>
          <w:noProof/>
          <w:sz w:val="16"/>
          <w:szCs w:val="16"/>
          <w:lang w:eastAsia="ar-SA"/>
        </w:rPr>
        <w:t xml:space="preserve">. </w:t>
      </w:r>
    </w:p>
    <w:p w14:paraId="711EEEA9" w14:textId="77777777" w:rsidR="00FD1E19" w:rsidRDefault="00FD1E19" w:rsidP="00FD1E19">
      <w:pPr>
        <w:pBdr>
          <w:top w:val="nil"/>
          <w:left w:val="nil"/>
          <w:bottom w:val="nil"/>
          <w:right w:val="nil"/>
          <w:between w:val="nil"/>
          <w:bar w:val="nil"/>
        </w:pBdr>
        <w:suppressAutoHyphens/>
        <w:rPr>
          <w:noProof/>
          <w:bdr w:val="nil"/>
          <w:lang w:eastAsia="ar-SA"/>
        </w:rPr>
      </w:pPr>
    </w:p>
    <w:p w14:paraId="4AB6B597" w14:textId="77777777" w:rsidR="00FD1E19" w:rsidRDefault="00FD1E19" w:rsidP="00FD1E19">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lang w:val="en-US" w:eastAsia="ar-SA"/>
        </w:rPr>
      </w:pPr>
      <w:bookmarkStart w:id="297" w:name="RG_MARKER_90188"/>
      <w:bookmarkStart w:id="298" w:name="RG_MARKER_90189"/>
      <w:r w:rsidRPr="009D1E2D">
        <w:rPr>
          <w:rFonts w:ascii="Arial" w:hAnsi="Arial"/>
          <w:b/>
          <w:noProof/>
          <w:sz w:val="20"/>
          <w:lang w:val="en-US" w:eastAsia="ar-SA"/>
        </w:rPr>
        <w:t>11</w:t>
      </w:r>
      <w:bookmarkEnd w:id="297"/>
      <w:bookmarkEnd w:id="298"/>
      <w:r>
        <w:rPr>
          <w:rFonts w:ascii="Arial" w:hAnsi="Arial"/>
          <w:b/>
          <w:noProof/>
          <w:sz w:val="20"/>
          <w:lang w:val="en-US" w:eastAsia="ar-SA"/>
        </w:rPr>
        <w:tab/>
        <w:t>Other assets</w:t>
      </w:r>
    </w:p>
    <w:p w14:paraId="5E6146C8" w14:textId="77777777" w:rsidR="00FD1E19" w:rsidRPr="007653EF" w:rsidRDefault="00FD1E19" w:rsidP="00FD1E19">
      <w:pPr>
        <w:pBdr>
          <w:top w:val="nil"/>
          <w:left w:val="nil"/>
          <w:bottom w:val="nil"/>
          <w:right w:val="nil"/>
          <w:between w:val="nil"/>
          <w:bar w:val="nil"/>
        </w:pBdr>
        <w:spacing w:before="60" w:after="60"/>
        <w:jc w:val="both"/>
        <w:rPr>
          <w:noProof/>
          <w:sz w:val="16"/>
          <w:szCs w:val="16"/>
          <w:bdr w:val="nil"/>
          <w:lang w:eastAsia="ar-SA"/>
        </w:rPr>
      </w:pPr>
    </w:p>
    <w:p w14:paraId="54E55A32"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The main components of other assets are as follows:</w:t>
      </w:r>
    </w:p>
    <w:tbl>
      <w:tblPr>
        <w:tblStyle w:val="CDMRange2"/>
        <w:tblW w:w="5000" w:type="pct"/>
        <w:tblLayout w:type="fixed"/>
        <w:tblLook w:val="0600" w:firstRow="0" w:lastRow="0" w:firstColumn="0" w:lastColumn="0" w:noHBand="1" w:noVBand="1"/>
      </w:tblPr>
      <w:tblGrid>
        <w:gridCol w:w="6792"/>
        <w:gridCol w:w="1463"/>
        <w:gridCol w:w="1463"/>
      </w:tblGrid>
      <w:tr w:rsidR="00FD1E19" w14:paraId="45519EF2" w14:textId="77777777" w:rsidTr="00BE7E4A">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7DC20D72" w14:textId="77777777" w:rsidR="00FD1E19" w:rsidRDefault="00FD1E19" w:rsidP="00BE7E4A">
            <w:pPr>
              <w:suppressAutoHyphens/>
              <w:rPr>
                <w:rFonts w:ascii="Arial" w:eastAsia="Arial" w:hAnsi="Arial" w:cs="Arial"/>
                <w:b/>
                <w:noProof/>
                <w:color w:val="000000"/>
                <w:sz w:val="16"/>
                <w:lang w:eastAsia="ar-SA"/>
              </w:rPr>
            </w:pPr>
            <w:bookmarkStart w:id="299" w:name="RG_MARKER_90187"/>
            <w:r>
              <w:rPr>
                <w:rFonts w:ascii="Arial" w:eastAsia="Arial" w:hAnsi="Arial" w:cs="Arial"/>
                <w:b/>
                <w:noProof/>
                <w:color w:val="000000"/>
                <w:sz w:val="16"/>
                <w:lang w:eastAsia="ar-SA"/>
              </w:rPr>
              <w:t>in EUR'000</w:t>
            </w:r>
            <w:bookmarkEnd w:id="299"/>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188AD41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20F72BA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324260F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14:paraId="674B937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Amount receivable from the EIB</w:t>
            </w:r>
          </w:p>
        </w:tc>
        <w:tc>
          <w:tcPr>
            <w:tcW w:w="1500" w:type="dxa"/>
            <w:tcBorders>
              <w:top w:val="nil"/>
              <w:left w:val="nil"/>
              <w:bottom w:val="nil"/>
              <w:right w:val="nil"/>
              <w:tl2br w:val="nil"/>
              <w:tr2bl w:val="nil"/>
            </w:tcBorders>
            <w:tcMar>
              <w:left w:w="40" w:type="dxa"/>
              <w:right w:w="40" w:type="dxa"/>
            </w:tcMar>
            <w:vAlign w:val="center"/>
          </w:tcPr>
          <w:p w14:paraId="5965F9A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3826597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D26651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14:paraId="378E31C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Guarantee call receivable</w:t>
            </w:r>
          </w:p>
        </w:tc>
        <w:tc>
          <w:tcPr>
            <w:tcW w:w="1500" w:type="dxa"/>
            <w:tcBorders>
              <w:top w:val="nil"/>
              <w:left w:val="nil"/>
              <w:bottom w:val="nil"/>
              <w:right w:val="nil"/>
              <w:tl2br w:val="nil"/>
              <w:tr2bl w:val="nil"/>
            </w:tcBorders>
            <w:tcMar>
              <w:left w:w="40" w:type="dxa"/>
              <w:right w:w="40" w:type="dxa"/>
            </w:tcMar>
            <w:vAlign w:val="center"/>
          </w:tcPr>
          <w:p w14:paraId="65178D0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36,833</w:t>
            </w:r>
          </w:p>
        </w:tc>
        <w:tc>
          <w:tcPr>
            <w:tcW w:w="1500" w:type="dxa"/>
            <w:tcBorders>
              <w:top w:val="nil"/>
              <w:left w:val="nil"/>
              <w:bottom w:val="nil"/>
              <w:right w:val="nil"/>
              <w:tl2br w:val="nil"/>
              <w:tr2bl w:val="nil"/>
            </w:tcBorders>
            <w:tcMar>
              <w:left w:w="40" w:type="dxa"/>
              <w:right w:w="40" w:type="dxa"/>
            </w:tcMar>
            <w:vAlign w:val="center"/>
          </w:tcPr>
          <w:p w14:paraId="538A568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6E29BFC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0C0C0"/>
            <w:tcMar>
              <w:left w:w="40" w:type="dxa"/>
              <w:right w:w="40" w:type="dxa"/>
            </w:tcMar>
            <w:vAlign w:val="center"/>
          </w:tcPr>
          <w:p w14:paraId="4500FA5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other assets</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5190FD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36,833</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42666B2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bl>
    <w:p w14:paraId="52AE7AB3" w14:textId="77777777" w:rsidR="00FD1E19" w:rsidRDefault="00FD1E19" w:rsidP="00FD1E19">
      <w:pPr>
        <w:pBdr>
          <w:top w:val="nil"/>
          <w:left w:val="nil"/>
          <w:bottom w:val="nil"/>
          <w:right w:val="nil"/>
          <w:between w:val="nil"/>
          <w:bar w:val="nil"/>
        </w:pBdr>
        <w:suppressAutoHyphens/>
        <w:rPr>
          <w:noProof/>
          <w:bdr w:val="nil"/>
          <w:lang w:eastAsia="ar-SA"/>
        </w:rPr>
      </w:pPr>
    </w:p>
    <w:p w14:paraId="0AA5FD5F" w14:textId="77777777" w:rsidR="00FD1E19" w:rsidRDefault="00FD1E19" w:rsidP="00FD1E19">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lang w:eastAsia="ar-SA"/>
        </w:rPr>
      </w:pPr>
      <w:bookmarkStart w:id="300" w:name="RG_MARKER_90182"/>
      <w:bookmarkStart w:id="301" w:name="RG_MARKER_90183"/>
      <w:r w:rsidRPr="005674C4">
        <w:rPr>
          <w:rFonts w:ascii="Arial" w:hAnsi="Arial"/>
          <w:b/>
          <w:noProof/>
          <w:sz w:val="20"/>
          <w:lang w:eastAsia="ar-SA"/>
        </w:rPr>
        <w:t>12</w:t>
      </w:r>
      <w:bookmarkEnd w:id="300"/>
      <w:bookmarkEnd w:id="301"/>
      <w:r>
        <w:rPr>
          <w:rFonts w:ascii="Arial" w:hAnsi="Arial"/>
          <w:b/>
          <w:noProof/>
          <w:sz w:val="20"/>
          <w:lang w:eastAsia="ar-SA"/>
        </w:rPr>
        <w:tab/>
      </w:r>
      <w:r>
        <w:rPr>
          <w:rFonts w:ascii="Arial" w:hAnsi="Arial"/>
          <w:b/>
          <w:noProof/>
          <w:sz w:val="20"/>
          <w:lang w:val="en-US" w:eastAsia="ar-SA"/>
        </w:rPr>
        <w:t>Deferred income</w:t>
      </w:r>
    </w:p>
    <w:p w14:paraId="1CF5DEE9" w14:textId="77777777" w:rsidR="00FD1E19" w:rsidRPr="006877DA" w:rsidRDefault="00FD1E19" w:rsidP="00FD1E19">
      <w:pPr>
        <w:pBdr>
          <w:top w:val="nil"/>
          <w:left w:val="nil"/>
          <w:bottom w:val="nil"/>
          <w:right w:val="nil"/>
          <w:between w:val="nil"/>
          <w:bar w:val="nil"/>
        </w:pBdr>
        <w:spacing w:before="60" w:after="60"/>
        <w:jc w:val="both"/>
        <w:rPr>
          <w:rFonts w:ascii="Arial" w:hAnsi="Arial"/>
          <w:b/>
          <w:noProof/>
          <w:sz w:val="16"/>
          <w:szCs w:val="16"/>
          <w:bdr w:val="nil"/>
          <w:lang w:eastAsia="ar-SA"/>
        </w:rPr>
      </w:pPr>
    </w:p>
    <w:p w14:paraId="1F75495E" w14:textId="77777777" w:rsidR="00FD1E19" w:rsidRPr="0021446A"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The main components of</w:t>
      </w:r>
      <w:r>
        <w:rPr>
          <w:rFonts w:ascii="Arial" w:hAnsi="Arial"/>
          <w:noProof/>
          <w:sz w:val="16"/>
          <w:szCs w:val="16"/>
          <w:lang w:eastAsia="ar-SA"/>
        </w:rPr>
        <w:t xml:space="preserve"> deferred income are as follows:</w:t>
      </w:r>
    </w:p>
    <w:tbl>
      <w:tblPr>
        <w:tblStyle w:val="CDMRange1"/>
        <w:tblW w:w="5000" w:type="pct"/>
        <w:tblLayout w:type="fixed"/>
        <w:tblLook w:val="0600" w:firstRow="0" w:lastRow="0" w:firstColumn="0" w:lastColumn="0" w:noHBand="1" w:noVBand="1"/>
      </w:tblPr>
      <w:tblGrid>
        <w:gridCol w:w="6792"/>
        <w:gridCol w:w="1463"/>
        <w:gridCol w:w="1463"/>
      </w:tblGrid>
      <w:tr w:rsidR="00FD1E19" w14:paraId="48D728B5" w14:textId="77777777" w:rsidTr="00BE7E4A">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718C61E1" w14:textId="77777777" w:rsidR="00FD1E19" w:rsidRDefault="00FD1E19" w:rsidP="00BE7E4A">
            <w:pPr>
              <w:suppressAutoHyphens/>
              <w:rPr>
                <w:rFonts w:ascii="Arial" w:eastAsia="Arial" w:hAnsi="Arial" w:cs="Arial"/>
                <w:b/>
                <w:noProof/>
                <w:color w:val="000000"/>
                <w:sz w:val="16"/>
                <w:lang w:eastAsia="ar-SA"/>
              </w:rPr>
            </w:pPr>
            <w:bookmarkStart w:id="302" w:name="RG_MARKER_90181"/>
            <w:r>
              <w:rPr>
                <w:rFonts w:ascii="Arial" w:eastAsia="Arial" w:hAnsi="Arial" w:cs="Arial"/>
                <w:b/>
                <w:noProof/>
                <w:color w:val="000000"/>
                <w:sz w:val="16"/>
                <w:lang w:eastAsia="ar-SA"/>
              </w:rPr>
              <w:t>in EUR'000</w:t>
            </w:r>
            <w:bookmarkEnd w:id="302"/>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3193E09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111AB67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09D8E82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14:paraId="01417F0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Deferred interest subsidies</w:t>
            </w:r>
          </w:p>
        </w:tc>
        <w:tc>
          <w:tcPr>
            <w:tcW w:w="1500" w:type="dxa"/>
            <w:tcBorders>
              <w:top w:val="single" w:sz="4" w:space="0" w:color="000000"/>
              <w:left w:val="nil"/>
              <w:bottom w:val="nil"/>
              <w:right w:val="nil"/>
              <w:tl2br w:val="nil"/>
              <w:tr2bl w:val="nil"/>
            </w:tcBorders>
            <w:tcMar>
              <w:left w:w="40" w:type="dxa"/>
              <w:right w:w="40" w:type="dxa"/>
            </w:tcMar>
            <w:vAlign w:val="center"/>
          </w:tcPr>
          <w:p w14:paraId="48B3BA4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44,718</w:t>
            </w:r>
          </w:p>
        </w:tc>
        <w:tc>
          <w:tcPr>
            <w:tcW w:w="1500" w:type="dxa"/>
            <w:tcBorders>
              <w:top w:val="single" w:sz="4" w:space="0" w:color="000000"/>
              <w:left w:val="nil"/>
              <w:bottom w:val="nil"/>
              <w:right w:val="nil"/>
              <w:tl2br w:val="nil"/>
              <w:tr2bl w:val="nil"/>
            </w:tcBorders>
            <w:tcMar>
              <w:left w:w="40" w:type="dxa"/>
              <w:right w:w="40" w:type="dxa"/>
            </w:tcMar>
            <w:vAlign w:val="center"/>
          </w:tcPr>
          <w:p w14:paraId="31FE74F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46,461</w:t>
            </w:r>
          </w:p>
        </w:tc>
      </w:tr>
      <w:tr w:rsidR="00FD1E19" w14:paraId="4D5976F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14:paraId="614E757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Deferred commissions on loans and advances</w:t>
            </w:r>
          </w:p>
        </w:tc>
        <w:tc>
          <w:tcPr>
            <w:tcW w:w="1500" w:type="dxa"/>
            <w:tcBorders>
              <w:top w:val="nil"/>
              <w:left w:val="nil"/>
              <w:bottom w:val="nil"/>
              <w:right w:val="nil"/>
              <w:tl2br w:val="nil"/>
              <w:tr2bl w:val="nil"/>
            </w:tcBorders>
            <w:tcMar>
              <w:left w:w="40" w:type="dxa"/>
              <w:right w:w="40" w:type="dxa"/>
            </w:tcMar>
            <w:vAlign w:val="center"/>
          </w:tcPr>
          <w:p w14:paraId="19FCF5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127</w:t>
            </w:r>
          </w:p>
        </w:tc>
        <w:tc>
          <w:tcPr>
            <w:tcW w:w="1500" w:type="dxa"/>
            <w:tcBorders>
              <w:top w:val="nil"/>
              <w:left w:val="nil"/>
              <w:bottom w:val="nil"/>
              <w:right w:val="nil"/>
              <w:tl2br w:val="nil"/>
              <w:tr2bl w:val="nil"/>
            </w:tcBorders>
            <w:tcMar>
              <w:left w:w="40" w:type="dxa"/>
              <w:right w:w="40" w:type="dxa"/>
            </w:tcMar>
            <w:vAlign w:val="center"/>
          </w:tcPr>
          <w:p w14:paraId="185699D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1,264</w:t>
            </w:r>
          </w:p>
        </w:tc>
      </w:tr>
      <w:tr w:rsidR="00FD1E19" w14:paraId="584240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14:paraId="7C34FC9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deferred income</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17CA8B5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44,845</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5051414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47,725</w:t>
            </w:r>
          </w:p>
        </w:tc>
      </w:tr>
    </w:tbl>
    <w:p w14:paraId="00B02938" w14:textId="77777777" w:rsidR="00FD1E19" w:rsidRDefault="00FD1E19" w:rsidP="00FD1E19">
      <w:pPr>
        <w:pBdr>
          <w:top w:val="nil"/>
          <w:left w:val="nil"/>
          <w:bottom w:val="nil"/>
          <w:right w:val="nil"/>
          <w:between w:val="nil"/>
          <w:bar w:val="nil"/>
        </w:pBdr>
        <w:suppressAutoHyphens/>
        <w:rPr>
          <w:noProof/>
          <w:bdr w:val="nil"/>
          <w:lang w:eastAsia="ar-SA"/>
        </w:rPr>
      </w:pPr>
    </w:p>
    <w:p w14:paraId="0129F2DC" w14:textId="77777777" w:rsidR="00FD1E19" w:rsidRPr="003E4BC5"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szCs w:val="20"/>
          <w:bdr w:val="nil"/>
          <w:lang w:eastAsia="ar-SA"/>
        </w:rPr>
      </w:pPr>
      <w:bookmarkStart w:id="303" w:name="RG_MARKER_90195"/>
      <w:bookmarkStart w:id="304" w:name="RG_MARKER_90194"/>
      <w:r w:rsidRPr="003E4BC5">
        <w:rPr>
          <w:rFonts w:ascii="Arial" w:hAnsi="Arial" w:cs="Arial"/>
          <w:b/>
          <w:noProof/>
          <w:sz w:val="20"/>
          <w:szCs w:val="20"/>
          <w:lang w:eastAsia="ar-SA"/>
        </w:rPr>
        <w:t>13</w:t>
      </w:r>
      <w:bookmarkEnd w:id="303"/>
      <w:bookmarkEnd w:id="304"/>
      <w:r w:rsidRPr="003E4BC5">
        <w:rPr>
          <w:rFonts w:ascii="Arial" w:hAnsi="Arial" w:cs="Arial"/>
          <w:b/>
          <w:noProof/>
          <w:sz w:val="20"/>
          <w:szCs w:val="20"/>
          <w:lang w:eastAsia="ar-SA"/>
        </w:rPr>
        <w:tab/>
        <w:t>Provisions for loan commitments</w:t>
      </w:r>
    </w:p>
    <w:p w14:paraId="4156872A" w14:textId="77777777" w:rsidR="00FD1E19" w:rsidRDefault="00FD1E19" w:rsidP="00FD1E19">
      <w:pPr>
        <w:pBdr>
          <w:top w:val="nil"/>
          <w:left w:val="nil"/>
          <w:bottom w:val="nil"/>
          <w:right w:val="nil"/>
          <w:between w:val="nil"/>
          <w:bar w:val="nil"/>
        </w:pBdr>
        <w:spacing w:before="60" w:after="60"/>
        <w:contextualSpacing/>
        <w:jc w:val="both"/>
        <w:rPr>
          <w:rFonts w:ascii="Arial" w:hAnsi="Arial"/>
          <w:noProof/>
          <w:sz w:val="16"/>
          <w:szCs w:val="16"/>
          <w:bdr w:val="nil"/>
          <w:lang w:eastAsia="ar-SA"/>
        </w:rPr>
      </w:pPr>
    </w:p>
    <w:p w14:paraId="2F8C1FCD" w14:textId="77777777" w:rsidR="00FD1E19" w:rsidRPr="001034FA" w:rsidRDefault="00FD1E19" w:rsidP="00FD1E19">
      <w:pPr>
        <w:pBdr>
          <w:top w:val="nil"/>
          <w:left w:val="nil"/>
          <w:bottom w:val="nil"/>
          <w:right w:val="nil"/>
          <w:between w:val="nil"/>
          <w:bar w:val="nil"/>
        </w:pBdr>
        <w:suppressAutoHyphens/>
        <w:jc w:val="both"/>
        <w:rPr>
          <w:rFonts w:ascii="Arial" w:hAnsi="Arial"/>
          <w:noProof/>
          <w:sz w:val="16"/>
          <w:szCs w:val="16"/>
          <w:bdr w:val="nil"/>
          <w:lang w:eastAsia="ar-SA"/>
        </w:rPr>
      </w:pPr>
      <w:r>
        <w:rPr>
          <w:rFonts w:ascii="Arial" w:hAnsi="Arial"/>
          <w:noProof/>
          <w:sz w:val="16"/>
          <w:szCs w:val="16"/>
          <w:bdr w:val="none" w:sz="0" w:space="0" w:color="auto" w:frame="1"/>
          <w:lang w:eastAsia="ar-SA"/>
        </w:rPr>
        <w:t>The following tables show the reconciliation from the opening to the closing balance of the loss allowance for undisbursed loans (loan commitments):</w:t>
      </w:r>
    </w:p>
    <w:p w14:paraId="2DACB5EB" w14:textId="77777777" w:rsidR="00FD1E19" w:rsidRDefault="00FD1E19" w:rsidP="00FD1E19">
      <w:pPr>
        <w:suppressAutoHyphens/>
        <w:rPr>
          <w:noProof/>
          <w:lang w:eastAsia="ar-SA"/>
        </w:rPr>
      </w:pPr>
    </w:p>
    <w:tbl>
      <w:tblPr>
        <w:tblStyle w:val="CDMRange2"/>
        <w:tblW w:w="5000" w:type="pct"/>
        <w:tblLayout w:type="fixed"/>
        <w:tblLook w:val="0600" w:firstRow="0" w:lastRow="0" w:firstColumn="0" w:lastColumn="0" w:noHBand="1" w:noVBand="1"/>
      </w:tblPr>
      <w:tblGrid>
        <w:gridCol w:w="3854"/>
        <w:gridCol w:w="1456"/>
        <w:gridCol w:w="1456"/>
        <w:gridCol w:w="1456"/>
        <w:gridCol w:w="1456"/>
      </w:tblGrid>
      <w:tr w:rsidR="00FD1E19" w14:paraId="6C3CA133" w14:textId="77777777" w:rsidTr="00BE7E4A">
        <w:trPr>
          <w:trHeight w:hRule="exact" w:val="290"/>
        </w:trPr>
        <w:tc>
          <w:tcPr>
            <w:tcW w:w="3975" w:type="dxa"/>
            <w:tcBorders>
              <w:top w:val="single" w:sz="4" w:space="0" w:color="000000"/>
              <w:left w:val="nil"/>
              <w:bottom w:val="nil"/>
              <w:right w:val="nil"/>
              <w:tl2br w:val="nil"/>
              <w:tr2bl w:val="nil"/>
            </w:tcBorders>
            <w:noWrap/>
            <w:tcMar>
              <w:left w:w="0" w:type="dxa"/>
              <w:right w:w="0" w:type="dxa"/>
            </w:tcMar>
            <w:vAlign w:val="bottom"/>
          </w:tcPr>
          <w:p w14:paraId="55CBC5EC" w14:textId="77777777" w:rsidR="00FD1E19" w:rsidRDefault="00FD1E19" w:rsidP="00BE7E4A">
            <w:pPr>
              <w:suppressAutoHyphens/>
              <w:rPr>
                <w:rFonts w:ascii="Arial" w:eastAsia="Arial" w:hAnsi="Arial" w:cs="Arial"/>
                <w:noProof/>
                <w:color w:val="000000"/>
                <w:lang w:eastAsia="ar-SA"/>
              </w:rPr>
            </w:pPr>
            <w:bookmarkStart w:id="305" w:name="RG_MARKER_90196"/>
            <w:bookmarkEnd w:id="305"/>
          </w:p>
        </w:tc>
        <w:tc>
          <w:tcPr>
            <w:tcW w:w="600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14:paraId="0574C881"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2025</w:t>
            </w:r>
          </w:p>
        </w:tc>
      </w:tr>
      <w:tr w:rsidR="00FD1E19" w14:paraId="6326A1B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3975" w:type="dxa"/>
            <w:tcBorders>
              <w:top w:val="nil"/>
              <w:left w:val="nil"/>
              <w:bottom w:val="single" w:sz="4" w:space="0" w:color="000000"/>
              <w:right w:val="nil"/>
              <w:tl2br w:val="nil"/>
              <w:tr2bl w:val="nil"/>
            </w:tcBorders>
            <w:tcMar>
              <w:left w:w="40" w:type="dxa"/>
              <w:right w:w="40" w:type="dxa"/>
            </w:tcMar>
            <w:vAlign w:val="center"/>
          </w:tcPr>
          <w:p w14:paraId="6D012566"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6004AE4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12-month ECL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2E9E5C6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not credit-impaired</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0C4C361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credit-impaired</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2C2B85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2454816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14:paraId="5C17E27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 commitments</w:t>
            </w: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1B5702E3"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74167F46"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1E1DA534"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725790A2"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3376C1C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14:paraId="58F50B4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1 January</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4BBEB23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1,491</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DC7680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16,829</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15EFC1E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29EE3BB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18,320</w:t>
            </w:r>
          </w:p>
        </w:tc>
      </w:tr>
      <w:tr w:rsidR="00FD1E19" w14:paraId="76F2309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14:paraId="6DF52D1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measurement of loss allowance</w:t>
            </w:r>
          </w:p>
        </w:tc>
        <w:tc>
          <w:tcPr>
            <w:tcW w:w="1500" w:type="dxa"/>
            <w:tcBorders>
              <w:top w:val="nil"/>
              <w:left w:val="nil"/>
              <w:bottom w:val="nil"/>
              <w:right w:val="nil"/>
              <w:tl2br w:val="nil"/>
              <w:tr2bl w:val="nil"/>
            </w:tcBorders>
            <w:tcMar>
              <w:left w:w="40" w:type="dxa"/>
              <w:right w:w="40" w:type="dxa"/>
            </w:tcMar>
            <w:vAlign w:val="center"/>
          </w:tcPr>
          <w:p w14:paraId="71CF828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-659</w:t>
            </w:r>
          </w:p>
        </w:tc>
        <w:tc>
          <w:tcPr>
            <w:tcW w:w="1500" w:type="dxa"/>
            <w:tcBorders>
              <w:top w:val="nil"/>
              <w:left w:val="nil"/>
              <w:bottom w:val="nil"/>
              <w:right w:val="nil"/>
              <w:tl2br w:val="nil"/>
              <w:tr2bl w:val="nil"/>
            </w:tcBorders>
            <w:tcMar>
              <w:left w:w="40" w:type="dxa"/>
              <w:right w:w="40" w:type="dxa"/>
            </w:tcMar>
            <w:vAlign w:val="center"/>
          </w:tcPr>
          <w:p w14:paraId="40CE5C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190</w:t>
            </w:r>
          </w:p>
        </w:tc>
        <w:tc>
          <w:tcPr>
            <w:tcW w:w="1500" w:type="dxa"/>
            <w:tcBorders>
              <w:top w:val="nil"/>
              <w:left w:val="nil"/>
              <w:bottom w:val="nil"/>
              <w:right w:val="nil"/>
              <w:tl2br w:val="nil"/>
              <w:tr2bl w:val="nil"/>
            </w:tcBorders>
            <w:tcMar>
              <w:left w:w="40" w:type="dxa"/>
              <w:right w:w="40" w:type="dxa"/>
            </w:tcMar>
            <w:vAlign w:val="center"/>
          </w:tcPr>
          <w:p w14:paraId="47C7A7D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517E57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-469</w:t>
            </w:r>
          </w:p>
        </w:tc>
      </w:tr>
      <w:tr w:rsidR="00FD1E19" w14:paraId="2ACB6E4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14:paraId="443DEAD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assets that have been derecognised</w:t>
            </w:r>
          </w:p>
        </w:tc>
        <w:tc>
          <w:tcPr>
            <w:tcW w:w="1500" w:type="dxa"/>
            <w:tcBorders>
              <w:top w:val="nil"/>
              <w:left w:val="nil"/>
              <w:bottom w:val="nil"/>
              <w:right w:val="nil"/>
              <w:tl2br w:val="nil"/>
              <w:tr2bl w:val="nil"/>
            </w:tcBorders>
            <w:tcMar>
              <w:left w:w="40" w:type="dxa"/>
              <w:right w:w="40" w:type="dxa"/>
            </w:tcMar>
            <w:vAlign w:val="center"/>
          </w:tcPr>
          <w:p w14:paraId="166619F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-266</w:t>
            </w:r>
          </w:p>
        </w:tc>
        <w:tc>
          <w:tcPr>
            <w:tcW w:w="1500" w:type="dxa"/>
            <w:tcBorders>
              <w:top w:val="nil"/>
              <w:left w:val="nil"/>
              <w:bottom w:val="nil"/>
              <w:right w:val="nil"/>
              <w:tl2br w:val="nil"/>
              <w:tr2bl w:val="nil"/>
            </w:tcBorders>
            <w:tcMar>
              <w:left w:w="40" w:type="dxa"/>
              <w:right w:w="40" w:type="dxa"/>
            </w:tcMar>
            <w:vAlign w:val="center"/>
          </w:tcPr>
          <w:p w14:paraId="65FFAC0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1C76FCA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1BC68AE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-266</w:t>
            </w:r>
          </w:p>
        </w:tc>
      </w:tr>
      <w:tr w:rsidR="00FD1E19" w14:paraId="6569529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shd w:val="clear" w:color="FFFFFF" w:fill="C0C0C0"/>
            <w:tcMar>
              <w:left w:w="40" w:type="dxa"/>
              <w:right w:w="40" w:type="dxa"/>
            </w:tcMar>
            <w:vAlign w:val="center"/>
          </w:tcPr>
          <w:p w14:paraId="5953442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31 December</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6A6A979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566</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164716C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17,019</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4041F21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3CF02FD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17,585</w:t>
            </w:r>
          </w:p>
        </w:tc>
      </w:tr>
      <w:tr w:rsidR="00FD1E19" w14:paraId="61CB84B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9975" w:type="dxa"/>
            <w:gridSpan w:val="5"/>
            <w:tcBorders>
              <w:top w:val="nil"/>
              <w:left w:val="nil"/>
              <w:bottom w:val="nil"/>
              <w:right w:val="nil"/>
              <w:tl2br w:val="nil"/>
              <w:tr2bl w:val="nil"/>
            </w:tcBorders>
            <w:noWrap/>
            <w:tcMar>
              <w:left w:w="0" w:type="dxa"/>
              <w:right w:w="0" w:type="dxa"/>
            </w:tcMar>
            <w:vAlign w:val="center"/>
          </w:tcPr>
          <w:p w14:paraId="1492E0EC" w14:textId="77777777" w:rsidR="00FD1E19" w:rsidRDefault="00FD1E19" w:rsidP="00BE7E4A">
            <w:pPr>
              <w:suppressAutoHyphens/>
              <w:jc w:val="both"/>
              <w:rPr>
                <w:rFonts w:ascii="Arial" w:eastAsia="Arial" w:hAnsi="Arial" w:cs="Arial"/>
                <w:noProof/>
                <w:color w:val="000000"/>
                <w:sz w:val="16"/>
                <w:lang w:eastAsia="ar-SA"/>
              </w:rPr>
            </w:pPr>
          </w:p>
        </w:tc>
      </w:tr>
      <w:tr w:rsidR="00FD1E19" w14:paraId="5ECE1EA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60"/>
        </w:trPr>
        <w:tc>
          <w:tcPr>
            <w:tcW w:w="3975" w:type="dxa"/>
            <w:tcBorders>
              <w:top w:val="nil"/>
              <w:left w:val="nil"/>
              <w:bottom w:val="single" w:sz="4" w:space="0" w:color="000000"/>
              <w:right w:val="nil"/>
              <w:tl2br w:val="nil"/>
              <w:tr2bl w:val="nil"/>
            </w:tcBorders>
            <w:noWrap/>
            <w:tcMar>
              <w:left w:w="0" w:type="dxa"/>
              <w:right w:w="0" w:type="dxa"/>
            </w:tcMar>
            <w:vAlign w:val="center"/>
          </w:tcPr>
          <w:p w14:paraId="57AE54AA" w14:textId="77777777" w:rsidR="00FD1E19" w:rsidRDefault="00FD1E19" w:rsidP="00BE7E4A">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14:paraId="55F2D9D8" w14:textId="77777777" w:rsidR="00FD1E19" w:rsidRDefault="00FD1E19" w:rsidP="00BE7E4A">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14:paraId="609C165F" w14:textId="77777777" w:rsidR="00FD1E19" w:rsidRDefault="00FD1E19" w:rsidP="00BE7E4A">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14:paraId="5F1331B9" w14:textId="77777777" w:rsidR="00FD1E19" w:rsidRDefault="00FD1E19" w:rsidP="00BE7E4A">
            <w:pPr>
              <w:suppressAutoHyphens/>
              <w:jc w:val="both"/>
              <w:rPr>
                <w:rFonts w:ascii="Arial" w:eastAsia="Arial" w:hAnsi="Arial" w:cs="Arial"/>
                <w:noProof/>
                <w:color w:val="000000"/>
                <w:sz w:val="16"/>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center"/>
          </w:tcPr>
          <w:p w14:paraId="7E675FAB" w14:textId="77777777" w:rsidR="00FD1E19" w:rsidRDefault="00FD1E19" w:rsidP="00BE7E4A">
            <w:pPr>
              <w:suppressAutoHyphens/>
              <w:jc w:val="both"/>
              <w:rPr>
                <w:rFonts w:ascii="Arial" w:eastAsia="Arial" w:hAnsi="Arial" w:cs="Arial"/>
                <w:noProof/>
                <w:color w:val="000000"/>
                <w:sz w:val="16"/>
                <w:lang w:eastAsia="ar-SA"/>
              </w:rPr>
            </w:pPr>
          </w:p>
        </w:tc>
      </w:tr>
      <w:tr w:rsidR="00FD1E19" w14:paraId="5F00C18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nil"/>
              <w:right w:val="nil"/>
              <w:tl2br w:val="nil"/>
              <w:tr2bl w:val="nil"/>
            </w:tcBorders>
            <w:noWrap/>
            <w:tcMar>
              <w:left w:w="0" w:type="dxa"/>
              <w:right w:w="0" w:type="dxa"/>
            </w:tcMar>
            <w:vAlign w:val="bottom"/>
          </w:tcPr>
          <w:p w14:paraId="247BC0EB" w14:textId="77777777" w:rsidR="00FD1E19" w:rsidRDefault="00FD1E19" w:rsidP="00BE7E4A">
            <w:pPr>
              <w:suppressAutoHyphens/>
              <w:rPr>
                <w:rFonts w:ascii="Arial" w:eastAsia="Arial" w:hAnsi="Arial" w:cs="Arial"/>
                <w:noProof/>
                <w:color w:val="000000"/>
                <w:lang w:eastAsia="ar-SA"/>
              </w:rPr>
            </w:pPr>
          </w:p>
        </w:tc>
        <w:tc>
          <w:tcPr>
            <w:tcW w:w="6000" w:type="dxa"/>
            <w:gridSpan w:val="4"/>
            <w:tcBorders>
              <w:top w:val="single" w:sz="4" w:space="0" w:color="000000"/>
              <w:left w:val="nil"/>
              <w:bottom w:val="single" w:sz="4" w:space="0" w:color="000000"/>
              <w:right w:val="nil"/>
              <w:tl2br w:val="nil"/>
              <w:tr2bl w:val="nil"/>
            </w:tcBorders>
            <w:noWrap/>
            <w:tcMar>
              <w:left w:w="40" w:type="dxa"/>
              <w:right w:w="40" w:type="dxa"/>
            </w:tcMar>
            <w:vAlign w:val="bottom"/>
          </w:tcPr>
          <w:p w14:paraId="3AA4CAB1"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2024</w:t>
            </w:r>
          </w:p>
        </w:tc>
      </w:tr>
      <w:tr w:rsidR="00FD1E19" w14:paraId="44B13CA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3975" w:type="dxa"/>
            <w:tcBorders>
              <w:top w:val="nil"/>
              <w:left w:val="nil"/>
              <w:bottom w:val="single" w:sz="4" w:space="0" w:color="000000"/>
              <w:right w:val="nil"/>
              <w:tl2br w:val="nil"/>
              <w:tr2bl w:val="nil"/>
            </w:tcBorders>
            <w:tcMar>
              <w:left w:w="40" w:type="dxa"/>
              <w:right w:w="40" w:type="dxa"/>
            </w:tcMar>
            <w:vAlign w:val="center"/>
          </w:tcPr>
          <w:p w14:paraId="3B0DB1C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single" w:sz="4" w:space="0" w:color="000000"/>
              <w:right w:val="nil"/>
              <w:tl2br w:val="nil"/>
              <w:tr2bl w:val="nil"/>
            </w:tcBorders>
            <w:noWrap/>
            <w:tcMar>
              <w:left w:w="40" w:type="dxa"/>
              <w:right w:w="40" w:type="dxa"/>
            </w:tcMar>
            <w:vAlign w:val="center"/>
          </w:tcPr>
          <w:p w14:paraId="176A400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12-month ECL</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226A4A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not credit-impaired</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7F888F2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Lifetime ECL credit-impaired</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34E809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1AAE27E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14:paraId="5E718EB7"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Loans commitments</w:t>
            </w: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457CE277"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6308BCDB"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6141FE4A"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single" w:sz="4" w:space="0" w:color="000000"/>
              <w:left w:val="nil"/>
              <w:bottom w:val="single" w:sz="4" w:space="0" w:color="000000"/>
              <w:right w:val="nil"/>
              <w:tl2br w:val="nil"/>
              <w:tr2bl w:val="nil"/>
            </w:tcBorders>
            <w:tcMar>
              <w:left w:w="0" w:type="dxa"/>
              <w:right w:w="0" w:type="dxa"/>
            </w:tcMar>
            <w:vAlign w:val="center"/>
          </w:tcPr>
          <w:p w14:paraId="3BC549D4"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5F20E0D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14:paraId="263D9340"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1 January</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2346B8E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2,715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B30F1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16,323</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4FBA1F6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325417C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19,038</w:t>
            </w:r>
          </w:p>
        </w:tc>
      </w:tr>
      <w:tr w:rsidR="00FD1E19" w14:paraId="6A16CBB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single" w:sz="4" w:space="0" w:color="000000"/>
              <w:left w:val="nil"/>
              <w:bottom w:val="nil"/>
              <w:right w:val="nil"/>
              <w:tl2br w:val="nil"/>
              <w:tr2bl w:val="nil"/>
            </w:tcBorders>
            <w:tcMar>
              <w:left w:w="40" w:type="dxa"/>
              <w:right w:w="40" w:type="dxa"/>
            </w:tcMar>
            <w:vAlign w:val="center"/>
          </w:tcPr>
          <w:p w14:paraId="0B5E971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12-month ECL</w:t>
            </w:r>
          </w:p>
        </w:tc>
        <w:tc>
          <w:tcPr>
            <w:tcW w:w="1500" w:type="dxa"/>
            <w:tcBorders>
              <w:top w:val="single" w:sz="4" w:space="0" w:color="000000"/>
              <w:left w:val="nil"/>
              <w:bottom w:val="nil"/>
              <w:right w:val="nil"/>
              <w:tl2br w:val="nil"/>
              <w:tr2bl w:val="nil"/>
            </w:tcBorders>
            <w:tcMar>
              <w:left w:w="40" w:type="dxa"/>
              <w:right w:w="40" w:type="dxa"/>
            </w:tcMar>
            <w:vAlign w:val="center"/>
          </w:tcPr>
          <w:p w14:paraId="46D7E27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w:t>
            </w:r>
          </w:p>
        </w:tc>
        <w:tc>
          <w:tcPr>
            <w:tcW w:w="1500" w:type="dxa"/>
            <w:tcBorders>
              <w:top w:val="single" w:sz="4" w:space="0" w:color="000000"/>
              <w:left w:val="nil"/>
              <w:bottom w:val="nil"/>
              <w:right w:val="nil"/>
              <w:tl2br w:val="nil"/>
              <w:tr2bl w:val="nil"/>
            </w:tcBorders>
            <w:tcMar>
              <w:left w:w="40" w:type="dxa"/>
              <w:right w:w="40" w:type="dxa"/>
            </w:tcMar>
            <w:vAlign w:val="center"/>
          </w:tcPr>
          <w:p w14:paraId="6316D7A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-279</w:t>
            </w:r>
          </w:p>
        </w:tc>
        <w:tc>
          <w:tcPr>
            <w:tcW w:w="1500" w:type="dxa"/>
            <w:tcBorders>
              <w:top w:val="single" w:sz="4" w:space="0" w:color="000000"/>
              <w:left w:val="nil"/>
              <w:bottom w:val="nil"/>
              <w:right w:val="nil"/>
              <w:tl2br w:val="nil"/>
              <w:tr2bl w:val="nil"/>
            </w:tcBorders>
            <w:tcMar>
              <w:left w:w="40" w:type="dxa"/>
              <w:right w:w="40" w:type="dxa"/>
            </w:tcMar>
            <w:vAlign w:val="center"/>
          </w:tcPr>
          <w:p w14:paraId="7E5BE9E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single" w:sz="4" w:space="0" w:color="000000"/>
              <w:left w:val="nil"/>
              <w:bottom w:val="nil"/>
              <w:right w:val="nil"/>
              <w:tl2br w:val="nil"/>
              <w:tr2bl w:val="nil"/>
            </w:tcBorders>
            <w:tcMar>
              <w:left w:w="40" w:type="dxa"/>
              <w:right w:w="40" w:type="dxa"/>
            </w:tcMar>
            <w:vAlign w:val="center"/>
          </w:tcPr>
          <w:p w14:paraId="2728FA4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-266</w:t>
            </w:r>
          </w:p>
        </w:tc>
      </w:tr>
      <w:tr w:rsidR="00FD1E19" w14:paraId="4E196ED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14:paraId="0791F55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Transfer to lifetime ECL not credit-impaired</w:t>
            </w:r>
          </w:p>
        </w:tc>
        <w:tc>
          <w:tcPr>
            <w:tcW w:w="1500" w:type="dxa"/>
            <w:tcBorders>
              <w:top w:val="nil"/>
              <w:left w:val="nil"/>
              <w:bottom w:val="nil"/>
              <w:right w:val="nil"/>
              <w:tl2br w:val="nil"/>
              <w:tr2bl w:val="nil"/>
            </w:tcBorders>
            <w:tcMar>
              <w:left w:w="40" w:type="dxa"/>
              <w:right w:w="40" w:type="dxa"/>
            </w:tcMar>
            <w:vAlign w:val="center"/>
          </w:tcPr>
          <w:p w14:paraId="057EA80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-853</w:t>
            </w:r>
          </w:p>
        </w:tc>
        <w:tc>
          <w:tcPr>
            <w:tcW w:w="1500" w:type="dxa"/>
            <w:tcBorders>
              <w:top w:val="nil"/>
              <w:left w:val="nil"/>
              <w:bottom w:val="nil"/>
              <w:right w:val="nil"/>
              <w:tl2br w:val="nil"/>
              <w:tr2bl w:val="nil"/>
            </w:tcBorders>
            <w:tcMar>
              <w:left w:w="40" w:type="dxa"/>
              <w:right w:w="40" w:type="dxa"/>
            </w:tcMar>
            <w:vAlign w:val="center"/>
          </w:tcPr>
          <w:p w14:paraId="670029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15,386</w:t>
            </w:r>
          </w:p>
        </w:tc>
        <w:tc>
          <w:tcPr>
            <w:tcW w:w="1500" w:type="dxa"/>
            <w:tcBorders>
              <w:top w:val="nil"/>
              <w:left w:val="nil"/>
              <w:bottom w:val="nil"/>
              <w:right w:val="nil"/>
              <w:tl2br w:val="nil"/>
              <w:tr2bl w:val="nil"/>
            </w:tcBorders>
            <w:tcMar>
              <w:left w:w="40" w:type="dxa"/>
              <w:right w:w="40" w:type="dxa"/>
            </w:tcMar>
            <w:vAlign w:val="center"/>
          </w:tcPr>
          <w:p w14:paraId="0C46AB0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0E1B730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14,533</w:t>
            </w:r>
          </w:p>
        </w:tc>
      </w:tr>
      <w:tr w:rsidR="00FD1E19" w14:paraId="684FA59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14:paraId="40BE4C5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measurement of loss allowance</w:t>
            </w:r>
          </w:p>
        </w:tc>
        <w:tc>
          <w:tcPr>
            <w:tcW w:w="1500" w:type="dxa"/>
            <w:tcBorders>
              <w:top w:val="nil"/>
              <w:left w:val="nil"/>
              <w:bottom w:val="nil"/>
              <w:right w:val="nil"/>
              <w:tl2br w:val="nil"/>
              <w:tr2bl w:val="nil"/>
            </w:tcBorders>
            <w:tcMar>
              <w:left w:w="40" w:type="dxa"/>
              <w:right w:w="40" w:type="dxa"/>
            </w:tcMar>
            <w:vAlign w:val="center"/>
          </w:tcPr>
          <w:p w14:paraId="5F840A8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761</w:t>
            </w:r>
          </w:p>
        </w:tc>
        <w:tc>
          <w:tcPr>
            <w:tcW w:w="1500" w:type="dxa"/>
            <w:tcBorders>
              <w:top w:val="nil"/>
              <w:left w:val="nil"/>
              <w:bottom w:val="nil"/>
              <w:right w:val="nil"/>
              <w:tl2br w:val="nil"/>
              <w:tr2bl w:val="nil"/>
            </w:tcBorders>
            <w:tcMar>
              <w:left w:w="40" w:type="dxa"/>
              <w:right w:w="40" w:type="dxa"/>
            </w:tcMar>
            <w:vAlign w:val="center"/>
          </w:tcPr>
          <w:p w14:paraId="67941A0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-1,330</w:t>
            </w:r>
          </w:p>
        </w:tc>
        <w:tc>
          <w:tcPr>
            <w:tcW w:w="1500" w:type="dxa"/>
            <w:tcBorders>
              <w:top w:val="nil"/>
              <w:left w:val="nil"/>
              <w:bottom w:val="nil"/>
              <w:right w:val="nil"/>
              <w:tl2br w:val="nil"/>
              <w:tr2bl w:val="nil"/>
            </w:tcBorders>
            <w:tcMar>
              <w:left w:w="40" w:type="dxa"/>
              <w:right w:w="40" w:type="dxa"/>
            </w:tcMar>
            <w:vAlign w:val="center"/>
          </w:tcPr>
          <w:p w14:paraId="37B87C7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3B8B412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-569</w:t>
            </w:r>
          </w:p>
        </w:tc>
      </w:tr>
      <w:tr w:rsidR="00FD1E19" w14:paraId="3983F1D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tcMar>
              <w:left w:w="40" w:type="dxa"/>
              <w:right w:w="40" w:type="dxa"/>
            </w:tcMar>
            <w:vAlign w:val="center"/>
          </w:tcPr>
          <w:p w14:paraId="5291BBE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Financial assets that have been derecognised</w:t>
            </w:r>
          </w:p>
        </w:tc>
        <w:tc>
          <w:tcPr>
            <w:tcW w:w="1500" w:type="dxa"/>
            <w:tcBorders>
              <w:top w:val="nil"/>
              <w:left w:val="nil"/>
              <w:bottom w:val="nil"/>
              <w:right w:val="nil"/>
              <w:tl2br w:val="nil"/>
              <w:tr2bl w:val="nil"/>
            </w:tcBorders>
            <w:tcMar>
              <w:left w:w="40" w:type="dxa"/>
              <w:right w:w="40" w:type="dxa"/>
            </w:tcMar>
            <w:vAlign w:val="center"/>
          </w:tcPr>
          <w:p w14:paraId="3BE239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-1,145</w:t>
            </w:r>
          </w:p>
        </w:tc>
        <w:tc>
          <w:tcPr>
            <w:tcW w:w="1500" w:type="dxa"/>
            <w:tcBorders>
              <w:top w:val="nil"/>
              <w:left w:val="nil"/>
              <w:bottom w:val="nil"/>
              <w:right w:val="nil"/>
              <w:tl2br w:val="nil"/>
              <w:tr2bl w:val="nil"/>
            </w:tcBorders>
            <w:tcMar>
              <w:left w:w="40" w:type="dxa"/>
              <w:right w:w="40" w:type="dxa"/>
            </w:tcMar>
            <w:vAlign w:val="center"/>
          </w:tcPr>
          <w:p w14:paraId="70B3810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-13,271</w:t>
            </w:r>
          </w:p>
        </w:tc>
        <w:tc>
          <w:tcPr>
            <w:tcW w:w="1500" w:type="dxa"/>
            <w:tcBorders>
              <w:top w:val="nil"/>
              <w:left w:val="nil"/>
              <w:bottom w:val="nil"/>
              <w:right w:val="nil"/>
              <w:tl2br w:val="nil"/>
              <w:tr2bl w:val="nil"/>
            </w:tcBorders>
            <w:tcMar>
              <w:left w:w="40" w:type="dxa"/>
              <w:right w:w="40" w:type="dxa"/>
            </w:tcMar>
            <w:vAlign w:val="center"/>
          </w:tcPr>
          <w:p w14:paraId="316A23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500" w:type="dxa"/>
            <w:tcBorders>
              <w:top w:val="nil"/>
              <w:left w:val="nil"/>
              <w:bottom w:val="nil"/>
              <w:right w:val="nil"/>
              <w:tl2br w:val="nil"/>
              <w:tr2bl w:val="nil"/>
            </w:tcBorders>
            <w:tcMar>
              <w:left w:w="40" w:type="dxa"/>
              <w:right w:w="40" w:type="dxa"/>
            </w:tcMar>
            <w:vAlign w:val="center"/>
          </w:tcPr>
          <w:p w14:paraId="4FEFB1C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-14,416</w:t>
            </w:r>
          </w:p>
        </w:tc>
      </w:tr>
      <w:tr w:rsidR="00FD1E19" w14:paraId="67EF2D9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90"/>
        </w:trPr>
        <w:tc>
          <w:tcPr>
            <w:tcW w:w="3975" w:type="dxa"/>
            <w:tcBorders>
              <w:top w:val="nil"/>
              <w:left w:val="nil"/>
              <w:bottom w:val="nil"/>
              <w:right w:val="nil"/>
              <w:tl2br w:val="nil"/>
              <w:tr2bl w:val="nil"/>
            </w:tcBorders>
            <w:shd w:val="clear" w:color="FFFFFF" w:fill="C3C3C3"/>
            <w:tcMar>
              <w:left w:w="40" w:type="dxa"/>
              <w:right w:w="40" w:type="dxa"/>
            </w:tcMar>
            <w:vAlign w:val="center"/>
          </w:tcPr>
          <w:p w14:paraId="15E28B9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Balance as at 31 December</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2F11232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1,491</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3F7F459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16,829</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109DC6A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0FDB378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18,320</w:t>
            </w:r>
          </w:p>
        </w:tc>
      </w:tr>
    </w:tbl>
    <w:p w14:paraId="5DB495A7" w14:textId="77777777" w:rsidR="00FD1E19" w:rsidRPr="008E7AB9" w:rsidRDefault="00FD1E19" w:rsidP="00FD1E19">
      <w:pPr>
        <w:pBdr>
          <w:top w:val="nil"/>
          <w:left w:val="nil"/>
          <w:bottom w:val="nil"/>
          <w:right w:val="nil"/>
          <w:between w:val="nil"/>
          <w:bar w:val="nil"/>
        </w:pBdr>
        <w:spacing w:before="120"/>
        <w:jc w:val="both"/>
        <w:rPr>
          <w:noProof/>
          <w:sz w:val="16"/>
          <w:szCs w:val="16"/>
          <w:bdr w:val="nil"/>
          <w:lang w:eastAsia="ar-SA"/>
        </w:rPr>
      </w:pPr>
      <w:bookmarkStart w:id="306" w:name="RG_MARKER_90197"/>
      <w:bookmarkStart w:id="307" w:name="RG_MARKER_90198"/>
      <w:bookmarkEnd w:id="306"/>
      <w:bookmarkEnd w:id="307"/>
    </w:p>
    <w:p w14:paraId="73DE106A" w14:textId="77777777" w:rsidR="00FD1E19" w:rsidRPr="009811D9"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val="en-US" w:eastAsia="ar-SA"/>
        </w:rPr>
      </w:pPr>
      <w:r>
        <w:rPr>
          <w:rFonts w:ascii="Arial" w:hAnsi="Arial"/>
          <w:b/>
          <w:noProof/>
          <w:sz w:val="20"/>
          <w:lang w:val="en-US" w:eastAsia="ar-SA"/>
        </w:rPr>
        <w:t>14</w:t>
      </w:r>
      <w:r>
        <w:rPr>
          <w:rFonts w:ascii="Arial" w:hAnsi="Arial"/>
          <w:b/>
          <w:noProof/>
          <w:sz w:val="20"/>
          <w:lang w:val="en-US" w:eastAsia="ar-SA"/>
        </w:rPr>
        <w:tab/>
        <w:t>Amounts owed to third parties</w:t>
      </w:r>
      <w:r w:rsidRPr="009811D9">
        <w:rPr>
          <w:rFonts w:ascii="Arial" w:hAnsi="Arial"/>
          <w:b/>
          <w:noProof/>
          <w:sz w:val="20"/>
          <w:lang w:val="en-US" w:eastAsia="ar-SA"/>
        </w:rPr>
        <w:t xml:space="preserve"> </w:t>
      </w:r>
    </w:p>
    <w:p w14:paraId="2928B02A"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18FB0644"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The main components of amounts owed to third parties are as follows:</w:t>
      </w:r>
    </w:p>
    <w:tbl>
      <w:tblPr>
        <w:tblStyle w:val="CDMRange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6792"/>
        <w:gridCol w:w="1463"/>
        <w:gridCol w:w="1463"/>
      </w:tblGrid>
      <w:tr w:rsidR="00FD1E19" w14:paraId="7209E3EA" w14:textId="77777777" w:rsidTr="00BE7E4A">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712C0B5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41BCAC2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7E25250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3FDCBDD8" w14:textId="77777777" w:rsidTr="00BE7E4A">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14:paraId="007983B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general administrative expenses payable to the EIB</w:t>
            </w:r>
          </w:p>
        </w:tc>
        <w:tc>
          <w:tcPr>
            <w:tcW w:w="1500" w:type="dxa"/>
            <w:tcBorders>
              <w:top w:val="single" w:sz="4" w:space="0" w:color="000000"/>
              <w:left w:val="nil"/>
              <w:bottom w:val="nil"/>
              <w:right w:val="nil"/>
              <w:tl2br w:val="nil"/>
              <w:tr2bl w:val="nil"/>
            </w:tcBorders>
            <w:tcMar>
              <w:left w:w="40" w:type="dxa"/>
              <w:right w:w="40" w:type="dxa"/>
            </w:tcMar>
            <w:vAlign w:val="center"/>
          </w:tcPr>
          <w:p w14:paraId="50BED9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19,942</w:t>
            </w:r>
          </w:p>
        </w:tc>
        <w:tc>
          <w:tcPr>
            <w:tcW w:w="1500" w:type="dxa"/>
            <w:tcBorders>
              <w:top w:val="single" w:sz="4" w:space="0" w:color="000000"/>
              <w:left w:val="nil"/>
              <w:bottom w:val="nil"/>
              <w:right w:val="nil"/>
              <w:tl2br w:val="nil"/>
              <w:tr2bl w:val="nil"/>
            </w:tcBorders>
            <w:tcMar>
              <w:left w:w="40" w:type="dxa"/>
              <w:right w:w="40" w:type="dxa"/>
            </w:tcMar>
            <w:vAlign w:val="center"/>
          </w:tcPr>
          <w:p w14:paraId="449C6BB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24,794</w:t>
            </w:r>
          </w:p>
        </w:tc>
      </w:tr>
      <w:tr w:rsidR="00FD1E19" w14:paraId="7F79F40E" w14:textId="77777777" w:rsidTr="00BE7E4A">
        <w:trPr>
          <w:trHeight w:hRule="exact" w:val="250"/>
        </w:trPr>
        <w:tc>
          <w:tcPr>
            <w:tcW w:w="6975" w:type="dxa"/>
            <w:tcBorders>
              <w:top w:val="nil"/>
              <w:left w:val="nil"/>
              <w:bottom w:val="nil"/>
              <w:right w:val="nil"/>
              <w:tl2br w:val="nil"/>
              <w:tr2bl w:val="nil"/>
            </w:tcBorders>
            <w:tcMar>
              <w:left w:w="40" w:type="dxa"/>
              <w:right w:w="40" w:type="dxa"/>
            </w:tcMar>
            <w:vAlign w:val="center"/>
          </w:tcPr>
          <w:p w14:paraId="126BDF1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 amounts payable to the EIB</w:t>
            </w:r>
          </w:p>
        </w:tc>
        <w:tc>
          <w:tcPr>
            <w:tcW w:w="1500" w:type="dxa"/>
            <w:tcBorders>
              <w:top w:val="nil"/>
              <w:left w:val="nil"/>
              <w:bottom w:val="nil"/>
              <w:right w:val="nil"/>
              <w:tl2br w:val="nil"/>
              <w:tr2bl w:val="nil"/>
            </w:tcBorders>
            <w:tcMar>
              <w:left w:w="40" w:type="dxa"/>
              <w:right w:w="40" w:type="dxa"/>
            </w:tcMar>
            <w:vAlign w:val="center"/>
          </w:tcPr>
          <w:p w14:paraId="4F5929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3,199</w:t>
            </w:r>
          </w:p>
        </w:tc>
        <w:tc>
          <w:tcPr>
            <w:tcW w:w="1500" w:type="dxa"/>
            <w:tcBorders>
              <w:top w:val="nil"/>
              <w:left w:val="nil"/>
              <w:bottom w:val="nil"/>
              <w:right w:val="nil"/>
              <w:tl2br w:val="nil"/>
              <w:tr2bl w:val="nil"/>
            </w:tcBorders>
            <w:tcMar>
              <w:left w:w="40" w:type="dxa"/>
              <w:right w:w="40" w:type="dxa"/>
            </w:tcMar>
            <w:vAlign w:val="center"/>
          </w:tcPr>
          <w:p w14:paraId="2A905E2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43,260</w:t>
            </w:r>
          </w:p>
        </w:tc>
      </w:tr>
      <w:tr w:rsidR="00FD1E19" w14:paraId="18413016" w14:textId="77777777" w:rsidTr="00BE7E4A">
        <w:trPr>
          <w:trHeight w:hRule="exact" w:val="250"/>
        </w:trPr>
        <w:tc>
          <w:tcPr>
            <w:tcW w:w="6975" w:type="dxa"/>
            <w:tcBorders>
              <w:top w:val="nil"/>
              <w:left w:val="nil"/>
              <w:bottom w:val="nil"/>
              <w:right w:val="nil"/>
              <w:tl2br w:val="nil"/>
              <w:tr2bl w:val="nil"/>
            </w:tcBorders>
            <w:tcMar>
              <w:left w:w="40" w:type="dxa"/>
              <w:right w:w="40" w:type="dxa"/>
            </w:tcMar>
            <w:vAlign w:val="center"/>
          </w:tcPr>
          <w:p w14:paraId="0494CC2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subsidies and TA not yet disbursed owed to Member States</w:t>
            </w:r>
          </w:p>
        </w:tc>
        <w:tc>
          <w:tcPr>
            <w:tcW w:w="1500" w:type="dxa"/>
            <w:tcBorders>
              <w:top w:val="nil"/>
              <w:left w:val="nil"/>
              <w:bottom w:val="nil"/>
              <w:right w:val="nil"/>
              <w:tl2br w:val="nil"/>
              <w:tr2bl w:val="nil"/>
            </w:tcBorders>
            <w:tcMar>
              <w:left w:w="40" w:type="dxa"/>
              <w:right w:w="40" w:type="dxa"/>
            </w:tcMar>
            <w:vAlign w:val="center"/>
          </w:tcPr>
          <w:p w14:paraId="5B67B80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391,152</w:t>
            </w:r>
          </w:p>
        </w:tc>
        <w:tc>
          <w:tcPr>
            <w:tcW w:w="1500" w:type="dxa"/>
            <w:tcBorders>
              <w:top w:val="nil"/>
              <w:left w:val="nil"/>
              <w:bottom w:val="nil"/>
              <w:right w:val="nil"/>
              <w:tl2br w:val="nil"/>
              <w:tr2bl w:val="nil"/>
            </w:tcBorders>
            <w:tcMar>
              <w:left w:w="40" w:type="dxa"/>
              <w:right w:w="40" w:type="dxa"/>
            </w:tcMar>
            <w:vAlign w:val="center"/>
          </w:tcPr>
          <w:p w14:paraId="350B943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498,029</w:t>
            </w:r>
          </w:p>
        </w:tc>
      </w:tr>
      <w:tr w:rsidR="00FD1E19" w14:paraId="28C20968" w14:textId="77777777" w:rsidTr="00BE7E4A">
        <w:trPr>
          <w:trHeight w:hRule="exact" w:val="250"/>
        </w:trPr>
        <w:tc>
          <w:tcPr>
            <w:tcW w:w="6975" w:type="dxa"/>
            <w:tcBorders>
              <w:top w:val="nil"/>
              <w:left w:val="nil"/>
              <w:bottom w:val="nil"/>
              <w:right w:val="nil"/>
              <w:tl2br w:val="nil"/>
              <w:tr2bl w:val="nil"/>
            </w:tcBorders>
            <w:tcMar>
              <w:left w:w="40" w:type="dxa"/>
              <w:right w:w="40" w:type="dxa"/>
            </w:tcMar>
            <w:vAlign w:val="center"/>
          </w:tcPr>
          <w:p w14:paraId="17DE816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Available Reflows payable to the European Commission*</w:t>
            </w:r>
          </w:p>
        </w:tc>
        <w:tc>
          <w:tcPr>
            <w:tcW w:w="1500" w:type="dxa"/>
            <w:tcBorders>
              <w:top w:val="nil"/>
              <w:left w:val="nil"/>
              <w:bottom w:val="nil"/>
              <w:right w:val="nil"/>
              <w:tl2br w:val="nil"/>
              <w:tr2bl w:val="nil"/>
            </w:tcBorders>
            <w:tcMar>
              <w:left w:w="40" w:type="dxa"/>
              <w:right w:w="40" w:type="dxa"/>
            </w:tcMar>
            <w:vAlign w:val="center"/>
          </w:tcPr>
          <w:p w14:paraId="4E1621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243,853</w:t>
            </w:r>
          </w:p>
        </w:tc>
        <w:tc>
          <w:tcPr>
            <w:tcW w:w="1500" w:type="dxa"/>
            <w:tcBorders>
              <w:top w:val="nil"/>
              <w:left w:val="nil"/>
              <w:bottom w:val="nil"/>
              <w:right w:val="nil"/>
              <w:tl2br w:val="nil"/>
              <w:tr2bl w:val="nil"/>
            </w:tcBorders>
            <w:tcMar>
              <w:left w:w="40" w:type="dxa"/>
              <w:right w:w="40" w:type="dxa"/>
            </w:tcMar>
            <w:vAlign w:val="center"/>
          </w:tcPr>
          <w:p w14:paraId="420A85F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B37CADE" w14:textId="77777777" w:rsidTr="00BE7E4A">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14:paraId="36EFA8DB"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amounts owed to third parties</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232DBDB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658,146</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2CD4CFE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566,083</w:t>
            </w:r>
          </w:p>
        </w:tc>
      </w:tr>
      <w:tr w:rsidR="00FD1E19" w14:paraId="7E45E80A" w14:textId="77777777" w:rsidTr="00BE7E4A">
        <w:trPr>
          <w:trHeight w:hRule="exact" w:val="250"/>
        </w:trPr>
        <w:tc>
          <w:tcPr>
            <w:tcW w:w="9975" w:type="dxa"/>
            <w:gridSpan w:val="3"/>
            <w:tcBorders>
              <w:top w:val="nil"/>
              <w:left w:val="nil"/>
              <w:bottom w:val="nil"/>
              <w:right w:val="nil"/>
              <w:tl2br w:val="nil"/>
              <w:tr2bl w:val="nil"/>
            </w:tcBorders>
            <w:noWrap/>
            <w:tcMar>
              <w:left w:w="0" w:type="dxa"/>
              <w:right w:w="0" w:type="dxa"/>
            </w:tcMar>
            <w:vAlign w:val="center"/>
          </w:tcPr>
          <w:p w14:paraId="266EA893" w14:textId="77777777" w:rsidR="00FD1E19" w:rsidRDefault="00FD1E19" w:rsidP="00BE7E4A">
            <w:pPr>
              <w:suppressAutoHyphens/>
              <w:rPr>
                <w:rFonts w:ascii="Arial" w:eastAsia="Arial" w:hAnsi="Arial" w:cs="Arial"/>
                <w:noProof/>
                <w:color w:val="000000"/>
                <w:sz w:val="16"/>
                <w:lang w:eastAsia="ar-SA"/>
              </w:rPr>
            </w:pPr>
          </w:p>
        </w:tc>
      </w:tr>
    </w:tbl>
    <w:p w14:paraId="5AE3C343" w14:textId="77777777" w:rsidR="00FD1E19"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eastAsia="ar-SA"/>
        </w:rPr>
      </w:pPr>
      <w:bookmarkStart w:id="308" w:name="RG_MARKER_90201"/>
      <w:bookmarkStart w:id="309" w:name="RG_MARKER_90200"/>
      <w:r w:rsidRPr="00C57632">
        <w:rPr>
          <w:rFonts w:ascii="Arial" w:hAnsi="Arial"/>
          <w:b/>
          <w:noProof/>
          <w:sz w:val="20"/>
          <w:lang w:val="en-US" w:eastAsia="ar-SA"/>
        </w:rPr>
        <w:t>15</w:t>
      </w:r>
      <w:bookmarkEnd w:id="308"/>
      <w:bookmarkEnd w:id="309"/>
      <w:r>
        <w:rPr>
          <w:rFonts w:ascii="Arial" w:hAnsi="Arial"/>
          <w:b/>
          <w:noProof/>
          <w:sz w:val="20"/>
          <w:lang w:val="en-US" w:eastAsia="ar-SA"/>
        </w:rPr>
        <w:tab/>
        <w:t>Other liabilities</w:t>
      </w:r>
    </w:p>
    <w:p w14:paraId="6EC6D673"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5D1DF64F"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The main components of other liabilities are as follows:</w:t>
      </w:r>
    </w:p>
    <w:tbl>
      <w:tblPr>
        <w:tblStyle w:val="CDMRange2"/>
        <w:tblW w:w="5000" w:type="pct"/>
        <w:tblLayout w:type="fixed"/>
        <w:tblLook w:val="0600" w:firstRow="0" w:lastRow="0" w:firstColumn="0" w:lastColumn="0" w:noHBand="1" w:noVBand="1"/>
      </w:tblPr>
      <w:tblGrid>
        <w:gridCol w:w="6792"/>
        <w:gridCol w:w="1463"/>
        <w:gridCol w:w="1463"/>
      </w:tblGrid>
      <w:tr w:rsidR="00FD1E19" w14:paraId="3C10C8F1" w14:textId="77777777" w:rsidTr="00BE7E4A">
        <w:trPr>
          <w:trHeight w:hRule="exact" w:val="25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617F0A57" w14:textId="77777777" w:rsidR="00FD1E19" w:rsidRDefault="00FD1E19" w:rsidP="00BE7E4A">
            <w:pPr>
              <w:suppressAutoHyphens/>
              <w:rPr>
                <w:rFonts w:ascii="Arial" w:eastAsia="Arial" w:hAnsi="Arial" w:cs="Arial"/>
                <w:b/>
                <w:noProof/>
                <w:color w:val="000000"/>
                <w:sz w:val="16"/>
                <w:lang w:eastAsia="ar-SA"/>
              </w:rPr>
            </w:pPr>
            <w:bookmarkStart w:id="310" w:name="RG_MARKER_90202"/>
            <w:r>
              <w:rPr>
                <w:rFonts w:ascii="Arial" w:eastAsia="Arial" w:hAnsi="Arial" w:cs="Arial"/>
                <w:b/>
                <w:noProof/>
                <w:color w:val="000000"/>
                <w:sz w:val="16"/>
                <w:lang w:eastAsia="ar-SA"/>
              </w:rPr>
              <w:t>in EUR'000</w:t>
            </w:r>
            <w:bookmarkEnd w:id="310"/>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61BC9D0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1BE1AF5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0270E0C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14:paraId="6AF996B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Loan repayments received in advance </w:t>
            </w:r>
          </w:p>
        </w:tc>
        <w:tc>
          <w:tcPr>
            <w:tcW w:w="1500" w:type="dxa"/>
            <w:tcBorders>
              <w:top w:val="single" w:sz="4" w:space="0" w:color="000000"/>
              <w:left w:val="nil"/>
              <w:bottom w:val="nil"/>
              <w:right w:val="nil"/>
              <w:tl2br w:val="nil"/>
              <w:tr2bl w:val="nil"/>
            </w:tcBorders>
            <w:tcMar>
              <w:left w:w="40" w:type="dxa"/>
              <w:right w:w="40" w:type="dxa"/>
            </w:tcMar>
            <w:vAlign w:val="center"/>
          </w:tcPr>
          <w:p w14:paraId="0417200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3,044</w:t>
            </w:r>
          </w:p>
        </w:tc>
        <w:tc>
          <w:tcPr>
            <w:tcW w:w="1500" w:type="dxa"/>
            <w:tcBorders>
              <w:top w:val="single" w:sz="4" w:space="0" w:color="000000"/>
              <w:left w:val="nil"/>
              <w:bottom w:val="nil"/>
              <w:right w:val="nil"/>
              <w:tl2br w:val="nil"/>
              <w:tr2bl w:val="nil"/>
            </w:tcBorders>
            <w:tcMar>
              <w:left w:w="40" w:type="dxa"/>
              <w:right w:w="40" w:type="dxa"/>
            </w:tcMar>
            <w:vAlign w:val="center"/>
          </w:tcPr>
          <w:p w14:paraId="06338B3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3,289</w:t>
            </w:r>
          </w:p>
        </w:tc>
      </w:tr>
      <w:tr w:rsidR="00FD1E19" w14:paraId="6FBEBFA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14:paraId="3F6BE851"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other liabilities</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29BC43D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3,044</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36838CD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3,289</w:t>
            </w:r>
          </w:p>
        </w:tc>
      </w:tr>
    </w:tbl>
    <w:p w14:paraId="03CABE83" w14:textId="77777777" w:rsidR="00FD1E19" w:rsidRDefault="00FD1E19" w:rsidP="00FD1E19">
      <w:pPr>
        <w:pBdr>
          <w:top w:val="nil"/>
          <w:left w:val="nil"/>
          <w:bottom w:val="nil"/>
          <w:right w:val="nil"/>
          <w:between w:val="nil"/>
          <w:bar w:val="nil"/>
        </w:pBdr>
        <w:suppressAutoHyphens/>
        <w:rPr>
          <w:noProof/>
          <w:bdr w:val="nil"/>
          <w:lang w:eastAsia="ar-SA"/>
        </w:rPr>
      </w:pPr>
    </w:p>
    <w:p w14:paraId="13FB6974" w14:textId="77777777" w:rsidR="00FD1E19" w:rsidRDefault="00FD1E19" w:rsidP="00FD1E19">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en-US" w:eastAsia="ar-SA"/>
        </w:rPr>
      </w:pPr>
      <w:bookmarkStart w:id="311" w:name="RG_MARKER_90203"/>
      <w:bookmarkStart w:id="312" w:name="RG_MARKER_90077"/>
      <w:r>
        <w:rPr>
          <w:rFonts w:ascii="Arial" w:hAnsi="Arial"/>
          <w:b/>
          <w:noProof/>
          <w:sz w:val="20"/>
          <w:lang w:val="en-US" w:eastAsia="ar-SA"/>
        </w:rPr>
        <w:t>16</w:t>
      </w:r>
      <w:bookmarkEnd w:id="311"/>
      <w:bookmarkEnd w:id="312"/>
      <w:r w:rsidRPr="00DD7A79">
        <w:rPr>
          <w:rFonts w:ascii="Arial" w:hAnsi="Arial" w:cs="Arial"/>
          <w:b/>
          <w:noProof/>
          <w:sz w:val="20"/>
          <w:lang w:val="en-US" w:eastAsia="ar-SA"/>
        </w:rPr>
        <w:tab/>
      </w:r>
      <w:r w:rsidRPr="00DD7A79">
        <w:rPr>
          <w:rFonts w:ascii="Arial" w:hAnsi="Arial"/>
          <w:b/>
          <w:noProof/>
          <w:sz w:val="20"/>
          <w:szCs w:val="20"/>
          <w:lang w:val="en-US" w:eastAsia="ar-SA"/>
        </w:rPr>
        <w:t>Member States Contribution called (in EUR’000)</w:t>
      </w:r>
    </w:p>
    <w:p w14:paraId="2F095405" w14:textId="77777777" w:rsidR="00FD1E19" w:rsidRPr="00DD4924" w:rsidRDefault="00FD1E19" w:rsidP="00FD1E19">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en-US" w:eastAsia="ar-SA"/>
        </w:rPr>
      </w:pPr>
    </w:p>
    <w:tbl>
      <w:tblPr>
        <w:tblStyle w:val="CDMRange1"/>
        <w:tblW w:w="5000" w:type="pct"/>
        <w:tblLayout w:type="fixed"/>
        <w:tblLook w:val="0600" w:firstRow="0" w:lastRow="0" w:firstColumn="0" w:lastColumn="0" w:noHBand="1" w:noVBand="1"/>
      </w:tblPr>
      <w:tblGrid>
        <w:gridCol w:w="3838"/>
        <w:gridCol w:w="1450"/>
        <w:gridCol w:w="1450"/>
        <w:gridCol w:w="1450"/>
        <w:gridCol w:w="1450"/>
      </w:tblGrid>
      <w:tr w:rsidR="00FD1E19" w14:paraId="0A310015" w14:textId="77777777" w:rsidTr="00BE7E4A">
        <w:trPr>
          <w:trHeight w:hRule="exact" w:val="255"/>
        </w:trPr>
        <w:tc>
          <w:tcPr>
            <w:tcW w:w="3975" w:type="dxa"/>
            <w:tcBorders>
              <w:top w:val="nil"/>
              <w:left w:val="nil"/>
              <w:bottom w:val="single" w:sz="4" w:space="0" w:color="000000"/>
              <w:right w:val="nil"/>
              <w:tl2br w:val="nil"/>
              <w:tr2bl w:val="nil"/>
            </w:tcBorders>
            <w:noWrap/>
            <w:tcMar>
              <w:left w:w="0" w:type="dxa"/>
              <w:right w:w="0" w:type="dxa"/>
            </w:tcMar>
            <w:vAlign w:val="bottom"/>
          </w:tcPr>
          <w:p w14:paraId="13E9053B" w14:textId="77777777" w:rsidR="00FD1E19" w:rsidRDefault="00FD1E19" w:rsidP="00BE7E4A">
            <w:pPr>
              <w:suppressAutoHyphens/>
              <w:rPr>
                <w:rFonts w:ascii="Arial" w:eastAsia="Arial" w:hAnsi="Arial" w:cs="Arial"/>
                <w:noProof/>
                <w:color w:val="000000"/>
                <w:lang w:eastAsia="ar-SA"/>
              </w:rPr>
            </w:pPr>
            <w:bookmarkStart w:id="313" w:name="RG_MARKER_90204"/>
            <w:bookmarkEnd w:id="313"/>
          </w:p>
        </w:tc>
        <w:tc>
          <w:tcPr>
            <w:tcW w:w="1500" w:type="dxa"/>
            <w:tcBorders>
              <w:top w:val="nil"/>
              <w:left w:val="nil"/>
              <w:bottom w:val="single" w:sz="4" w:space="0" w:color="000000"/>
              <w:right w:val="nil"/>
              <w:tl2br w:val="nil"/>
              <w:tr2bl w:val="nil"/>
            </w:tcBorders>
            <w:noWrap/>
            <w:tcMar>
              <w:left w:w="0" w:type="dxa"/>
              <w:right w:w="0" w:type="dxa"/>
            </w:tcMar>
            <w:vAlign w:val="bottom"/>
          </w:tcPr>
          <w:p w14:paraId="6D7A71DC"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14:paraId="0D6F056D"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14:paraId="772FEDDA"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single" w:sz="4" w:space="0" w:color="000000"/>
              <w:right w:val="nil"/>
              <w:tl2br w:val="nil"/>
              <w:tr2bl w:val="nil"/>
            </w:tcBorders>
            <w:noWrap/>
            <w:tcMar>
              <w:left w:w="0" w:type="dxa"/>
              <w:right w:w="0" w:type="dxa"/>
            </w:tcMar>
            <w:vAlign w:val="bottom"/>
          </w:tcPr>
          <w:p w14:paraId="04C4BA70" w14:textId="77777777" w:rsidR="00FD1E19" w:rsidRDefault="00FD1E19" w:rsidP="00BE7E4A">
            <w:pPr>
              <w:suppressAutoHyphens/>
              <w:rPr>
                <w:rFonts w:ascii="Arial" w:eastAsia="Arial" w:hAnsi="Arial" w:cs="Arial"/>
                <w:noProof/>
                <w:color w:val="000000"/>
                <w:lang w:eastAsia="ar-SA"/>
              </w:rPr>
            </w:pPr>
          </w:p>
        </w:tc>
      </w:tr>
      <w:tr w:rsidR="00FD1E19" w14:paraId="76B46D4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140"/>
        </w:trPr>
        <w:tc>
          <w:tcPr>
            <w:tcW w:w="3975" w:type="dxa"/>
            <w:tcBorders>
              <w:top w:val="single" w:sz="4" w:space="0" w:color="000000"/>
              <w:left w:val="nil"/>
              <w:bottom w:val="single" w:sz="4" w:space="0" w:color="000000"/>
              <w:right w:val="nil"/>
              <w:tl2br w:val="nil"/>
              <w:tr2bl w:val="nil"/>
            </w:tcBorders>
            <w:tcMar>
              <w:left w:w="40" w:type="dxa"/>
              <w:right w:w="40" w:type="dxa"/>
            </w:tcMar>
            <w:vAlign w:val="center"/>
          </w:tcPr>
          <w:p w14:paraId="14DCCB3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Member States</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756DEA67"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Contribution to the Facility</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14C66C4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Contribution to interest subsidies and technical assistance</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1B359B9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Contributed</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729FC779"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Called and not paid</w:t>
            </w:r>
          </w:p>
        </w:tc>
      </w:tr>
      <w:tr w:rsidR="00FD1E19" w14:paraId="4217580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single" w:sz="4" w:space="0" w:color="000000"/>
              <w:left w:val="nil"/>
              <w:bottom w:val="nil"/>
              <w:right w:val="nil"/>
              <w:tl2br w:val="nil"/>
              <w:tr2bl w:val="nil"/>
            </w:tcBorders>
            <w:tcMar>
              <w:left w:w="40" w:type="dxa"/>
              <w:right w:w="40" w:type="dxa"/>
            </w:tcMar>
            <w:vAlign w:val="center"/>
          </w:tcPr>
          <w:p w14:paraId="02D24F6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Austria</w:t>
            </w:r>
          </w:p>
        </w:tc>
        <w:tc>
          <w:tcPr>
            <w:tcW w:w="1500" w:type="dxa"/>
            <w:tcBorders>
              <w:top w:val="single" w:sz="4" w:space="0" w:color="000000"/>
              <w:left w:val="nil"/>
              <w:bottom w:val="nil"/>
              <w:right w:val="nil"/>
              <w:tl2br w:val="nil"/>
              <w:tr2bl w:val="nil"/>
            </w:tcBorders>
            <w:tcMar>
              <w:left w:w="40" w:type="dxa"/>
              <w:right w:w="40" w:type="dxa"/>
            </w:tcMar>
            <w:vAlign w:val="center"/>
          </w:tcPr>
          <w:p w14:paraId="593C3A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94,677</w:t>
            </w:r>
          </w:p>
        </w:tc>
        <w:tc>
          <w:tcPr>
            <w:tcW w:w="1500" w:type="dxa"/>
            <w:tcBorders>
              <w:top w:val="single" w:sz="4" w:space="0" w:color="000000"/>
              <w:left w:val="nil"/>
              <w:bottom w:val="nil"/>
              <w:right w:val="nil"/>
              <w:tl2br w:val="nil"/>
              <w:tr2bl w:val="nil"/>
            </w:tcBorders>
            <w:tcMar>
              <w:left w:w="40" w:type="dxa"/>
              <w:right w:w="40" w:type="dxa"/>
            </w:tcMar>
            <w:vAlign w:val="center"/>
          </w:tcPr>
          <w:p w14:paraId="76A84F9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45,267</w:t>
            </w:r>
          </w:p>
        </w:tc>
        <w:tc>
          <w:tcPr>
            <w:tcW w:w="1500" w:type="dxa"/>
            <w:tcBorders>
              <w:top w:val="single" w:sz="4" w:space="0" w:color="000000"/>
              <w:left w:val="nil"/>
              <w:bottom w:val="nil"/>
              <w:right w:val="nil"/>
              <w:tl2br w:val="nil"/>
              <w:tr2bl w:val="nil"/>
            </w:tcBorders>
            <w:tcMar>
              <w:left w:w="40" w:type="dxa"/>
              <w:right w:w="40" w:type="dxa"/>
            </w:tcMar>
            <w:vAlign w:val="center"/>
          </w:tcPr>
          <w:p w14:paraId="32016C0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139,944</w:t>
            </w:r>
          </w:p>
        </w:tc>
        <w:tc>
          <w:tcPr>
            <w:tcW w:w="1500" w:type="dxa"/>
            <w:tcBorders>
              <w:top w:val="single" w:sz="4" w:space="0" w:color="000000"/>
              <w:left w:val="nil"/>
              <w:bottom w:val="nil"/>
              <w:right w:val="nil"/>
              <w:tl2br w:val="nil"/>
              <w:tr2bl w:val="nil"/>
            </w:tcBorders>
            <w:tcMar>
              <w:left w:w="40" w:type="dxa"/>
              <w:right w:w="40" w:type="dxa"/>
            </w:tcMar>
            <w:vAlign w:val="center"/>
          </w:tcPr>
          <w:p w14:paraId="7B9945C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4DB925A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149827D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Belgium</w:t>
            </w:r>
          </w:p>
        </w:tc>
        <w:tc>
          <w:tcPr>
            <w:tcW w:w="1500" w:type="dxa"/>
            <w:tcBorders>
              <w:top w:val="nil"/>
              <w:left w:val="nil"/>
              <w:bottom w:val="nil"/>
              <w:right w:val="nil"/>
              <w:tl2br w:val="nil"/>
              <w:tr2bl w:val="nil"/>
            </w:tcBorders>
            <w:tcMar>
              <w:left w:w="40" w:type="dxa"/>
              <w:right w:w="40" w:type="dxa"/>
            </w:tcMar>
            <w:vAlign w:val="center"/>
          </w:tcPr>
          <w:p w14:paraId="2C3DE25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138,169</w:t>
            </w:r>
          </w:p>
        </w:tc>
        <w:tc>
          <w:tcPr>
            <w:tcW w:w="1500" w:type="dxa"/>
            <w:tcBorders>
              <w:top w:val="nil"/>
              <w:left w:val="nil"/>
              <w:bottom w:val="nil"/>
              <w:right w:val="nil"/>
              <w:tl2br w:val="nil"/>
              <w:tr2bl w:val="nil"/>
            </w:tcBorders>
            <w:tcMar>
              <w:left w:w="40" w:type="dxa"/>
              <w:right w:w="40" w:type="dxa"/>
            </w:tcMar>
            <w:vAlign w:val="center"/>
          </w:tcPr>
          <w:p w14:paraId="5D1FE42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26,952</w:t>
            </w:r>
          </w:p>
        </w:tc>
        <w:tc>
          <w:tcPr>
            <w:tcW w:w="1500" w:type="dxa"/>
            <w:tcBorders>
              <w:top w:val="nil"/>
              <w:left w:val="nil"/>
              <w:bottom w:val="nil"/>
              <w:right w:val="nil"/>
              <w:tl2br w:val="nil"/>
              <w:tr2bl w:val="nil"/>
            </w:tcBorders>
            <w:tcMar>
              <w:left w:w="40" w:type="dxa"/>
              <w:right w:w="40" w:type="dxa"/>
            </w:tcMar>
            <w:vAlign w:val="center"/>
          </w:tcPr>
          <w:p w14:paraId="2B80F5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165,121</w:t>
            </w:r>
          </w:p>
        </w:tc>
        <w:tc>
          <w:tcPr>
            <w:tcW w:w="1500" w:type="dxa"/>
            <w:tcBorders>
              <w:top w:val="nil"/>
              <w:left w:val="nil"/>
              <w:bottom w:val="nil"/>
              <w:right w:val="nil"/>
              <w:tl2br w:val="nil"/>
              <w:tr2bl w:val="nil"/>
            </w:tcBorders>
            <w:tcMar>
              <w:left w:w="40" w:type="dxa"/>
              <w:right w:w="40" w:type="dxa"/>
            </w:tcMar>
            <w:vAlign w:val="center"/>
          </w:tcPr>
          <w:p w14:paraId="0D59EBD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43F754B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52E5E78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Bulgaria</w:t>
            </w:r>
          </w:p>
        </w:tc>
        <w:tc>
          <w:tcPr>
            <w:tcW w:w="1500" w:type="dxa"/>
            <w:tcBorders>
              <w:top w:val="nil"/>
              <w:left w:val="nil"/>
              <w:bottom w:val="nil"/>
              <w:right w:val="nil"/>
              <w:tl2br w:val="nil"/>
              <w:tr2bl w:val="nil"/>
            </w:tcBorders>
            <w:tcMar>
              <w:left w:w="40" w:type="dxa"/>
              <w:right w:w="40" w:type="dxa"/>
            </w:tcMar>
            <w:vAlign w:val="center"/>
          </w:tcPr>
          <w:p w14:paraId="58F130C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2,660</w:t>
            </w:r>
          </w:p>
        </w:tc>
        <w:tc>
          <w:tcPr>
            <w:tcW w:w="1500" w:type="dxa"/>
            <w:tcBorders>
              <w:top w:val="nil"/>
              <w:left w:val="nil"/>
              <w:bottom w:val="nil"/>
              <w:right w:val="nil"/>
              <w:tl2br w:val="nil"/>
              <w:tr2bl w:val="nil"/>
            </w:tcBorders>
            <w:tcMar>
              <w:left w:w="40" w:type="dxa"/>
              <w:right w:w="40" w:type="dxa"/>
            </w:tcMar>
            <w:vAlign w:val="center"/>
          </w:tcPr>
          <w:p w14:paraId="37E8A48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28,898</w:t>
            </w:r>
          </w:p>
        </w:tc>
        <w:tc>
          <w:tcPr>
            <w:tcW w:w="1500" w:type="dxa"/>
            <w:tcBorders>
              <w:top w:val="nil"/>
              <w:left w:val="nil"/>
              <w:bottom w:val="nil"/>
              <w:right w:val="nil"/>
              <w:tl2br w:val="nil"/>
              <w:tr2bl w:val="nil"/>
            </w:tcBorders>
            <w:tcMar>
              <w:left w:w="40" w:type="dxa"/>
              <w:right w:w="40" w:type="dxa"/>
            </w:tcMar>
            <w:vAlign w:val="center"/>
          </w:tcPr>
          <w:p w14:paraId="72FD64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31,558</w:t>
            </w:r>
          </w:p>
        </w:tc>
        <w:tc>
          <w:tcPr>
            <w:tcW w:w="1500" w:type="dxa"/>
            <w:tcBorders>
              <w:top w:val="nil"/>
              <w:left w:val="nil"/>
              <w:bottom w:val="nil"/>
              <w:right w:val="nil"/>
              <w:tl2br w:val="nil"/>
              <w:tr2bl w:val="nil"/>
            </w:tcBorders>
            <w:tcMar>
              <w:left w:w="40" w:type="dxa"/>
              <w:right w:w="40" w:type="dxa"/>
            </w:tcMar>
            <w:vAlign w:val="center"/>
          </w:tcPr>
          <w:p w14:paraId="7E02941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8387A0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027A237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Croatia</w:t>
            </w:r>
          </w:p>
        </w:tc>
        <w:tc>
          <w:tcPr>
            <w:tcW w:w="1500" w:type="dxa"/>
            <w:tcBorders>
              <w:top w:val="nil"/>
              <w:left w:val="nil"/>
              <w:bottom w:val="nil"/>
              <w:right w:val="nil"/>
              <w:tl2br w:val="nil"/>
              <w:tr2bl w:val="nil"/>
            </w:tcBorders>
            <w:tcMar>
              <w:left w:w="40" w:type="dxa"/>
              <w:right w:w="40" w:type="dxa"/>
            </w:tcMar>
            <w:vAlign w:val="center"/>
          </w:tcPr>
          <w:p w14:paraId="22B0239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1,126</w:t>
            </w:r>
          </w:p>
        </w:tc>
        <w:tc>
          <w:tcPr>
            <w:tcW w:w="1500" w:type="dxa"/>
            <w:tcBorders>
              <w:top w:val="nil"/>
              <w:left w:val="nil"/>
              <w:bottom w:val="nil"/>
              <w:right w:val="nil"/>
              <w:tl2br w:val="nil"/>
              <w:tr2bl w:val="nil"/>
            </w:tcBorders>
            <w:tcMar>
              <w:left w:w="40" w:type="dxa"/>
              <w:right w:w="40" w:type="dxa"/>
            </w:tcMar>
            <w:vAlign w:val="center"/>
          </w:tcPr>
          <w:p w14:paraId="5A512B2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173,578</w:t>
            </w:r>
          </w:p>
        </w:tc>
        <w:tc>
          <w:tcPr>
            <w:tcW w:w="1500" w:type="dxa"/>
            <w:tcBorders>
              <w:top w:val="nil"/>
              <w:left w:val="nil"/>
              <w:bottom w:val="nil"/>
              <w:right w:val="nil"/>
              <w:tl2br w:val="nil"/>
              <w:tr2bl w:val="nil"/>
            </w:tcBorders>
            <w:tcMar>
              <w:left w:w="40" w:type="dxa"/>
              <w:right w:w="40" w:type="dxa"/>
            </w:tcMar>
            <w:vAlign w:val="center"/>
          </w:tcPr>
          <w:p w14:paraId="76F1277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174,704</w:t>
            </w:r>
          </w:p>
        </w:tc>
        <w:tc>
          <w:tcPr>
            <w:tcW w:w="1500" w:type="dxa"/>
            <w:tcBorders>
              <w:top w:val="nil"/>
              <w:left w:val="nil"/>
              <w:bottom w:val="nil"/>
              <w:right w:val="nil"/>
              <w:tl2br w:val="nil"/>
              <w:tr2bl w:val="nil"/>
            </w:tcBorders>
            <w:tcMar>
              <w:left w:w="40" w:type="dxa"/>
              <w:right w:w="40" w:type="dxa"/>
            </w:tcMar>
            <w:vAlign w:val="center"/>
          </w:tcPr>
          <w:p w14:paraId="1C85130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6D11AB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69ADD04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Cyprus</w:t>
            </w:r>
          </w:p>
        </w:tc>
        <w:tc>
          <w:tcPr>
            <w:tcW w:w="1500" w:type="dxa"/>
            <w:tcBorders>
              <w:top w:val="nil"/>
              <w:left w:val="nil"/>
              <w:bottom w:val="nil"/>
              <w:right w:val="nil"/>
              <w:tl2br w:val="nil"/>
              <w:tr2bl w:val="nil"/>
            </w:tcBorders>
            <w:tcMar>
              <w:left w:w="40" w:type="dxa"/>
              <w:right w:w="40" w:type="dxa"/>
            </w:tcMar>
            <w:vAlign w:val="center"/>
          </w:tcPr>
          <w:p w14:paraId="4C1D2CE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1,566</w:t>
            </w:r>
          </w:p>
        </w:tc>
        <w:tc>
          <w:tcPr>
            <w:tcW w:w="1500" w:type="dxa"/>
            <w:tcBorders>
              <w:top w:val="nil"/>
              <w:left w:val="nil"/>
              <w:bottom w:val="nil"/>
              <w:right w:val="nil"/>
              <w:tl2br w:val="nil"/>
              <w:tr2bl w:val="nil"/>
            </w:tcBorders>
            <w:tcMar>
              <w:left w:w="40" w:type="dxa"/>
              <w:right w:w="40" w:type="dxa"/>
            </w:tcMar>
            <w:vAlign w:val="center"/>
          </w:tcPr>
          <w:p w14:paraId="1650A1B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4,528</w:t>
            </w:r>
          </w:p>
        </w:tc>
        <w:tc>
          <w:tcPr>
            <w:tcW w:w="1500" w:type="dxa"/>
            <w:tcBorders>
              <w:top w:val="nil"/>
              <w:left w:val="nil"/>
              <w:bottom w:val="nil"/>
              <w:right w:val="nil"/>
              <w:tl2br w:val="nil"/>
              <w:tr2bl w:val="nil"/>
            </w:tcBorders>
            <w:tcMar>
              <w:left w:w="40" w:type="dxa"/>
              <w:right w:w="40" w:type="dxa"/>
            </w:tcMar>
            <w:vAlign w:val="center"/>
          </w:tcPr>
          <w:p w14:paraId="2E57BBE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6,094</w:t>
            </w:r>
          </w:p>
        </w:tc>
        <w:tc>
          <w:tcPr>
            <w:tcW w:w="1500" w:type="dxa"/>
            <w:tcBorders>
              <w:top w:val="nil"/>
              <w:left w:val="nil"/>
              <w:bottom w:val="nil"/>
              <w:right w:val="nil"/>
              <w:tl2br w:val="nil"/>
              <w:tr2bl w:val="nil"/>
            </w:tcBorders>
            <w:tcMar>
              <w:left w:w="40" w:type="dxa"/>
              <w:right w:w="40" w:type="dxa"/>
            </w:tcMar>
            <w:vAlign w:val="center"/>
          </w:tcPr>
          <w:p w14:paraId="76CF392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AAEECB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1EF9935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Czech Republic</w:t>
            </w:r>
          </w:p>
        </w:tc>
        <w:tc>
          <w:tcPr>
            <w:tcW w:w="1500" w:type="dxa"/>
            <w:tcBorders>
              <w:top w:val="nil"/>
              <w:left w:val="nil"/>
              <w:bottom w:val="nil"/>
              <w:right w:val="nil"/>
              <w:tl2br w:val="nil"/>
              <w:tr2bl w:val="nil"/>
            </w:tcBorders>
            <w:tcMar>
              <w:left w:w="40" w:type="dxa"/>
              <w:right w:w="40" w:type="dxa"/>
            </w:tcMar>
            <w:vAlign w:val="center"/>
          </w:tcPr>
          <w:p w14:paraId="6796AD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9,697</w:t>
            </w:r>
          </w:p>
        </w:tc>
        <w:tc>
          <w:tcPr>
            <w:tcW w:w="1500" w:type="dxa"/>
            <w:tcBorders>
              <w:top w:val="nil"/>
              <w:left w:val="nil"/>
              <w:bottom w:val="nil"/>
              <w:right w:val="nil"/>
              <w:tl2br w:val="nil"/>
              <w:tr2bl w:val="nil"/>
            </w:tcBorders>
            <w:tcMar>
              <w:left w:w="40" w:type="dxa"/>
              <w:right w:w="40" w:type="dxa"/>
            </w:tcMar>
            <w:vAlign w:val="center"/>
          </w:tcPr>
          <w:p w14:paraId="1A7C7EC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3,028</w:t>
            </w:r>
          </w:p>
        </w:tc>
        <w:tc>
          <w:tcPr>
            <w:tcW w:w="1500" w:type="dxa"/>
            <w:tcBorders>
              <w:top w:val="nil"/>
              <w:left w:val="nil"/>
              <w:bottom w:val="nil"/>
              <w:right w:val="nil"/>
              <w:tl2br w:val="nil"/>
              <w:tr2bl w:val="nil"/>
            </w:tcBorders>
            <w:tcMar>
              <w:left w:w="40" w:type="dxa"/>
              <w:right w:w="40" w:type="dxa"/>
            </w:tcMar>
            <w:vAlign w:val="center"/>
          </w:tcPr>
          <w:p w14:paraId="3517EC6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12,725</w:t>
            </w:r>
          </w:p>
        </w:tc>
        <w:tc>
          <w:tcPr>
            <w:tcW w:w="1500" w:type="dxa"/>
            <w:tcBorders>
              <w:top w:val="nil"/>
              <w:left w:val="nil"/>
              <w:bottom w:val="nil"/>
              <w:right w:val="nil"/>
              <w:tl2br w:val="nil"/>
              <w:tr2bl w:val="nil"/>
            </w:tcBorders>
            <w:tcMar>
              <w:left w:w="40" w:type="dxa"/>
              <w:right w:w="40" w:type="dxa"/>
            </w:tcMar>
            <w:vAlign w:val="center"/>
          </w:tcPr>
          <w:p w14:paraId="71D45A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656BC60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23BCCC5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Denmark</w:t>
            </w:r>
          </w:p>
        </w:tc>
        <w:tc>
          <w:tcPr>
            <w:tcW w:w="1500" w:type="dxa"/>
            <w:tcBorders>
              <w:top w:val="nil"/>
              <w:left w:val="nil"/>
              <w:bottom w:val="nil"/>
              <w:right w:val="nil"/>
              <w:tl2br w:val="nil"/>
              <w:tr2bl w:val="nil"/>
            </w:tcBorders>
            <w:tcMar>
              <w:left w:w="40" w:type="dxa"/>
              <w:right w:w="40" w:type="dxa"/>
            </w:tcMar>
            <w:vAlign w:val="center"/>
          </w:tcPr>
          <w:p w14:paraId="1CF778E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77,279</w:t>
            </w:r>
          </w:p>
        </w:tc>
        <w:tc>
          <w:tcPr>
            <w:tcW w:w="1500" w:type="dxa"/>
            <w:tcBorders>
              <w:top w:val="nil"/>
              <w:left w:val="nil"/>
              <w:bottom w:val="nil"/>
              <w:right w:val="nil"/>
              <w:tl2br w:val="nil"/>
              <w:tr2bl w:val="nil"/>
            </w:tcBorders>
            <w:tcMar>
              <w:left w:w="40" w:type="dxa"/>
              <w:right w:w="40" w:type="dxa"/>
            </w:tcMar>
            <w:vAlign w:val="center"/>
          </w:tcPr>
          <w:p w14:paraId="5CE4F25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5,108</w:t>
            </w:r>
          </w:p>
        </w:tc>
        <w:tc>
          <w:tcPr>
            <w:tcW w:w="1500" w:type="dxa"/>
            <w:tcBorders>
              <w:top w:val="nil"/>
              <w:left w:val="nil"/>
              <w:bottom w:val="nil"/>
              <w:right w:val="nil"/>
              <w:tl2br w:val="nil"/>
              <w:tr2bl w:val="nil"/>
            </w:tcBorders>
            <w:tcMar>
              <w:left w:w="40" w:type="dxa"/>
              <w:right w:w="40" w:type="dxa"/>
            </w:tcMar>
            <w:vAlign w:val="center"/>
          </w:tcPr>
          <w:p w14:paraId="563263C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82,387</w:t>
            </w:r>
          </w:p>
        </w:tc>
        <w:tc>
          <w:tcPr>
            <w:tcW w:w="1500" w:type="dxa"/>
            <w:tcBorders>
              <w:top w:val="nil"/>
              <w:left w:val="nil"/>
              <w:bottom w:val="nil"/>
              <w:right w:val="nil"/>
              <w:tl2br w:val="nil"/>
              <w:tr2bl w:val="nil"/>
            </w:tcBorders>
            <w:tcMar>
              <w:left w:w="40" w:type="dxa"/>
              <w:right w:w="40" w:type="dxa"/>
            </w:tcMar>
            <w:vAlign w:val="center"/>
          </w:tcPr>
          <w:p w14:paraId="66299CA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4E9427C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7299C59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Estonia</w:t>
            </w:r>
          </w:p>
        </w:tc>
        <w:tc>
          <w:tcPr>
            <w:tcW w:w="1500" w:type="dxa"/>
            <w:tcBorders>
              <w:top w:val="nil"/>
              <w:left w:val="nil"/>
              <w:bottom w:val="nil"/>
              <w:right w:val="nil"/>
              <w:tl2br w:val="nil"/>
              <w:tr2bl w:val="nil"/>
            </w:tcBorders>
            <w:tcMar>
              <w:left w:w="40" w:type="dxa"/>
              <w:right w:w="40" w:type="dxa"/>
            </w:tcMar>
            <w:vAlign w:val="center"/>
          </w:tcPr>
          <w:p w14:paraId="103D84F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992</w:t>
            </w:r>
          </w:p>
        </w:tc>
        <w:tc>
          <w:tcPr>
            <w:tcW w:w="1500" w:type="dxa"/>
            <w:tcBorders>
              <w:top w:val="nil"/>
              <w:left w:val="nil"/>
              <w:bottom w:val="nil"/>
              <w:right w:val="nil"/>
              <w:tl2br w:val="nil"/>
              <w:tr2bl w:val="nil"/>
            </w:tcBorders>
            <w:tcMar>
              <w:left w:w="40" w:type="dxa"/>
              <w:right w:w="40" w:type="dxa"/>
            </w:tcMar>
            <w:vAlign w:val="center"/>
          </w:tcPr>
          <w:p w14:paraId="232325F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5,141</w:t>
            </w:r>
          </w:p>
        </w:tc>
        <w:tc>
          <w:tcPr>
            <w:tcW w:w="1500" w:type="dxa"/>
            <w:tcBorders>
              <w:top w:val="nil"/>
              <w:left w:val="nil"/>
              <w:bottom w:val="nil"/>
              <w:right w:val="nil"/>
              <w:tl2br w:val="nil"/>
              <w:tr2bl w:val="nil"/>
            </w:tcBorders>
            <w:tcMar>
              <w:left w:w="40" w:type="dxa"/>
              <w:right w:w="40" w:type="dxa"/>
            </w:tcMar>
            <w:vAlign w:val="center"/>
          </w:tcPr>
          <w:p w14:paraId="16734E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6,133</w:t>
            </w:r>
          </w:p>
        </w:tc>
        <w:tc>
          <w:tcPr>
            <w:tcW w:w="1500" w:type="dxa"/>
            <w:tcBorders>
              <w:top w:val="nil"/>
              <w:left w:val="nil"/>
              <w:bottom w:val="nil"/>
              <w:right w:val="nil"/>
              <w:tl2br w:val="nil"/>
              <w:tr2bl w:val="nil"/>
            </w:tcBorders>
            <w:tcMar>
              <w:left w:w="40" w:type="dxa"/>
              <w:right w:w="40" w:type="dxa"/>
            </w:tcMar>
            <w:vAlign w:val="center"/>
          </w:tcPr>
          <w:p w14:paraId="6087A36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5A62020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24C66E6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Finland</w:t>
            </w:r>
          </w:p>
        </w:tc>
        <w:tc>
          <w:tcPr>
            <w:tcW w:w="1500" w:type="dxa"/>
            <w:tcBorders>
              <w:top w:val="nil"/>
              <w:left w:val="nil"/>
              <w:bottom w:val="nil"/>
              <w:right w:val="nil"/>
              <w:tl2br w:val="nil"/>
              <w:tr2bl w:val="nil"/>
            </w:tcBorders>
            <w:tcMar>
              <w:left w:w="40" w:type="dxa"/>
              <w:right w:w="40" w:type="dxa"/>
            </w:tcMar>
            <w:vAlign w:val="center"/>
          </w:tcPr>
          <w:p w14:paraId="6B8579D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55,115</w:t>
            </w:r>
          </w:p>
        </w:tc>
        <w:tc>
          <w:tcPr>
            <w:tcW w:w="1500" w:type="dxa"/>
            <w:tcBorders>
              <w:top w:val="nil"/>
              <w:left w:val="nil"/>
              <w:bottom w:val="nil"/>
              <w:right w:val="nil"/>
              <w:tl2br w:val="nil"/>
              <w:tr2bl w:val="nil"/>
            </w:tcBorders>
            <w:tcMar>
              <w:left w:w="40" w:type="dxa"/>
              <w:right w:w="40" w:type="dxa"/>
            </w:tcMar>
            <w:vAlign w:val="center"/>
          </w:tcPr>
          <w:p w14:paraId="7A9F4D6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66,602</w:t>
            </w:r>
          </w:p>
        </w:tc>
        <w:tc>
          <w:tcPr>
            <w:tcW w:w="1500" w:type="dxa"/>
            <w:tcBorders>
              <w:top w:val="nil"/>
              <w:left w:val="nil"/>
              <w:bottom w:val="nil"/>
              <w:right w:val="nil"/>
              <w:tl2br w:val="nil"/>
              <w:tr2bl w:val="nil"/>
            </w:tcBorders>
            <w:tcMar>
              <w:left w:w="40" w:type="dxa"/>
              <w:right w:w="40" w:type="dxa"/>
            </w:tcMar>
            <w:vAlign w:val="center"/>
          </w:tcPr>
          <w:p w14:paraId="4C6A03D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121,717</w:t>
            </w:r>
          </w:p>
        </w:tc>
        <w:tc>
          <w:tcPr>
            <w:tcW w:w="1500" w:type="dxa"/>
            <w:tcBorders>
              <w:top w:val="nil"/>
              <w:left w:val="nil"/>
              <w:bottom w:val="nil"/>
              <w:right w:val="nil"/>
              <w:tl2br w:val="nil"/>
              <w:tr2bl w:val="nil"/>
            </w:tcBorders>
            <w:tcMar>
              <w:left w:w="40" w:type="dxa"/>
              <w:right w:w="40" w:type="dxa"/>
            </w:tcMar>
            <w:vAlign w:val="center"/>
          </w:tcPr>
          <w:p w14:paraId="1A23618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7D65DE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7CF50CB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France</w:t>
            </w:r>
          </w:p>
        </w:tc>
        <w:tc>
          <w:tcPr>
            <w:tcW w:w="1500" w:type="dxa"/>
            <w:tcBorders>
              <w:top w:val="nil"/>
              <w:left w:val="nil"/>
              <w:bottom w:val="nil"/>
              <w:right w:val="nil"/>
              <w:tl2br w:val="nil"/>
              <w:tr2bl w:val="nil"/>
            </w:tcBorders>
            <w:tcMar>
              <w:left w:w="40" w:type="dxa"/>
              <w:right w:w="40" w:type="dxa"/>
            </w:tcMar>
            <w:vAlign w:val="center"/>
          </w:tcPr>
          <w:p w14:paraId="5FF6264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818,754</w:t>
            </w:r>
          </w:p>
        </w:tc>
        <w:tc>
          <w:tcPr>
            <w:tcW w:w="1500" w:type="dxa"/>
            <w:tcBorders>
              <w:top w:val="nil"/>
              <w:left w:val="nil"/>
              <w:bottom w:val="nil"/>
              <w:right w:val="nil"/>
              <w:tl2br w:val="nil"/>
              <w:tr2bl w:val="nil"/>
            </w:tcBorders>
            <w:tcMar>
              <w:left w:w="40" w:type="dxa"/>
              <w:right w:w="40" w:type="dxa"/>
            </w:tcMar>
            <w:vAlign w:val="center"/>
          </w:tcPr>
          <w:p w14:paraId="0126F1B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196,514</w:t>
            </w:r>
          </w:p>
        </w:tc>
        <w:tc>
          <w:tcPr>
            <w:tcW w:w="1500" w:type="dxa"/>
            <w:tcBorders>
              <w:top w:val="nil"/>
              <w:left w:val="nil"/>
              <w:bottom w:val="nil"/>
              <w:right w:val="nil"/>
              <w:tl2br w:val="nil"/>
              <w:tr2bl w:val="nil"/>
            </w:tcBorders>
            <w:tcMar>
              <w:left w:w="40" w:type="dxa"/>
              <w:right w:w="40" w:type="dxa"/>
            </w:tcMar>
            <w:vAlign w:val="center"/>
          </w:tcPr>
          <w:p w14:paraId="4E13F2B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1,015,268</w:t>
            </w:r>
          </w:p>
        </w:tc>
        <w:tc>
          <w:tcPr>
            <w:tcW w:w="1500" w:type="dxa"/>
            <w:tcBorders>
              <w:top w:val="nil"/>
              <w:left w:val="nil"/>
              <w:bottom w:val="nil"/>
              <w:right w:val="nil"/>
              <w:tl2br w:val="nil"/>
              <w:tr2bl w:val="nil"/>
            </w:tcBorders>
            <w:tcMar>
              <w:left w:w="40" w:type="dxa"/>
              <w:right w:w="40" w:type="dxa"/>
            </w:tcMar>
            <w:vAlign w:val="center"/>
          </w:tcPr>
          <w:p w14:paraId="6E532C4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602B12E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45DD7D7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Germany</w:t>
            </w:r>
          </w:p>
        </w:tc>
        <w:tc>
          <w:tcPr>
            <w:tcW w:w="1500" w:type="dxa"/>
            <w:tcBorders>
              <w:top w:val="nil"/>
              <w:left w:val="nil"/>
              <w:bottom w:val="nil"/>
              <w:right w:val="nil"/>
              <w:tl2br w:val="nil"/>
              <w:tr2bl w:val="nil"/>
            </w:tcBorders>
            <w:tcMar>
              <w:left w:w="40" w:type="dxa"/>
              <w:right w:w="40" w:type="dxa"/>
            </w:tcMar>
            <w:vAlign w:val="center"/>
          </w:tcPr>
          <w:p w14:paraId="5D227B6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823,467</w:t>
            </w:r>
          </w:p>
        </w:tc>
        <w:tc>
          <w:tcPr>
            <w:tcW w:w="1500" w:type="dxa"/>
            <w:tcBorders>
              <w:top w:val="nil"/>
              <w:left w:val="nil"/>
              <w:bottom w:val="nil"/>
              <w:right w:val="nil"/>
              <w:tl2br w:val="nil"/>
              <w:tr2bl w:val="nil"/>
            </w:tcBorders>
            <w:tcMar>
              <w:left w:w="40" w:type="dxa"/>
              <w:right w:w="40" w:type="dxa"/>
            </w:tcMar>
            <w:vAlign w:val="center"/>
          </w:tcPr>
          <w:p w14:paraId="0EE4AAA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43,762</w:t>
            </w:r>
          </w:p>
        </w:tc>
        <w:tc>
          <w:tcPr>
            <w:tcW w:w="1500" w:type="dxa"/>
            <w:tcBorders>
              <w:top w:val="nil"/>
              <w:left w:val="nil"/>
              <w:bottom w:val="nil"/>
              <w:right w:val="nil"/>
              <w:tl2br w:val="nil"/>
              <w:tr2bl w:val="nil"/>
            </w:tcBorders>
            <w:tcMar>
              <w:left w:w="40" w:type="dxa"/>
              <w:right w:w="40" w:type="dxa"/>
            </w:tcMar>
            <w:vAlign w:val="center"/>
          </w:tcPr>
          <w:p w14:paraId="7572D3A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867,229</w:t>
            </w:r>
          </w:p>
        </w:tc>
        <w:tc>
          <w:tcPr>
            <w:tcW w:w="1500" w:type="dxa"/>
            <w:tcBorders>
              <w:top w:val="nil"/>
              <w:left w:val="nil"/>
              <w:bottom w:val="nil"/>
              <w:right w:val="nil"/>
              <w:tl2br w:val="nil"/>
              <w:tr2bl w:val="nil"/>
            </w:tcBorders>
            <w:tcMar>
              <w:left w:w="40" w:type="dxa"/>
              <w:right w:w="40" w:type="dxa"/>
            </w:tcMar>
            <w:vAlign w:val="center"/>
          </w:tcPr>
          <w:p w14:paraId="512DABF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568A50B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6F80D82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Greece</w:t>
            </w:r>
          </w:p>
        </w:tc>
        <w:tc>
          <w:tcPr>
            <w:tcW w:w="1500" w:type="dxa"/>
            <w:tcBorders>
              <w:top w:val="nil"/>
              <w:left w:val="nil"/>
              <w:bottom w:val="nil"/>
              <w:right w:val="nil"/>
              <w:tl2br w:val="nil"/>
              <w:tr2bl w:val="nil"/>
            </w:tcBorders>
            <w:tcMar>
              <w:left w:w="40" w:type="dxa"/>
              <w:right w:w="40" w:type="dxa"/>
            </w:tcMar>
            <w:vAlign w:val="center"/>
          </w:tcPr>
          <w:p w14:paraId="3CF1E8E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50,271</w:t>
            </w:r>
          </w:p>
        </w:tc>
        <w:tc>
          <w:tcPr>
            <w:tcW w:w="1500" w:type="dxa"/>
            <w:tcBorders>
              <w:top w:val="nil"/>
              <w:left w:val="nil"/>
              <w:bottom w:val="nil"/>
              <w:right w:val="nil"/>
              <w:tl2br w:val="nil"/>
              <w:tr2bl w:val="nil"/>
            </w:tcBorders>
            <w:tcMar>
              <w:left w:w="40" w:type="dxa"/>
              <w:right w:w="40" w:type="dxa"/>
            </w:tcMar>
            <w:vAlign w:val="center"/>
          </w:tcPr>
          <w:p w14:paraId="278196F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3,672</w:t>
            </w:r>
          </w:p>
        </w:tc>
        <w:tc>
          <w:tcPr>
            <w:tcW w:w="1500" w:type="dxa"/>
            <w:tcBorders>
              <w:top w:val="nil"/>
              <w:left w:val="nil"/>
              <w:bottom w:val="nil"/>
              <w:right w:val="nil"/>
              <w:tl2br w:val="nil"/>
              <w:tr2bl w:val="nil"/>
            </w:tcBorders>
            <w:tcMar>
              <w:left w:w="40" w:type="dxa"/>
              <w:right w:w="40" w:type="dxa"/>
            </w:tcMar>
            <w:vAlign w:val="center"/>
          </w:tcPr>
          <w:p w14:paraId="3188D3B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53,943</w:t>
            </w:r>
          </w:p>
        </w:tc>
        <w:tc>
          <w:tcPr>
            <w:tcW w:w="1500" w:type="dxa"/>
            <w:tcBorders>
              <w:top w:val="nil"/>
              <w:left w:val="nil"/>
              <w:bottom w:val="nil"/>
              <w:right w:val="nil"/>
              <w:tl2br w:val="nil"/>
              <w:tr2bl w:val="nil"/>
            </w:tcBorders>
            <w:tcMar>
              <w:left w:w="40" w:type="dxa"/>
              <w:right w:w="40" w:type="dxa"/>
            </w:tcMar>
            <w:vAlign w:val="center"/>
          </w:tcPr>
          <w:p w14:paraId="692F4C2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48B1BC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134815D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Hungary</w:t>
            </w:r>
          </w:p>
        </w:tc>
        <w:tc>
          <w:tcPr>
            <w:tcW w:w="1500" w:type="dxa"/>
            <w:tcBorders>
              <w:top w:val="nil"/>
              <w:left w:val="nil"/>
              <w:bottom w:val="nil"/>
              <w:right w:val="nil"/>
              <w:tl2br w:val="nil"/>
              <w:tr2bl w:val="nil"/>
            </w:tcBorders>
            <w:tcMar>
              <w:left w:w="40" w:type="dxa"/>
              <w:right w:w="40" w:type="dxa"/>
            </w:tcMar>
            <w:vAlign w:val="center"/>
          </w:tcPr>
          <w:p w14:paraId="4F7A8E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9,230</w:t>
            </w:r>
          </w:p>
        </w:tc>
        <w:tc>
          <w:tcPr>
            <w:tcW w:w="1500" w:type="dxa"/>
            <w:tcBorders>
              <w:top w:val="nil"/>
              <w:left w:val="nil"/>
              <w:bottom w:val="nil"/>
              <w:right w:val="nil"/>
              <w:tl2br w:val="nil"/>
              <w:tr2bl w:val="nil"/>
            </w:tcBorders>
            <w:tcMar>
              <w:left w:w="40" w:type="dxa"/>
              <w:right w:w="40" w:type="dxa"/>
            </w:tcMar>
            <w:vAlign w:val="center"/>
          </w:tcPr>
          <w:p w14:paraId="2BC91DC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2,422</w:t>
            </w:r>
          </w:p>
        </w:tc>
        <w:tc>
          <w:tcPr>
            <w:tcW w:w="1500" w:type="dxa"/>
            <w:tcBorders>
              <w:top w:val="nil"/>
              <w:left w:val="nil"/>
              <w:bottom w:val="nil"/>
              <w:right w:val="nil"/>
              <w:tl2br w:val="nil"/>
              <w:tr2bl w:val="nil"/>
            </w:tcBorders>
            <w:tcMar>
              <w:left w:w="40" w:type="dxa"/>
              <w:right w:w="40" w:type="dxa"/>
            </w:tcMar>
            <w:vAlign w:val="center"/>
          </w:tcPr>
          <w:p w14:paraId="5D88C17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11,652</w:t>
            </w:r>
          </w:p>
        </w:tc>
        <w:tc>
          <w:tcPr>
            <w:tcW w:w="1500" w:type="dxa"/>
            <w:tcBorders>
              <w:top w:val="nil"/>
              <w:left w:val="nil"/>
              <w:bottom w:val="nil"/>
              <w:right w:val="nil"/>
              <w:tl2br w:val="nil"/>
              <w:tr2bl w:val="nil"/>
            </w:tcBorders>
            <w:tcMar>
              <w:left w:w="40" w:type="dxa"/>
              <w:right w:w="40" w:type="dxa"/>
            </w:tcMar>
            <w:vAlign w:val="center"/>
          </w:tcPr>
          <w:p w14:paraId="627318C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AABE16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17B5A10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Ireland</w:t>
            </w:r>
          </w:p>
        </w:tc>
        <w:tc>
          <w:tcPr>
            <w:tcW w:w="1500" w:type="dxa"/>
            <w:tcBorders>
              <w:top w:val="nil"/>
              <w:left w:val="nil"/>
              <w:bottom w:val="nil"/>
              <w:right w:val="nil"/>
              <w:tl2br w:val="nil"/>
              <w:tr2bl w:val="nil"/>
            </w:tcBorders>
            <w:tcMar>
              <w:left w:w="40" w:type="dxa"/>
              <w:right w:w="40" w:type="dxa"/>
            </w:tcMar>
            <w:vAlign w:val="center"/>
          </w:tcPr>
          <w:p w14:paraId="2DF017A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27,921</w:t>
            </w:r>
          </w:p>
        </w:tc>
        <w:tc>
          <w:tcPr>
            <w:tcW w:w="1500" w:type="dxa"/>
            <w:tcBorders>
              <w:top w:val="nil"/>
              <w:left w:val="nil"/>
              <w:bottom w:val="nil"/>
              <w:right w:val="nil"/>
              <w:tl2br w:val="nil"/>
              <w:tr2bl w:val="nil"/>
            </w:tcBorders>
            <w:tcMar>
              <w:left w:w="40" w:type="dxa"/>
              <w:right w:w="40" w:type="dxa"/>
            </w:tcMar>
            <w:vAlign w:val="center"/>
          </w:tcPr>
          <w:p w14:paraId="6EC8811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18,598</w:t>
            </w:r>
          </w:p>
        </w:tc>
        <w:tc>
          <w:tcPr>
            <w:tcW w:w="1500" w:type="dxa"/>
            <w:tcBorders>
              <w:top w:val="nil"/>
              <w:left w:val="nil"/>
              <w:bottom w:val="nil"/>
              <w:right w:val="nil"/>
              <w:tl2br w:val="nil"/>
              <w:tr2bl w:val="nil"/>
            </w:tcBorders>
            <w:tcMar>
              <w:left w:w="40" w:type="dxa"/>
              <w:right w:w="40" w:type="dxa"/>
            </w:tcMar>
            <w:vAlign w:val="center"/>
          </w:tcPr>
          <w:p w14:paraId="1D0E23C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46,519</w:t>
            </w:r>
          </w:p>
        </w:tc>
        <w:tc>
          <w:tcPr>
            <w:tcW w:w="1500" w:type="dxa"/>
            <w:tcBorders>
              <w:top w:val="nil"/>
              <w:left w:val="nil"/>
              <w:bottom w:val="nil"/>
              <w:right w:val="nil"/>
              <w:tl2br w:val="nil"/>
              <w:tr2bl w:val="nil"/>
            </w:tcBorders>
            <w:tcMar>
              <w:left w:w="40" w:type="dxa"/>
              <w:right w:w="40" w:type="dxa"/>
            </w:tcMar>
            <w:vAlign w:val="center"/>
          </w:tcPr>
          <w:p w14:paraId="427E847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6FF45C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7EF2298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Italy</w:t>
            </w:r>
          </w:p>
        </w:tc>
        <w:tc>
          <w:tcPr>
            <w:tcW w:w="1500" w:type="dxa"/>
            <w:tcBorders>
              <w:top w:val="nil"/>
              <w:left w:val="nil"/>
              <w:bottom w:val="nil"/>
              <w:right w:val="nil"/>
              <w:tl2br w:val="nil"/>
              <w:tr2bl w:val="nil"/>
            </w:tcBorders>
            <w:tcMar>
              <w:left w:w="40" w:type="dxa"/>
              <w:right w:w="40" w:type="dxa"/>
            </w:tcMar>
            <w:vAlign w:val="center"/>
          </w:tcPr>
          <w:p w14:paraId="2B2FA0A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470,233</w:t>
            </w:r>
          </w:p>
        </w:tc>
        <w:tc>
          <w:tcPr>
            <w:tcW w:w="1500" w:type="dxa"/>
            <w:tcBorders>
              <w:top w:val="nil"/>
              <w:left w:val="nil"/>
              <w:bottom w:val="nil"/>
              <w:right w:val="nil"/>
              <w:tl2br w:val="nil"/>
              <w:tr2bl w:val="nil"/>
            </w:tcBorders>
            <w:tcMar>
              <w:left w:w="40" w:type="dxa"/>
              <w:right w:w="40" w:type="dxa"/>
            </w:tcMar>
            <w:vAlign w:val="center"/>
          </w:tcPr>
          <w:p w14:paraId="5D329EC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38,318</w:t>
            </w:r>
          </w:p>
        </w:tc>
        <w:tc>
          <w:tcPr>
            <w:tcW w:w="1500" w:type="dxa"/>
            <w:tcBorders>
              <w:top w:val="nil"/>
              <w:left w:val="nil"/>
              <w:bottom w:val="nil"/>
              <w:right w:val="nil"/>
              <w:tl2br w:val="nil"/>
              <w:tr2bl w:val="nil"/>
            </w:tcBorders>
            <w:tcMar>
              <w:left w:w="40" w:type="dxa"/>
              <w:right w:w="40" w:type="dxa"/>
            </w:tcMar>
            <w:vAlign w:val="center"/>
          </w:tcPr>
          <w:p w14:paraId="7A02F58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508,551</w:t>
            </w:r>
          </w:p>
        </w:tc>
        <w:tc>
          <w:tcPr>
            <w:tcW w:w="1500" w:type="dxa"/>
            <w:tcBorders>
              <w:top w:val="nil"/>
              <w:left w:val="nil"/>
              <w:bottom w:val="nil"/>
              <w:right w:val="nil"/>
              <w:tl2br w:val="nil"/>
              <w:tr2bl w:val="nil"/>
            </w:tcBorders>
            <w:tcMar>
              <w:left w:w="40" w:type="dxa"/>
              <w:right w:w="40" w:type="dxa"/>
            </w:tcMar>
            <w:vAlign w:val="center"/>
          </w:tcPr>
          <w:p w14:paraId="5E928B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283048A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7A25DD8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Latvia</w:t>
            </w:r>
          </w:p>
        </w:tc>
        <w:tc>
          <w:tcPr>
            <w:tcW w:w="1500" w:type="dxa"/>
            <w:tcBorders>
              <w:top w:val="nil"/>
              <w:left w:val="nil"/>
              <w:bottom w:val="nil"/>
              <w:right w:val="nil"/>
              <w:tl2br w:val="nil"/>
              <w:tr2bl w:val="nil"/>
            </w:tcBorders>
            <w:tcMar>
              <w:left w:w="40" w:type="dxa"/>
              <w:right w:w="40" w:type="dxa"/>
            </w:tcMar>
            <w:vAlign w:val="center"/>
          </w:tcPr>
          <w:p w14:paraId="19B081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1,364</w:t>
            </w:r>
          </w:p>
        </w:tc>
        <w:tc>
          <w:tcPr>
            <w:tcW w:w="1500" w:type="dxa"/>
            <w:tcBorders>
              <w:top w:val="nil"/>
              <w:left w:val="nil"/>
              <w:bottom w:val="nil"/>
              <w:right w:val="nil"/>
              <w:tl2br w:val="nil"/>
              <w:tr2bl w:val="nil"/>
            </w:tcBorders>
            <w:tcMar>
              <w:left w:w="40" w:type="dxa"/>
              <w:right w:w="40" w:type="dxa"/>
            </w:tcMar>
            <w:vAlign w:val="center"/>
          </w:tcPr>
          <w:p w14:paraId="235B3BC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7,630</w:t>
            </w:r>
          </w:p>
        </w:tc>
        <w:tc>
          <w:tcPr>
            <w:tcW w:w="1500" w:type="dxa"/>
            <w:tcBorders>
              <w:top w:val="nil"/>
              <w:left w:val="nil"/>
              <w:bottom w:val="nil"/>
              <w:right w:val="nil"/>
              <w:tl2br w:val="nil"/>
              <w:tr2bl w:val="nil"/>
            </w:tcBorders>
            <w:tcMar>
              <w:left w:w="40" w:type="dxa"/>
              <w:right w:w="40" w:type="dxa"/>
            </w:tcMar>
            <w:vAlign w:val="center"/>
          </w:tcPr>
          <w:p w14:paraId="7E1239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8,994</w:t>
            </w:r>
          </w:p>
        </w:tc>
        <w:tc>
          <w:tcPr>
            <w:tcW w:w="1500" w:type="dxa"/>
            <w:tcBorders>
              <w:top w:val="nil"/>
              <w:left w:val="nil"/>
              <w:bottom w:val="nil"/>
              <w:right w:val="nil"/>
              <w:tl2br w:val="nil"/>
              <w:tr2bl w:val="nil"/>
            </w:tcBorders>
            <w:tcMar>
              <w:left w:w="40" w:type="dxa"/>
              <w:right w:w="40" w:type="dxa"/>
            </w:tcMar>
            <w:vAlign w:val="center"/>
          </w:tcPr>
          <w:p w14:paraId="1C37EA9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5D70CDD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5F5FEA4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Lithuania</w:t>
            </w:r>
          </w:p>
        </w:tc>
        <w:tc>
          <w:tcPr>
            <w:tcW w:w="1500" w:type="dxa"/>
            <w:tcBorders>
              <w:top w:val="nil"/>
              <w:left w:val="nil"/>
              <w:bottom w:val="nil"/>
              <w:right w:val="nil"/>
              <w:tl2br w:val="nil"/>
              <w:tr2bl w:val="nil"/>
            </w:tcBorders>
            <w:tcMar>
              <w:left w:w="40" w:type="dxa"/>
              <w:right w:w="40" w:type="dxa"/>
            </w:tcMar>
            <w:vAlign w:val="center"/>
          </w:tcPr>
          <w:p w14:paraId="7DACC90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2,248</w:t>
            </w:r>
          </w:p>
        </w:tc>
        <w:tc>
          <w:tcPr>
            <w:tcW w:w="1500" w:type="dxa"/>
            <w:tcBorders>
              <w:top w:val="nil"/>
              <w:left w:val="nil"/>
              <w:bottom w:val="nil"/>
              <w:right w:val="nil"/>
              <w:tl2br w:val="nil"/>
              <w:tr2bl w:val="nil"/>
            </w:tcBorders>
            <w:tcMar>
              <w:left w:w="40" w:type="dxa"/>
              <w:right w:w="40" w:type="dxa"/>
            </w:tcMar>
            <w:vAlign w:val="center"/>
          </w:tcPr>
          <w:p w14:paraId="68A8830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105,253</w:t>
            </w:r>
          </w:p>
        </w:tc>
        <w:tc>
          <w:tcPr>
            <w:tcW w:w="1500" w:type="dxa"/>
            <w:tcBorders>
              <w:top w:val="nil"/>
              <w:left w:val="nil"/>
              <w:bottom w:val="nil"/>
              <w:right w:val="nil"/>
              <w:tl2br w:val="nil"/>
              <w:tr2bl w:val="nil"/>
            </w:tcBorders>
            <w:tcMar>
              <w:left w:w="40" w:type="dxa"/>
              <w:right w:w="40" w:type="dxa"/>
            </w:tcMar>
            <w:vAlign w:val="center"/>
          </w:tcPr>
          <w:p w14:paraId="23B6B49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107,501</w:t>
            </w:r>
          </w:p>
        </w:tc>
        <w:tc>
          <w:tcPr>
            <w:tcW w:w="1500" w:type="dxa"/>
            <w:tcBorders>
              <w:top w:val="nil"/>
              <w:left w:val="nil"/>
              <w:bottom w:val="nil"/>
              <w:right w:val="nil"/>
              <w:tl2br w:val="nil"/>
              <w:tr2bl w:val="nil"/>
            </w:tcBorders>
            <w:tcMar>
              <w:left w:w="40" w:type="dxa"/>
              <w:right w:w="40" w:type="dxa"/>
            </w:tcMar>
            <w:vAlign w:val="center"/>
          </w:tcPr>
          <w:p w14:paraId="333A44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1EC79CE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4B959F1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Luxembourg</w:t>
            </w:r>
          </w:p>
        </w:tc>
        <w:tc>
          <w:tcPr>
            <w:tcW w:w="1500" w:type="dxa"/>
            <w:tcBorders>
              <w:top w:val="nil"/>
              <w:left w:val="nil"/>
              <w:bottom w:val="nil"/>
              <w:right w:val="nil"/>
              <w:tl2br w:val="nil"/>
              <w:tr2bl w:val="nil"/>
            </w:tcBorders>
            <w:tcMar>
              <w:left w:w="40" w:type="dxa"/>
              <w:right w:w="40" w:type="dxa"/>
            </w:tcMar>
            <w:vAlign w:val="center"/>
          </w:tcPr>
          <w:p w14:paraId="460574C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10,395</w:t>
            </w:r>
          </w:p>
        </w:tc>
        <w:tc>
          <w:tcPr>
            <w:tcW w:w="1500" w:type="dxa"/>
            <w:tcBorders>
              <w:top w:val="nil"/>
              <w:left w:val="nil"/>
              <w:bottom w:val="nil"/>
              <w:right w:val="nil"/>
              <w:tl2br w:val="nil"/>
              <w:tr2bl w:val="nil"/>
            </w:tcBorders>
            <w:tcMar>
              <w:left w:w="40" w:type="dxa"/>
              <w:right w:w="40" w:type="dxa"/>
            </w:tcMar>
            <w:vAlign w:val="center"/>
          </w:tcPr>
          <w:p w14:paraId="5A5E937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1,242</w:t>
            </w:r>
          </w:p>
        </w:tc>
        <w:tc>
          <w:tcPr>
            <w:tcW w:w="1500" w:type="dxa"/>
            <w:tcBorders>
              <w:top w:val="nil"/>
              <w:left w:val="nil"/>
              <w:bottom w:val="nil"/>
              <w:right w:val="nil"/>
              <w:tl2br w:val="nil"/>
              <w:tr2bl w:val="nil"/>
            </w:tcBorders>
            <w:tcMar>
              <w:left w:w="40" w:type="dxa"/>
              <w:right w:w="40" w:type="dxa"/>
            </w:tcMar>
            <w:vAlign w:val="center"/>
          </w:tcPr>
          <w:p w14:paraId="794C48D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11,637</w:t>
            </w:r>
          </w:p>
        </w:tc>
        <w:tc>
          <w:tcPr>
            <w:tcW w:w="1500" w:type="dxa"/>
            <w:tcBorders>
              <w:top w:val="nil"/>
              <w:left w:val="nil"/>
              <w:bottom w:val="nil"/>
              <w:right w:val="nil"/>
              <w:tl2br w:val="nil"/>
              <w:tr2bl w:val="nil"/>
            </w:tcBorders>
            <w:tcMar>
              <w:left w:w="40" w:type="dxa"/>
              <w:right w:w="40" w:type="dxa"/>
            </w:tcMar>
            <w:vAlign w:val="center"/>
          </w:tcPr>
          <w:p w14:paraId="7E946A8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18CD53F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6ADA238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Malta</w:t>
            </w:r>
          </w:p>
        </w:tc>
        <w:tc>
          <w:tcPr>
            <w:tcW w:w="1500" w:type="dxa"/>
            <w:tcBorders>
              <w:top w:val="nil"/>
              <w:left w:val="nil"/>
              <w:bottom w:val="nil"/>
              <w:right w:val="nil"/>
              <w:tl2br w:val="nil"/>
              <w:tr2bl w:val="nil"/>
            </w:tcBorders>
            <w:tcMar>
              <w:left w:w="40" w:type="dxa"/>
              <w:right w:w="40" w:type="dxa"/>
            </w:tcMar>
            <w:vAlign w:val="center"/>
          </w:tcPr>
          <w:p w14:paraId="4D90D57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526</w:t>
            </w:r>
          </w:p>
        </w:tc>
        <w:tc>
          <w:tcPr>
            <w:tcW w:w="1500" w:type="dxa"/>
            <w:tcBorders>
              <w:top w:val="nil"/>
              <w:left w:val="nil"/>
              <w:bottom w:val="nil"/>
              <w:right w:val="nil"/>
              <w:tl2br w:val="nil"/>
              <w:tr2bl w:val="nil"/>
            </w:tcBorders>
            <w:tcMar>
              <w:left w:w="40" w:type="dxa"/>
              <w:right w:w="40" w:type="dxa"/>
            </w:tcMar>
            <w:vAlign w:val="center"/>
          </w:tcPr>
          <w:p w14:paraId="4859384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2,273</w:t>
            </w:r>
          </w:p>
        </w:tc>
        <w:tc>
          <w:tcPr>
            <w:tcW w:w="1500" w:type="dxa"/>
            <w:tcBorders>
              <w:top w:val="nil"/>
              <w:left w:val="nil"/>
              <w:bottom w:val="nil"/>
              <w:right w:val="nil"/>
              <w:tl2br w:val="nil"/>
              <w:tr2bl w:val="nil"/>
            </w:tcBorders>
            <w:tcMar>
              <w:left w:w="40" w:type="dxa"/>
              <w:right w:w="40" w:type="dxa"/>
            </w:tcMar>
            <w:vAlign w:val="center"/>
          </w:tcPr>
          <w:p w14:paraId="21D0C8A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2,799</w:t>
            </w:r>
          </w:p>
        </w:tc>
        <w:tc>
          <w:tcPr>
            <w:tcW w:w="1500" w:type="dxa"/>
            <w:tcBorders>
              <w:top w:val="nil"/>
              <w:left w:val="nil"/>
              <w:bottom w:val="nil"/>
              <w:right w:val="nil"/>
              <w:tl2br w:val="nil"/>
              <w:tr2bl w:val="nil"/>
            </w:tcBorders>
            <w:tcMar>
              <w:left w:w="40" w:type="dxa"/>
              <w:right w:w="40" w:type="dxa"/>
            </w:tcMar>
            <w:vAlign w:val="center"/>
          </w:tcPr>
          <w:p w14:paraId="61AF2FE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4175CE0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181BC4B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Netherlands</w:t>
            </w:r>
          </w:p>
        </w:tc>
        <w:tc>
          <w:tcPr>
            <w:tcW w:w="1500" w:type="dxa"/>
            <w:tcBorders>
              <w:top w:val="nil"/>
              <w:left w:val="nil"/>
              <w:bottom w:val="nil"/>
              <w:right w:val="nil"/>
              <w:tl2br w:val="nil"/>
              <w:tr2bl w:val="nil"/>
            </w:tcBorders>
            <w:tcMar>
              <w:left w:w="40" w:type="dxa"/>
              <w:right w:w="40" w:type="dxa"/>
            </w:tcMar>
            <w:vAlign w:val="center"/>
          </w:tcPr>
          <w:p w14:paraId="7C555B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187,913</w:t>
            </w:r>
          </w:p>
        </w:tc>
        <w:tc>
          <w:tcPr>
            <w:tcW w:w="1500" w:type="dxa"/>
            <w:tcBorders>
              <w:top w:val="nil"/>
              <w:left w:val="nil"/>
              <w:bottom w:val="nil"/>
              <w:right w:val="nil"/>
              <w:tl2br w:val="nil"/>
              <w:tr2bl w:val="nil"/>
            </w:tcBorders>
            <w:tcMar>
              <w:left w:w="40" w:type="dxa"/>
              <w:right w:w="40" w:type="dxa"/>
            </w:tcMar>
            <w:vAlign w:val="center"/>
          </w:tcPr>
          <w:p w14:paraId="71957D2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10,236</w:t>
            </w:r>
          </w:p>
        </w:tc>
        <w:tc>
          <w:tcPr>
            <w:tcW w:w="1500" w:type="dxa"/>
            <w:tcBorders>
              <w:top w:val="nil"/>
              <w:left w:val="nil"/>
              <w:bottom w:val="nil"/>
              <w:right w:val="nil"/>
              <w:tl2br w:val="nil"/>
              <w:tr2bl w:val="nil"/>
            </w:tcBorders>
            <w:tcMar>
              <w:left w:w="40" w:type="dxa"/>
              <w:right w:w="40" w:type="dxa"/>
            </w:tcMar>
            <w:vAlign w:val="center"/>
          </w:tcPr>
          <w:p w14:paraId="0EEFAA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198,149</w:t>
            </w:r>
          </w:p>
        </w:tc>
        <w:tc>
          <w:tcPr>
            <w:tcW w:w="1500" w:type="dxa"/>
            <w:tcBorders>
              <w:top w:val="nil"/>
              <w:left w:val="nil"/>
              <w:bottom w:val="nil"/>
              <w:right w:val="nil"/>
              <w:tl2br w:val="nil"/>
              <w:tr2bl w:val="nil"/>
            </w:tcBorders>
            <w:tcMar>
              <w:left w:w="40" w:type="dxa"/>
              <w:right w:w="40" w:type="dxa"/>
            </w:tcMar>
            <w:vAlign w:val="center"/>
          </w:tcPr>
          <w:p w14:paraId="1B69B5F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248436A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5F6E60A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Poland</w:t>
            </w:r>
          </w:p>
        </w:tc>
        <w:tc>
          <w:tcPr>
            <w:tcW w:w="1500" w:type="dxa"/>
            <w:tcBorders>
              <w:top w:val="nil"/>
              <w:left w:val="nil"/>
              <w:bottom w:val="nil"/>
              <w:right w:val="nil"/>
              <w:tl2br w:val="nil"/>
              <w:tr2bl w:val="nil"/>
            </w:tcBorders>
            <w:tcMar>
              <w:left w:w="40" w:type="dxa"/>
              <w:right w:w="40" w:type="dxa"/>
            </w:tcMar>
            <w:vAlign w:val="center"/>
          </w:tcPr>
          <w:p w14:paraId="287DB1C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24,591</w:t>
            </w:r>
          </w:p>
        </w:tc>
        <w:tc>
          <w:tcPr>
            <w:tcW w:w="1500" w:type="dxa"/>
            <w:tcBorders>
              <w:top w:val="nil"/>
              <w:left w:val="nil"/>
              <w:bottom w:val="nil"/>
              <w:right w:val="nil"/>
              <w:tl2br w:val="nil"/>
              <w:tr2bl w:val="nil"/>
            </w:tcBorders>
            <w:tcMar>
              <w:left w:w="40" w:type="dxa"/>
              <w:right w:w="40" w:type="dxa"/>
            </w:tcMar>
            <w:vAlign w:val="center"/>
          </w:tcPr>
          <w:p w14:paraId="791A802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16,732</w:t>
            </w:r>
          </w:p>
        </w:tc>
        <w:tc>
          <w:tcPr>
            <w:tcW w:w="1500" w:type="dxa"/>
            <w:tcBorders>
              <w:top w:val="nil"/>
              <w:left w:val="nil"/>
              <w:bottom w:val="nil"/>
              <w:right w:val="nil"/>
              <w:tl2br w:val="nil"/>
              <w:tr2bl w:val="nil"/>
            </w:tcBorders>
            <w:tcMar>
              <w:left w:w="40" w:type="dxa"/>
              <w:right w:w="40" w:type="dxa"/>
            </w:tcMar>
            <w:vAlign w:val="center"/>
          </w:tcPr>
          <w:p w14:paraId="08B335F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41,323</w:t>
            </w:r>
          </w:p>
        </w:tc>
        <w:tc>
          <w:tcPr>
            <w:tcW w:w="1500" w:type="dxa"/>
            <w:tcBorders>
              <w:top w:val="nil"/>
              <w:left w:val="nil"/>
              <w:bottom w:val="nil"/>
              <w:right w:val="nil"/>
              <w:tl2br w:val="nil"/>
              <w:tr2bl w:val="nil"/>
            </w:tcBorders>
            <w:tcMar>
              <w:left w:w="40" w:type="dxa"/>
              <w:right w:w="40" w:type="dxa"/>
            </w:tcMar>
            <w:vAlign w:val="center"/>
          </w:tcPr>
          <w:p w14:paraId="5E2AA18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44DC86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7F31606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Portugal</w:t>
            </w:r>
          </w:p>
        </w:tc>
        <w:tc>
          <w:tcPr>
            <w:tcW w:w="1500" w:type="dxa"/>
            <w:tcBorders>
              <w:top w:val="nil"/>
              <w:left w:val="nil"/>
              <w:bottom w:val="nil"/>
              <w:right w:val="nil"/>
              <w:tl2br w:val="nil"/>
              <w:tr2bl w:val="nil"/>
            </w:tcBorders>
            <w:tcMar>
              <w:left w:w="40" w:type="dxa"/>
              <w:right w:w="40" w:type="dxa"/>
            </w:tcMar>
            <w:vAlign w:val="center"/>
          </w:tcPr>
          <w:p w14:paraId="244B86E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39,250</w:t>
            </w:r>
          </w:p>
        </w:tc>
        <w:tc>
          <w:tcPr>
            <w:tcW w:w="1500" w:type="dxa"/>
            <w:tcBorders>
              <w:top w:val="nil"/>
              <w:left w:val="nil"/>
              <w:bottom w:val="nil"/>
              <w:right w:val="nil"/>
              <w:tl2br w:val="nil"/>
              <w:tr2bl w:val="nil"/>
            </w:tcBorders>
            <w:tcMar>
              <w:left w:w="40" w:type="dxa"/>
              <w:right w:w="40" w:type="dxa"/>
            </w:tcMar>
            <w:vAlign w:val="center"/>
          </w:tcPr>
          <w:p w14:paraId="008292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12,058</w:t>
            </w:r>
          </w:p>
        </w:tc>
        <w:tc>
          <w:tcPr>
            <w:tcW w:w="1500" w:type="dxa"/>
            <w:tcBorders>
              <w:top w:val="nil"/>
              <w:left w:val="nil"/>
              <w:bottom w:val="nil"/>
              <w:right w:val="nil"/>
              <w:tl2br w:val="nil"/>
              <w:tr2bl w:val="nil"/>
            </w:tcBorders>
            <w:tcMar>
              <w:left w:w="40" w:type="dxa"/>
              <w:right w:w="40" w:type="dxa"/>
            </w:tcMar>
            <w:vAlign w:val="center"/>
          </w:tcPr>
          <w:p w14:paraId="2C4A52A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51,308</w:t>
            </w:r>
          </w:p>
        </w:tc>
        <w:tc>
          <w:tcPr>
            <w:tcW w:w="1500" w:type="dxa"/>
            <w:tcBorders>
              <w:top w:val="nil"/>
              <w:left w:val="nil"/>
              <w:bottom w:val="nil"/>
              <w:right w:val="nil"/>
              <w:tl2br w:val="nil"/>
              <w:tr2bl w:val="nil"/>
            </w:tcBorders>
            <w:tcMar>
              <w:left w:w="40" w:type="dxa"/>
              <w:right w:w="40" w:type="dxa"/>
            </w:tcMar>
            <w:vAlign w:val="center"/>
          </w:tcPr>
          <w:p w14:paraId="3A50B2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D5186D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5B1F80F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Romania</w:t>
            </w:r>
          </w:p>
        </w:tc>
        <w:tc>
          <w:tcPr>
            <w:tcW w:w="1500" w:type="dxa"/>
            <w:tcBorders>
              <w:top w:val="nil"/>
              <w:left w:val="nil"/>
              <w:bottom w:val="nil"/>
              <w:right w:val="nil"/>
              <w:tl2br w:val="nil"/>
              <w:tr2bl w:val="nil"/>
            </w:tcBorders>
            <w:tcMar>
              <w:left w:w="40" w:type="dxa"/>
              <w:right w:w="40" w:type="dxa"/>
            </w:tcMar>
            <w:vAlign w:val="center"/>
          </w:tcPr>
          <w:p w14:paraId="62A32F4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7,734</w:t>
            </w:r>
          </w:p>
        </w:tc>
        <w:tc>
          <w:tcPr>
            <w:tcW w:w="1500" w:type="dxa"/>
            <w:tcBorders>
              <w:top w:val="nil"/>
              <w:left w:val="nil"/>
              <w:bottom w:val="nil"/>
              <w:right w:val="nil"/>
              <w:tl2br w:val="nil"/>
              <w:tr2bl w:val="nil"/>
            </w:tcBorders>
            <w:tcMar>
              <w:left w:w="40" w:type="dxa"/>
              <w:right w:w="40" w:type="dxa"/>
            </w:tcMar>
            <w:vAlign w:val="center"/>
          </w:tcPr>
          <w:p w14:paraId="29590BA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5,701</w:t>
            </w:r>
          </w:p>
        </w:tc>
        <w:tc>
          <w:tcPr>
            <w:tcW w:w="1500" w:type="dxa"/>
            <w:tcBorders>
              <w:top w:val="nil"/>
              <w:left w:val="nil"/>
              <w:bottom w:val="nil"/>
              <w:right w:val="nil"/>
              <w:tl2br w:val="nil"/>
              <w:tr2bl w:val="nil"/>
            </w:tcBorders>
            <w:tcMar>
              <w:left w:w="40" w:type="dxa"/>
              <w:right w:w="40" w:type="dxa"/>
            </w:tcMar>
            <w:vAlign w:val="center"/>
          </w:tcPr>
          <w:p w14:paraId="58202E1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13,435</w:t>
            </w:r>
          </w:p>
        </w:tc>
        <w:tc>
          <w:tcPr>
            <w:tcW w:w="1500" w:type="dxa"/>
            <w:tcBorders>
              <w:top w:val="nil"/>
              <w:left w:val="nil"/>
              <w:bottom w:val="nil"/>
              <w:right w:val="nil"/>
              <w:tl2br w:val="nil"/>
              <w:tr2bl w:val="nil"/>
            </w:tcBorders>
            <w:tcMar>
              <w:left w:w="40" w:type="dxa"/>
              <w:right w:w="40" w:type="dxa"/>
            </w:tcMar>
            <w:vAlign w:val="center"/>
          </w:tcPr>
          <w:p w14:paraId="6594822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2E3163E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0BAF48FE"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Slovakia</w:t>
            </w:r>
          </w:p>
        </w:tc>
        <w:tc>
          <w:tcPr>
            <w:tcW w:w="1500" w:type="dxa"/>
            <w:tcBorders>
              <w:top w:val="nil"/>
              <w:left w:val="nil"/>
              <w:bottom w:val="nil"/>
              <w:right w:val="nil"/>
              <w:tl2br w:val="nil"/>
              <w:tr2bl w:val="nil"/>
            </w:tcBorders>
            <w:tcMar>
              <w:left w:w="40" w:type="dxa"/>
              <w:right w:w="40" w:type="dxa"/>
            </w:tcMar>
            <w:vAlign w:val="center"/>
          </w:tcPr>
          <w:p w14:paraId="5E8FEC0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4,231</w:t>
            </w:r>
          </w:p>
        </w:tc>
        <w:tc>
          <w:tcPr>
            <w:tcW w:w="1500" w:type="dxa"/>
            <w:tcBorders>
              <w:top w:val="nil"/>
              <w:left w:val="nil"/>
              <w:bottom w:val="nil"/>
              <w:right w:val="nil"/>
              <w:tl2br w:val="nil"/>
              <w:tr2bl w:val="nil"/>
            </w:tcBorders>
            <w:tcMar>
              <w:left w:w="40" w:type="dxa"/>
              <w:right w:w="40" w:type="dxa"/>
            </w:tcMar>
            <w:vAlign w:val="center"/>
          </w:tcPr>
          <w:p w14:paraId="525F75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2,293</w:t>
            </w:r>
          </w:p>
        </w:tc>
        <w:tc>
          <w:tcPr>
            <w:tcW w:w="1500" w:type="dxa"/>
            <w:tcBorders>
              <w:top w:val="nil"/>
              <w:left w:val="nil"/>
              <w:bottom w:val="nil"/>
              <w:right w:val="nil"/>
              <w:tl2br w:val="nil"/>
              <w:tr2bl w:val="nil"/>
            </w:tcBorders>
            <w:tcMar>
              <w:left w:w="40" w:type="dxa"/>
              <w:right w:w="40" w:type="dxa"/>
            </w:tcMar>
            <w:vAlign w:val="center"/>
          </w:tcPr>
          <w:p w14:paraId="333B0E3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6,524</w:t>
            </w:r>
          </w:p>
        </w:tc>
        <w:tc>
          <w:tcPr>
            <w:tcW w:w="1500" w:type="dxa"/>
            <w:tcBorders>
              <w:top w:val="nil"/>
              <w:left w:val="nil"/>
              <w:bottom w:val="nil"/>
              <w:right w:val="nil"/>
              <w:tl2br w:val="nil"/>
              <w:tr2bl w:val="nil"/>
            </w:tcBorders>
            <w:tcMar>
              <w:left w:w="40" w:type="dxa"/>
              <w:right w:w="40" w:type="dxa"/>
            </w:tcMar>
            <w:vAlign w:val="center"/>
          </w:tcPr>
          <w:p w14:paraId="7B9C172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61A5E39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37D3417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Slovenia</w:t>
            </w:r>
          </w:p>
        </w:tc>
        <w:tc>
          <w:tcPr>
            <w:tcW w:w="1500" w:type="dxa"/>
            <w:tcBorders>
              <w:top w:val="nil"/>
              <w:left w:val="nil"/>
              <w:bottom w:val="nil"/>
              <w:right w:val="nil"/>
              <w:tl2br w:val="nil"/>
              <w:tr2bl w:val="nil"/>
            </w:tcBorders>
            <w:tcMar>
              <w:left w:w="40" w:type="dxa"/>
              <w:right w:w="40" w:type="dxa"/>
            </w:tcMar>
            <w:vAlign w:val="center"/>
          </w:tcPr>
          <w:p w14:paraId="3E82EE7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3,137</w:t>
            </w:r>
          </w:p>
        </w:tc>
        <w:tc>
          <w:tcPr>
            <w:tcW w:w="1500" w:type="dxa"/>
            <w:tcBorders>
              <w:top w:val="nil"/>
              <w:left w:val="nil"/>
              <w:bottom w:val="nil"/>
              <w:right w:val="nil"/>
              <w:tl2br w:val="nil"/>
              <w:tr2bl w:val="nil"/>
            </w:tcBorders>
            <w:tcMar>
              <w:left w:w="40" w:type="dxa"/>
              <w:right w:w="40" w:type="dxa"/>
            </w:tcMar>
            <w:vAlign w:val="center"/>
          </w:tcPr>
          <w:p w14:paraId="4003E1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2,717</w:t>
            </w:r>
          </w:p>
        </w:tc>
        <w:tc>
          <w:tcPr>
            <w:tcW w:w="1500" w:type="dxa"/>
            <w:tcBorders>
              <w:top w:val="nil"/>
              <w:left w:val="nil"/>
              <w:bottom w:val="nil"/>
              <w:right w:val="nil"/>
              <w:tl2br w:val="nil"/>
              <w:tr2bl w:val="nil"/>
            </w:tcBorders>
            <w:tcMar>
              <w:left w:w="40" w:type="dxa"/>
              <w:right w:w="40" w:type="dxa"/>
            </w:tcMar>
            <w:vAlign w:val="center"/>
          </w:tcPr>
          <w:p w14:paraId="6FF7EF9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5,854</w:t>
            </w:r>
          </w:p>
        </w:tc>
        <w:tc>
          <w:tcPr>
            <w:tcW w:w="1500" w:type="dxa"/>
            <w:tcBorders>
              <w:top w:val="nil"/>
              <w:left w:val="nil"/>
              <w:bottom w:val="nil"/>
              <w:right w:val="nil"/>
              <w:tl2br w:val="nil"/>
              <w:tr2bl w:val="nil"/>
            </w:tcBorders>
            <w:tcMar>
              <w:left w:w="40" w:type="dxa"/>
              <w:right w:w="40" w:type="dxa"/>
            </w:tcMar>
            <w:vAlign w:val="center"/>
          </w:tcPr>
          <w:p w14:paraId="15AE7AB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63F213B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34190B6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Spain</w:t>
            </w:r>
          </w:p>
        </w:tc>
        <w:tc>
          <w:tcPr>
            <w:tcW w:w="1500" w:type="dxa"/>
            <w:tcBorders>
              <w:top w:val="nil"/>
              <w:left w:val="nil"/>
              <w:bottom w:val="nil"/>
              <w:right w:val="nil"/>
              <w:tl2br w:val="nil"/>
              <w:tr2bl w:val="nil"/>
            </w:tcBorders>
            <w:tcMar>
              <w:left w:w="40" w:type="dxa"/>
              <w:right w:w="40" w:type="dxa"/>
            </w:tcMar>
            <w:vAlign w:val="center"/>
          </w:tcPr>
          <w:p w14:paraId="3FD6FEF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250,314</w:t>
            </w:r>
          </w:p>
        </w:tc>
        <w:tc>
          <w:tcPr>
            <w:tcW w:w="1500" w:type="dxa"/>
            <w:tcBorders>
              <w:top w:val="nil"/>
              <w:left w:val="nil"/>
              <w:bottom w:val="nil"/>
              <w:right w:val="nil"/>
              <w:tl2br w:val="nil"/>
              <w:tr2bl w:val="nil"/>
            </w:tcBorders>
            <w:tcMar>
              <w:left w:w="40" w:type="dxa"/>
              <w:right w:w="40" w:type="dxa"/>
            </w:tcMar>
            <w:vAlign w:val="center"/>
          </w:tcPr>
          <w:p w14:paraId="36009C2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28,943</w:t>
            </w:r>
          </w:p>
        </w:tc>
        <w:tc>
          <w:tcPr>
            <w:tcW w:w="1500" w:type="dxa"/>
            <w:tcBorders>
              <w:top w:val="nil"/>
              <w:left w:val="nil"/>
              <w:bottom w:val="nil"/>
              <w:right w:val="nil"/>
              <w:tl2br w:val="nil"/>
              <w:tr2bl w:val="nil"/>
            </w:tcBorders>
            <w:tcMar>
              <w:left w:w="40" w:type="dxa"/>
              <w:right w:w="40" w:type="dxa"/>
            </w:tcMar>
            <w:vAlign w:val="center"/>
          </w:tcPr>
          <w:p w14:paraId="507279A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279,257</w:t>
            </w:r>
          </w:p>
        </w:tc>
        <w:tc>
          <w:tcPr>
            <w:tcW w:w="1500" w:type="dxa"/>
            <w:tcBorders>
              <w:top w:val="nil"/>
              <w:left w:val="nil"/>
              <w:bottom w:val="nil"/>
              <w:right w:val="nil"/>
              <w:tl2br w:val="nil"/>
              <w:tr2bl w:val="nil"/>
            </w:tcBorders>
            <w:tcMar>
              <w:left w:w="40" w:type="dxa"/>
              <w:right w:w="40" w:type="dxa"/>
            </w:tcMar>
            <w:vAlign w:val="center"/>
          </w:tcPr>
          <w:p w14:paraId="52B0CE9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88F6B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58EAB79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Sweden</w:t>
            </w:r>
          </w:p>
        </w:tc>
        <w:tc>
          <w:tcPr>
            <w:tcW w:w="1500" w:type="dxa"/>
            <w:tcBorders>
              <w:top w:val="nil"/>
              <w:left w:val="nil"/>
              <w:bottom w:val="nil"/>
              <w:right w:val="nil"/>
              <w:tl2br w:val="nil"/>
              <w:tr2bl w:val="nil"/>
            </w:tcBorders>
            <w:tcMar>
              <w:left w:w="40" w:type="dxa"/>
              <w:right w:w="40" w:type="dxa"/>
            </w:tcMar>
            <w:vAlign w:val="center"/>
          </w:tcPr>
          <w:p w14:paraId="3F929FA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102,760</w:t>
            </w:r>
          </w:p>
        </w:tc>
        <w:tc>
          <w:tcPr>
            <w:tcW w:w="1500" w:type="dxa"/>
            <w:tcBorders>
              <w:top w:val="nil"/>
              <w:left w:val="nil"/>
              <w:bottom w:val="nil"/>
              <w:right w:val="nil"/>
              <w:tl2br w:val="nil"/>
              <w:tr2bl w:val="nil"/>
            </w:tcBorders>
            <w:tcMar>
              <w:left w:w="40" w:type="dxa"/>
              <w:right w:w="40" w:type="dxa"/>
            </w:tcMar>
            <w:vAlign w:val="center"/>
          </w:tcPr>
          <w:p w14:paraId="7702DA0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29,704</w:t>
            </w:r>
          </w:p>
        </w:tc>
        <w:tc>
          <w:tcPr>
            <w:tcW w:w="1500" w:type="dxa"/>
            <w:tcBorders>
              <w:top w:val="nil"/>
              <w:left w:val="nil"/>
              <w:bottom w:val="nil"/>
              <w:right w:val="nil"/>
              <w:tl2br w:val="nil"/>
              <w:tr2bl w:val="nil"/>
            </w:tcBorders>
            <w:tcMar>
              <w:left w:w="40" w:type="dxa"/>
              <w:right w:w="40" w:type="dxa"/>
            </w:tcMar>
            <w:vAlign w:val="center"/>
          </w:tcPr>
          <w:p w14:paraId="4372FFA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132,464</w:t>
            </w:r>
          </w:p>
        </w:tc>
        <w:tc>
          <w:tcPr>
            <w:tcW w:w="1500" w:type="dxa"/>
            <w:tcBorders>
              <w:top w:val="nil"/>
              <w:left w:val="nil"/>
              <w:bottom w:val="nil"/>
              <w:right w:val="nil"/>
              <w:tl2br w:val="nil"/>
              <w:tr2bl w:val="nil"/>
            </w:tcBorders>
            <w:tcMar>
              <w:left w:w="40" w:type="dxa"/>
              <w:right w:w="40" w:type="dxa"/>
            </w:tcMar>
            <w:vAlign w:val="center"/>
          </w:tcPr>
          <w:p w14:paraId="2DC6A40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7FF9DD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71264C7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United Kingdom</w:t>
            </w:r>
          </w:p>
        </w:tc>
        <w:tc>
          <w:tcPr>
            <w:tcW w:w="1500" w:type="dxa"/>
            <w:tcBorders>
              <w:top w:val="nil"/>
              <w:left w:val="nil"/>
              <w:bottom w:val="nil"/>
              <w:right w:val="nil"/>
              <w:tl2br w:val="nil"/>
              <w:tr2bl w:val="nil"/>
            </w:tcBorders>
            <w:tcMar>
              <w:left w:w="40" w:type="dxa"/>
              <w:right w:w="40" w:type="dxa"/>
            </w:tcMar>
            <w:vAlign w:val="center"/>
          </w:tcPr>
          <w:p w14:paraId="6551552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506,075</w:t>
            </w:r>
          </w:p>
        </w:tc>
        <w:tc>
          <w:tcPr>
            <w:tcW w:w="1500" w:type="dxa"/>
            <w:tcBorders>
              <w:top w:val="nil"/>
              <w:left w:val="nil"/>
              <w:bottom w:val="nil"/>
              <w:right w:val="nil"/>
              <w:tl2br w:val="nil"/>
              <w:tr2bl w:val="nil"/>
            </w:tcBorders>
            <w:tcMar>
              <w:left w:w="40" w:type="dxa"/>
              <w:right w:w="40" w:type="dxa"/>
            </w:tcMar>
            <w:vAlign w:val="center"/>
          </w:tcPr>
          <w:p w14:paraId="7C3C181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150,826</w:t>
            </w:r>
          </w:p>
        </w:tc>
        <w:tc>
          <w:tcPr>
            <w:tcW w:w="1500" w:type="dxa"/>
            <w:tcBorders>
              <w:top w:val="nil"/>
              <w:left w:val="nil"/>
              <w:bottom w:val="nil"/>
              <w:right w:val="nil"/>
              <w:tl2br w:val="nil"/>
              <w:tr2bl w:val="nil"/>
            </w:tcBorders>
            <w:tcMar>
              <w:left w:w="40" w:type="dxa"/>
              <w:right w:w="40" w:type="dxa"/>
            </w:tcMar>
            <w:vAlign w:val="center"/>
          </w:tcPr>
          <w:p w14:paraId="2876597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656,901</w:t>
            </w:r>
          </w:p>
        </w:tc>
        <w:tc>
          <w:tcPr>
            <w:tcW w:w="1500" w:type="dxa"/>
            <w:tcBorders>
              <w:top w:val="nil"/>
              <w:left w:val="nil"/>
              <w:bottom w:val="nil"/>
              <w:right w:val="nil"/>
              <w:tl2br w:val="nil"/>
              <w:tr2bl w:val="nil"/>
            </w:tcBorders>
            <w:tcMar>
              <w:left w:w="40" w:type="dxa"/>
              <w:right w:w="40" w:type="dxa"/>
            </w:tcMar>
            <w:vAlign w:val="center"/>
          </w:tcPr>
          <w:p w14:paraId="5F5416E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50D332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C0C0C0"/>
            <w:tcMar>
              <w:left w:w="40" w:type="dxa"/>
              <w:right w:w="40" w:type="dxa"/>
            </w:tcMar>
            <w:vAlign w:val="center"/>
          </w:tcPr>
          <w:p w14:paraId="64573FF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as at 31 December 2025</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023D87B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3,721,695</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0D8BB4D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1,037,996</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43A6967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4,759,691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68E85B8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w:t>
            </w:r>
          </w:p>
        </w:tc>
      </w:tr>
      <w:tr w:rsidR="00FD1E19" w14:paraId="6501587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C0C0C0"/>
            <w:tcMar>
              <w:left w:w="40" w:type="dxa"/>
              <w:right w:w="40" w:type="dxa"/>
            </w:tcMar>
            <w:vAlign w:val="center"/>
          </w:tcPr>
          <w:p w14:paraId="566F129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as at 31 December 2024</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7E29EF8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3,721,695</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29D69D0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1,037,996</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2952FBF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4,759,691</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6F993E8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7,482</w:t>
            </w:r>
          </w:p>
        </w:tc>
      </w:tr>
    </w:tbl>
    <w:p w14:paraId="7FAB1AA6" w14:textId="77777777" w:rsidR="00FD1E19"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en-US" w:eastAsia="ar-SA"/>
        </w:rPr>
      </w:pPr>
      <w:bookmarkStart w:id="314" w:name="RG_MARKER_90207"/>
      <w:bookmarkStart w:id="315" w:name="RG_MARKER_90206"/>
      <w:r>
        <w:rPr>
          <w:rFonts w:ascii="Arial" w:hAnsi="Arial"/>
          <w:b/>
          <w:noProof/>
          <w:sz w:val="20"/>
          <w:lang w:val="en-US" w:eastAsia="ar-SA"/>
        </w:rPr>
        <w:t>17</w:t>
      </w:r>
      <w:bookmarkEnd w:id="314"/>
      <w:bookmarkEnd w:id="315"/>
      <w:r w:rsidRPr="00DD7A79">
        <w:rPr>
          <w:rFonts w:ascii="Arial" w:hAnsi="Arial" w:cs="Arial"/>
          <w:b/>
          <w:noProof/>
          <w:sz w:val="20"/>
          <w:lang w:val="en-US" w:eastAsia="ar-SA"/>
        </w:rPr>
        <w:tab/>
      </w:r>
      <w:r>
        <w:rPr>
          <w:rFonts w:ascii="Arial" w:hAnsi="Arial"/>
          <w:b/>
          <w:noProof/>
          <w:sz w:val="20"/>
          <w:szCs w:val="20"/>
          <w:lang w:val="en-US" w:eastAsia="ar-SA"/>
        </w:rPr>
        <w:t>Available Reflows</w:t>
      </w:r>
    </w:p>
    <w:p w14:paraId="622A6191" w14:textId="77777777" w:rsidR="00FD1E19" w:rsidRPr="00DD4924" w:rsidRDefault="00FD1E19" w:rsidP="00FD1E19">
      <w:pPr>
        <w:pBdr>
          <w:top w:val="nil"/>
          <w:left w:val="nil"/>
          <w:bottom w:val="nil"/>
          <w:right w:val="nil"/>
          <w:between w:val="nil"/>
          <w:bar w:val="nil"/>
        </w:pBdr>
        <w:tabs>
          <w:tab w:val="center" w:pos="4320"/>
          <w:tab w:val="right" w:pos="8640"/>
        </w:tabs>
        <w:suppressAutoHyphens/>
        <w:spacing w:before="120" w:after="120"/>
        <w:ind w:left="426" w:hanging="426"/>
        <w:jc w:val="both"/>
        <w:rPr>
          <w:rFonts w:ascii="Arial" w:hAnsi="Arial"/>
          <w:noProof/>
          <w:sz w:val="20"/>
          <w:szCs w:val="20"/>
          <w:bdr w:val="nil"/>
          <w:lang w:val="en-US" w:eastAsia="ar-SA"/>
        </w:rPr>
      </w:pPr>
    </w:p>
    <w:tbl>
      <w:tblPr>
        <w:tblStyle w:val="CDMRange2"/>
        <w:tblW w:w="5000" w:type="pct"/>
        <w:tblLayout w:type="fixed"/>
        <w:tblLook w:val="0600" w:firstRow="0" w:lastRow="0" w:firstColumn="0" w:lastColumn="0" w:noHBand="1" w:noVBand="1"/>
      </w:tblPr>
      <w:tblGrid>
        <w:gridCol w:w="3868"/>
        <w:gridCol w:w="1170"/>
        <w:gridCol w:w="1170"/>
        <w:gridCol w:w="1170"/>
        <w:gridCol w:w="1170"/>
        <w:gridCol w:w="1170"/>
      </w:tblGrid>
      <w:tr w:rsidR="00FD1E19" w14:paraId="41C8578D" w14:textId="77777777" w:rsidTr="00BE7E4A">
        <w:trPr>
          <w:trHeight w:hRule="exact" w:val="270"/>
        </w:trPr>
        <w:tc>
          <w:tcPr>
            <w:tcW w:w="3975" w:type="dxa"/>
            <w:vMerge w:val="restart"/>
            <w:tcBorders>
              <w:top w:val="single" w:sz="12" w:space="0" w:color="000000"/>
              <w:left w:val="nil"/>
              <w:bottom w:val="nil"/>
              <w:right w:val="nil"/>
              <w:tl2br w:val="nil"/>
              <w:tr2bl w:val="nil"/>
            </w:tcBorders>
            <w:noWrap/>
            <w:tcMar>
              <w:left w:w="40" w:type="dxa"/>
              <w:right w:w="40" w:type="dxa"/>
            </w:tcMar>
            <w:vAlign w:val="center"/>
          </w:tcPr>
          <w:p w14:paraId="0EEDDCE8" w14:textId="77777777" w:rsidR="00FD1E19" w:rsidRDefault="00FD1E19" w:rsidP="00BE7E4A">
            <w:pPr>
              <w:suppressAutoHyphens/>
              <w:jc w:val="center"/>
              <w:rPr>
                <w:rFonts w:ascii="Arial" w:eastAsia="Arial" w:hAnsi="Arial" w:cs="Arial"/>
                <w:b/>
                <w:noProof/>
                <w:color w:val="000000"/>
                <w:sz w:val="16"/>
                <w:lang w:eastAsia="ar-SA"/>
              </w:rPr>
            </w:pPr>
            <w:bookmarkStart w:id="316" w:name="RG_MARKER_90208"/>
            <w:r>
              <w:rPr>
                <w:rFonts w:ascii="Arial" w:eastAsia="Arial" w:hAnsi="Arial" w:cs="Arial"/>
                <w:b/>
                <w:noProof/>
                <w:color w:val="000000"/>
                <w:sz w:val="16"/>
                <w:lang w:eastAsia="ar-SA"/>
              </w:rPr>
              <w:t>in EUR'000</w:t>
            </w:r>
            <w:bookmarkEnd w:id="316"/>
          </w:p>
        </w:tc>
        <w:tc>
          <w:tcPr>
            <w:tcW w:w="3600" w:type="dxa"/>
            <w:gridSpan w:val="3"/>
            <w:tcBorders>
              <w:top w:val="single" w:sz="12" w:space="0" w:color="000000"/>
              <w:left w:val="nil"/>
              <w:bottom w:val="single" w:sz="12" w:space="0" w:color="000000"/>
              <w:right w:val="nil"/>
              <w:tl2br w:val="nil"/>
              <w:tr2bl w:val="nil"/>
            </w:tcBorders>
            <w:tcMar>
              <w:left w:w="40" w:type="dxa"/>
              <w:right w:w="40" w:type="dxa"/>
            </w:tcMar>
            <w:vAlign w:val="center"/>
          </w:tcPr>
          <w:p w14:paraId="564072F7"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European Commission</w:t>
            </w:r>
          </w:p>
        </w:tc>
        <w:tc>
          <w:tcPr>
            <w:tcW w:w="1200" w:type="dxa"/>
            <w:vMerge w:val="restart"/>
            <w:tcBorders>
              <w:top w:val="single" w:sz="12" w:space="0" w:color="000000"/>
              <w:left w:val="nil"/>
              <w:bottom w:val="nil"/>
              <w:right w:val="nil"/>
              <w:tl2br w:val="nil"/>
              <w:tr2bl w:val="nil"/>
            </w:tcBorders>
            <w:noWrap/>
            <w:tcMar>
              <w:left w:w="40" w:type="dxa"/>
              <w:right w:w="40" w:type="dxa"/>
            </w:tcMar>
            <w:vAlign w:val="center"/>
          </w:tcPr>
          <w:p w14:paraId="018760E6" w14:textId="77777777" w:rsidR="00FD1E19" w:rsidRDefault="00FD1E19" w:rsidP="00BE7E4A">
            <w:pPr>
              <w:suppressAutoHyphens/>
              <w:jc w:val="center"/>
              <w:rPr>
                <w:rFonts w:ascii="Calibri" w:eastAsia="Calibri" w:hAnsi="Calibri" w:cs="Calibri"/>
                <w:b/>
                <w:noProof/>
                <w:color w:val="000000"/>
                <w:sz w:val="22"/>
                <w:lang w:eastAsia="ar-SA"/>
              </w:rPr>
            </w:pPr>
            <w:r>
              <w:rPr>
                <w:rFonts w:ascii="Calibri" w:eastAsia="Calibri" w:hAnsi="Calibri" w:cs="Calibri"/>
                <w:b/>
                <w:noProof/>
                <w:color w:val="000000"/>
                <w:sz w:val="22"/>
                <w:lang w:eastAsia="ar-SA"/>
              </w:rPr>
              <w:t>UK</w:t>
            </w:r>
          </w:p>
        </w:tc>
        <w:tc>
          <w:tcPr>
            <w:tcW w:w="1200" w:type="dxa"/>
            <w:vMerge w:val="restart"/>
            <w:tcBorders>
              <w:top w:val="single" w:sz="12" w:space="0" w:color="000000"/>
              <w:left w:val="nil"/>
              <w:bottom w:val="nil"/>
              <w:right w:val="nil"/>
              <w:tl2br w:val="nil"/>
              <w:tr2bl w:val="nil"/>
            </w:tcBorders>
            <w:tcMar>
              <w:left w:w="40" w:type="dxa"/>
              <w:right w:w="40" w:type="dxa"/>
            </w:tcMar>
            <w:vAlign w:val="center"/>
          </w:tcPr>
          <w:p w14:paraId="419D1200"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r>
      <w:tr w:rsidR="00FD1E19" w14:paraId="6D58179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3975" w:type="dxa"/>
            <w:vMerge/>
            <w:tcBorders>
              <w:top w:val="nil"/>
              <w:left w:val="nil"/>
              <w:bottom w:val="single" w:sz="12" w:space="0" w:color="000000"/>
              <w:right w:val="nil"/>
              <w:tl2br w:val="nil"/>
              <w:tr2bl w:val="nil"/>
            </w:tcBorders>
            <w:noWrap/>
            <w:tcMar>
              <w:left w:w="0" w:type="dxa"/>
              <w:right w:w="0" w:type="dxa"/>
            </w:tcMar>
            <w:vAlign w:val="center"/>
          </w:tcPr>
          <w:p w14:paraId="3DD3A174" w14:textId="77777777" w:rsidR="00FD1E19" w:rsidRDefault="00FD1E19" w:rsidP="00BE7E4A">
            <w:pPr>
              <w:suppressAutoHyphens/>
              <w:jc w:val="center"/>
              <w:rPr>
                <w:rFonts w:ascii="Arial" w:eastAsia="Arial" w:hAnsi="Arial" w:cs="Arial"/>
                <w:b/>
                <w:noProof/>
                <w:color w:val="000000"/>
                <w:sz w:val="16"/>
                <w:lang w:eastAsia="ar-SA"/>
              </w:rPr>
            </w:pP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14:paraId="7AE5A1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ACP</w:t>
            </w: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14:paraId="567E0ED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OCT</w:t>
            </w:r>
          </w:p>
        </w:tc>
        <w:tc>
          <w:tcPr>
            <w:tcW w:w="1200" w:type="dxa"/>
            <w:tcBorders>
              <w:top w:val="single" w:sz="12" w:space="0" w:color="000000"/>
              <w:left w:val="nil"/>
              <w:bottom w:val="single" w:sz="12" w:space="0" w:color="000000"/>
              <w:right w:val="nil"/>
              <w:tl2br w:val="nil"/>
              <w:tr2bl w:val="nil"/>
            </w:tcBorders>
            <w:tcMar>
              <w:left w:w="40" w:type="dxa"/>
              <w:right w:w="40" w:type="dxa"/>
            </w:tcMar>
            <w:vAlign w:val="center"/>
          </w:tcPr>
          <w:p w14:paraId="3D0B48C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1200" w:type="dxa"/>
            <w:vMerge/>
            <w:tcBorders>
              <w:top w:val="nil"/>
              <w:left w:val="nil"/>
              <w:bottom w:val="single" w:sz="12" w:space="0" w:color="000000"/>
              <w:right w:val="nil"/>
              <w:tl2br w:val="nil"/>
              <w:tr2bl w:val="nil"/>
            </w:tcBorders>
            <w:noWrap/>
            <w:tcMar>
              <w:left w:w="0" w:type="dxa"/>
              <w:right w:w="0" w:type="dxa"/>
            </w:tcMar>
            <w:vAlign w:val="center"/>
          </w:tcPr>
          <w:p w14:paraId="74F501B7" w14:textId="77777777" w:rsidR="00FD1E19" w:rsidRDefault="00FD1E19" w:rsidP="00BE7E4A">
            <w:pPr>
              <w:suppressAutoHyphens/>
              <w:jc w:val="center"/>
              <w:rPr>
                <w:rFonts w:ascii="Calibri" w:eastAsia="Calibri" w:hAnsi="Calibri" w:cs="Calibri"/>
                <w:b/>
                <w:noProof/>
                <w:color w:val="000000"/>
                <w:sz w:val="22"/>
                <w:lang w:eastAsia="ar-SA"/>
              </w:rPr>
            </w:pPr>
          </w:p>
        </w:tc>
        <w:tc>
          <w:tcPr>
            <w:tcW w:w="1200" w:type="dxa"/>
            <w:vMerge/>
            <w:tcBorders>
              <w:top w:val="nil"/>
              <w:left w:val="nil"/>
              <w:bottom w:val="single" w:sz="12" w:space="0" w:color="000000"/>
              <w:right w:val="nil"/>
              <w:tl2br w:val="nil"/>
              <w:tr2bl w:val="nil"/>
            </w:tcBorders>
            <w:tcMar>
              <w:left w:w="0" w:type="dxa"/>
              <w:right w:w="0" w:type="dxa"/>
            </w:tcMar>
            <w:vAlign w:val="center"/>
          </w:tcPr>
          <w:p w14:paraId="764FC57C" w14:textId="77777777" w:rsidR="00FD1E19" w:rsidRDefault="00FD1E19" w:rsidP="00BE7E4A">
            <w:pPr>
              <w:suppressAutoHyphens/>
              <w:jc w:val="center"/>
              <w:rPr>
                <w:rFonts w:ascii="Arial" w:eastAsia="Arial" w:hAnsi="Arial" w:cs="Arial"/>
                <w:b/>
                <w:noProof/>
                <w:color w:val="000000"/>
                <w:sz w:val="16"/>
                <w:lang w:eastAsia="ar-SA"/>
              </w:rPr>
            </w:pPr>
          </w:p>
        </w:tc>
      </w:tr>
      <w:tr w:rsidR="00FD1E19" w14:paraId="3173AEC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3975" w:type="dxa"/>
            <w:tcBorders>
              <w:top w:val="single" w:sz="12" w:space="0" w:color="000000"/>
              <w:left w:val="nil"/>
              <w:bottom w:val="nil"/>
              <w:right w:val="nil"/>
              <w:tl2br w:val="nil"/>
              <w:tr2bl w:val="nil"/>
            </w:tcBorders>
            <w:noWrap/>
            <w:tcMar>
              <w:left w:w="0" w:type="dxa"/>
              <w:right w:w="0" w:type="dxa"/>
            </w:tcMar>
            <w:vAlign w:val="center"/>
          </w:tcPr>
          <w:p w14:paraId="678CD058"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center"/>
          </w:tcPr>
          <w:p w14:paraId="2021A280"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center"/>
          </w:tcPr>
          <w:p w14:paraId="4563DCDF" w14:textId="77777777" w:rsidR="00FD1E19" w:rsidRDefault="00FD1E19" w:rsidP="00BE7E4A">
            <w:pPr>
              <w:suppressAutoHyphens/>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tcMar>
              <w:left w:w="0" w:type="dxa"/>
              <w:right w:w="0" w:type="dxa"/>
            </w:tcMar>
            <w:vAlign w:val="center"/>
          </w:tcPr>
          <w:p w14:paraId="231D1EB8"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tcMar>
              <w:left w:w="0" w:type="dxa"/>
              <w:right w:w="0" w:type="dxa"/>
            </w:tcMar>
            <w:vAlign w:val="center"/>
          </w:tcPr>
          <w:p w14:paraId="2F304C2A" w14:textId="77777777" w:rsidR="00FD1E19" w:rsidRDefault="00FD1E19" w:rsidP="00BE7E4A">
            <w:pPr>
              <w:suppressAutoHyphens/>
              <w:jc w:val="right"/>
              <w:rPr>
                <w:rFonts w:ascii="Arial" w:eastAsia="Arial" w:hAnsi="Arial" w:cs="Arial"/>
                <w:b/>
                <w:noProof/>
                <w:color w:val="000000"/>
                <w:sz w:val="16"/>
                <w:lang w:eastAsia="ar-SA"/>
              </w:rPr>
            </w:pPr>
          </w:p>
        </w:tc>
        <w:tc>
          <w:tcPr>
            <w:tcW w:w="1200" w:type="dxa"/>
            <w:tcBorders>
              <w:top w:val="single" w:sz="12" w:space="0" w:color="000000"/>
              <w:left w:val="nil"/>
              <w:bottom w:val="nil"/>
              <w:right w:val="nil"/>
              <w:tl2br w:val="nil"/>
              <w:tr2bl w:val="nil"/>
            </w:tcBorders>
            <w:noWrap/>
            <w:tcMar>
              <w:left w:w="0" w:type="dxa"/>
              <w:right w:w="0" w:type="dxa"/>
            </w:tcMar>
            <w:vAlign w:val="bottom"/>
          </w:tcPr>
          <w:p w14:paraId="6AE6C07F" w14:textId="77777777" w:rsidR="00FD1E19" w:rsidRDefault="00FD1E19" w:rsidP="00BE7E4A">
            <w:pPr>
              <w:suppressAutoHyphens/>
              <w:rPr>
                <w:rFonts w:ascii="Calibri" w:eastAsia="Calibri" w:hAnsi="Calibri" w:cs="Calibri"/>
                <w:noProof/>
                <w:color w:val="000000"/>
                <w:sz w:val="22"/>
                <w:lang w:eastAsia="ar-SA"/>
              </w:rPr>
            </w:pPr>
          </w:p>
        </w:tc>
      </w:tr>
      <w:tr w:rsidR="00FD1E19" w14:paraId="299D592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3E054F8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Available Reflows in relation to year 2021</w:t>
            </w:r>
          </w:p>
        </w:tc>
        <w:tc>
          <w:tcPr>
            <w:tcW w:w="1200" w:type="dxa"/>
            <w:tcBorders>
              <w:top w:val="nil"/>
              <w:left w:val="nil"/>
              <w:bottom w:val="nil"/>
              <w:right w:val="nil"/>
              <w:tl2br w:val="nil"/>
              <w:tr2bl w:val="nil"/>
            </w:tcBorders>
            <w:tcMar>
              <w:left w:w="40" w:type="dxa"/>
              <w:right w:w="40" w:type="dxa"/>
            </w:tcMar>
            <w:vAlign w:val="center"/>
          </w:tcPr>
          <w:p w14:paraId="6CC8C73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251,000</w:t>
            </w:r>
          </w:p>
        </w:tc>
        <w:tc>
          <w:tcPr>
            <w:tcW w:w="1200" w:type="dxa"/>
            <w:tcBorders>
              <w:top w:val="nil"/>
              <w:left w:val="nil"/>
              <w:bottom w:val="nil"/>
              <w:right w:val="nil"/>
              <w:tl2br w:val="nil"/>
              <w:tr2bl w:val="nil"/>
            </w:tcBorders>
            <w:tcMar>
              <w:left w:w="40" w:type="dxa"/>
              <w:right w:w="40" w:type="dxa"/>
            </w:tcMar>
            <w:vAlign w:val="center"/>
          </w:tcPr>
          <w:p w14:paraId="6D8F1BE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7,000</w:t>
            </w:r>
          </w:p>
        </w:tc>
        <w:tc>
          <w:tcPr>
            <w:tcW w:w="1200" w:type="dxa"/>
            <w:tcBorders>
              <w:top w:val="nil"/>
              <w:left w:val="nil"/>
              <w:bottom w:val="nil"/>
              <w:right w:val="nil"/>
              <w:tl2br w:val="nil"/>
              <w:tr2bl w:val="nil"/>
            </w:tcBorders>
            <w:tcMar>
              <w:left w:w="40" w:type="dxa"/>
              <w:right w:w="40" w:type="dxa"/>
            </w:tcMar>
            <w:vAlign w:val="center"/>
          </w:tcPr>
          <w:p w14:paraId="262F9E6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258,000</w:t>
            </w:r>
          </w:p>
        </w:tc>
        <w:tc>
          <w:tcPr>
            <w:tcW w:w="1200" w:type="dxa"/>
            <w:tcBorders>
              <w:top w:val="nil"/>
              <w:left w:val="nil"/>
              <w:bottom w:val="nil"/>
              <w:right w:val="nil"/>
              <w:tl2br w:val="nil"/>
              <w:tr2bl w:val="nil"/>
            </w:tcBorders>
            <w:tcMar>
              <w:left w:w="40" w:type="dxa"/>
              <w:right w:w="40" w:type="dxa"/>
            </w:tcMar>
            <w:vAlign w:val="center"/>
          </w:tcPr>
          <w:p w14:paraId="0BDBC12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44,386</w:t>
            </w:r>
          </w:p>
        </w:tc>
        <w:tc>
          <w:tcPr>
            <w:tcW w:w="1200" w:type="dxa"/>
            <w:tcBorders>
              <w:top w:val="nil"/>
              <w:left w:val="nil"/>
              <w:bottom w:val="nil"/>
              <w:right w:val="nil"/>
              <w:tl2br w:val="nil"/>
              <w:tr2bl w:val="nil"/>
            </w:tcBorders>
            <w:tcMar>
              <w:left w:w="40" w:type="dxa"/>
              <w:right w:w="40" w:type="dxa"/>
            </w:tcMar>
            <w:vAlign w:val="center"/>
          </w:tcPr>
          <w:p w14:paraId="088D23A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302,386</w:t>
            </w:r>
          </w:p>
        </w:tc>
      </w:tr>
      <w:tr w:rsidR="00FD1E19" w14:paraId="05ACB90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1472938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Available Reflows in relation to year 2022</w:t>
            </w:r>
          </w:p>
        </w:tc>
        <w:tc>
          <w:tcPr>
            <w:tcW w:w="1200" w:type="dxa"/>
            <w:tcBorders>
              <w:top w:val="nil"/>
              <w:left w:val="nil"/>
              <w:bottom w:val="nil"/>
              <w:right w:val="nil"/>
              <w:tl2br w:val="nil"/>
              <w:tr2bl w:val="nil"/>
            </w:tcBorders>
            <w:tcMar>
              <w:left w:w="40" w:type="dxa"/>
              <w:right w:w="40" w:type="dxa"/>
            </w:tcMar>
            <w:vAlign w:val="center"/>
          </w:tcPr>
          <w:p w14:paraId="0A9156E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236,883</w:t>
            </w:r>
          </w:p>
        </w:tc>
        <w:tc>
          <w:tcPr>
            <w:tcW w:w="1200" w:type="dxa"/>
            <w:tcBorders>
              <w:top w:val="nil"/>
              <w:left w:val="nil"/>
              <w:bottom w:val="nil"/>
              <w:right w:val="nil"/>
              <w:tl2br w:val="nil"/>
              <w:tr2bl w:val="nil"/>
            </w:tcBorders>
            <w:tcMar>
              <w:left w:w="40" w:type="dxa"/>
              <w:right w:w="40" w:type="dxa"/>
            </w:tcMar>
            <w:vAlign w:val="center"/>
          </w:tcPr>
          <w:p w14:paraId="04C0187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6,732</w:t>
            </w:r>
          </w:p>
        </w:tc>
        <w:tc>
          <w:tcPr>
            <w:tcW w:w="1200" w:type="dxa"/>
            <w:tcBorders>
              <w:top w:val="nil"/>
              <w:left w:val="nil"/>
              <w:bottom w:val="nil"/>
              <w:right w:val="nil"/>
              <w:tl2br w:val="nil"/>
              <w:tr2bl w:val="nil"/>
            </w:tcBorders>
            <w:tcMar>
              <w:left w:w="40" w:type="dxa"/>
              <w:right w:w="40" w:type="dxa"/>
            </w:tcMar>
            <w:vAlign w:val="center"/>
          </w:tcPr>
          <w:p w14:paraId="58765AD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243,615</w:t>
            </w:r>
          </w:p>
        </w:tc>
        <w:tc>
          <w:tcPr>
            <w:tcW w:w="1200" w:type="dxa"/>
            <w:tcBorders>
              <w:top w:val="nil"/>
              <w:left w:val="nil"/>
              <w:bottom w:val="nil"/>
              <w:right w:val="nil"/>
              <w:tl2br w:val="nil"/>
              <w:tr2bl w:val="nil"/>
            </w:tcBorders>
            <w:tcMar>
              <w:left w:w="40" w:type="dxa"/>
              <w:right w:w="40" w:type="dxa"/>
            </w:tcMar>
            <w:vAlign w:val="center"/>
          </w:tcPr>
          <w:p w14:paraId="4F873E3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41,912</w:t>
            </w:r>
          </w:p>
        </w:tc>
        <w:tc>
          <w:tcPr>
            <w:tcW w:w="1200" w:type="dxa"/>
            <w:tcBorders>
              <w:top w:val="nil"/>
              <w:left w:val="nil"/>
              <w:bottom w:val="nil"/>
              <w:right w:val="nil"/>
              <w:tl2br w:val="nil"/>
              <w:tr2bl w:val="nil"/>
            </w:tcBorders>
            <w:tcMar>
              <w:left w:w="40" w:type="dxa"/>
              <w:right w:w="40" w:type="dxa"/>
            </w:tcMar>
            <w:vAlign w:val="center"/>
          </w:tcPr>
          <w:p w14:paraId="1269F37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285,527</w:t>
            </w:r>
          </w:p>
        </w:tc>
      </w:tr>
      <w:tr w:rsidR="00FD1E19" w14:paraId="5CCB316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4E43E56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Available Reflows in relation to year 2023</w:t>
            </w:r>
          </w:p>
        </w:tc>
        <w:tc>
          <w:tcPr>
            <w:tcW w:w="1200" w:type="dxa"/>
            <w:tcBorders>
              <w:top w:val="nil"/>
              <w:left w:val="nil"/>
              <w:bottom w:val="nil"/>
              <w:right w:val="nil"/>
              <w:tl2br w:val="nil"/>
              <w:tr2bl w:val="nil"/>
            </w:tcBorders>
            <w:tcMar>
              <w:left w:w="40" w:type="dxa"/>
              <w:right w:w="40" w:type="dxa"/>
            </w:tcMar>
            <w:vAlign w:val="center"/>
          </w:tcPr>
          <w:p w14:paraId="1DC3F39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257,152</w:t>
            </w:r>
          </w:p>
        </w:tc>
        <w:tc>
          <w:tcPr>
            <w:tcW w:w="1200" w:type="dxa"/>
            <w:tcBorders>
              <w:top w:val="nil"/>
              <w:left w:val="nil"/>
              <w:bottom w:val="nil"/>
              <w:right w:val="nil"/>
              <w:tl2br w:val="nil"/>
              <w:tr2bl w:val="nil"/>
            </w:tcBorders>
            <w:tcMar>
              <w:left w:w="40" w:type="dxa"/>
              <w:right w:w="40" w:type="dxa"/>
            </w:tcMar>
            <w:vAlign w:val="center"/>
          </w:tcPr>
          <w:p w14:paraId="016590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7,154</w:t>
            </w:r>
          </w:p>
        </w:tc>
        <w:tc>
          <w:tcPr>
            <w:tcW w:w="1200" w:type="dxa"/>
            <w:tcBorders>
              <w:top w:val="nil"/>
              <w:left w:val="nil"/>
              <w:bottom w:val="nil"/>
              <w:right w:val="nil"/>
              <w:tl2br w:val="nil"/>
              <w:tr2bl w:val="nil"/>
            </w:tcBorders>
            <w:tcMar>
              <w:left w:w="40" w:type="dxa"/>
              <w:right w:w="40" w:type="dxa"/>
            </w:tcMar>
            <w:vAlign w:val="center"/>
          </w:tcPr>
          <w:p w14:paraId="3053F72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264,306</w:t>
            </w:r>
          </w:p>
        </w:tc>
        <w:tc>
          <w:tcPr>
            <w:tcW w:w="1200" w:type="dxa"/>
            <w:tcBorders>
              <w:top w:val="nil"/>
              <w:left w:val="nil"/>
              <w:bottom w:val="nil"/>
              <w:right w:val="nil"/>
              <w:tl2br w:val="nil"/>
              <w:tr2bl w:val="nil"/>
            </w:tcBorders>
            <w:tcMar>
              <w:left w:w="40" w:type="dxa"/>
              <w:right w:w="40" w:type="dxa"/>
            </w:tcMar>
            <w:vAlign w:val="center"/>
          </w:tcPr>
          <w:p w14:paraId="203E328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45,471</w:t>
            </w:r>
          </w:p>
        </w:tc>
        <w:tc>
          <w:tcPr>
            <w:tcW w:w="1200" w:type="dxa"/>
            <w:tcBorders>
              <w:top w:val="nil"/>
              <w:left w:val="nil"/>
              <w:bottom w:val="nil"/>
              <w:right w:val="nil"/>
              <w:tl2br w:val="nil"/>
              <w:tr2bl w:val="nil"/>
            </w:tcBorders>
            <w:tcMar>
              <w:left w:w="40" w:type="dxa"/>
              <w:right w:w="40" w:type="dxa"/>
            </w:tcMar>
            <w:vAlign w:val="center"/>
          </w:tcPr>
          <w:p w14:paraId="0D24EE0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309,777</w:t>
            </w:r>
          </w:p>
        </w:tc>
      </w:tr>
      <w:tr w:rsidR="00FD1E19" w14:paraId="0AB7E9A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tcMar>
              <w:left w:w="40" w:type="dxa"/>
              <w:right w:w="40" w:type="dxa"/>
            </w:tcMar>
            <w:vAlign w:val="center"/>
          </w:tcPr>
          <w:p w14:paraId="7A32415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Available Reflows in relation to year 2024</w:t>
            </w:r>
          </w:p>
        </w:tc>
        <w:tc>
          <w:tcPr>
            <w:tcW w:w="1200" w:type="dxa"/>
            <w:tcBorders>
              <w:top w:val="nil"/>
              <w:left w:val="nil"/>
              <w:bottom w:val="nil"/>
              <w:right w:val="nil"/>
              <w:tl2br w:val="nil"/>
              <w:tr2bl w:val="nil"/>
            </w:tcBorders>
            <w:tcMar>
              <w:left w:w="40" w:type="dxa"/>
              <w:right w:w="40" w:type="dxa"/>
            </w:tcMar>
            <w:vAlign w:val="center"/>
          </w:tcPr>
          <w:p w14:paraId="7501D31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498,818</w:t>
            </w:r>
          </w:p>
        </w:tc>
        <w:tc>
          <w:tcPr>
            <w:tcW w:w="1200" w:type="dxa"/>
            <w:tcBorders>
              <w:top w:val="nil"/>
              <w:left w:val="nil"/>
              <w:bottom w:val="nil"/>
              <w:right w:val="nil"/>
              <w:tl2br w:val="nil"/>
              <w:tr2bl w:val="nil"/>
            </w:tcBorders>
            <w:tcMar>
              <w:left w:w="40" w:type="dxa"/>
              <w:right w:w="40" w:type="dxa"/>
            </w:tcMar>
            <w:vAlign w:val="center"/>
          </w:tcPr>
          <w:p w14:paraId="620BF89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5,663</w:t>
            </w:r>
          </w:p>
        </w:tc>
        <w:tc>
          <w:tcPr>
            <w:tcW w:w="1200" w:type="dxa"/>
            <w:tcBorders>
              <w:top w:val="nil"/>
              <w:left w:val="nil"/>
              <w:bottom w:val="nil"/>
              <w:right w:val="nil"/>
              <w:tl2br w:val="nil"/>
              <w:tr2bl w:val="nil"/>
            </w:tcBorders>
            <w:tcMar>
              <w:left w:w="40" w:type="dxa"/>
              <w:right w:w="40" w:type="dxa"/>
            </w:tcMar>
            <w:vAlign w:val="center"/>
          </w:tcPr>
          <w:p w14:paraId="004C8D9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504,481</w:t>
            </w:r>
          </w:p>
        </w:tc>
        <w:tc>
          <w:tcPr>
            <w:tcW w:w="1200" w:type="dxa"/>
            <w:tcBorders>
              <w:top w:val="nil"/>
              <w:left w:val="nil"/>
              <w:bottom w:val="nil"/>
              <w:right w:val="nil"/>
              <w:tl2br w:val="nil"/>
              <w:tr2bl w:val="nil"/>
            </w:tcBorders>
            <w:tcMar>
              <w:left w:w="40" w:type="dxa"/>
              <w:right w:w="40" w:type="dxa"/>
            </w:tcMar>
            <w:vAlign w:val="center"/>
          </w:tcPr>
          <w:p w14:paraId="13E1112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86,790</w:t>
            </w:r>
          </w:p>
        </w:tc>
        <w:tc>
          <w:tcPr>
            <w:tcW w:w="1200" w:type="dxa"/>
            <w:tcBorders>
              <w:top w:val="nil"/>
              <w:left w:val="nil"/>
              <w:bottom w:val="nil"/>
              <w:right w:val="nil"/>
              <w:tl2br w:val="nil"/>
              <w:tr2bl w:val="nil"/>
            </w:tcBorders>
            <w:tcMar>
              <w:left w:w="40" w:type="dxa"/>
              <w:right w:w="40" w:type="dxa"/>
            </w:tcMar>
            <w:vAlign w:val="center"/>
          </w:tcPr>
          <w:p w14:paraId="3C5B041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591,271</w:t>
            </w:r>
          </w:p>
        </w:tc>
      </w:tr>
      <w:tr w:rsidR="00FD1E19" w14:paraId="1119BD7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BFBFBF"/>
            <w:tcMar>
              <w:left w:w="40" w:type="dxa"/>
              <w:right w:w="40" w:type="dxa"/>
            </w:tcMar>
            <w:vAlign w:val="center"/>
          </w:tcPr>
          <w:p w14:paraId="4C8BAA2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Available Reflows as at 31 December 2025</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250B3EA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1,243,853</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3B6F9E7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26,549</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441F9A4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1,270,402</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0B6EFF46"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218,559</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3C43D39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1,488,961</w:t>
            </w:r>
          </w:p>
        </w:tc>
      </w:tr>
      <w:tr w:rsidR="00FD1E19" w14:paraId="74FF825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3975" w:type="dxa"/>
            <w:tcBorders>
              <w:top w:val="nil"/>
              <w:left w:val="nil"/>
              <w:bottom w:val="nil"/>
              <w:right w:val="nil"/>
              <w:tl2br w:val="nil"/>
              <w:tr2bl w:val="nil"/>
            </w:tcBorders>
            <w:shd w:val="clear" w:color="FFFFFF" w:fill="BFBFBF"/>
            <w:tcMar>
              <w:left w:w="40" w:type="dxa"/>
              <w:right w:w="40" w:type="dxa"/>
            </w:tcMar>
            <w:vAlign w:val="center"/>
          </w:tcPr>
          <w:p w14:paraId="23868E7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Available Reflows as at 31 December 2024</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7C145E5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745,035</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347349A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20,886</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45DC773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765,921</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35D7192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131,769</w:t>
            </w:r>
          </w:p>
        </w:tc>
        <w:tc>
          <w:tcPr>
            <w:tcW w:w="1200" w:type="dxa"/>
            <w:tcBorders>
              <w:top w:val="nil"/>
              <w:left w:val="nil"/>
              <w:bottom w:val="nil"/>
              <w:right w:val="nil"/>
              <w:tl2br w:val="nil"/>
              <w:tr2bl w:val="nil"/>
            </w:tcBorders>
            <w:shd w:val="clear" w:color="FFFFFF" w:fill="BFBFBF"/>
            <w:tcMar>
              <w:left w:w="40" w:type="dxa"/>
              <w:right w:w="40" w:type="dxa"/>
            </w:tcMar>
            <w:vAlign w:val="center"/>
          </w:tcPr>
          <w:p w14:paraId="17ECDDA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897,690</w:t>
            </w:r>
          </w:p>
        </w:tc>
      </w:tr>
    </w:tbl>
    <w:p w14:paraId="0938326E" w14:textId="77777777" w:rsidR="00FD1E19"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bookmarkStart w:id="317" w:name="RG_MARKER_90209"/>
      <w:bookmarkEnd w:id="317"/>
    </w:p>
    <w:p w14:paraId="4BF34BF3" w14:textId="77777777" w:rsidR="00FD1E19" w:rsidRPr="001F0555" w:rsidRDefault="00FD1E19" w:rsidP="00FD1E19">
      <w:pPr>
        <w:pBdr>
          <w:top w:val="nil"/>
          <w:left w:val="nil"/>
          <w:bottom w:val="nil"/>
          <w:right w:val="nil"/>
          <w:between w:val="nil"/>
          <w:bar w:val="nil"/>
        </w:pBdr>
        <w:suppressAutoHyphens/>
        <w:jc w:val="both"/>
        <w:rPr>
          <w:rFonts w:ascii="Arial" w:hAnsi="Arial" w:cs="Arial"/>
          <w:noProof/>
          <w:sz w:val="16"/>
          <w:szCs w:val="16"/>
          <w:bdr w:val="nil"/>
          <w:lang w:eastAsia="ar-SA"/>
        </w:rPr>
      </w:pPr>
      <w:r w:rsidRPr="00BA753F">
        <w:rPr>
          <w:rFonts w:ascii="Arial" w:hAnsi="Arial" w:cs="Arial"/>
          <w:noProof/>
          <w:sz w:val="16"/>
          <w:szCs w:val="16"/>
          <w:lang w:eastAsia="ar-SA"/>
        </w:rPr>
        <w:t>As per the Transfer Agreement, as of year 2024 and until 31 December 2027, the Facility shall inform the EC and the UK annually of the Available Reflows. The available amounts shall be transferred to the EC and the UK upon receipt of the debit note. The above table presents the split of Available Reflows by year.</w:t>
      </w:r>
      <w:r>
        <w:rPr>
          <w:rFonts w:ascii="Arial" w:hAnsi="Arial" w:cs="Arial"/>
          <w:noProof/>
          <w:sz w:val="16"/>
          <w:szCs w:val="16"/>
          <w:lang w:eastAsia="ar-SA"/>
        </w:rPr>
        <w:t xml:space="preserve"> </w:t>
      </w:r>
      <w:r w:rsidRPr="00056384">
        <w:rPr>
          <w:rFonts w:ascii="Arial" w:hAnsi="Arial" w:cs="Arial"/>
          <w:noProof/>
          <w:sz w:val="16"/>
          <w:szCs w:val="16"/>
          <w:lang w:eastAsia="ar-SA"/>
        </w:rPr>
        <w:t>For Available Reflows payable please refer to the Note 14.</w:t>
      </w:r>
    </w:p>
    <w:p w14:paraId="4FB586A3" w14:textId="77777777" w:rsidR="00FD1E19" w:rsidRPr="00FE2241"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16"/>
          <w:szCs w:val="20"/>
          <w:bdr w:val="nil"/>
          <w:lang w:val="en-US" w:eastAsia="ar-SA"/>
        </w:rPr>
      </w:pPr>
      <w:bookmarkStart w:id="318" w:name="RG_MARKER_90210"/>
      <w:bookmarkStart w:id="319" w:name="RG_MARKER_90211"/>
      <w:bookmarkEnd w:id="318"/>
      <w:bookmarkEnd w:id="319"/>
    </w:p>
    <w:p w14:paraId="01FB017F" w14:textId="77777777" w:rsidR="00FD1E19" w:rsidRPr="00F57682"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eastAsia="ar-SA"/>
        </w:rPr>
      </w:pPr>
      <w:r w:rsidRPr="0026170A">
        <w:rPr>
          <w:rFonts w:ascii="Arial" w:hAnsi="Arial"/>
          <w:b/>
          <w:noProof/>
          <w:sz w:val="20"/>
          <w:lang w:val="en-US" w:eastAsia="ar-SA"/>
        </w:rPr>
        <w:t>18</w:t>
      </w:r>
      <w:r>
        <w:rPr>
          <w:rFonts w:ascii="Arial" w:hAnsi="Arial"/>
          <w:b/>
          <w:noProof/>
          <w:sz w:val="20"/>
          <w:lang w:val="en-US" w:eastAsia="ar-SA"/>
        </w:rPr>
        <w:tab/>
        <w:t>Commitments and contingent liabilities</w:t>
      </w:r>
      <w:r>
        <w:rPr>
          <w:rFonts w:ascii="Arial" w:hAnsi="Arial"/>
          <w:b/>
          <w:noProof/>
          <w:sz w:val="20"/>
          <w:lang w:eastAsia="ar-SA"/>
        </w:rPr>
        <w:t xml:space="preserve"> </w:t>
      </w:r>
    </w:p>
    <w:p w14:paraId="1575164B"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tbl>
      <w:tblPr>
        <w:tblStyle w:val="CDMRange1"/>
        <w:tblW w:w="5000" w:type="pct"/>
        <w:tblLayout w:type="fixed"/>
        <w:tblLook w:val="0600" w:firstRow="0" w:lastRow="0" w:firstColumn="0" w:lastColumn="0" w:noHBand="1" w:noVBand="1"/>
      </w:tblPr>
      <w:tblGrid>
        <w:gridCol w:w="6794"/>
        <w:gridCol w:w="1462"/>
        <w:gridCol w:w="1462"/>
      </w:tblGrid>
      <w:tr w:rsidR="00FD1E19" w14:paraId="4CEB79DE" w14:textId="77777777" w:rsidTr="00BE7E4A">
        <w:trPr>
          <w:trHeight w:hRule="exact" w:val="250"/>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47E4F4B8" w14:textId="77777777" w:rsidR="00FD1E19" w:rsidRDefault="00FD1E19" w:rsidP="00BE7E4A">
            <w:pPr>
              <w:suppressAutoHyphens/>
              <w:rPr>
                <w:rFonts w:ascii="Arial" w:eastAsia="Arial" w:hAnsi="Arial" w:cs="Arial"/>
                <w:b/>
                <w:noProof/>
                <w:color w:val="000000"/>
                <w:sz w:val="16"/>
                <w:lang w:eastAsia="ar-SA"/>
              </w:rPr>
            </w:pPr>
            <w:bookmarkStart w:id="320" w:name="RG_MARKER_90212"/>
            <w:r>
              <w:rPr>
                <w:rFonts w:ascii="Arial" w:eastAsia="Arial" w:hAnsi="Arial" w:cs="Arial"/>
                <w:b/>
                <w:noProof/>
                <w:color w:val="000000"/>
                <w:sz w:val="16"/>
                <w:lang w:eastAsia="ar-SA"/>
              </w:rPr>
              <w:t>in EUR'000</w:t>
            </w:r>
            <w:bookmarkEnd w:id="320"/>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358D0D8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7F4D20A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74F7AE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single" w:sz="4" w:space="0" w:color="000000"/>
              <w:left w:val="nil"/>
              <w:bottom w:val="nil"/>
              <w:right w:val="nil"/>
              <w:tl2br w:val="nil"/>
              <w:tr2bl w:val="nil"/>
            </w:tcBorders>
            <w:tcMar>
              <w:left w:w="40" w:type="dxa"/>
              <w:right w:w="40" w:type="dxa"/>
            </w:tcMar>
            <w:vAlign w:val="center"/>
          </w:tcPr>
          <w:p w14:paraId="00AF1E95" w14:textId="77777777" w:rsidR="00FD1E19" w:rsidRDefault="00FD1E19" w:rsidP="00BE7E4A">
            <w:pPr>
              <w:suppressAutoHyphens/>
              <w:rPr>
                <w:rFonts w:ascii="Arial" w:eastAsia="Arial" w:hAnsi="Arial" w:cs="Arial"/>
                <w:b/>
                <w:i/>
                <w:noProof/>
                <w:color w:val="000000"/>
                <w:sz w:val="16"/>
                <w:lang w:eastAsia="ar-SA"/>
              </w:rPr>
            </w:pPr>
            <w:r>
              <w:rPr>
                <w:rFonts w:ascii="Arial" w:eastAsia="Arial" w:hAnsi="Arial" w:cs="Arial"/>
                <w:b/>
                <w:i/>
                <w:noProof/>
                <w:color w:val="000000"/>
                <w:sz w:val="16"/>
                <w:lang w:eastAsia="ar-SA"/>
              </w:rPr>
              <w:t>Commitments</w:t>
            </w:r>
          </w:p>
        </w:tc>
        <w:tc>
          <w:tcPr>
            <w:tcW w:w="1500" w:type="dxa"/>
            <w:tcBorders>
              <w:top w:val="single" w:sz="4" w:space="0" w:color="000000"/>
              <w:left w:val="nil"/>
              <w:bottom w:val="nil"/>
              <w:right w:val="nil"/>
              <w:tl2br w:val="nil"/>
              <w:tr2bl w:val="nil"/>
            </w:tcBorders>
            <w:tcMar>
              <w:left w:w="0" w:type="dxa"/>
              <w:right w:w="0" w:type="dxa"/>
            </w:tcMar>
            <w:vAlign w:val="bottom"/>
          </w:tcPr>
          <w:p w14:paraId="5934E0F1" w14:textId="77777777" w:rsidR="00FD1E19" w:rsidRDefault="00FD1E19" w:rsidP="00BE7E4A">
            <w:pPr>
              <w:suppressAutoHyphens/>
              <w:rPr>
                <w:noProof/>
                <w:color w:val="000000"/>
                <w:lang w:eastAsia="ar-SA"/>
              </w:rPr>
            </w:pPr>
          </w:p>
        </w:tc>
        <w:tc>
          <w:tcPr>
            <w:tcW w:w="1500" w:type="dxa"/>
            <w:tcBorders>
              <w:top w:val="single" w:sz="4" w:space="0" w:color="000000"/>
              <w:left w:val="nil"/>
              <w:bottom w:val="nil"/>
              <w:right w:val="nil"/>
              <w:tl2br w:val="nil"/>
              <w:tr2bl w:val="nil"/>
            </w:tcBorders>
            <w:tcMar>
              <w:left w:w="0" w:type="dxa"/>
              <w:right w:w="0" w:type="dxa"/>
            </w:tcMar>
            <w:vAlign w:val="bottom"/>
          </w:tcPr>
          <w:p w14:paraId="5CA65AD6" w14:textId="77777777" w:rsidR="00FD1E19" w:rsidRDefault="00FD1E19" w:rsidP="00BE7E4A">
            <w:pPr>
              <w:suppressAutoHyphens/>
              <w:rPr>
                <w:noProof/>
                <w:color w:val="000000"/>
                <w:lang w:eastAsia="ar-SA"/>
              </w:rPr>
            </w:pPr>
          </w:p>
        </w:tc>
      </w:tr>
      <w:tr w:rsidR="00FD1E19" w14:paraId="0E0109B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14:paraId="5CEED19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Undisbursed loans</w:t>
            </w:r>
          </w:p>
        </w:tc>
        <w:tc>
          <w:tcPr>
            <w:tcW w:w="1500" w:type="dxa"/>
            <w:tcBorders>
              <w:top w:val="nil"/>
              <w:left w:val="nil"/>
              <w:bottom w:val="nil"/>
              <w:right w:val="nil"/>
              <w:tl2br w:val="nil"/>
              <w:tr2bl w:val="nil"/>
            </w:tcBorders>
            <w:tcMar>
              <w:left w:w="40" w:type="dxa"/>
              <w:right w:w="40" w:type="dxa"/>
            </w:tcMar>
            <w:vAlign w:val="center"/>
          </w:tcPr>
          <w:p w14:paraId="50EAC3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354,187</w:t>
            </w:r>
          </w:p>
        </w:tc>
        <w:tc>
          <w:tcPr>
            <w:tcW w:w="1500" w:type="dxa"/>
            <w:tcBorders>
              <w:top w:val="nil"/>
              <w:left w:val="nil"/>
              <w:bottom w:val="nil"/>
              <w:right w:val="nil"/>
              <w:tl2br w:val="nil"/>
              <w:tr2bl w:val="nil"/>
            </w:tcBorders>
            <w:tcMar>
              <w:left w:w="40" w:type="dxa"/>
              <w:right w:w="40" w:type="dxa"/>
            </w:tcMar>
            <w:vAlign w:val="center"/>
          </w:tcPr>
          <w:p w14:paraId="594D855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676,229</w:t>
            </w:r>
          </w:p>
        </w:tc>
      </w:tr>
      <w:tr w:rsidR="00FD1E19" w14:paraId="408A757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14:paraId="58DF54C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Undisbursed commitment in respect of shares and other variable yield securities</w:t>
            </w:r>
          </w:p>
        </w:tc>
        <w:tc>
          <w:tcPr>
            <w:tcW w:w="1500" w:type="dxa"/>
            <w:tcBorders>
              <w:top w:val="nil"/>
              <w:left w:val="nil"/>
              <w:bottom w:val="nil"/>
              <w:right w:val="nil"/>
              <w:tl2br w:val="nil"/>
              <w:tr2bl w:val="nil"/>
            </w:tcBorders>
            <w:tcMar>
              <w:left w:w="40" w:type="dxa"/>
              <w:right w:w="40" w:type="dxa"/>
            </w:tcMar>
            <w:vAlign w:val="center"/>
          </w:tcPr>
          <w:p w14:paraId="0AC51EB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184,841</w:t>
            </w:r>
          </w:p>
        </w:tc>
        <w:tc>
          <w:tcPr>
            <w:tcW w:w="1500" w:type="dxa"/>
            <w:tcBorders>
              <w:top w:val="nil"/>
              <w:left w:val="nil"/>
              <w:bottom w:val="nil"/>
              <w:right w:val="nil"/>
              <w:tl2br w:val="nil"/>
              <w:tr2bl w:val="nil"/>
            </w:tcBorders>
            <w:tcMar>
              <w:left w:w="40" w:type="dxa"/>
              <w:right w:w="40" w:type="dxa"/>
            </w:tcMar>
            <w:vAlign w:val="center"/>
          </w:tcPr>
          <w:p w14:paraId="4737BE4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237,886</w:t>
            </w:r>
          </w:p>
        </w:tc>
      </w:tr>
      <w:tr w:rsidR="00FD1E19" w14:paraId="0BD7475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14:paraId="1AC841E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subsidies and technical assistance</w:t>
            </w:r>
          </w:p>
        </w:tc>
        <w:tc>
          <w:tcPr>
            <w:tcW w:w="1500" w:type="dxa"/>
            <w:tcBorders>
              <w:top w:val="nil"/>
              <w:left w:val="nil"/>
              <w:bottom w:val="nil"/>
              <w:right w:val="nil"/>
              <w:tl2br w:val="nil"/>
              <w:tr2bl w:val="nil"/>
            </w:tcBorders>
            <w:tcMar>
              <w:left w:w="40" w:type="dxa"/>
              <w:right w:w="40" w:type="dxa"/>
            </w:tcMar>
            <w:vAlign w:val="center"/>
          </w:tcPr>
          <w:p w14:paraId="0F93EF5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259,371</w:t>
            </w:r>
          </w:p>
        </w:tc>
        <w:tc>
          <w:tcPr>
            <w:tcW w:w="1500" w:type="dxa"/>
            <w:tcBorders>
              <w:top w:val="nil"/>
              <w:left w:val="nil"/>
              <w:bottom w:val="nil"/>
              <w:right w:val="nil"/>
              <w:tl2br w:val="nil"/>
              <w:tr2bl w:val="nil"/>
            </w:tcBorders>
            <w:tcMar>
              <w:left w:w="40" w:type="dxa"/>
              <w:right w:w="40" w:type="dxa"/>
            </w:tcMar>
            <w:vAlign w:val="center"/>
          </w:tcPr>
          <w:p w14:paraId="3951A29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362,848</w:t>
            </w:r>
          </w:p>
        </w:tc>
      </w:tr>
      <w:tr w:rsidR="00FD1E19" w14:paraId="719E525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0" w:type="dxa"/>
              <w:right w:w="0" w:type="dxa"/>
            </w:tcMar>
            <w:vAlign w:val="bottom"/>
          </w:tcPr>
          <w:p w14:paraId="5CD9595B" w14:textId="77777777" w:rsidR="00FD1E19" w:rsidRDefault="00FD1E19" w:rsidP="00BE7E4A">
            <w:pPr>
              <w:suppressAutoHyphens/>
              <w:rPr>
                <w:noProof/>
                <w:color w:val="000000"/>
                <w:lang w:eastAsia="ar-SA"/>
              </w:rPr>
            </w:pPr>
          </w:p>
        </w:tc>
        <w:tc>
          <w:tcPr>
            <w:tcW w:w="1500" w:type="dxa"/>
            <w:tcBorders>
              <w:top w:val="nil"/>
              <w:left w:val="nil"/>
              <w:bottom w:val="nil"/>
              <w:right w:val="nil"/>
              <w:tl2br w:val="nil"/>
              <w:tr2bl w:val="nil"/>
            </w:tcBorders>
            <w:tcMar>
              <w:left w:w="0" w:type="dxa"/>
              <w:right w:w="0" w:type="dxa"/>
            </w:tcMar>
            <w:vAlign w:val="center"/>
          </w:tcPr>
          <w:p w14:paraId="1945D619" w14:textId="77777777" w:rsidR="00FD1E19" w:rsidRDefault="00FD1E19" w:rsidP="00BE7E4A">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27332EFC" w14:textId="77777777" w:rsidR="00FD1E19" w:rsidRDefault="00FD1E19" w:rsidP="00BE7E4A">
            <w:pPr>
              <w:suppressAutoHyphens/>
              <w:rPr>
                <w:noProof/>
                <w:color w:val="000000"/>
                <w:lang w:eastAsia="ar-SA"/>
              </w:rPr>
            </w:pPr>
          </w:p>
        </w:tc>
      </w:tr>
      <w:tr w:rsidR="00FD1E19" w14:paraId="1F37705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40" w:type="dxa"/>
              <w:right w:w="40" w:type="dxa"/>
            </w:tcMar>
            <w:vAlign w:val="center"/>
          </w:tcPr>
          <w:p w14:paraId="61C99072" w14:textId="77777777" w:rsidR="00FD1E19" w:rsidRDefault="00FD1E19" w:rsidP="00BE7E4A">
            <w:pPr>
              <w:suppressAutoHyphens/>
              <w:rPr>
                <w:rFonts w:ascii="Arial" w:eastAsia="Arial" w:hAnsi="Arial" w:cs="Arial"/>
                <w:b/>
                <w:i/>
                <w:noProof/>
                <w:color w:val="000000"/>
                <w:sz w:val="16"/>
                <w:lang w:eastAsia="ar-SA"/>
              </w:rPr>
            </w:pPr>
            <w:r>
              <w:rPr>
                <w:rFonts w:ascii="Arial" w:eastAsia="Arial" w:hAnsi="Arial" w:cs="Arial"/>
                <w:b/>
                <w:i/>
                <w:noProof/>
                <w:color w:val="000000"/>
                <w:sz w:val="16"/>
                <w:lang w:eastAsia="ar-SA"/>
              </w:rPr>
              <w:t>Contingent liabilities</w:t>
            </w:r>
          </w:p>
        </w:tc>
        <w:tc>
          <w:tcPr>
            <w:tcW w:w="1500" w:type="dxa"/>
            <w:tcBorders>
              <w:top w:val="nil"/>
              <w:left w:val="nil"/>
              <w:bottom w:val="nil"/>
              <w:right w:val="nil"/>
              <w:tl2br w:val="nil"/>
              <w:tr2bl w:val="nil"/>
            </w:tcBorders>
            <w:tcMar>
              <w:left w:w="0" w:type="dxa"/>
              <w:right w:w="0" w:type="dxa"/>
            </w:tcMar>
            <w:vAlign w:val="center"/>
          </w:tcPr>
          <w:p w14:paraId="0CB75223" w14:textId="77777777" w:rsidR="00FD1E19" w:rsidRDefault="00FD1E19" w:rsidP="00BE7E4A">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6FD6D1B1" w14:textId="77777777" w:rsidR="00FD1E19" w:rsidRDefault="00FD1E19" w:rsidP="00BE7E4A">
            <w:pPr>
              <w:suppressAutoHyphens/>
              <w:rPr>
                <w:noProof/>
                <w:color w:val="000000"/>
                <w:lang w:eastAsia="ar-SA"/>
              </w:rPr>
            </w:pPr>
          </w:p>
        </w:tc>
      </w:tr>
      <w:tr w:rsidR="00FD1E19" w14:paraId="219B7CB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220" w:type="dxa"/>
              <w:right w:w="40" w:type="dxa"/>
            </w:tcMar>
            <w:vAlign w:val="center"/>
          </w:tcPr>
          <w:p w14:paraId="2CDE330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Signed non-issued guarantees</w:t>
            </w:r>
          </w:p>
        </w:tc>
        <w:tc>
          <w:tcPr>
            <w:tcW w:w="1500" w:type="dxa"/>
            <w:tcBorders>
              <w:top w:val="nil"/>
              <w:left w:val="nil"/>
              <w:bottom w:val="nil"/>
              <w:right w:val="nil"/>
              <w:tl2br w:val="nil"/>
              <w:tr2bl w:val="nil"/>
            </w:tcBorders>
            <w:tcMar>
              <w:left w:w="40" w:type="dxa"/>
              <w:right w:w="40" w:type="dxa"/>
            </w:tcMar>
            <w:vAlign w:val="center"/>
          </w:tcPr>
          <w:p w14:paraId="6358FA9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c>
          <w:tcPr>
            <w:tcW w:w="1500" w:type="dxa"/>
            <w:tcBorders>
              <w:top w:val="nil"/>
              <w:left w:val="nil"/>
              <w:bottom w:val="nil"/>
              <w:right w:val="nil"/>
              <w:tl2br w:val="nil"/>
              <w:tr2bl w:val="nil"/>
            </w:tcBorders>
            <w:tcMar>
              <w:left w:w="40" w:type="dxa"/>
              <w:right w:w="40" w:type="dxa"/>
            </w:tcMar>
            <w:vAlign w:val="center"/>
          </w:tcPr>
          <w:p w14:paraId="6793867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2,500</w:t>
            </w:r>
          </w:p>
        </w:tc>
      </w:tr>
      <w:tr w:rsidR="00FD1E19" w14:paraId="6C0A39F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nil"/>
              <w:right w:val="nil"/>
              <w:tl2br w:val="nil"/>
              <w:tr2bl w:val="nil"/>
            </w:tcBorders>
            <w:tcMar>
              <w:left w:w="0" w:type="dxa"/>
              <w:right w:w="0" w:type="dxa"/>
            </w:tcMar>
            <w:vAlign w:val="bottom"/>
          </w:tcPr>
          <w:p w14:paraId="650C7CBA" w14:textId="77777777" w:rsidR="00FD1E19" w:rsidRDefault="00FD1E19" w:rsidP="00BE7E4A">
            <w:pPr>
              <w:suppressAutoHyphens/>
              <w:rPr>
                <w:noProof/>
                <w:color w:val="000000"/>
                <w:lang w:eastAsia="ar-SA"/>
              </w:rPr>
            </w:pPr>
          </w:p>
        </w:tc>
        <w:tc>
          <w:tcPr>
            <w:tcW w:w="1500" w:type="dxa"/>
            <w:tcBorders>
              <w:top w:val="nil"/>
              <w:left w:val="nil"/>
              <w:bottom w:val="nil"/>
              <w:right w:val="nil"/>
              <w:tl2br w:val="nil"/>
              <w:tr2bl w:val="nil"/>
            </w:tcBorders>
            <w:tcMar>
              <w:left w:w="0" w:type="dxa"/>
              <w:right w:w="0" w:type="dxa"/>
            </w:tcMar>
            <w:vAlign w:val="center"/>
          </w:tcPr>
          <w:p w14:paraId="2B19DC44" w14:textId="77777777" w:rsidR="00FD1E19" w:rsidRDefault="00FD1E19" w:rsidP="00BE7E4A">
            <w:pPr>
              <w:suppressAutoHyphens/>
              <w:jc w:val="right"/>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1A23D760" w14:textId="77777777" w:rsidR="00FD1E19" w:rsidRDefault="00FD1E19" w:rsidP="00BE7E4A">
            <w:pPr>
              <w:suppressAutoHyphens/>
              <w:rPr>
                <w:noProof/>
                <w:color w:val="000000"/>
                <w:lang w:eastAsia="ar-SA"/>
              </w:rPr>
            </w:pPr>
          </w:p>
        </w:tc>
      </w:tr>
      <w:tr w:rsidR="00FD1E19" w14:paraId="1F48F88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1C1C1"/>
            <w:tcMar>
              <w:left w:w="40" w:type="dxa"/>
              <w:right w:w="40" w:type="dxa"/>
            </w:tcMar>
            <w:vAlign w:val="center"/>
          </w:tcPr>
          <w:p w14:paraId="5F5EAC7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commitments and contingent liabilities</w:t>
            </w:r>
          </w:p>
        </w:tc>
        <w:tc>
          <w:tcPr>
            <w:tcW w:w="1500" w:type="dxa"/>
            <w:tcBorders>
              <w:top w:val="nil"/>
              <w:left w:val="nil"/>
              <w:bottom w:val="nil"/>
              <w:right w:val="nil"/>
              <w:tl2br w:val="nil"/>
              <w:tr2bl w:val="nil"/>
            </w:tcBorders>
            <w:shd w:val="clear" w:color="FFFFFF" w:fill="C1C1C1"/>
            <w:tcMar>
              <w:left w:w="40" w:type="dxa"/>
              <w:right w:w="40" w:type="dxa"/>
            </w:tcMar>
            <w:vAlign w:val="center"/>
          </w:tcPr>
          <w:p w14:paraId="4E0C500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800,899</w:t>
            </w:r>
          </w:p>
        </w:tc>
        <w:tc>
          <w:tcPr>
            <w:tcW w:w="1500" w:type="dxa"/>
            <w:tcBorders>
              <w:top w:val="nil"/>
              <w:left w:val="nil"/>
              <w:bottom w:val="nil"/>
              <w:right w:val="nil"/>
              <w:tl2br w:val="nil"/>
              <w:tr2bl w:val="nil"/>
            </w:tcBorders>
            <w:shd w:val="clear" w:color="FFFFFF" w:fill="C1C1C1"/>
            <w:tcMar>
              <w:left w:w="40" w:type="dxa"/>
              <w:right w:w="40" w:type="dxa"/>
            </w:tcMar>
            <w:vAlign w:val="center"/>
          </w:tcPr>
          <w:p w14:paraId="4967698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1,279,463</w:t>
            </w:r>
          </w:p>
        </w:tc>
      </w:tr>
    </w:tbl>
    <w:p w14:paraId="4D721BC5" w14:textId="77777777" w:rsidR="00FD1E19" w:rsidRDefault="00FD1E19" w:rsidP="00FD1E19">
      <w:pPr>
        <w:pBdr>
          <w:top w:val="nil"/>
          <w:left w:val="nil"/>
          <w:bottom w:val="nil"/>
          <w:right w:val="nil"/>
          <w:between w:val="nil"/>
          <w:bar w:val="nil"/>
        </w:pBdr>
        <w:suppressAutoHyphens/>
        <w:rPr>
          <w:noProof/>
          <w:bdr w:val="nil"/>
          <w:lang w:eastAsia="ar-SA"/>
        </w:rPr>
      </w:pPr>
    </w:p>
    <w:p w14:paraId="2DA0232B" w14:textId="77777777" w:rsidR="00FD1E19" w:rsidRPr="00871246" w:rsidRDefault="00FD1E19" w:rsidP="00FD1E19">
      <w:pPr>
        <w:pBdr>
          <w:top w:val="nil"/>
          <w:left w:val="nil"/>
          <w:bottom w:val="nil"/>
          <w:right w:val="nil"/>
          <w:between w:val="nil"/>
          <w:bar w:val="nil"/>
        </w:pBdr>
        <w:tabs>
          <w:tab w:val="center" w:pos="4320"/>
          <w:tab w:val="right" w:pos="8640"/>
        </w:tabs>
        <w:suppressAutoHyphens/>
        <w:spacing w:before="60" w:after="60"/>
        <w:ind w:left="432" w:hanging="432"/>
        <w:jc w:val="both"/>
        <w:rPr>
          <w:rFonts w:ascii="Arial" w:hAnsi="Arial"/>
          <w:b/>
          <w:noProof/>
          <w:sz w:val="20"/>
          <w:bdr w:val="nil"/>
          <w:lang w:val="en-US" w:eastAsia="ar-SA"/>
        </w:rPr>
      </w:pPr>
      <w:bookmarkStart w:id="321" w:name="RG_MARKER_90214"/>
      <w:bookmarkStart w:id="322" w:name="RG_MARKER_90213"/>
      <w:r w:rsidRPr="003744F3">
        <w:rPr>
          <w:rFonts w:ascii="Arial" w:hAnsi="Arial"/>
          <w:b/>
          <w:noProof/>
          <w:sz w:val="20"/>
          <w:lang w:val="en-US" w:eastAsia="ar-SA"/>
        </w:rPr>
        <w:t>19</w:t>
      </w:r>
      <w:bookmarkEnd w:id="321"/>
      <w:bookmarkEnd w:id="322"/>
      <w:r>
        <w:rPr>
          <w:rFonts w:ascii="Arial" w:hAnsi="Arial"/>
          <w:b/>
          <w:noProof/>
          <w:sz w:val="20"/>
          <w:lang w:val="en-US" w:eastAsia="ar-SA"/>
        </w:rPr>
        <w:tab/>
        <w:t>Interest and similar income and expenses</w:t>
      </w:r>
    </w:p>
    <w:p w14:paraId="7371F0D9"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7531B8ED" w14:textId="77777777" w:rsidR="00FD1E19" w:rsidRDefault="00FD1E19" w:rsidP="00FD1E19">
      <w:pPr>
        <w:pBdr>
          <w:top w:val="nil"/>
          <w:left w:val="nil"/>
          <w:bottom w:val="nil"/>
          <w:right w:val="nil"/>
          <w:between w:val="nil"/>
          <w:bar w:val="nil"/>
        </w:pBdr>
        <w:spacing w:before="60" w:after="60"/>
        <w:jc w:val="both"/>
        <w:rPr>
          <w:rFonts w:ascii="Arial" w:hAnsi="Arial"/>
          <w:b/>
          <w:bCs/>
          <w:noProof/>
          <w:sz w:val="16"/>
          <w:szCs w:val="16"/>
          <w:bdr w:val="nil"/>
          <w:lang w:eastAsia="ar-SA"/>
        </w:rPr>
      </w:pPr>
      <w:r w:rsidRPr="00AE326D">
        <w:rPr>
          <w:rFonts w:ascii="Arial" w:hAnsi="Arial"/>
          <w:b/>
          <w:bCs/>
          <w:noProof/>
          <w:sz w:val="16"/>
          <w:szCs w:val="16"/>
          <w:lang w:eastAsia="ar-SA"/>
        </w:rPr>
        <w:t>The main components of interest and similar income are as follows:</w:t>
      </w:r>
    </w:p>
    <w:p w14:paraId="0F90654B" w14:textId="77777777" w:rsidR="00FD1E19" w:rsidRPr="00AE326D" w:rsidRDefault="00FD1E19" w:rsidP="00FD1E19">
      <w:pPr>
        <w:pBdr>
          <w:top w:val="nil"/>
          <w:left w:val="nil"/>
          <w:bottom w:val="nil"/>
          <w:right w:val="nil"/>
          <w:between w:val="nil"/>
          <w:bar w:val="nil"/>
        </w:pBdr>
        <w:spacing w:before="60" w:after="60"/>
        <w:jc w:val="both"/>
        <w:rPr>
          <w:rFonts w:ascii="Arial" w:hAnsi="Arial"/>
          <w:b/>
          <w:bCs/>
          <w:noProof/>
          <w:sz w:val="16"/>
          <w:szCs w:val="16"/>
          <w:bdr w:val="nil"/>
          <w:lang w:eastAsia="ar-SA"/>
        </w:rPr>
      </w:pPr>
    </w:p>
    <w:tbl>
      <w:tblPr>
        <w:tblStyle w:val="CDMRange2"/>
        <w:tblW w:w="5000" w:type="pct"/>
        <w:tblLayout w:type="fixed"/>
        <w:tblLook w:val="0600" w:firstRow="0" w:lastRow="0" w:firstColumn="0" w:lastColumn="0" w:noHBand="1" w:noVBand="1"/>
      </w:tblPr>
      <w:tblGrid>
        <w:gridCol w:w="6792"/>
        <w:gridCol w:w="1463"/>
        <w:gridCol w:w="1463"/>
      </w:tblGrid>
      <w:tr w:rsidR="00FD1E19" w14:paraId="7123E90A" w14:textId="77777777" w:rsidTr="00BE7E4A">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14:paraId="318AB834" w14:textId="77777777" w:rsidR="00FD1E19" w:rsidRDefault="00FD1E19" w:rsidP="00BE7E4A">
            <w:pPr>
              <w:suppressAutoHyphens/>
              <w:rPr>
                <w:rFonts w:ascii="Arial" w:eastAsia="Arial" w:hAnsi="Arial" w:cs="Arial"/>
                <w:b/>
                <w:noProof/>
                <w:color w:val="000000"/>
                <w:sz w:val="16"/>
                <w:lang w:eastAsia="ar-SA"/>
              </w:rPr>
            </w:pPr>
            <w:bookmarkStart w:id="323" w:name="RG_MARKER_90215"/>
            <w:r>
              <w:rPr>
                <w:rFonts w:ascii="Arial" w:eastAsia="Arial" w:hAnsi="Arial" w:cs="Arial"/>
                <w:b/>
                <w:noProof/>
                <w:color w:val="000000"/>
                <w:sz w:val="16"/>
                <w:lang w:eastAsia="ar-SA"/>
              </w:rPr>
              <w:t>in EUR'000</w:t>
            </w:r>
            <w:bookmarkEnd w:id="323"/>
          </w:p>
        </w:tc>
        <w:tc>
          <w:tcPr>
            <w:tcW w:w="1500" w:type="dxa"/>
            <w:tcBorders>
              <w:top w:val="single" w:sz="4" w:space="0" w:color="000000"/>
              <w:left w:val="nil"/>
              <w:bottom w:val="nil"/>
              <w:right w:val="nil"/>
              <w:tl2br w:val="nil"/>
              <w:tr2bl w:val="nil"/>
            </w:tcBorders>
            <w:tcMar>
              <w:left w:w="40" w:type="dxa"/>
              <w:right w:w="40" w:type="dxa"/>
            </w:tcMar>
            <w:vAlign w:val="center"/>
          </w:tcPr>
          <w:p w14:paraId="31C961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01.01.2025</w:t>
            </w:r>
          </w:p>
        </w:tc>
        <w:tc>
          <w:tcPr>
            <w:tcW w:w="1500" w:type="dxa"/>
            <w:tcBorders>
              <w:top w:val="single" w:sz="4" w:space="0" w:color="000000"/>
              <w:left w:val="nil"/>
              <w:bottom w:val="nil"/>
              <w:right w:val="nil"/>
              <w:tl2br w:val="nil"/>
              <w:tr2bl w:val="nil"/>
            </w:tcBorders>
            <w:tcMar>
              <w:left w:w="40" w:type="dxa"/>
              <w:right w:w="40" w:type="dxa"/>
            </w:tcMar>
            <w:vAlign w:val="center"/>
          </w:tcPr>
          <w:p w14:paraId="159E335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01.01.2024</w:t>
            </w:r>
          </w:p>
        </w:tc>
      </w:tr>
      <w:tr w:rsidR="00FD1E19" w14:paraId="145C976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14:paraId="09B0286F"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14:paraId="460BF14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31.12.2025</w:t>
            </w:r>
          </w:p>
        </w:tc>
        <w:tc>
          <w:tcPr>
            <w:tcW w:w="1500" w:type="dxa"/>
            <w:tcBorders>
              <w:top w:val="nil"/>
              <w:left w:val="nil"/>
              <w:bottom w:val="single" w:sz="4" w:space="0" w:color="000000"/>
              <w:right w:val="nil"/>
              <w:tl2br w:val="nil"/>
              <w:tr2bl w:val="nil"/>
            </w:tcBorders>
            <w:tcMar>
              <w:left w:w="40" w:type="dxa"/>
              <w:right w:w="40" w:type="dxa"/>
            </w:tcMar>
            <w:vAlign w:val="center"/>
          </w:tcPr>
          <w:p w14:paraId="5334318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31.12.2024</w:t>
            </w:r>
          </w:p>
        </w:tc>
      </w:tr>
      <w:tr w:rsidR="00FD1E19" w14:paraId="3FC6696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14:paraId="3F292D5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Cash and cash equivalents</w:t>
            </w:r>
          </w:p>
        </w:tc>
        <w:tc>
          <w:tcPr>
            <w:tcW w:w="1500" w:type="dxa"/>
            <w:tcBorders>
              <w:top w:val="single" w:sz="4" w:space="0" w:color="000000"/>
              <w:left w:val="nil"/>
              <w:bottom w:val="nil"/>
              <w:right w:val="nil"/>
              <w:tl2br w:val="nil"/>
              <w:tr2bl w:val="nil"/>
            </w:tcBorders>
            <w:tcMar>
              <w:left w:w="40" w:type="dxa"/>
              <w:right w:w="40" w:type="dxa"/>
            </w:tcMar>
            <w:vAlign w:val="center"/>
          </w:tcPr>
          <w:p w14:paraId="29BC9A0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38,549</w:t>
            </w:r>
          </w:p>
        </w:tc>
        <w:tc>
          <w:tcPr>
            <w:tcW w:w="1500" w:type="dxa"/>
            <w:tcBorders>
              <w:top w:val="single" w:sz="4" w:space="0" w:color="000000"/>
              <w:left w:val="nil"/>
              <w:bottom w:val="nil"/>
              <w:right w:val="nil"/>
              <w:tl2br w:val="nil"/>
              <w:tr2bl w:val="nil"/>
            </w:tcBorders>
            <w:tcMar>
              <w:left w:w="40" w:type="dxa"/>
              <w:right w:w="40" w:type="dxa"/>
            </w:tcMar>
            <w:vAlign w:val="center"/>
          </w:tcPr>
          <w:p w14:paraId="436CCB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56,083</w:t>
            </w:r>
          </w:p>
        </w:tc>
      </w:tr>
      <w:tr w:rsidR="00FD1E19" w14:paraId="67E940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39C7423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500" w:type="dxa"/>
            <w:tcBorders>
              <w:top w:val="nil"/>
              <w:left w:val="nil"/>
              <w:bottom w:val="nil"/>
              <w:right w:val="nil"/>
              <w:tl2br w:val="nil"/>
              <w:tr2bl w:val="nil"/>
            </w:tcBorders>
            <w:tcMar>
              <w:left w:w="40" w:type="dxa"/>
              <w:right w:w="40" w:type="dxa"/>
            </w:tcMar>
            <w:vAlign w:val="center"/>
          </w:tcPr>
          <w:p w14:paraId="2C449DC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67,751</w:t>
            </w:r>
          </w:p>
        </w:tc>
        <w:tc>
          <w:tcPr>
            <w:tcW w:w="1500" w:type="dxa"/>
            <w:tcBorders>
              <w:top w:val="nil"/>
              <w:left w:val="nil"/>
              <w:bottom w:val="nil"/>
              <w:right w:val="nil"/>
              <w:tl2br w:val="nil"/>
              <w:tr2bl w:val="nil"/>
            </w:tcBorders>
            <w:tcMar>
              <w:left w:w="40" w:type="dxa"/>
              <w:right w:w="40" w:type="dxa"/>
            </w:tcMar>
            <w:vAlign w:val="center"/>
          </w:tcPr>
          <w:p w14:paraId="5F66056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90,034</w:t>
            </w:r>
          </w:p>
        </w:tc>
      </w:tr>
      <w:tr w:rsidR="00FD1E19" w14:paraId="027A662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7A5CDF7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Interest subsidies</w:t>
            </w:r>
          </w:p>
        </w:tc>
        <w:tc>
          <w:tcPr>
            <w:tcW w:w="1500" w:type="dxa"/>
            <w:tcBorders>
              <w:top w:val="nil"/>
              <w:left w:val="nil"/>
              <w:bottom w:val="nil"/>
              <w:right w:val="nil"/>
              <w:tl2br w:val="nil"/>
              <w:tr2bl w:val="nil"/>
            </w:tcBorders>
            <w:tcMar>
              <w:left w:w="40" w:type="dxa"/>
              <w:right w:w="40" w:type="dxa"/>
            </w:tcMar>
            <w:vAlign w:val="center"/>
          </w:tcPr>
          <w:p w14:paraId="57F5DE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10,170</w:t>
            </w:r>
          </w:p>
        </w:tc>
        <w:tc>
          <w:tcPr>
            <w:tcW w:w="1500" w:type="dxa"/>
            <w:tcBorders>
              <w:top w:val="nil"/>
              <w:left w:val="nil"/>
              <w:bottom w:val="nil"/>
              <w:right w:val="nil"/>
              <w:tl2br w:val="nil"/>
              <w:tr2bl w:val="nil"/>
            </w:tcBorders>
            <w:tcMar>
              <w:left w:w="40" w:type="dxa"/>
              <w:right w:w="40" w:type="dxa"/>
            </w:tcMar>
            <w:vAlign w:val="center"/>
          </w:tcPr>
          <w:p w14:paraId="0E62E1B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10,484</w:t>
            </w:r>
          </w:p>
        </w:tc>
      </w:tr>
      <w:tr w:rsidR="00FD1E19" w14:paraId="2AAF22A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14:paraId="2CADA7E2"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interest and similar income</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1D0E480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116,470</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47EEAEA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156,601</w:t>
            </w:r>
          </w:p>
        </w:tc>
      </w:tr>
      <w:tr w:rsidR="00FD1E19" w14:paraId="5E5C469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0" w:type="dxa"/>
              <w:right w:w="0" w:type="dxa"/>
            </w:tcMar>
            <w:vAlign w:val="bottom"/>
          </w:tcPr>
          <w:p w14:paraId="1BD0F5F3" w14:textId="77777777" w:rsidR="00FD1E19" w:rsidRDefault="00FD1E19" w:rsidP="00BE7E4A">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bottom"/>
          </w:tcPr>
          <w:p w14:paraId="3A78353B"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tcMar>
              <w:left w:w="0" w:type="dxa"/>
              <w:right w:w="0" w:type="dxa"/>
            </w:tcMar>
            <w:vAlign w:val="bottom"/>
          </w:tcPr>
          <w:p w14:paraId="309EFCFD" w14:textId="77777777" w:rsidR="00FD1E19" w:rsidRDefault="00FD1E19" w:rsidP="00BE7E4A">
            <w:pPr>
              <w:suppressAutoHyphens/>
              <w:rPr>
                <w:rFonts w:ascii="Arial" w:eastAsia="Arial" w:hAnsi="Arial" w:cs="Arial"/>
                <w:noProof/>
                <w:color w:val="000000"/>
                <w:lang w:eastAsia="ar-SA"/>
              </w:rPr>
            </w:pPr>
          </w:p>
        </w:tc>
      </w:tr>
      <w:tr w:rsidR="00FD1E19" w14:paraId="45E173F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9975" w:type="dxa"/>
            <w:gridSpan w:val="3"/>
            <w:tcBorders>
              <w:top w:val="nil"/>
              <w:left w:val="nil"/>
              <w:bottom w:val="nil"/>
              <w:right w:val="nil"/>
              <w:tl2br w:val="nil"/>
              <w:tr2bl w:val="nil"/>
            </w:tcBorders>
            <w:noWrap/>
            <w:tcMar>
              <w:left w:w="0" w:type="dxa"/>
              <w:right w:w="0" w:type="dxa"/>
            </w:tcMar>
            <w:vAlign w:val="center"/>
          </w:tcPr>
          <w:p w14:paraId="150D9A34" w14:textId="77777777" w:rsidR="00FD1E19" w:rsidRDefault="00FD1E19" w:rsidP="00BE7E4A">
            <w:pPr>
              <w:suppressAutoHyphens/>
              <w:rPr>
                <w:rFonts w:ascii="Arial" w:eastAsia="Arial" w:hAnsi="Arial" w:cs="Arial"/>
                <w:noProof/>
                <w:color w:val="000000"/>
                <w:sz w:val="16"/>
                <w:lang w:eastAsia="ar-SA"/>
              </w:rPr>
            </w:pPr>
          </w:p>
        </w:tc>
      </w:tr>
      <w:tr w:rsidR="00FD1E19" w14:paraId="2A821F1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tcMar>
              <w:left w:w="40" w:type="dxa"/>
              <w:right w:w="40" w:type="dxa"/>
            </w:tcMar>
            <w:vAlign w:val="center"/>
          </w:tcPr>
          <w:p w14:paraId="752A919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The main components of interest and similar expenses are as follows:</w:t>
            </w:r>
          </w:p>
        </w:tc>
        <w:tc>
          <w:tcPr>
            <w:tcW w:w="1500" w:type="dxa"/>
            <w:tcBorders>
              <w:top w:val="nil"/>
              <w:left w:val="nil"/>
              <w:bottom w:val="nil"/>
              <w:right w:val="nil"/>
              <w:tl2br w:val="nil"/>
              <w:tr2bl w:val="nil"/>
            </w:tcBorders>
            <w:tcMar>
              <w:left w:w="0" w:type="dxa"/>
              <w:right w:w="0" w:type="dxa"/>
            </w:tcMar>
            <w:vAlign w:val="center"/>
          </w:tcPr>
          <w:p w14:paraId="7D21076D"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tcMar>
              <w:left w:w="0" w:type="dxa"/>
              <w:right w:w="0" w:type="dxa"/>
            </w:tcMar>
            <w:vAlign w:val="center"/>
          </w:tcPr>
          <w:p w14:paraId="7726E73E"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6E0E406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14:paraId="5CEFD95F"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0" w:type="dxa"/>
              <w:right w:w="0" w:type="dxa"/>
            </w:tcMar>
            <w:vAlign w:val="center"/>
          </w:tcPr>
          <w:p w14:paraId="787302CD" w14:textId="77777777" w:rsidR="00FD1E19" w:rsidRDefault="00FD1E19" w:rsidP="00BE7E4A">
            <w:pPr>
              <w:suppressAutoHyphens/>
              <w:jc w:val="right"/>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0" w:type="dxa"/>
              <w:right w:w="0" w:type="dxa"/>
            </w:tcMar>
            <w:vAlign w:val="center"/>
          </w:tcPr>
          <w:p w14:paraId="6F3F64E3" w14:textId="77777777" w:rsidR="00FD1E19" w:rsidRDefault="00FD1E19" w:rsidP="00BE7E4A">
            <w:pPr>
              <w:suppressAutoHyphens/>
              <w:jc w:val="right"/>
              <w:rPr>
                <w:rFonts w:ascii="Arial" w:eastAsia="Arial" w:hAnsi="Arial" w:cs="Arial"/>
                <w:b/>
                <w:noProof/>
                <w:color w:val="000000"/>
                <w:sz w:val="16"/>
                <w:lang w:eastAsia="ar-SA"/>
              </w:rPr>
            </w:pPr>
          </w:p>
        </w:tc>
      </w:tr>
      <w:tr w:rsidR="00FD1E19" w14:paraId="4099A5D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14:paraId="33C913C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nil"/>
              <w:right w:val="nil"/>
              <w:tl2br w:val="nil"/>
              <w:tr2bl w:val="nil"/>
            </w:tcBorders>
            <w:tcMar>
              <w:left w:w="40" w:type="dxa"/>
              <w:right w:w="40" w:type="dxa"/>
            </w:tcMar>
            <w:vAlign w:val="center"/>
          </w:tcPr>
          <w:p w14:paraId="4408458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 2025</w:t>
            </w:r>
          </w:p>
        </w:tc>
        <w:tc>
          <w:tcPr>
            <w:tcW w:w="1500" w:type="dxa"/>
            <w:tcBorders>
              <w:top w:val="single" w:sz="4" w:space="0" w:color="000000"/>
              <w:left w:val="nil"/>
              <w:bottom w:val="nil"/>
              <w:right w:val="nil"/>
              <w:tl2br w:val="nil"/>
              <w:tr2bl w:val="nil"/>
            </w:tcBorders>
            <w:tcMar>
              <w:left w:w="40" w:type="dxa"/>
              <w:right w:w="40" w:type="dxa"/>
            </w:tcMar>
            <w:vAlign w:val="center"/>
          </w:tcPr>
          <w:p w14:paraId="0C5F57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 2024</w:t>
            </w:r>
          </w:p>
        </w:tc>
      </w:tr>
      <w:tr w:rsidR="00FD1E19" w14:paraId="38E566B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tcMar>
              <w:left w:w="0" w:type="dxa"/>
              <w:right w:w="0" w:type="dxa"/>
            </w:tcMar>
            <w:vAlign w:val="center"/>
          </w:tcPr>
          <w:p w14:paraId="617C1932"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14:paraId="70DF892C"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31.12.2025</w:t>
            </w:r>
          </w:p>
        </w:tc>
        <w:tc>
          <w:tcPr>
            <w:tcW w:w="1500" w:type="dxa"/>
            <w:tcBorders>
              <w:top w:val="nil"/>
              <w:left w:val="nil"/>
              <w:bottom w:val="single" w:sz="4" w:space="0" w:color="000000"/>
              <w:right w:val="nil"/>
              <w:tl2br w:val="nil"/>
              <w:tr2bl w:val="nil"/>
            </w:tcBorders>
            <w:tcMar>
              <w:left w:w="40" w:type="dxa"/>
              <w:right w:w="40" w:type="dxa"/>
            </w:tcMar>
            <w:vAlign w:val="center"/>
          </w:tcPr>
          <w:p w14:paraId="4A9E606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31.12.2024</w:t>
            </w:r>
          </w:p>
        </w:tc>
      </w:tr>
      <w:tr w:rsidR="00FD1E19" w14:paraId="7B76662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40" w:type="dxa"/>
              <w:right w:w="40" w:type="dxa"/>
            </w:tcMar>
            <w:vAlign w:val="center"/>
          </w:tcPr>
          <w:p w14:paraId="53A1B09A"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Derivative financial instruments</w:t>
            </w:r>
          </w:p>
        </w:tc>
        <w:tc>
          <w:tcPr>
            <w:tcW w:w="1500" w:type="dxa"/>
            <w:tcBorders>
              <w:top w:val="single" w:sz="4" w:space="0" w:color="000000"/>
              <w:left w:val="nil"/>
              <w:bottom w:val="nil"/>
              <w:right w:val="nil"/>
              <w:tl2br w:val="nil"/>
              <w:tr2bl w:val="nil"/>
            </w:tcBorders>
            <w:tcMar>
              <w:left w:w="40" w:type="dxa"/>
              <w:right w:w="40" w:type="dxa"/>
            </w:tcMar>
            <w:vAlign w:val="center"/>
          </w:tcPr>
          <w:p w14:paraId="7D00DA0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-1,700</w:t>
            </w:r>
          </w:p>
        </w:tc>
        <w:tc>
          <w:tcPr>
            <w:tcW w:w="1500" w:type="dxa"/>
            <w:tcBorders>
              <w:top w:val="single" w:sz="4" w:space="0" w:color="000000"/>
              <w:left w:val="nil"/>
              <w:bottom w:val="nil"/>
              <w:right w:val="nil"/>
              <w:tl2br w:val="nil"/>
              <w:tr2bl w:val="nil"/>
            </w:tcBorders>
            <w:tcMar>
              <w:left w:w="40" w:type="dxa"/>
              <w:right w:w="40" w:type="dxa"/>
            </w:tcMar>
            <w:vAlign w:val="center"/>
          </w:tcPr>
          <w:p w14:paraId="24B98029"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-1,805</w:t>
            </w:r>
          </w:p>
        </w:tc>
      </w:tr>
      <w:tr w:rsidR="00FD1E19" w14:paraId="4D084CE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3C3C3"/>
            <w:tcMar>
              <w:left w:w="40" w:type="dxa"/>
              <w:right w:w="40" w:type="dxa"/>
            </w:tcMar>
            <w:vAlign w:val="center"/>
          </w:tcPr>
          <w:p w14:paraId="0839EE64"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interest and similar expenses</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317B2E7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-1,700</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5DB3928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-1,805</w:t>
            </w:r>
          </w:p>
        </w:tc>
      </w:tr>
    </w:tbl>
    <w:p w14:paraId="527C4025" w14:textId="77777777" w:rsidR="00FD1E19"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val="en-US" w:eastAsia="ar-SA"/>
        </w:rPr>
      </w:pPr>
      <w:bookmarkStart w:id="324" w:name="RG_MARKER_90217"/>
      <w:bookmarkStart w:id="325" w:name="RG_MARKER_90216"/>
      <w:r w:rsidRPr="004F08B1">
        <w:rPr>
          <w:rFonts w:ascii="Arial" w:hAnsi="Arial"/>
          <w:b/>
          <w:noProof/>
          <w:sz w:val="20"/>
          <w:lang w:val="en-US" w:eastAsia="ar-SA"/>
        </w:rPr>
        <w:t>20</w:t>
      </w:r>
      <w:bookmarkEnd w:id="324"/>
      <w:bookmarkEnd w:id="325"/>
      <w:r>
        <w:rPr>
          <w:rFonts w:ascii="Arial" w:hAnsi="Arial"/>
          <w:b/>
          <w:noProof/>
          <w:sz w:val="20"/>
          <w:lang w:val="en-US" w:eastAsia="ar-SA"/>
        </w:rPr>
        <w:tab/>
        <w:t xml:space="preserve">Fee and commission income and expenses </w:t>
      </w:r>
    </w:p>
    <w:p w14:paraId="03B5A4AF"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6A7B8DDC"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The main component</w:t>
      </w:r>
      <w:r>
        <w:rPr>
          <w:rFonts w:ascii="Arial" w:hAnsi="Arial"/>
          <w:noProof/>
          <w:sz w:val="16"/>
          <w:szCs w:val="16"/>
          <w:lang w:eastAsia="ar-SA"/>
        </w:rPr>
        <w:t>s</w:t>
      </w:r>
      <w:r w:rsidRPr="00BD1346">
        <w:rPr>
          <w:rFonts w:ascii="Arial" w:hAnsi="Arial"/>
          <w:noProof/>
          <w:sz w:val="16"/>
          <w:szCs w:val="16"/>
          <w:lang w:eastAsia="ar-SA"/>
        </w:rPr>
        <w:t xml:space="preserve"> of fee and c</w:t>
      </w:r>
      <w:r>
        <w:rPr>
          <w:rFonts w:ascii="Arial" w:hAnsi="Arial"/>
          <w:noProof/>
          <w:sz w:val="16"/>
          <w:szCs w:val="16"/>
          <w:lang w:eastAsia="ar-SA"/>
        </w:rPr>
        <w:t>ommission income are as follows:</w:t>
      </w:r>
    </w:p>
    <w:tbl>
      <w:tblPr>
        <w:tblStyle w:val="CDMRange1"/>
        <w:tblW w:w="5000" w:type="pct"/>
        <w:tblLayout w:type="fixed"/>
        <w:tblLook w:val="0600" w:firstRow="0" w:lastRow="0" w:firstColumn="0" w:lastColumn="0" w:noHBand="1" w:noVBand="1"/>
      </w:tblPr>
      <w:tblGrid>
        <w:gridCol w:w="6792"/>
        <w:gridCol w:w="1463"/>
        <w:gridCol w:w="1463"/>
      </w:tblGrid>
      <w:tr w:rsidR="00FD1E19" w14:paraId="0DA4C16A" w14:textId="77777777" w:rsidTr="00BE7E4A">
        <w:trPr>
          <w:trHeight w:hRule="exact" w:val="250"/>
        </w:trPr>
        <w:tc>
          <w:tcPr>
            <w:tcW w:w="6975" w:type="dxa"/>
            <w:tcBorders>
              <w:top w:val="single" w:sz="4" w:space="0" w:color="000000"/>
              <w:left w:val="nil"/>
              <w:bottom w:val="nil"/>
              <w:right w:val="nil"/>
              <w:tl2br w:val="nil"/>
              <w:tr2bl w:val="nil"/>
            </w:tcBorders>
            <w:noWrap/>
            <w:tcMar>
              <w:left w:w="40" w:type="dxa"/>
              <w:right w:w="40" w:type="dxa"/>
            </w:tcMar>
            <w:vAlign w:val="bottom"/>
          </w:tcPr>
          <w:p w14:paraId="20FE2B48" w14:textId="77777777" w:rsidR="00FD1E19" w:rsidRDefault="00FD1E19" w:rsidP="00BE7E4A">
            <w:pPr>
              <w:suppressAutoHyphens/>
              <w:rPr>
                <w:rFonts w:ascii="Arial" w:eastAsia="Arial" w:hAnsi="Arial" w:cs="Arial"/>
                <w:b/>
                <w:noProof/>
                <w:color w:val="000000"/>
                <w:sz w:val="16"/>
                <w:lang w:eastAsia="ar-SA"/>
              </w:rPr>
            </w:pPr>
            <w:bookmarkStart w:id="326" w:name="RG_MARKER_90218"/>
            <w:r>
              <w:rPr>
                <w:rFonts w:ascii="Arial" w:eastAsia="Arial" w:hAnsi="Arial" w:cs="Arial"/>
                <w:b/>
                <w:noProof/>
                <w:color w:val="000000"/>
                <w:sz w:val="16"/>
                <w:lang w:eastAsia="ar-SA"/>
              </w:rPr>
              <w:t>in EUR'000</w:t>
            </w:r>
            <w:bookmarkEnd w:id="326"/>
          </w:p>
        </w:tc>
        <w:tc>
          <w:tcPr>
            <w:tcW w:w="1500" w:type="dxa"/>
            <w:tcBorders>
              <w:top w:val="single" w:sz="4" w:space="0" w:color="000000"/>
              <w:left w:val="nil"/>
              <w:bottom w:val="nil"/>
              <w:right w:val="nil"/>
              <w:tl2br w:val="nil"/>
              <w:tr2bl w:val="nil"/>
            </w:tcBorders>
            <w:tcMar>
              <w:left w:w="40" w:type="dxa"/>
              <w:right w:w="40" w:type="dxa"/>
            </w:tcMar>
            <w:vAlign w:val="center"/>
          </w:tcPr>
          <w:p w14:paraId="51CF346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01.01.2025</w:t>
            </w:r>
          </w:p>
        </w:tc>
        <w:tc>
          <w:tcPr>
            <w:tcW w:w="1500" w:type="dxa"/>
            <w:tcBorders>
              <w:top w:val="single" w:sz="4" w:space="0" w:color="000000"/>
              <w:left w:val="nil"/>
              <w:bottom w:val="nil"/>
              <w:right w:val="nil"/>
              <w:tl2br w:val="nil"/>
              <w:tr2bl w:val="nil"/>
            </w:tcBorders>
            <w:tcMar>
              <w:left w:w="40" w:type="dxa"/>
              <w:right w:w="40" w:type="dxa"/>
            </w:tcMar>
            <w:vAlign w:val="center"/>
          </w:tcPr>
          <w:p w14:paraId="15197B8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01.01.2024</w:t>
            </w:r>
          </w:p>
        </w:tc>
      </w:tr>
      <w:tr w:rsidR="00FD1E19" w14:paraId="512C650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single" w:sz="4" w:space="0" w:color="000000"/>
              <w:right w:val="nil"/>
              <w:tl2br w:val="nil"/>
              <w:tr2bl w:val="nil"/>
            </w:tcBorders>
            <w:tcMar>
              <w:left w:w="0" w:type="dxa"/>
              <w:right w:w="0" w:type="dxa"/>
            </w:tcMar>
            <w:vAlign w:val="center"/>
          </w:tcPr>
          <w:p w14:paraId="049CAB0C"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14:paraId="095A8CE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31.12.2025</w:t>
            </w:r>
          </w:p>
        </w:tc>
        <w:tc>
          <w:tcPr>
            <w:tcW w:w="1500" w:type="dxa"/>
            <w:tcBorders>
              <w:top w:val="nil"/>
              <w:left w:val="nil"/>
              <w:bottom w:val="single" w:sz="4" w:space="0" w:color="000000"/>
              <w:right w:val="nil"/>
              <w:tl2br w:val="nil"/>
              <w:tr2bl w:val="nil"/>
            </w:tcBorders>
            <w:tcMar>
              <w:left w:w="40" w:type="dxa"/>
              <w:right w:w="40" w:type="dxa"/>
            </w:tcMar>
            <w:vAlign w:val="center"/>
          </w:tcPr>
          <w:p w14:paraId="71DD485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31.12.2024</w:t>
            </w:r>
          </w:p>
        </w:tc>
      </w:tr>
      <w:tr w:rsidR="00FD1E19" w14:paraId="6221A6A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14:paraId="2F2CA57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Fee and commission on loans and advances</w:t>
            </w:r>
          </w:p>
        </w:tc>
        <w:tc>
          <w:tcPr>
            <w:tcW w:w="1500" w:type="dxa"/>
            <w:tcBorders>
              <w:top w:val="single" w:sz="4" w:space="0" w:color="000000"/>
              <w:left w:val="nil"/>
              <w:bottom w:val="nil"/>
              <w:right w:val="nil"/>
              <w:tl2br w:val="nil"/>
              <w:tr2bl w:val="nil"/>
            </w:tcBorders>
            <w:tcMar>
              <w:left w:w="40" w:type="dxa"/>
              <w:right w:w="40" w:type="dxa"/>
            </w:tcMar>
            <w:vAlign w:val="center"/>
          </w:tcPr>
          <w:p w14:paraId="5ED4C3F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4,070</w:t>
            </w:r>
          </w:p>
        </w:tc>
        <w:tc>
          <w:tcPr>
            <w:tcW w:w="1500" w:type="dxa"/>
            <w:tcBorders>
              <w:top w:val="single" w:sz="4" w:space="0" w:color="000000"/>
              <w:left w:val="nil"/>
              <w:bottom w:val="nil"/>
              <w:right w:val="nil"/>
              <w:tl2br w:val="nil"/>
              <w:tr2bl w:val="nil"/>
            </w:tcBorders>
            <w:tcMar>
              <w:left w:w="40" w:type="dxa"/>
              <w:right w:w="40" w:type="dxa"/>
            </w:tcMar>
            <w:vAlign w:val="center"/>
          </w:tcPr>
          <w:p w14:paraId="236E864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DD2D3F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14:paraId="40027D1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Fee and commission on financial guarantees</w:t>
            </w:r>
          </w:p>
        </w:tc>
        <w:tc>
          <w:tcPr>
            <w:tcW w:w="1500" w:type="dxa"/>
            <w:tcBorders>
              <w:top w:val="nil"/>
              <w:left w:val="nil"/>
              <w:bottom w:val="nil"/>
              <w:right w:val="nil"/>
              <w:tl2br w:val="nil"/>
              <w:tr2bl w:val="nil"/>
            </w:tcBorders>
            <w:tcMar>
              <w:left w:w="40" w:type="dxa"/>
              <w:right w:w="40" w:type="dxa"/>
            </w:tcMar>
            <w:vAlign w:val="center"/>
          </w:tcPr>
          <w:p w14:paraId="3A85352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w:t>
            </w:r>
          </w:p>
        </w:tc>
        <w:tc>
          <w:tcPr>
            <w:tcW w:w="1500" w:type="dxa"/>
            <w:tcBorders>
              <w:top w:val="nil"/>
              <w:left w:val="nil"/>
              <w:bottom w:val="nil"/>
              <w:right w:val="nil"/>
              <w:tl2br w:val="nil"/>
              <w:tr2bl w:val="nil"/>
            </w:tcBorders>
            <w:tcMar>
              <w:left w:w="40" w:type="dxa"/>
              <w:right w:w="40" w:type="dxa"/>
            </w:tcMar>
            <w:vAlign w:val="center"/>
          </w:tcPr>
          <w:p w14:paraId="23548DD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20</w:t>
            </w:r>
          </w:p>
        </w:tc>
      </w:tr>
      <w:tr w:rsidR="00FD1E19" w14:paraId="45D3FC0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14:paraId="1C1B6B0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fee and commission income</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62E698F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4,103</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4387A50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20</w:t>
            </w:r>
          </w:p>
        </w:tc>
      </w:tr>
      <w:tr w:rsidR="00FD1E19" w14:paraId="657782F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0" w:type="dxa"/>
              <w:right w:w="0" w:type="dxa"/>
            </w:tcMar>
            <w:vAlign w:val="center"/>
          </w:tcPr>
          <w:p w14:paraId="70796320" w14:textId="77777777" w:rsidR="00FD1E19" w:rsidRDefault="00FD1E19" w:rsidP="00BE7E4A">
            <w:pPr>
              <w:suppressAutoHyphens/>
              <w:rPr>
                <w:rFonts w:ascii="Arial" w:eastAsia="Arial" w:hAnsi="Arial" w:cs="Arial"/>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14:paraId="7BDCABBF" w14:textId="77777777" w:rsidR="00FD1E19" w:rsidRDefault="00FD1E19" w:rsidP="00BE7E4A">
            <w:pPr>
              <w:suppressAutoHyphens/>
              <w:rPr>
                <w:rFonts w:ascii="Arial" w:eastAsia="Arial" w:hAnsi="Arial" w:cs="Arial"/>
                <w:noProof/>
                <w:color w:val="000000"/>
                <w:lang w:eastAsia="ar-SA"/>
              </w:rPr>
            </w:pPr>
          </w:p>
        </w:tc>
        <w:tc>
          <w:tcPr>
            <w:tcW w:w="1500" w:type="dxa"/>
            <w:tcBorders>
              <w:top w:val="nil"/>
              <w:left w:val="nil"/>
              <w:bottom w:val="nil"/>
              <w:right w:val="nil"/>
              <w:tl2br w:val="nil"/>
              <w:tr2bl w:val="nil"/>
            </w:tcBorders>
            <w:noWrap/>
            <w:tcMar>
              <w:left w:w="0" w:type="dxa"/>
              <w:right w:w="0" w:type="dxa"/>
            </w:tcMar>
            <w:vAlign w:val="bottom"/>
          </w:tcPr>
          <w:p w14:paraId="5BB5B898" w14:textId="77777777" w:rsidR="00FD1E19" w:rsidRDefault="00FD1E19" w:rsidP="00BE7E4A">
            <w:pPr>
              <w:suppressAutoHyphens/>
              <w:rPr>
                <w:rFonts w:ascii="Arial" w:eastAsia="Arial" w:hAnsi="Arial" w:cs="Arial"/>
                <w:noProof/>
                <w:color w:val="000000"/>
                <w:lang w:eastAsia="ar-SA"/>
              </w:rPr>
            </w:pPr>
          </w:p>
        </w:tc>
      </w:tr>
      <w:tr w:rsidR="00FD1E19" w14:paraId="2E82463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9975" w:type="dxa"/>
            <w:gridSpan w:val="3"/>
            <w:tcBorders>
              <w:top w:val="nil"/>
              <w:left w:val="nil"/>
              <w:bottom w:val="single" w:sz="4" w:space="0" w:color="000000"/>
              <w:right w:val="nil"/>
              <w:tl2br w:val="nil"/>
              <w:tr2bl w:val="nil"/>
            </w:tcBorders>
            <w:tcMar>
              <w:left w:w="40" w:type="dxa"/>
              <w:right w:w="40" w:type="dxa"/>
            </w:tcMar>
            <w:vAlign w:val="center"/>
          </w:tcPr>
          <w:p w14:paraId="34E7750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The main component of fee and commission expenses is as follows:</w:t>
            </w:r>
          </w:p>
        </w:tc>
      </w:tr>
      <w:tr w:rsidR="00FD1E19" w14:paraId="76581F1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14:paraId="56CCABA8"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in EUR'000</w:t>
            </w:r>
          </w:p>
        </w:tc>
        <w:tc>
          <w:tcPr>
            <w:tcW w:w="1500" w:type="dxa"/>
            <w:tcBorders>
              <w:top w:val="single" w:sz="4" w:space="0" w:color="000000"/>
              <w:left w:val="nil"/>
              <w:bottom w:val="nil"/>
              <w:right w:val="nil"/>
              <w:tl2br w:val="nil"/>
              <w:tr2bl w:val="nil"/>
            </w:tcBorders>
            <w:tcMar>
              <w:left w:w="40" w:type="dxa"/>
              <w:right w:w="40" w:type="dxa"/>
            </w:tcMar>
            <w:vAlign w:val="center"/>
          </w:tcPr>
          <w:p w14:paraId="04E239A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01.01.2025</w:t>
            </w:r>
          </w:p>
        </w:tc>
        <w:tc>
          <w:tcPr>
            <w:tcW w:w="1500" w:type="dxa"/>
            <w:tcBorders>
              <w:top w:val="single" w:sz="4" w:space="0" w:color="000000"/>
              <w:left w:val="nil"/>
              <w:bottom w:val="nil"/>
              <w:right w:val="nil"/>
              <w:tl2br w:val="nil"/>
              <w:tr2bl w:val="nil"/>
            </w:tcBorders>
            <w:tcMar>
              <w:left w:w="40" w:type="dxa"/>
              <w:right w:w="40" w:type="dxa"/>
            </w:tcMar>
            <w:vAlign w:val="center"/>
          </w:tcPr>
          <w:p w14:paraId="75CA8B8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01.01.2024</w:t>
            </w:r>
          </w:p>
        </w:tc>
      </w:tr>
      <w:tr w:rsidR="00FD1E19" w14:paraId="2481CDE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single" w:sz="4" w:space="0" w:color="000000"/>
              <w:right w:val="nil"/>
              <w:tl2br w:val="nil"/>
              <w:tr2bl w:val="nil"/>
            </w:tcBorders>
            <w:tcMar>
              <w:left w:w="0" w:type="dxa"/>
              <w:right w:w="0" w:type="dxa"/>
            </w:tcMar>
            <w:vAlign w:val="center"/>
          </w:tcPr>
          <w:p w14:paraId="2DADE690"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14:paraId="0372EC1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31.12.2025</w:t>
            </w:r>
          </w:p>
        </w:tc>
        <w:tc>
          <w:tcPr>
            <w:tcW w:w="1500" w:type="dxa"/>
            <w:tcBorders>
              <w:top w:val="nil"/>
              <w:left w:val="nil"/>
              <w:bottom w:val="single" w:sz="4" w:space="0" w:color="000000"/>
              <w:right w:val="nil"/>
              <w:tl2br w:val="nil"/>
              <w:tr2bl w:val="nil"/>
            </w:tcBorders>
            <w:tcMar>
              <w:left w:w="40" w:type="dxa"/>
              <w:right w:w="40" w:type="dxa"/>
            </w:tcMar>
            <w:vAlign w:val="center"/>
          </w:tcPr>
          <w:p w14:paraId="6AD9118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31.12.2024</w:t>
            </w:r>
          </w:p>
        </w:tc>
      </w:tr>
      <w:tr w:rsidR="00FD1E19" w14:paraId="2324073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14:paraId="22C4950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Commission paid to third parties with regard to shares and other variable yield securities</w:t>
            </w:r>
          </w:p>
        </w:tc>
        <w:tc>
          <w:tcPr>
            <w:tcW w:w="1500" w:type="dxa"/>
            <w:tcBorders>
              <w:top w:val="single" w:sz="4" w:space="0" w:color="000000"/>
              <w:left w:val="nil"/>
              <w:bottom w:val="nil"/>
              <w:right w:val="nil"/>
              <w:tl2br w:val="nil"/>
              <w:tr2bl w:val="nil"/>
            </w:tcBorders>
            <w:tcMar>
              <w:left w:w="40" w:type="dxa"/>
              <w:right w:w="40" w:type="dxa"/>
            </w:tcMar>
            <w:vAlign w:val="center"/>
          </w:tcPr>
          <w:p w14:paraId="6A96B27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-88</w:t>
            </w:r>
          </w:p>
        </w:tc>
        <w:tc>
          <w:tcPr>
            <w:tcW w:w="1500" w:type="dxa"/>
            <w:tcBorders>
              <w:top w:val="single" w:sz="4" w:space="0" w:color="000000"/>
              <w:left w:val="nil"/>
              <w:bottom w:val="nil"/>
              <w:right w:val="nil"/>
              <w:tl2br w:val="nil"/>
              <w:tr2bl w:val="nil"/>
            </w:tcBorders>
            <w:tcMar>
              <w:left w:w="40" w:type="dxa"/>
              <w:right w:w="40" w:type="dxa"/>
            </w:tcMar>
            <w:vAlign w:val="center"/>
          </w:tcPr>
          <w:p w14:paraId="3248850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-212</w:t>
            </w:r>
          </w:p>
        </w:tc>
      </w:tr>
      <w:tr w:rsidR="00FD1E19" w14:paraId="0A71018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3C3C3"/>
            <w:tcMar>
              <w:left w:w="40" w:type="dxa"/>
              <w:right w:w="40" w:type="dxa"/>
            </w:tcMar>
            <w:vAlign w:val="center"/>
          </w:tcPr>
          <w:p w14:paraId="38352F6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fee and commission expenses</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6B696B1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-88</w:t>
            </w:r>
          </w:p>
        </w:tc>
        <w:tc>
          <w:tcPr>
            <w:tcW w:w="1500" w:type="dxa"/>
            <w:tcBorders>
              <w:top w:val="nil"/>
              <w:left w:val="nil"/>
              <w:bottom w:val="nil"/>
              <w:right w:val="nil"/>
              <w:tl2br w:val="nil"/>
              <w:tr2bl w:val="nil"/>
            </w:tcBorders>
            <w:shd w:val="clear" w:color="FFFFFF" w:fill="C3C3C3"/>
            <w:tcMar>
              <w:left w:w="40" w:type="dxa"/>
              <w:right w:w="40" w:type="dxa"/>
            </w:tcMar>
            <w:vAlign w:val="center"/>
          </w:tcPr>
          <w:p w14:paraId="463F6E2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-212</w:t>
            </w:r>
          </w:p>
        </w:tc>
      </w:tr>
    </w:tbl>
    <w:p w14:paraId="2C5405C3" w14:textId="77777777" w:rsidR="00FD1E19"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val="en-US" w:eastAsia="ar-SA"/>
        </w:rPr>
      </w:pPr>
      <w:bookmarkStart w:id="327" w:name="RG_MARKER_90219"/>
      <w:bookmarkStart w:id="328" w:name="RG_MARKER_90220"/>
      <w:bookmarkEnd w:id="327"/>
      <w:bookmarkEnd w:id="328"/>
    </w:p>
    <w:p w14:paraId="2E6DD764" w14:textId="77777777" w:rsidR="00FD1E19" w:rsidRPr="00B5536F"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eastAsia="ar-SA"/>
        </w:rPr>
      </w:pPr>
      <w:r w:rsidRPr="0086662D">
        <w:rPr>
          <w:rFonts w:ascii="Arial" w:hAnsi="Arial"/>
          <w:b/>
          <w:noProof/>
          <w:sz w:val="20"/>
          <w:lang w:val="en-US" w:eastAsia="ar-SA"/>
        </w:rPr>
        <w:t>21</w:t>
      </w:r>
      <w:r>
        <w:rPr>
          <w:rFonts w:ascii="Arial" w:hAnsi="Arial"/>
          <w:b/>
          <w:noProof/>
          <w:sz w:val="20"/>
          <w:lang w:val="en-US" w:eastAsia="ar-SA"/>
        </w:rPr>
        <w:t xml:space="preserve"> </w:t>
      </w:r>
      <w:r>
        <w:rPr>
          <w:rFonts w:ascii="Arial" w:hAnsi="Arial"/>
          <w:b/>
          <w:noProof/>
          <w:sz w:val="20"/>
          <w:lang w:val="en-US" w:eastAsia="ar-SA"/>
        </w:rPr>
        <w:tab/>
        <w:t>Net result on shares and other variable yield securities</w:t>
      </w:r>
    </w:p>
    <w:p w14:paraId="46ECF118"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0AE9F06D"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main components of </w:t>
      </w:r>
      <w:r>
        <w:rPr>
          <w:rFonts w:ascii="Arial" w:hAnsi="Arial"/>
          <w:noProof/>
          <w:sz w:val="16"/>
          <w:szCs w:val="16"/>
          <w:lang w:eastAsia="ar-SA"/>
        </w:rPr>
        <w:t xml:space="preserve">the </w:t>
      </w:r>
      <w:r w:rsidRPr="00BD1346">
        <w:rPr>
          <w:rFonts w:ascii="Arial" w:hAnsi="Arial"/>
          <w:noProof/>
          <w:sz w:val="16"/>
          <w:szCs w:val="16"/>
          <w:lang w:eastAsia="ar-SA"/>
        </w:rPr>
        <w:t xml:space="preserve">net </w:t>
      </w:r>
      <w:r>
        <w:rPr>
          <w:rFonts w:ascii="Arial" w:hAnsi="Arial"/>
          <w:noProof/>
          <w:sz w:val="16"/>
          <w:szCs w:val="16"/>
          <w:lang w:eastAsia="ar-SA"/>
        </w:rPr>
        <w:t>result</w:t>
      </w:r>
      <w:r w:rsidRPr="00BD1346">
        <w:rPr>
          <w:rFonts w:ascii="Arial" w:hAnsi="Arial"/>
          <w:noProof/>
          <w:sz w:val="16"/>
          <w:szCs w:val="16"/>
          <w:lang w:eastAsia="ar-SA"/>
        </w:rPr>
        <w:t xml:space="preserve"> on </w:t>
      </w:r>
      <w:r>
        <w:rPr>
          <w:rFonts w:ascii="Arial" w:hAnsi="Arial"/>
          <w:noProof/>
          <w:sz w:val="16"/>
          <w:szCs w:val="16"/>
          <w:lang w:eastAsia="ar-SA"/>
        </w:rPr>
        <w:t>shares and other variable yield securities</w:t>
      </w:r>
      <w:r w:rsidRPr="0079317B">
        <w:rPr>
          <w:rFonts w:ascii="Arial" w:hAnsi="Arial"/>
          <w:noProof/>
          <w:sz w:val="16"/>
          <w:szCs w:val="16"/>
          <w:lang w:eastAsia="ar-SA"/>
        </w:rPr>
        <w:t xml:space="preserve"> </w:t>
      </w:r>
      <w:r w:rsidRPr="00BD1346">
        <w:rPr>
          <w:rFonts w:ascii="Arial" w:hAnsi="Arial"/>
          <w:noProof/>
          <w:sz w:val="16"/>
          <w:szCs w:val="16"/>
          <w:lang w:eastAsia="ar-SA"/>
        </w:rPr>
        <w:t>are as follows:</w:t>
      </w:r>
    </w:p>
    <w:tbl>
      <w:tblPr>
        <w:tblStyle w:val="CDMRange2"/>
        <w:tblW w:w="5000" w:type="pct"/>
        <w:tblLayout w:type="fixed"/>
        <w:tblLook w:val="0600" w:firstRow="0" w:lastRow="0" w:firstColumn="0" w:lastColumn="0" w:noHBand="1" w:noVBand="1"/>
      </w:tblPr>
      <w:tblGrid>
        <w:gridCol w:w="6792"/>
        <w:gridCol w:w="1463"/>
        <w:gridCol w:w="1463"/>
      </w:tblGrid>
      <w:tr w:rsidR="00FD1E19" w14:paraId="15A68AE9" w14:textId="77777777" w:rsidTr="00BE7E4A">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bottom"/>
          </w:tcPr>
          <w:p w14:paraId="4BB93CBF" w14:textId="77777777" w:rsidR="00FD1E19" w:rsidRDefault="00FD1E19" w:rsidP="00BE7E4A">
            <w:pPr>
              <w:suppressAutoHyphens/>
              <w:rPr>
                <w:rFonts w:ascii="Arial" w:eastAsia="Arial" w:hAnsi="Arial" w:cs="Arial"/>
                <w:b/>
                <w:noProof/>
                <w:color w:val="000000"/>
                <w:sz w:val="16"/>
                <w:lang w:eastAsia="ar-SA"/>
              </w:rPr>
            </w:pPr>
            <w:bookmarkStart w:id="329" w:name="RG_MARKER_90221"/>
            <w:r>
              <w:rPr>
                <w:rFonts w:ascii="Arial" w:eastAsia="Arial" w:hAnsi="Arial" w:cs="Arial"/>
                <w:b/>
                <w:noProof/>
                <w:color w:val="000000"/>
                <w:sz w:val="16"/>
                <w:lang w:eastAsia="ar-SA"/>
              </w:rPr>
              <w:t>in EUR'000</w:t>
            </w:r>
            <w:bookmarkEnd w:id="329"/>
          </w:p>
        </w:tc>
        <w:tc>
          <w:tcPr>
            <w:tcW w:w="1500" w:type="dxa"/>
            <w:tcBorders>
              <w:top w:val="single" w:sz="4" w:space="0" w:color="000000"/>
              <w:left w:val="nil"/>
              <w:bottom w:val="nil"/>
              <w:right w:val="nil"/>
              <w:tl2br w:val="nil"/>
              <w:tr2bl w:val="nil"/>
            </w:tcBorders>
            <w:tcMar>
              <w:left w:w="40" w:type="dxa"/>
              <w:right w:w="40" w:type="dxa"/>
            </w:tcMar>
            <w:vAlign w:val="center"/>
          </w:tcPr>
          <w:p w14:paraId="1C5C393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01.01.2025</w:t>
            </w:r>
          </w:p>
        </w:tc>
        <w:tc>
          <w:tcPr>
            <w:tcW w:w="1500" w:type="dxa"/>
            <w:tcBorders>
              <w:top w:val="single" w:sz="4" w:space="0" w:color="000000"/>
              <w:left w:val="nil"/>
              <w:bottom w:val="nil"/>
              <w:right w:val="nil"/>
              <w:tl2br w:val="nil"/>
              <w:tr2bl w:val="nil"/>
            </w:tcBorders>
            <w:tcMar>
              <w:left w:w="40" w:type="dxa"/>
              <w:right w:w="40" w:type="dxa"/>
            </w:tcMar>
            <w:vAlign w:val="center"/>
          </w:tcPr>
          <w:p w14:paraId="190CA87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01.01.2024</w:t>
            </w:r>
          </w:p>
        </w:tc>
      </w:tr>
      <w:tr w:rsidR="00FD1E19" w14:paraId="2B3ED259"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60"/>
        </w:trPr>
        <w:tc>
          <w:tcPr>
            <w:tcW w:w="6975" w:type="dxa"/>
            <w:tcBorders>
              <w:top w:val="nil"/>
              <w:left w:val="nil"/>
              <w:bottom w:val="single" w:sz="4" w:space="0" w:color="000000"/>
              <w:right w:val="nil"/>
              <w:tl2br w:val="nil"/>
              <w:tr2bl w:val="nil"/>
            </w:tcBorders>
            <w:tcMar>
              <w:left w:w="0" w:type="dxa"/>
              <w:right w:w="0" w:type="dxa"/>
            </w:tcMar>
            <w:vAlign w:val="bottom"/>
          </w:tcPr>
          <w:p w14:paraId="312BC54B" w14:textId="77777777" w:rsidR="00FD1E19" w:rsidRDefault="00FD1E19" w:rsidP="00BE7E4A">
            <w:pPr>
              <w:suppressAutoHyphens/>
              <w:rPr>
                <w:noProof/>
                <w:color w:val="000000"/>
                <w:lang w:eastAsia="ar-SA"/>
              </w:rPr>
            </w:pPr>
          </w:p>
        </w:tc>
        <w:tc>
          <w:tcPr>
            <w:tcW w:w="1500" w:type="dxa"/>
            <w:tcBorders>
              <w:top w:val="nil"/>
              <w:left w:val="nil"/>
              <w:bottom w:val="single" w:sz="4" w:space="0" w:color="000000"/>
              <w:right w:val="nil"/>
              <w:tl2br w:val="nil"/>
              <w:tr2bl w:val="nil"/>
            </w:tcBorders>
            <w:tcMar>
              <w:left w:w="40" w:type="dxa"/>
              <w:right w:w="40" w:type="dxa"/>
            </w:tcMar>
            <w:vAlign w:val="center"/>
          </w:tcPr>
          <w:p w14:paraId="773C8E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31.12.2025</w:t>
            </w:r>
          </w:p>
        </w:tc>
        <w:tc>
          <w:tcPr>
            <w:tcW w:w="1500" w:type="dxa"/>
            <w:tcBorders>
              <w:top w:val="nil"/>
              <w:left w:val="nil"/>
              <w:bottom w:val="single" w:sz="4" w:space="0" w:color="000000"/>
              <w:right w:val="nil"/>
              <w:tl2br w:val="nil"/>
              <w:tr2bl w:val="nil"/>
            </w:tcBorders>
            <w:tcMar>
              <w:left w:w="40" w:type="dxa"/>
              <w:right w:w="40" w:type="dxa"/>
            </w:tcMar>
            <w:vAlign w:val="center"/>
          </w:tcPr>
          <w:p w14:paraId="6920D2A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to 31.12.2024</w:t>
            </w:r>
          </w:p>
        </w:tc>
      </w:tr>
      <w:tr w:rsidR="00FD1E19" w14:paraId="31CBCB62"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single" w:sz="4" w:space="0" w:color="000000"/>
              <w:left w:val="nil"/>
              <w:bottom w:val="nil"/>
              <w:right w:val="nil"/>
              <w:tl2br w:val="nil"/>
              <w:tr2bl w:val="nil"/>
            </w:tcBorders>
            <w:tcMar>
              <w:left w:w="40" w:type="dxa"/>
              <w:right w:w="40" w:type="dxa"/>
            </w:tcMar>
            <w:vAlign w:val="center"/>
          </w:tcPr>
          <w:p w14:paraId="24186D3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proceeds</w:t>
            </w:r>
          </w:p>
        </w:tc>
        <w:tc>
          <w:tcPr>
            <w:tcW w:w="1500" w:type="dxa"/>
            <w:tcBorders>
              <w:top w:val="single" w:sz="4" w:space="0" w:color="000000"/>
              <w:left w:val="nil"/>
              <w:bottom w:val="nil"/>
              <w:right w:val="nil"/>
              <w:tl2br w:val="nil"/>
              <w:tr2bl w:val="nil"/>
            </w:tcBorders>
            <w:tcMar>
              <w:left w:w="40" w:type="dxa"/>
              <w:right w:w="40" w:type="dxa"/>
            </w:tcMar>
            <w:vAlign w:val="center"/>
          </w:tcPr>
          <w:p w14:paraId="5822720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-483</w:t>
            </w:r>
          </w:p>
        </w:tc>
        <w:tc>
          <w:tcPr>
            <w:tcW w:w="1500" w:type="dxa"/>
            <w:tcBorders>
              <w:top w:val="single" w:sz="4" w:space="0" w:color="000000"/>
              <w:left w:val="nil"/>
              <w:bottom w:val="nil"/>
              <w:right w:val="nil"/>
              <w:tl2br w:val="nil"/>
              <w:tr2bl w:val="nil"/>
            </w:tcBorders>
            <w:tcMar>
              <w:left w:w="40" w:type="dxa"/>
              <w:right w:w="40" w:type="dxa"/>
            </w:tcMar>
            <w:vAlign w:val="center"/>
          </w:tcPr>
          <w:p w14:paraId="3C7D665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-4,946</w:t>
            </w:r>
          </w:p>
        </w:tc>
      </w:tr>
      <w:tr w:rsidR="00FD1E19" w14:paraId="4610CB3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14:paraId="724635C8"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Dividend income</w:t>
            </w:r>
          </w:p>
        </w:tc>
        <w:tc>
          <w:tcPr>
            <w:tcW w:w="1500" w:type="dxa"/>
            <w:tcBorders>
              <w:top w:val="nil"/>
              <w:left w:val="nil"/>
              <w:bottom w:val="nil"/>
              <w:right w:val="nil"/>
              <w:tl2br w:val="nil"/>
              <w:tr2bl w:val="nil"/>
            </w:tcBorders>
            <w:tcMar>
              <w:left w:w="40" w:type="dxa"/>
              <w:right w:w="40" w:type="dxa"/>
            </w:tcMar>
            <w:vAlign w:val="center"/>
          </w:tcPr>
          <w:p w14:paraId="0A8A28E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18,573</w:t>
            </w:r>
          </w:p>
        </w:tc>
        <w:tc>
          <w:tcPr>
            <w:tcW w:w="1500" w:type="dxa"/>
            <w:tcBorders>
              <w:top w:val="nil"/>
              <w:left w:val="nil"/>
              <w:bottom w:val="nil"/>
              <w:right w:val="nil"/>
              <w:tl2br w:val="nil"/>
              <w:tr2bl w:val="nil"/>
            </w:tcBorders>
            <w:tcMar>
              <w:left w:w="40" w:type="dxa"/>
              <w:right w:w="40" w:type="dxa"/>
            </w:tcMar>
            <w:vAlign w:val="center"/>
          </w:tcPr>
          <w:p w14:paraId="7150DBE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16,548</w:t>
            </w:r>
          </w:p>
        </w:tc>
      </w:tr>
      <w:tr w:rsidR="00FD1E19" w14:paraId="01B60EB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tcMar>
              <w:left w:w="40" w:type="dxa"/>
              <w:right w:w="40" w:type="dxa"/>
            </w:tcMar>
            <w:vAlign w:val="center"/>
          </w:tcPr>
          <w:p w14:paraId="0D4FD8F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Net fair value change</w:t>
            </w:r>
          </w:p>
        </w:tc>
        <w:tc>
          <w:tcPr>
            <w:tcW w:w="1500" w:type="dxa"/>
            <w:tcBorders>
              <w:top w:val="nil"/>
              <w:left w:val="nil"/>
              <w:bottom w:val="nil"/>
              <w:right w:val="nil"/>
              <w:tl2br w:val="nil"/>
              <w:tr2bl w:val="nil"/>
            </w:tcBorders>
            <w:tcMar>
              <w:left w:w="40" w:type="dxa"/>
              <w:right w:w="40" w:type="dxa"/>
            </w:tcMar>
            <w:vAlign w:val="center"/>
          </w:tcPr>
          <w:p w14:paraId="4B433E1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6,787</w:t>
            </w:r>
          </w:p>
        </w:tc>
        <w:tc>
          <w:tcPr>
            <w:tcW w:w="1500" w:type="dxa"/>
            <w:tcBorders>
              <w:top w:val="nil"/>
              <w:left w:val="nil"/>
              <w:bottom w:val="nil"/>
              <w:right w:val="nil"/>
              <w:tl2br w:val="nil"/>
              <w:tr2bl w:val="nil"/>
            </w:tcBorders>
            <w:tcMar>
              <w:left w:w="40" w:type="dxa"/>
              <w:right w:w="40" w:type="dxa"/>
            </w:tcMar>
            <w:vAlign w:val="center"/>
          </w:tcPr>
          <w:p w14:paraId="6DB2DC3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-45,698</w:t>
            </w:r>
          </w:p>
        </w:tc>
      </w:tr>
      <w:tr w:rsidR="00FD1E19" w14:paraId="0EDA8B7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0"/>
        </w:trPr>
        <w:tc>
          <w:tcPr>
            <w:tcW w:w="6975" w:type="dxa"/>
            <w:tcBorders>
              <w:top w:val="nil"/>
              <w:left w:val="nil"/>
              <w:bottom w:val="nil"/>
              <w:right w:val="nil"/>
              <w:tl2br w:val="nil"/>
              <w:tr2bl w:val="nil"/>
            </w:tcBorders>
            <w:shd w:val="clear" w:color="FFFFFF" w:fill="C0C0C0"/>
            <w:tcMar>
              <w:left w:w="40" w:type="dxa"/>
              <w:right w:w="40" w:type="dxa"/>
            </w:tcMar>
            <w:vAlign w:val="center"/>
          </w:tcPr>
          <w:p w14:paraId="405FE7F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result on shares and other variable yield securities</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3A53966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24,877</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33BDAE7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-34,096</w:t>
            </w:r>
          </w:p>
        </w:tc>
      </w:tr>
    </w:tbl>
    <w:p w14:paraId="7124CFE2" w14:textId="77777777" w:rsidR="00FD1E19" w:rsidRPr="00785D30"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14"/>
          <w:szCs w:val="18"/>
          <w:bdr w:val="nil"/>
          <w:lang w:val="en-US" w:eastAsia="ar-SA"/>
        </w:rPr>
      </w:pPr>
      <w:bookmarkStart w:id="330" w:name="RG_MARKER_90222"/>
      <w:bookmarkStart w:id="331" w:name="RG_MARKER_90223"/>
      <w:bookmarkEnd w:id="330"/>
      <w:bookmarkEnd w:id="331"/>
    </w:p>
    <w:p w14:paraId="2C47FCC6" w14:textId="77777777" w:rsidR="00FD1E19" w:rsidRPr="00B5536F"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eastAsia="ar-SA"/>
        </w:rPr>
      </w:pPr>
      <w:r w:rsidRPr="00513CAE">
        <w:rPr>
          <w:rFonts w:ascii="Arial" w:hAnsi="Arial"/>
          <w:b/>
          <w:noProof/>
          <w:sz w:val="20"/>
          <w:lang w:val="en-US" w:eastAsia="ar-SA"/>
        </w:rPr>
        <w:t>22</w:t>
      </w:r>
      <w:r>
        <w:rPr>
          <w:rFonts w:ascii="Arial" w:hAnsi="Arial"/>
          <w:b/>
          <w:noProof/>
          <w:sz w:val="20"/>
          <w:lang w:val="en-US" w:eastAsia="ar-SA"/>
        </w:rPr>
        <w:tab/>
        <w:t>Net foreign exchange results</w:t>
      </w:r>
    </w:p>
    <w:p w14:paraId="60B91284"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370842F2"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 xml:space="preserve">The main components of </w:t>
      </w:r>
      <w:r>
        <w:rPr>
          <w:rFonts w:ascii="Arial" w:hAnsi="Arial"/>
          <w:noProof/>
          <w:sz w:val="16"/>
          <w:szCs w:val="16"/>
          <w:lang w:eastAsia="ar-SA"/>
        </w:rPr>
        <w:t>the n</w:t>
      </w:r>
      <w:r w:rsidRPr="00EF2CF9">
        <w:rPr>
          <w:rFonts w:ascii="Arial" w:hAnsi="Arial"/>
          <w:noProof/>
          <w:sz w:val="16"/>
          <w:szCs w:val="16"/>
          <w:lang w:eastAsia="ar-SA"/>
        </w:rPr>
        <w:t xml:space="preserve">et foreign exchange results </w:t>
      </w:r>
      <w:r w:rsidRPr="00BD1346">
        <w:rPr>
          <w:rFonts w:ascii="Arial" w:hAnsi="Arial"/>
          <w:noProof/>
          <w:sz w:val="16"/>
          <w:szCs w:val="16"/>
          <w:lang w:eastAsia="ar-SA"/>
        </w:rPr>
        <w:t>are as follows:</w:t>
      </w:r>
    </w:p>
    <w:tbl>
      <w:tblPr>
        <w:tblStyle w:val="CDMRange1"/>
        <w:tblW w:w="5000" w:type="pct"/>
        <w:tblLayout w:type="fixed"/>
        <w:tblLook w:val="0600" w:firstRow="0" w:lastRow="0" w:firstColumn="0" w:lastColumn="0" w:noHBand="1" w:noVBand="1"/>
      </w:tblPr>
      <w:tblGrid>
        <w:gridCol w:w="6792"/>
        <w:gridCol w:w="1463"/>
        <w:gridCol w:w="1463"/>
      </w:tblGrid>
      <w:tr w:rsidR="00FD1E19" w14:paraId="3EA2B173" w14:textId="77777777" w:rsidTr="00BE7E4A">
        <w:trPr>
          <w:trHeight w:hRule="exact" w:val="450"/>
        </w:trPr>
        <w:tc>
          <w:tcPr>
            <w:tcW w:w="6975" w:type="dxa"/>
            <w:tcBorders>
              <w:top w:val="nil"/>
              <w:left w:val="nil"/>
              <w:bottom w:val="single" w:sz="12" w:space="0" w:color="000000"/>
              <w:right w:val="nil"/>
              <w:tl2br w:val="nil"/>
              <w:tr2bl w:val="nil"/>
            </w:tcBorders>
            <w:tcMar>
              <w:left w:w="40" w:type="dxa"/>
              <w:right w:w="40" w:type="dxa"/>
            </w:tcMar>
            <w:vAlign w:val="center"/>
          </w:tcPr>
          <w:p w14:paraId="52FD1475" w14:textId="77777777" w:rsidR="00FD1E19" w:rsidRDefault="00FD1E19" w:rsidP="00BE7E4A">
            <w:pPr>
              <w:suppressAutoHyphens/>
              <w:rPr>
                <w:rFonts w:ascii="Arial" w:eastAsia="Arial" w:hAnsi="Arial" w:cs="Arial"/>
                <w:b/>
                <w:noProof/>
                <w:color w:val="000000"/>
                <w:sz w:val="16"/>
                <w:lang w:eastAsia="ar-SA"/>
              </w:rPr>
            </w:pPr>
            <w:bookmarkStart w:id="332" w:name="RG_MARKER_90224"/>
            <w:r>
              <w:rPr>
                <w:rFonts w:ascii="Arial" w:eastAsia="Arial" w:hAnsi="Arial" w:cs="Arial"/>
                <w:b/>
                <w:noProof/>
                <w:color w:val="000000"/>
                <w:sz w:val="16"/>
                <w:lang w:eastAsia="ar-SA"/>
              </w:rPr>
              <w:t>in EUR'000</w:t>
            </w:r>
            <w:bookmarkEnd w:id="332"/>
          </w:p>
        </w:tc>
        <w:tc>
          <w:tcPr>
            <w:tcW w:w="1500" w:type="dxa"/>
            <w:tcBorders>
              <w:top w:val="nil"/>
              <w:left w:val="nil"/>
              <w:bottom w:val="single" w:sz="12" w:space="0" w:color="000000"/>
              <w:right w:val="nil"/>
              <w:tl2br w:val="nil"/>
              <w:tr2bl w:val="nil"/>
            </w:tcBorders>
            <w:tcMar>
              <w:left w:w="40" w:type="dxa"/>
              <w:right w:w="40" w:type="dxa"/>
            </w:tcMar>
            <w:vAlign w:val="center"/>
          </w:tcPr>
          <w:p w14:paraId="52069E7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01.01.2025 to 31.12.2025</w:t>
            </w:r>
          </w:p>
        </w:tc>
        <w:tc>
          <w:tcPr>
            <w:tcW w:w="1500" w:type="dxa"/>
            <w:tcBorders>
              <w:top w:val="nil"/>
              <w:left w:val="nil"/>
              <w:bottom w:val="single" w:sz="12" w:space="0" w:color="000000"/>
              <w:right w:val="nil"/>
              <w:tl2br w:val="nil"/>
              <w:tr2bl w:val="nil"/>
            </w:tcBorders>
            <w:tcMar>
              <w:left w:w="40" w:type="dxa"/>
              <w:right w:w="40" w:type="dxa"/>
            </w:tcMar>
            <w:vAlign w:val="center"/>
          </w:tcPr>
          <w:p w14:paraId="62FA7D3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From 01.01.2024 to 31.12.2024</w:t>
            </w:r>
          </w:p>
        </w:tc>
      </w:tr>
      <w:tr w:rsidR="00FD1E19" w14:paraId="25D60DA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single" w:sz="12" w:space="0" w:color="000000"/>
              <w:left w:val="nil"/>
              <w:bottom w:val="nil"/>
              <w:right w:val="nil"/>
              <w:tl2br w:val="nil"/>
              <w:tr2bl w:val="nil"/>
            </w:tcBorders>
            <w:noWrap/>
            <w:tcMar>
              <w:left w:w="0" w:type="dxa"/>
              <w:right w:w="0" w:type="dxa"/>
            </w:tcMar>
            <w:vAlign w:val="bottom"/>
          </w:tcPr>
          <w:p w14:paraId="027E5608" w14:textId="77777777" w:rsidR="00FD1E19" w:rsidRDefault="00FD1E19" w:rsidP="00BE7E4A">
            <w:pPr>
              <w:suppressAutoHyphens/>
              <w:rPr>
                <w:rFonts w:ascii="Calibri" w:eastAsia="Calibri" w:hAnsi="Calibri" w:cs="Calibri"/>
                <w:noProof/>
                <w:color w:val="000000"/>
                <w:sz w:val="22"/>
                <w:lang w:eastAsia="ar-SA"/>
              </w:rPr>
            </w:pPr>
          </w:p>
        </w:tc>
        <w:tc>
          <w:tcPr>
            <w:tcW w:w="1500" w:type="dxa"/>
            <w:tcBorders>
              <w:top w:val="single" w:sz="12" w:space="0" w:color="000000"/>
              <w:left w:val="nil"/>
              <w:bottom w:val="nil"/>
              <w:right w:val="nil"/>
              <w:tl2br w:val="nil"/>
              <w:tr2bl w:val="nil"/>
            </w:tcBorders>
            <w:noWrap/>
            <w:tcMar>
              <w:left w:w="0" w:type="dxa"/>
              <w:right w:w="0" w:type="dxa"/>
            </w:tcMar>
            <w:vAlign w:val="bottom"/>
          </w:tcPr>
          <w:p w14:paraId="43B72ECC" w14:textId="77777777" w:rsidR="00FD1E19" w:rsidRDefault="00FD1E19" w:rsidP="00BE7E4A">
            <w:pPr>
              <w:suppressAutoHyphens/>
              <w:rPr>
                <w:rFonts w:ascii="Calibri" w:eastAsia="Calibri" w:hAnsi="Calibri" w:cs="Calibri"/>
                <w:noProof/>
                <w:color w:val="000000"/>
                <w:sz w:val="22"/>
                <w:lang w:eastAsia="ar-SA"/>
              </w:rPr>
            </w:pPr>
          </w:p>
        </w:tc>
        <w:tc>
          <w:tcPr>
            <w:tcW w:w="1500" w:type="dxa"/>
            <w:tcBorders>
              <w:top w:val="single" w:sz="12" w:space="0" w:color="000000"/>
              <w:left w:val="nil"/>
              <w:bottom w:val="nil"/>
              <w:right w:val="nil"/>
              <w:tl2br w:val="nil"/>
              <w:tr2bl w:val="nil"/>
            </w:tcBorders>
            <w:noWrap/>
            <w:tcMar>
              <w:left w:w="0" w:type="dxa"/>
              <w:right w:w="0" w:type="dxa"/>
            </w:tcMar>
            <w:vAlign w:val="bottom"/>
          </w:tcPr>
          <w:p w14:paraId="658B234C" w14:textId="77777777" w:rsidR="00FD1E19" w:rsidRDefault="00FD1E19" w:rsidP="00BE7E4A">
            <w:pPr>
              <w:suppressAutoHyphens/>
              <w:rPr>
                <w:rFonts w:ascii="Calibri" w:eastAsia="Calibri" w:hAnsi="Calibri" w:cs="Calibri"/>
                <w:noProof/>
                <w:color w:val="000000"/>
                <w:sz w:val="22"/>
                <w:lang w:eastAsia="ar-SA"/>
              </w:rPr>
            </w:pPr>
          </w:p>
        </w:tc>
      </w:tr>
      <w:tr w:rsidR="00FD1E19" w14:paraId="5C55D19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6975" w:type="dxa"/>
            <w:tcBorders>
              <w:top w:val="nil"/>
              <w:left w:val="nil"/>
              <w:bottom w:val="nil"/>
              <w:right w:val="nil"/>
              <w:tl2br w:val="nil"/>
              <w:tr2bl w:val="nil"/>
            </w:tcBorders>
            <w:tcMar>
              <w:left w:w="40" w:type="dxa"/>
              <w:right w:w="40" w:type="dxa"/>
            </w:tcMar>
            <w:vAlign w:val="center"/>
          </w:tcPr>
          <w:p w14:paraId="1FD585F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FX positions revaluation</w:t>
            </w:r>
          </w:p>
        </w:tc>
        <w:tc>
          <w:tcPr>
            <w:tcW w:w="1500" w:type="dxa"/>
            <w:tcBorders>
              <w:top w:val="nil"/>
              <w:left w:val="nil"/>
              <w:bottom w:val="nil"/>
              <w:right w:val="nil"/>
              <w:tl2br w:val="nil"/>
              <w:tr2bl w:val="nil"/>
            </w:tcBorders>
            <w:noWrap/>
            <w:tcMar>
              <w:left w:w="0" w:type="dxa"/>
              <w:right w:w="0" w:type="dxa"/>
            </w:tcMar>
            <w:vAlign w:val="bottom"/>
          </w:tcPr>
          <w:p w14:paraId="5D825D6E" w14:textId="77777777" w:rsidR="00FD1E19" w:rsidRDefault="00FD1E19" w:rsidP="00BE7E4A">
            <w:pPr>
              <w:suppressAutoHyphens/>
              <w:rPr>
                <w:rFonts w:ascii="Calibri" w:eastAsia="Calibri" w:hAnsi="Calibri" w:cs="Calibri"/>
                <w:noProof/>
                <w:color w:val="000000"/>
                <w:sz w:val="22"/>
                <w:lang w:eastAsia="ar-SA"/>
              </w:rPr>
            </w:pPr>
          </w:p>
        </w:tc>
        <w:tc>
          <w:tcPr>
            <w:tcW w:w="1500" w:type="dxa"/>
            <w:tcBorders>
              <w:top w:val="nil"/>
              <w:left w:val="nil"/>
              <w:bottom w:val="nil"/>
              <w:right w:val="nil"/>
              <w:tl2br w:val="nil"/>
              <w:tr2bl w:val="nil"/>
            </w:tcBorders>
            <w:noWrap/>
            <w:tcMar>
              <w:left w:w="0" w:type="dxa"/>
              <w:right w:w="0" w:type="dxa"/>
            </w:tcMar>
            <w:vAlign w:val="bottom"/>
          </w:tcPr>
          <w:p w14:paraId="6D471DF9" w14:textId="77777777" w:rsidR="00FD1E19" w:rsidRDefault="00FD1E19" w:rsidP="00BE7E4A">
            <w:pPr>
              <w:suppressAutoHyphens/>
              <w:rPr>
                <w:rFonts w:ascii="Calibri" w:eastAsia="Calibri" w:hAnsi="Calibri" w:cs="Calibri"/>
                <w:noProof/>
                <w:color w:val="000000"/>
                <w:sz w:val="22"/>
                <w:lang w:eastAsia="ar-SA"/>
              </w:rPr>
            </w:pPr>
          </w:p>
        </w:tc>
      </w:tr>
      <w:tr w:rsidR="00FD1E19" w14:paraId="260F750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14:paraId="6355881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Cash and cash equivalents</w:t>
            </w:r>
          </w:p>
        </w:tc>
        <w:tc>
          <w:tcPr>
            <w:tcW w:w="1500" w:type="dxa"/>
            <w:tcBorders>
              <w:top w:val="nil"/>
              <w:left w:val="nil"/>
              <w:bottom w:val="nil"/>
              <w:right w:val="nil"/>
              <w:tl2br w:val="nil"/>
              <w:tr2bl w:val="nil"/>
            </w:tcBorders>
            <w:noWrap/>
            <w:tcMar>
              <w:left w:w="40" w:type="dxa"/>
              <w:right w:w="40" w:type="dxa"/>
            </w:tcMar>
            <w:vAlign w:val="bottom"/>
          </w:tcPr>
          <w:p w14:paraId="63536B3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-11,405</w:t>
            </w:r>
          </w:p>
        </w:tc>
        <w:tc>
          <w:tcPr>
            <w:tcW w:w="1500" w:type="dxa"/>
            <w:tcBorders>
              <w:top w:val="nil"/>
              <w:left w:val="nil"/>
              <w:bottom w:val="nil"/>
              <w:right w:val="nil"/>
              <w:tl2br w:val="nil"/>
              <w:tr2bl w:val="nil"/>
            </w:tcBorders>
            <w:noWrap/>
            <w:tcMar>
              <w:left w:w="40" w:type="dxa"/>
              <w:right w:w="40" w:type="dxa"/>
            </w:tcMar>
            <w:vAlign w:val="bottom"/>
          </w:tcPr>
          <w:p w14:paraId="124617E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6,821</w:t>
            </w:r>
          </w:p>
        </w:tc>
      </w:tr>
      <w:tr w:rsidR="00FD1E19" w14:paraId="164EFA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14:paraId="3A092FF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Derivative financial instruments</w:t>
            </w:r>
          </w:p>
        </w:tc>
        <w:tc>
          <w:tcPr>
            <w:tcW w:w="1500" w:type="dxa"/>
            <w:tcBorders>
              <w:top w:val="nil"/>
              <w:left w:val="nil"/>
              <w:bottom w:val="nil"/>
              <w:right w:val="nil"/>
              <w:tl2br w:val="nil"/>
              <w:tr2bl w:val="nil"/>
            </w:tcBorders>
            <w:noWrap/>
            <w:tcMar>
              <w:left w:w="40" w:type="dxa"/>
              <w:right w:w="40" w:type="dxa"/>
            </w:tcMar>
            <w:vAlign w:val="bottom"/>
          </w:tcPr>
          <w:p w14:paraId="0D80CBF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108,761</w:t>
            </w:r>
          </w:p>
        </w:tc>
        <w:tc>
          <w:tcPr>
            <w:tcW w:w="1500" w:type="dxa"/>
            <w:tcBorders>
              <w:top w:val="nil"/>
              <w:left w:val="nil"/>
              <w:bottom w:val="nil"/>
              <w:right w:val="nil"/>
              <w:tl2br w:val="nil"/>
              <w:tr2bl w:val="nil"/>
            </w:tcBorders>
            <w:noWrap/>
            <w:tcMar>
              <w:left w:w="40" w:type="dxa"/>
              <w:right w:w="40" w:type="dxa"/>
            </w:tcMar>
            <w:vAlign w:val="bottom"/>
          </w:tcPr>
          <w:p w14:paraId="211DFBB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-773</w:t>
            </w:r>
          </w:p>
        </w:tc>
      </w:tr>
      <w:tr w:rsidR="00FD1E19" w14:paraId="6D52CB1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14:paraId="6EEB96A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and advances</w:t>
            </w:r>
          </w:p>
        </w:tc>
        <w:tc>
          <w:tcPr>
            <w:tcW w:w="1500" w:type="dxa"/>
            <w:tcBorders>
              <w:top w:val="nil"/>
              <w:left w:val="nil"/>
              <w:bottom w:val="nil"/>
              <w:right w:val="nil"/>
              <w:tl2br w:val="nil"/>
              <w:tr2bl w:val="nil"/>
            </w:tcBorders>
            <w:noWrap/>
            <w:tcMar>
              <w:left w:w="40" w:type="dxa"/>
              <w:right w:w="40" w:type="dxa"/>
            </w:tcMar>
            <w:vAlign w:val="bottom"/>
          </w:tcPr>
          <w:p w14:paraId="5EFF3BF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-108,386</w:t>
            </w:r>
          </w:p>
        </w:tc>
        <w:tc>
          <w:tcPr>
            <w:tcW w:w="1500" w:type="dxa"/>
            <w:tcBorders>
              <w:top w:val="nil"/>
              <w:left w:val="nil"/>
              <w:bottom w:val="nil"/>
              <w:right w:val="nil"/>
              <w:tl2br w:val="nil"/>
              <w:tr2bl w:val="nil"/>
            </w:tcBorders>
            <w:noWrap/>
            <w:tcMar>
              <w:left w:w="40" w:type="dxa"/>
              <w:right w:w="40" w:type="dxa"/>
            </w:tcMar>
            <w:vAlign w:val="bottom"/>
          </w:tcPr>
          <w:p w14:paraId="00AC4EA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78,744</w:t>
            </w:r>
          </w:p>
        </w:tc>
      </w:tr>
      <w:tr w:rsidR="00FD1E19" w14:paraId="52277E9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14:paraId="1C460A7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500" w:type="dxa"/>
            <w:tcBorders>
              <w:top w:val="nil"/>
              <w:left w:val="nil"/>
              <w:bottom w:val="nil"/>
              <w:right w:val="nil"/>
              <w:tl2br w:val="nil"/>
              <w:tr2bl w:val="nil"/>
            </w:tcBorders>
            <w:noWrap/>
            <w:tcMar>
              <w:left w:w="40" w:type="dxa"/>
              <w:right w:w="40" w:type="dxa"/>
            </w:tcMar>
            <w:vAlign w:val="bottom"/>
          </w:tcPr>
          <w:p w14:paraId="460B9BB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-58,444</w:t>
            </w:r>
          </w:p>
        </w:tc>
        <w:tc>
          <w:tcPr>
            <w:tcW w:w="1500" w:type="dxa"/>
            <w:tcBorders>
              <w:top w:val="nil"/>
              <w:left w:val="nil"/>
              <w:bottom w:val="nil"/>
              <w:right w:val="nil"/>
              <w:tl2br w:val="nil"/>
              <w:tr2bl w:val="nil"/>
            </w:tcBorders>
            <w:noWrap/>
            <w:tcMar>
              <w:left w:w="40" w:type="dxa"/>
              <w:right w:w="40" w:type="dxa"/>
            </w:tcMar>
            <w:vAlign w:val="bottom"/>
          </w:tcPr>
          <w:p w14:paraId="4662AA2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23,199</w:t>
            </w:r>
          </w:p>
        </w:tc>
      </w:tr>
      <w:tr w:rsidR="00FD1E19" w14:paraId="7B171D5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single" w:sz="4" w:space="0" w:color="000000"/>
              <w:right w:val="nil"/>
              <w:tl2br w:val="nil"/>
              <w:tr2bl w:val="nil"/>
            </w:tcBorders>
            <w:noWrap/>
            <w:tcMar>
              <w:left w:w="40" w:type="dxa"/>
              <w:right w:w="40" w:type="dxa"/>
            </w:tcMar>
            <w:vAlign w:val="center"/>
          </w:tcPr>
          <w:p w14:paraId="5030B64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Other</w:t>
            </w:r>
          </w:p>
        </w:tc>
        <w:tc>
          <w:tcPr>
            <w:tcW w:w="1500" w:type="dxa"/>
            <w:tcBorders>
              <w:top w:val="nil"/>
              <w:left w:val="nil"/>
              <w:bottom w:val="single" w:sz="4" w:space="0" w:color="000000"/>
              <w:right w:val="nil"/>
              <w:tl2br w:val="nil"/>
              <w:tr2bl w:val="nil"/>
            </w:tcBorders>
            <w:noWrap/>
            <w:tcMar>
              <w:left w:w="40" w:type="dxa"/>
              <w:right w:w="40" w:type="dxa"/>
            </w:tcMar>
            <w:vAlign w:val="bottom"/>
          </w:tcPr>
          <w:p w14:paraId="77CCD36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3,345</w:t>
            </w:r>
          </w:p>
        </w:tc>
        <w:tc>
          <w:tcPr>
            <w:tcW w:w="1500" w:type="dxa"/>
            <w:tcBorders>
              <w:top w:val="nil"/>
              <w:left w:val="nil"/>
              <w:bottom w:val="single" w:sz="4" w:space="0" w:color="000000"/>
              <w:right w:val="nil"/>
              <w:tl2br w:val="nil"/>
              <w:tr2bl w:val="nil"/>
            </w:tcBorders>
            <w:noWrap/>
            <w:tcMar>
              <w:left w:w="40" w:type="dxa"/>
              <w:right w:w="40" w:type="dxa"/>
            </w:tcMar>
            <w:vAlign w:val="bottom"/>
          </w:tcPr>
          <w:p w14:paraId="07D7C11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-2,231</w:t>
            </w:r>
          </w:p>
        </w:tc>
      </w:tr>
      <w:tr w:rsidR="00FD1E19" w14:paraId="21BDC0E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single" w:sz="4" w:space="0" w:color="000000"/>
              <w:right w:val="nil"/>
              <w:tl2br w:val="nil"/>
              <w:tr2bl w:val="nil"/>
            </w:tcBorders>
            <w:tcMar>
              <w:left w:w="40" w:type="dxa"/>
              <w:right w:w="40" w:type="dxa"/>
            </w:tcMar>
            <w:vAlign w:val="center"/>
          </w:tcPr>
          <w:p w14:paraId="40CE77B7"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 FX positions revaluation</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4BD375EE"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-66,129</w:t>
            </w:r>
          </w:p>
        </w:tc>
        <w:tc>
          <w:tcPr>
            <w:tcW w:w="1500" w:type="dxa"/>
            <w:tcBorders>
              <w:top w:val="single" w:sz="4" w:space="0" w:color="000000"/>
              <w:left w:val="nil"/>
              <w:bottom w:val="single" w:sz="4" w:space="0" w:color="000000"/>
              <w:right w:val="nil"/>
              <w:tl2br w:val="nil"/>
              <w:tr2bl w:val="nil"/>
            </w:tcBorders>
            <w:tcMar>
              <w:left w:w="40" w:type="dxa"/>
              <w:right w:w="40" w:type="dxa"/>
            </w:tcMar>
            <w:vAlign w:val="center"/>
          </w:tcPr>
          <w:p w14:paraId="0A600C1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105,760</w:t>
            </w:r>
          </w:p>
        </w:tc>
      </w:tr>
      <w:tr w:rsidR="00FD1E19" w14:paraId="5FD531C6"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single" w:sz="4" w:space="0" w:color="000000"/>
              <w:left w:val="nil"/>
              <w:bottom w:val="nil"/>
              <w:right w:val="nil"/>
              <w:tl2br w:val="nil"/>
              <w:tr2bl w:val="nil"/>
            </w:tcBorders>
            <w:tcMar>
              <w:left w:w="0" w:type="dxa"/>
              <w:right w:w="0" w:type="dxa"/>
            </w:tcMar>
            <w:vAlign w:val="center"/>
          </w:tcPr>
          <w:p w14:paraId="079D3363" w14:textId="77777777" w:rsidR="00FD1E19" w:rsidRDefault="00FD1E19" w:rsidP="00BE7E4A">
            <w:pPr>
              <w:suppressAutoHyphens/>
              <w:rPr>
                <w:rFonts w:ascii="Arial" w:eastAsia="Arial" w:hAnsi="Arial" w:cs="Arial"/>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14:paraId="34C9008F" w14:textId="77777777" w:rsidR="00FD1E19" w:rsidRDefault="00FD1E19" w:rsidP="00BE7E4A">
            <w:pPr>
              <w:suppressAutoHyphens/>
              <w:jc w:val="right"/>
              <w:rPr>
                <w:rFonts w:ascii="Arial" w:eastAsia="Arial" w:hAnsi="Arial" w:cs="Arial"/>
                <w:noProof/>
                <w:color w:val="000000"/>
                <w:sz w:val="16"/>
                <w:lang w:eastAsia="ar-SA"/>
              </w:rPr>
            </w:pPr>
          </w:p>
        </w:tc>
        <w:tc>
          <w:tcPr>
            <w:tcW w:w="1500" w:type="dxa"/>
            <w:tcBorders>
              <w:top w:val="single" w:sz="4" w:space="0" w:color="000000"/>
              <w:left w:val="nil"/>
              <w:bottom w:val="nil"/>
              <w:right w:val="nil"/>
              <w:tl2br w:val="nil"/>
              <w:tr2bl w:val="nil"/>
            </w:tcBorders>
            <w:tcMar>
              <w:left w:w="0" w:type="dxa"/>
              <w:right w:w="0" w:type="dxa"/>
            </w:tcMar>
            <w:vAlign w:val="center"/>
          </w:tcPr>
          <w:p w14:paraId="1E272C24" w14:textId="77777777" w:rsidR="00FD1E19" w:rsidRDefault="00FD1E19" w:rsidP="00BE7E4A">
            <w:pPr>
              <w:suppressAutoHyphens/>
              <w:jc w:val="right"/>
              <w:rPr>
                <w:rFonts w:ascii="Arial" w:eastAsia="Arial" w:hAnsi="Arial" w:cs="Arial"/>
                <w:noProof/>
                <w:color w:val="000000"/>
                <w:sz w:val="16"/>
                <w:lang w:eastAsia="ar-SA"/>
              </w:rPr>
            </w:pPr>
          </w:p>
        </w:tc>
      </w:tr>
      <w:tr w:rsidR="00FD1E19" w14:paraId="5A5752A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40" w:type="dxa"/>
              <w:right w:w="40" w:type="dxa"/>
            </w:tcMar>
            <w:vAlign w:val="center"/>
          </w:tcPr>
          <w:p w14:paraId="10E36AD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Realised results on FX swaps (cost of hedging)</w:t>
            </w:r>
          </w:p>
        </w:tc>
        <w:tc>
          <w:tcPr>
            <w:tcW w:w="1500" w:type="dxa"/>
            <w:tcBorders>
              <w:top w:val="nil"/>
              <w:left w:val="nil"/>
              <w:bottom w:val="nil"/>
              <w:right w:val="nil"/>
              <w:tl2br w:val="nil"/>
              <w:tr2bl w:val="nil"/>
            </w:tcBorders>
            <w:noWrap/>
            <w:tcMar>
              <w:left w:w="40" w:type="dxa"/>
              <w:right w:w="40" w:type="dxa"/>
            </w:tcMar>
            <w:vAlign w:val="bottom"/>
          </w:tcPr>
          <w:p w14:paraId="7F85D7B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-24,574</w:t>
            </w:r>
          </w:p>
        </w:tc>
        <w:tc>
          <w:tcPr>
            <w:tcW w:w="1500" w:type="dxa"/>
            <w:tcBorders>
              <w:top w:val="nil"/>
              <w:left w:val="nil"/>
              <w:bottom w:val="nil"/>
              <w:right w:val="nil"/>
              <w:tl2br w:val="nil"/>
              <w:tr2bl w:val="nil"/>
            </w:tcBorders>
            <w:noWrap/>
            <w:tcMar>
              <w:left w:w="40" w:type="dxa"/>
              <w:right w:w="40" w:type="dxa"/>
            </w:tcMar>
            <w:vAlign w:val="bottom"/>
          </w:tcPr>
          <w:p w14:paraId="4CB1C17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-23,853</w:t>
            </w:r>
          </w:p>
        </w:tc>
      </w:tr>
      <w:tr w:rsidR="00FD1E19" w14:paraId="7E8A459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noWrap/>
            <w:tcMar>
              <w:left w:w="0" w:type="dxa"/>
              <w:right w:w="0" w:type="dxa"/>
            </w:tcMar>
            <w:vAlign w:val="center"/>
          </w:tcPr>
          <w:p w14:paraId="630BF1B8"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14:paraId="5C44FA22" w14:textId="77777777" w:rsidR="00FD1E19" w:rsidRDefault="00FD1E19" w:rsidP="00BE7E4A">
            <w:pPr>
              <w:suppressAutoHyphens/>
              <w:rPr>
                <w:rFonts w:ascii="Arial" w:eastAsia="Arial" w:hAnsi="Arial" w:cs="Arial"/>
                <w:b/>
                <w:noProof/>
                <w:color w:val="000000"/>
                <w:sz w:val="16"/>
                <w:lang w:eastAsia="ar-SA"/>
              </w:rPr>
            </w:pPr>
          </w:p>
        </w:tc>
        <w:tc>
          <w:tcPr>
            <w:tcW w:w="1500" w:type="dxa"/>
            <w:tcBorders>
              <w:top w:val="nil"/>
              <w:left w:val="nil"/>
              <w:bottom w:val="nil"/>
              <w:right w:val="nil"/>
              <w:tl2br w:val="nil"/>
              <w:tr2bl w:val="nil"/>
            </w:tcBorders>
            <w:noWrap/>
            <w:tcMar>
              <w:left w:w="0" w:type="dxa"/>
              <w:right w:w="0" w:type="dxa"/>
            </w:tcMar>
            <w:vAlign w:val="bottom"/>
          </w:tcPr>
          <w:p w14:paraId="5D3CBF78" w14:textId="77777777" w:rsidR="00FD1E19" w:rsidRDefault="00FD1E19" w:rsidP="00BE7E4A">
            <w:pPr>
              <w:suppressAutoHyphens/>
              <w:rPr>
                <w:rFonts w:ascii="Arial" w:eastAsia="Arial" w:hAnsi="Arial" w:cs="Arial"/>
                <w:b/>
                <w:noProof/>
                <w:color w:val="000000"/>
                <w:sz w:val="16"/>
                <w:lang w:eastAsia="ar-SA"/>
              </w:rPr>
            </w:pPr>
          </w:p>
        </w:tc>
      </w:tr>
      <w:tr w:rsidR="00FD1E19" w14:paraId="2461EF0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6975" w:type="dxa"/>
            <w:tcBorders>
              <w:top w:val="nil"/>
              <w:left w:val="nil"/>
              <w:bottom w:val="nil"/>
              <w:right w:val="nil"/>
              <w:tl2br w:val="nil"/>
              <w:tr2bl w:val="nil"/>
            </w:tcBorders>
            <w:shd w:val="clear" w:color="FFFFFF" w:fill="C0C0C0"/>
            <w:tcMar>
              <w:left w:w="40" w:type="dxa"/>
              <w:right w:w="40" w:type="dxa"/>
            </w:tcMar>
            <w:vAlign w:val="center"/>
          </w:tcPr>
          <w:p w14:paraId="199DB53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Net foreign exchange result</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523E9BE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-90,703</w:t>
            </w:r>
          </w:p>
        </w:tc>
        <w:tc>
          <w:tcPr>
            <w:tcW w:w="1500" w:type="dxa"/>
            <w:tcBorders>
              <w:top w:val="nil"/>
              <w:left w:val="nil"/>
              <w:bottom w:val="nil"/>
              <w:right w:val="nil"/>
              <w:tl2br w:val="nil"/>
              <w:tr2bl w:val="nil"/>
            </w:tcBorders>
            <w:shd w:val="clear" w:color="FFFFFF" w:fill="C0C0C0"/>
            <w:tcMar>
              <w:left w:w="40" w:type="dxa"/>
              <w:right w:w="40" w:type="dxa"/>
            </w:tcMar>
            <w:vAlign w:val="center"/>
          </w:tcPr>
          <w:p w14:paraId="46F0F13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81,907</w:t>
            </w:r>
          </w:p>
        </w:tc>
      </w:tr>
    </w:tbl>
    <w:p w14:paraId="5C1C57B4" w14:textId="77777777" w:rsidR="00FD1E19" w:rsidRDefault="00FD1E19" w:rsidP="00FD1E19">
      <w:pPr>
        <w:pBdr>
          <w:top w:val="nil"/>
          <w:left w:val="nil"/>
          <w:bottom w:val="nil"/>
          <w:right w:val="nil"/>
          <w:between w:val="nil"/>
          <w:bar w:val="nil"/>
        </w:pBdr>
        <w:tabs>
          <w:tab w:val="center" w:pos="4320"/>
          <w:tab w:val="right" w:pos="8640"/>
        </w:tabs>
        <w:suppressAutoHyphens/>
        <w:spacing w:before="120" w:after="120"/>
        <w:ind w:left="432"/>
        <w:jc w:val="both"/>
        <w:rPr>
          <w:rFonts w:ascii="Arial" w:hAnsi="Arial"/>
          <w:b/>
          <w:noProof/>
          <w:sz w:val="16"/>
          <w:szCs w:val="16"/>
          <w:bdr w:val="nil"/>
          <w:lang w:eastAsia="ar-SA"/>
        </w:rPr>
      </w:pPr>
      <w:bookmarkStart w:id="333" w:name="RG_MARKER_90225"/>
      <w:bookmarkStart w:id="334" w:name="RG_MARKER_90226"/>
      <w:bookmarkEnd w:id="333"/>
      <w:bookmarkEnd w:id="334"/>
    </w:p>
    <w:p w14:paraId="465D8502" w14:textId="77777777" w:rsidR="00FD1E19"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hAnsi="Arial"/>
          <w:b/>
          <w:noProof/>
          <w:sz w:val="20"/>
          <w:bdr w:val="nil"/>
          <w:lang w:eastAsia="ar-SA"/>
        </w:rPr>
      </w:pPr>
      <w:r w:rsidRPr="00D77D67">
        <w:rPr>
          <w:rFonts w:ascii="Arial" w:hAnsi="Arial"/>
          <w:b/>
          <w:noProof/>
          <w:sz w:val="20"/>
          <w:lang w:val="en-US" w:eastAsia="ar-SA"/>
        </w:rPr>
        <w:t>23</w:t>
      </w:r>
      <w:r>
        <w:rPr>
          <w:rFonts w:ascii="Arial" w:hAnsi="Arial"/>
          <w:b/>
          <w:noProof/>
          <w:sz w:val="20"/>
          <w:lang w:val="en-US" w:eastAsia="ar-SA"/>
        </w:rPr>
        <w:tab/>
        <w:t>General administrative expenses</w:t>
      </w:r>
    </w:p>
    <w:p w14:paraId="0CC477CB"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683466F5"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sidRPr="00BD1346">
        <w:rPr>
          <w:rFonts w:ascii="Arial" w:hAnsi="Arial"/>
          <w:noProof/>
          <w:sz w:val="16"/>
          <w:szCs w:val="16"/>
          <w:lang w:eastAsia="ar-SA"/>
        </w:rPr>
        <w:t>General administrative expenses represent the actual costs incurred by the EIB for managing the Facility less income generated from standard appraisal fees directly charged by the EIB to clients of the Facility.</w:t>
      </w:r>
    </w:p>
    <w:p w14:paraId="3D5EB865"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75D4CA0A" w14:textId="77777777" w:rsidR="00FD1E19"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r>
        <w:rPr>
          <w:rFonts w:ascii="Arial" w:hAnsi="Arial"/>
          <w:noProof/>
          <w:sz w:val="16"/>
          <w:szCs w:val="16"/>
          <w:bdr w:val="none" w:sz="0" w:space="0" w:color="auto" w:frame="1"/>
          <w:lang w:eastAsia="ar-SA"/>
        </w:rPr>
        <w:t xml:space="preserve">As at 31 December </w:t>
      </w:r>
      <w:r>
        <w:rPr>
          <w:rFonts w:ascii="Arial" w:hAnsi="Arial"/>
          <w:noProof/>
          <w:sz w:val="16"/>
          <w:szCs w:val="16"/>
          <w:lang w:eastAsia="ar-SA"/>
        </w:rPr>
        <w:t xml:space="preserve">2025 </w:t>
      </w:r>
      <w:r>
        <w:rPr>
          <w:rFonts w:ascii="Arial" w:hAnsi="Arial"/>
          <w:noProof/>
          <w:sz w:val="16"/>
          <w:szCs w:val="16"/>
          <w:bdr w:val="none" w:sz="0" w:space="0" w:color="auto" w:frame="1"/>
          <w:lang w:eastAsia="ar-SA"/>
        </w:rPr>
        <w:t>total general administrative expense amounted to EUR -19.9</w:t>
      </w:r>
      <w:r w:rsidRPr="00FB4458">
        <w:rPr>
          <w:rFonts w:ascii="Arial" w:hAnsi="Arial"/>
          <w:noProof/>
          <w:sz w:val="16"/>
          <w:szCs w:val="16"/>
          <w:bdr w:val="none" w:sz="0" w:space="0" w:color="auto" w:frame="1"/>
          <w:lang w:eastAsia="ar-SA"/>
        </w:rPr>
        <w:t xml:space="preserve"> </w:t>
      </w:r>
      <w:r>
        <w:rPr>
          <w:rFonts w:ascii="Arial" w:hAnsi="Arial"/>
          <w:iCs/>
          <w:noProof/>
          <w:sz w:val="16"/>
          <w:szCs w:val="16"/>
          <w:lang w:eastAsia="ar-SA"/>
        </w:rPr>
        <w:t xml:space="preserve">million </w:t>
      </w:r>
      <w:r>
        <w:rPr>
          <w:rFonts w:ascii="Arial" w:hAnsi="Arial"/>
          <w:noProof/>
          <w:sz w:val="16"/>
          <w:szCs w:val="16"/>
          <w:bdr w:val="none" w:sz="0" w:space="0" w:color="auto" w:frame="1"/>
          <w:lang w:eastAsia="ar-SA"/>
        </w:rPr>
        <w:t xml:space="preserve">(31 December </w:t>
      </w:r>
      <w:r>
        <w:rPr>
          <w:rFonts w:ascii="Arial" w:hAnsi="Arial"/>
          <w:noProof/>
          <w:sz w:val="16"/>
          <w:szCs w:val="16"/>
          <w:lang w:eastAsia="ar-SA"/>
        </w:rPr>
        <w:t>2024:</w:t>
      </w:r>
      <w:r>
        <w:rPr>
          <w:rFonts w:ascii="Arial" w:hAnsi="Arial"/>
          <w:noProof/>
          <w:sz w:val="16"/>
          <w:szCs w:val="16"/>
          <w:bdr w:val="none" w:sz="0" w:space="0" w:color="auto" w:frame="1"/>
          <w:lang w:eastAsia="ar-SA"/>
        </w:rPr>
        <w:t xml:space="preserve"> EUR -24.8 </w:t>
      </w:r>
      <w:r>
        <w:rPr>
          <w:rFonts w:ascii="Arial" w:hAnsi="Arial"/>
          <w:iCs/>
          <w:noProof/>
          <w:sz w:val="16"/>
          <w:szCs w:val="16"/>
          <w:lang w:eastAsia="ar-SA"/>
        </w:rPr>
        <w:t>million</w:t>
      </w:r>
      <w:r>
        <w:rPr>
          <w:rFonts w:ascii="Arial" w:hAnsi="Arial"/>
          <w:noProof/>
          <w:sz w:val="16"/>
          <w:szCs w:val="16"/>
          <w:bdr w:val="none" w:sz="0" w:space="0" w:color="auto" w:frame="1"/>
          <w:lang w:eastAsia="ar-SA"/>
        </w:rPr>
        <w:t>).</w:t>
      </w:r>
    </w:p>
    <w:p w14:paraId="7F57C92E"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p w14:paraId="65CDEB1C" w14:textId="77777777" w:rsidR="00FD1E19" w:rsidRPr="00E1194A"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eastAsia="Calibri" w:hAnsi="Arial"/>
          <w:b/>
          <w:noProof/>
          <w:sz w:val="20"/>
          <w:szCs w:val="20"/>
          <w:bdr w:val="nil"/>
          <w:lang w:eastAsia="ar-SA"/>
        </w:rPr>
      </w:pPr>
      <w:bookmarkStart w:id="335" w:name="RG_MARKER_90231"/>
      <w:bookmarkStart w:id="336" w:name="RG_MARKER_90230"/>
      <w:r w:rsidRPr="00BC2B07">
        <w:rPr>
          <w:rFonts w:ascii="Arial" w:eastAsia="Calibri" w:hAnsi="Arial" w:cs="Arial"/>
          <w:b/>
          <w:noProof/>
          <w:sz w:val="20"/>
          <w:szCs w:val="20"/>
          <w:lang w:eastAsia="ar-SA"/>
        </w:rPr>
        <w:t>24</w:t>
      </w:r>
      <w:bookmarkEnd w:id="335"/>
      <w:bookmarkEnd w:id="336"/>
      <w:r>
        <w:rPr>
          <w:rFonts w:ascii="Arial" w:eastAsia="Calibri" w:hAnsi="Arial" w:cs="Arial"/>
          <w:b/>
          <w:noProof/>
          <w:sz w:val="20"/>
          <w:szCs w:val="20"/>
          <w:lang w:eastAsia="ar-SA"/>
        </w:rPr>
        <w:t xml:space="preserve"> </w:t>
      </w:r>
      <w:r>
        <w:rPr>
          <w:rFonts w:ascii="Arial" w:eastAsia="Calibri" w:hAnsi="Arial" w:cs="Arial"/>
          <w:b/>
          <w:noProof/>
          <w:sz w:val="20"/>
          <w:szCs w:val="20"/>
          <w:lang w:eastAsia="ar-SA"/>
        </w:rPr>
        <w:tab/>
      </w:r>
      <w:r w:rsidRPr="00BC2B07">
        <w:rPr>
          <w:rFonts w:ascii="Arial" w:eastAsia="Calibri" w:hAnsi="Arial" w:cs="Arial"/>
          <w:b/>
          <w:noProof/>
          <w:sz w:val="20"/>
          <w:szCs w:val="20"/>
          <w:lang w:eastAsia="ar-SA"/>
        </w:rPr>
        <w:t>Involvement with unc</w:t>
      </w:r>
      <w:r>
        <w:rPr>
          <w:rFonts w:ascii="Arial" w:eastAsia="Calibri" w:hAnsi="Arial" w:cs="Arial"/>
          <w:b/>
          <w:noProof/>
          <w:sz w:val="20"/>
          <w:szCs w:val="20"/>
          <w:lang w:eastAsia="ar-SA"/>
        </w:rPr>
        <w:t xml:space="preserve">onsolidated structured entities </w:t>
      </w:r>
      <w:r w:rsidRPr="00E1194A">
        <w:rPr>
          <w:rFonts w:ascii="Arial" w:eastAsia="Calibri" w:hAnsi="Arial" w:cs="Arial"/>
          <w:b/>
          <w:noProof/>
          <w:sz w:val="20"/>
          <w:szCs w:val="20"/>
          <w:lang w:eastAsia="ar-SA"/>
        </w:rPr>
        <w:t>(in EUR’000)</w:t>
      </w:r>
    </w:p>
    <w:p w14:paraId="27C185B0" w14:textId="77777777" w:rsidR="00FD1E19" w:rsidRDefault="00FD1E19" w:rsidP="00FD1E19">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14:paraId="463275B9" w14:textId="77777777" w:rsidR="00FD1E19" w:rsidRPr="00BC2B07" w:rsidRDefault="00FD1E19" w:rsidP="00FD1E19">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lang w:val="en-US"/>
        </w:rPr>
      </w:pPr>
      <w:r w:rsidRPr="00BC2B07">
        <w:rPr>
          <w:rFonts w:ascii="Arial" w:eastAsia="Calibri" w:hAnsi="Arial" w:cs="Arial"/>
          <w:i/>
          <w:noProof/>
          <w:sz w:val="16"/>
          <w:szCs w:val="16"/>
          <w:lang w:val="en-US"/>
        </w:rPr>
        <w:t>Definition of a structured entity</w:t>
      </w:r>
    </w:p>
    <w:p w14:paraId="18DB0A4F" w14:textId="77777777" w:rsidR="00FD1E19" w:rsidRPr="00BC2B07" w:rsidRDefault="00FD1E19" w:rsidP="00FD1E19">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lang w:val="en-US"/>
        </w:rPr>
      </w:pPr>
    </w:p>
    <w:p w14:paraId="262732D8" w14:textId="77777777" w:rsidR="00FD1E19" w:rsidRPr="00BC2B07"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r w:rsidRPr="00BC2B07">
        <w:rPr>
          <w:rFonts w:ascii="Arial" w:eastAsia="Calibri" w:hAnsi="Arial" w:cs="Arial"/>
          <w:noProof/>
          <w:sz w:val="16"/>
          <w:szCs w:val="16"/>
          <w:lang w:val="en-US"/>
        </w:rPr>
        <w:t>A structured entity is one that has been designed so that voting or similar rights are not the dominant factor in deciding, who controls the-entity. IFRS 12 observes that a structured entity often has some or all of the following features:</w:t>
      </w:r>
    </w:p>
    <w:p w14:paraId="48D66082" w14:textId="77777777" w:rsidR="00FD1E19" w:rsidRPr="0058055E" w:rsidRDefault="00FD1E19" w:rsidP="00FD1E19">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lang w:val="en-US"/>
        </w:rPr>
      </w:pPr>
      <w:r w:rsidRPr="0058055E">
        <w:rPr>
          <w:rFonts w:ascii="Arial" w:eastAsia="Calibri" w:hAnsi="Arial" w:cs="Arial"/>
          <w:noProof/>
          <w:sz w:val="16"/>
          <w:szCs w:val="16"/>
          <w:lang w:val="en-US"/>
        </w:rPr>
        <w:t>Restricted activities;</w:t>
      </w:r>
    </w:p>
    <w:p w14:paraId="63414579" w14:textId="77777777" w:rsidR="00FD1E19" w:rsidRDefault="00FD1E19" w:rsidP="00FD1E19">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lang w:val="en-US"/>
        </w:rPr>
      </w:pPr>
      <w:r w:rsidRPr="0058055E">
        <w:rPr>
          <w:rFonts w:ascii="Arial" w:eastAsia="Calibri" w:hAnsi="Arial" w:cs="Arial"/>
          <w:noProof/>
          <w:sz w:val="16"/>
          <w:szCs w:val="16"/>
          <w:lang w:val="en-US"/>
        </w:rPr>
        <w:t>A narrow and well-defined objective, such as to effect a tax-efficient lease, carry out research and development activities, provide a source of capital or funding to an entity or provide investment opportunities for investors by passing on risks and rewards associated with the assets of the structured entity to investors;</w:t>
      </w:r>
    </w:p>
    <w:p w14:paraId="5A132286" w14:textId="77777777" w:rsidR="00FD1E19" w:rsidRDefault="00FD1E19" w:rsidP="00FD1E19">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lang w:val="en-US"/>
        </w:rPr>
      </w:pPr>
      <w:r w:rsidRPr="0058055E">
        <w:rPr>
          <w:rFonts w:ascii="Arial" w:eastAsia="Calibri" w:hAnsi="Arial" w:cs="Arial"/>
          <w:noProof/>
          <w:sz w:val="16"/>
          <w:szCs w:val="16"/>
          <w:lang w:val="en-US"/>
        </w:rPr>
        <w:t>Insufficient equity to permit the structured entity to finance its activities without subordinated financial support;</w:t>
      </w:r>
    </w:p>
    <w:p w14:paraId="2B205A47" w14:textId="77777777" w:rsidR="00FD1E19" w:rsidRPr="0058055E" w:rsidRDefault="00FD1E19" w:rsidP="00FD1E19">
      <w:pPr>
        <w:numPr>
          <w:ilvl w:val="0"/>
          <w:numId w:val="77"/>
        </w:numPr>
        <w:pBdr>
          <w:top w:val="nil"/>
          <w:left w:val="nil"/>
          <w:bottom w:val="nil"/>
          <w:right w:val="nil"/>
          <w:between w:val="nil"/>
          <w:bar w:val="nil"/>
        </w:pBdr>
        <w:spacing w:after="60" w:line="276" w:lineRule="auto"/>
        <w:contextualSpacing/>
        <w:jc w:val="both"/>
        <w:rPr>
          <w:rFonts w:ascii="Arial" w:eastAsia="Calibri" w:hAnsi="Arial" w:cs="Arial"/>
          <w:noProof/>
          <w:sz w:val="16"/>
          <w:szCs w:val="16"/>
          <w:bdr w:val="nil"/>
          <w:lang w:val="en-US"/>
        </w:rPr>
      </w:pPr>
      <w:r w:rsidRPr="0058055E">
        <w:rPr>
          <w:rFonts w:ascii="Arial" w:eastAsia="Calibri" w:hAnsi="Arial" w:cs="Arial"/>
          <w:noProof/>
          <w:sz w:val="16"/>
          <w:szCs w:val="16"/>
          <w:lang w:val="en-US"/>
        </w:rPr>
        <w:t>Financing in the form of multiple contractually linked instruments to investors that create concentrations of credit or other risks (tranches).</w:t>
      </w:r>
    </w:p>
    <w:p w14:paraId="13342957" w14:textId="77777777" w:rsidR="00FD1E19" w:rsidRPr="00BC2B07" w:rsidRDefault="00FD1E19" w:rsidP="00FD1E19">
      <w:pPr>
        <w:pBdr>
          <w:top w:val="nil"/>
          <w:left w:val="nil"/>
          <w:bottom w:val="nil"/>
          <w:right w:val="nil"/>
          <w:between w:val="nil"/>
          <w:bar w:val="nil"/>
        </w:pBdr>
        <w:spacing w:before="60" w:after="60"/>
        <w:ind w:left="431" w:hanging="431"/>
        <w:jc w:val="both"/>
        <w:rPr>
          <w:rFonts w:ascii="Arial" w:eastAsia="Calibri" w:hAnsi="Arial" w:cs="Arial"/>
          <w:noProof/>
          <w:sz w:val="16"/>
          <w:szCs w:val="16"/>
          <w:bdr w:val="nil"/>
          <w:lang w:val="en-US"/>
        </w:rPr>
      </w:pPr>
    </w:p>
    <w:p w14:paraId="5322B663" w14:textId="77777777" w:rsidR="00FD1E19" w:rsidRPr="00BC2B07" w:rsidRDefault="00FD1E19" w:rsidP="00FD1E19">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lang w:val="en-US"/>
        </w:rPr>
      </w:pPr>
      <w:r w:rsidRPr="00BC2B07">
        <w:rPr>
          <w:rFonts w:ascii="Arial" w:eastAsia="Calibri" w:hAnsi="Arial" w:cs="Arial"/>
          <w:i/>
          <w:noProof/>
          <w:sz w:val="16"/>
          <w:szCs w:val="16"/>
          <w:lang w:val="en-US"/>
        </w:rPr>
        <w:t>Unconsolidated structured entities</w:t>
      </w:r>
    </w:p>
    <w:p w14:paraId="75BBCE40" w14:textId="77777777" w:rsidR="00FD1E19" w:rsidRPr="00BC2B07" w:rsidRDefault="00FD1E19" w:rsidP="00FD1E19">
      <w:pPr>
        <w:pBdr>
          <w:top w:val="nil"/>
          <w:left w:val="nil"/>
          <w:bottom w:val="nil"/>
          <w:right w:val="nil"/>
          <w:between w:val="nil"/>
          <w:bar w:val="nil"/>
        </w:pBdr>
        <w:spacing w:before="60" w:after="60"/>
        <w:ind w:left="431" w:hanging="431"/>
        <w:jc w:val="both"/>
        <w:rPr>
          <w:rFonts w:ascii="Arial" w:eastAsia="Calibri" w:hAnsi="Arial" w:cs="Arial"/>
          <w:i/>
          <w:noProof/>
          <w:sz w:val="16"/>
          <w:szCs w:val="16"/>
          <w:bdr w:val="nil"/>
          <w:lang w:val="en-US"/>
        </w:rPr>
      </w:pPr>
    </w:p>
    <w:p w14:paraId="40E468BB" w14:textId="77777777" w:rsidR="00FD1E19" w:rsidRPr="00BC2B07"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r w:rsidRPr="00BC2B07">
        <w:rPr>
          <w:rFonts w:ascii="Arial" w:eastAsia="Calibri" w:hAnsi="Arial" w:cs="Arial"/>
          <w:noProof/>
          <w:sz w:val="16"/>
          <w:szCs w:val="16"/>
          <w:lang w:val="en-US"/>
        </w:rPr>
        <w:t xml:space="preserve">The term 'unconsolidated structured entities' refers to all structured entities that are not controlled by the </w:t>
      </w:r>
      <w:r>
        <w:rPr>
          <w:rFonts w:ascii="Arial" w:eastAsia="Calibri" w:hAnsi="Arial" w:cs="Arial"/>
          <w:noProof/>
          <w:sz w:val="16"/>
          <w:szCs w:val="16"/>
          <w:lang w:val="en-US"/>
        </w:rPr>
        <w:t xml:space="preserve">Facility and </w:t>
      </w:r>
      <w:r w:rsidRPr="00BC2B07">
        <w:rPr>
          <w:rFonts w:ascii="Arial" w:eastAsia="Calibri" w:hAnsi="Arial" w:cs="Arial"/>
          <w:noProof/>
          <w:sz w:val="16"/>
          <w:szCs w:val="16"/>
          <w:lang w:val="en-US"/>
        </w:rPr>
        <w:t>includes interests in structured entities that are not consolidated.</w:t>
      </w:r>
    </w:p>
    <w:p w14:paraId="1592B4F7" w14:textId="77777777" w:rsidR="00FD1E19" w:rsidRPr="00BC2B07" w:rsidRDefault="00FD1E19" w:rsidP="00FD1E19">
      <w:pPr>
        <w:pBdr>
          <w:top w:val="nil"/>
          <w:left w:val="nil"/>
          <w:bottom w:val="nil"/>
          <w:right w:val="nil"/>
          <w:between w:val="nil"/>
          <w:bar w:val="nil"/>
        </w:pBdr>
        <w:spacing w:before="60" w:after="60"/>
        <w:jc w:val="both"/>
        <w:rPr>
          <w:rFonts w:ascii="Arial" w:eastAsia="Calibri" w:hAnsi="Arial" w:cs="Arial"/>
          <w:i/>
          <w:noProof/>
          <w:sz w:val="16"/>
          <w:szCs w:val="16"/>
          <w:bdr w:val="nil"/>
          <w:lang w:val="en-US"/>
        </w:rPr>
      </w:pPr>
    </w:p>
    <w:p w14:paraId="383511D7" w14:textId="77777777" w:rsidR="00FD1E19" w:rsidRPr="00BC2B07" w:rsidRDefault="00FD1E19" w:rsidP="00FD1E19">
      <w:pPr>
        <w:pBdr>
          <w:top w:val="nil"/>
          <w:left w:val="nil"/>
          <w:bottom w:val="nil"/>
          <w:right w:val="nil"/>
          <w:between w:val="nil"/>
          <w:bar w:val="nil"/>
        </w:pBdr>
        <w:spacing w:before="60" w:after="60"/>
        <w:jc w:val="both"/>
        <w:rPr>
          <w:rFonts w:ascii="Arial" w:eastAsia="Calibri" w:hAnsi="Arial" w:cs="Arial"/>
          <w:i/>
          <w:noProof/>
          <w:sz w:val="16"/>
          <w:szCs w:val="16"/>
          <w:bdr w:val="nil"/>
          <w:lang w:val="en-US"/>
        </w:rPr>
      </w:pPr>
      <w:r w:rsidRPr="00BC2B07">
        <w:rPr>
          <w:rFonts w:ascii="Arial" w:eastAsia="Calibri" w:hAnsi="Arial" w:cs="Arial"/>
          <w:i/>
          <w:noProof/>
          <w:sz w:val="16"/>
          <w:szCs w:val="16"/>
          <w:lang w:val="en-US"/>
        </w:rPr>
        <w:t>Definition of Interests in structured entities:</w:t>
      </w:r>
    </w:p>
    <w:p w14:paraId="66FA4217" w14:textId="77777777" w:rsidR="00FD1E19" w:rsidRPr="00BC2B07"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p w14:paraId="29C65628" w14:textId="77777777" w:rsidR="00FD1E19"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r w:rsidRPr="001D2D32">
        <w:rPr>
          <w:rFonts w:ascii="Arial" w:eastAsia="Calibri" w:hAnsi="Arial" w:cs="Arial"/>
          <w:noProof/>
          <w:sz w:val="16"/>
          <w:szCs w:val="16"/>
          <w:lang w:val="en-US"/>
        </w:rPr>
        <w:t>IFRS 12 defines "interests" broadly to include any contractual or non-contractual involvement that exposes the reporting entity to variability in returns from the performance of the entity.   Examples of such interests include the holding of equity interests and other forms of involvement such as the provision of funding, liquidity support, credit enhancements, commitments and guarantees to the other entity. IFRS 12 states that a reporting entity does not necessarily have an interest in another entity solely because of a typical customer supplier relationship.</w:t>
      </w:r>
    </w:p>
    <w:p w14:paraId="38E4024A" w14:textId="77777777" w:rsidR="00FD1E19" w:rsidRPr="00BC2B07"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p w14:paraId="1E38AED8" w14:textId="77777777" w:rsidR="00FD1E19"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r w:rsidRPr="00BC2B07">
        <w:rPr>
          <w:rFonts w:ascii="Arial" w:eastAsia="Calibri" w:hAnsi="Arial" w:cs="Arial"/>
          <w:noProof/>
          <w:sz w:val="16"/>
          <w:szCs w:val="16"/>
          <w:lang w:val="en-US"/>
        </w:rPr>
        <w:t xml:space="preserve">The table below describes the types of structured entities that the </w:t>
      </w:r>
      <w:r>
        <w:rPr>
          <w:rFonts w:ascii="Arial" w:eastAsia="Calibri" w:hAnsi="Arial" w:cs="Arial"/>
          <w:noProof/>
          <w:sz w:val="16"/>
          <w:szCs w:val="16"/>
          <w:lang w:val="en-US"/>
        </w:rPr>
        <w:t>Facility</w:t>
      </w:r>
      <w:r w:rsidRPr="00BC2B07">
        <w:rPr>
          <w:rFonts w:ascii="Arial" w:eastAsia="Calibri" w:hAnsi="Arial" w:cs="Arial"/>
          <w:noProof/>
          <w:sz w:val="16"/>
          <w:szCs w:val="16"/>
          <w:lang w:val="en-US"/>
        </w:rPr>
        <w:t xml:space="preserve"> does not consolidate but in which it holds an interest.</w:t>
      </w:r>
    </w:p>
    <w:tbl>
      <w:tblPr>
        <w:tblStyle w:val="TableGrid"/>
        <w:tblW w:w="5000" w:type="pct"/>
        <w:tblInd w:w="108" w:type="dxa"/>
        <w:tblBorders>
          <w:left w:val="nil"/>
          <w:right w:val="nil"/>
          <w:insideV w:val="nil"/>
        </w:tblBorders>
        <w:tblLook w:val="04A0" w:firstRow="1" w:lastRow="0" w:firstColumn="1" w:lastColumn="0" w:noHBand="0" w:noVBand="1"/>
      </w:tblPr>
      <w:tblGrid>
        <w:gridCol w:w="1554"/>
        <w:gridCol w:w="5483"/>
        <w:gridCol w:w="2817"/>
      </w:tblGrid>
      <w:tr w:rsidR="00FD1E19" w14:paraId="11766408" w14:textId="77777777" w:rsidTr="00BE7E4A">
        <w:tc>
          <w:tcPr>
            <w:tcW w:w="1560" w:type="dxa"/>
          </w:tcPr>
          <w:p w14:paraId="7F9865C3" w14:textId="77777777" w:rsidR="00FD1E19" w:rsidRPr="00D948B5" w:rsidRDefault="00FD1E19" w:rsidP="00BE7E4A">
            <w:pPr>
              <w:pBdr>
                <w:top w:val="nil"/>
                <w:left w:val="nil"/>
                <w:bottom w:val="nil"/>
                <w:right w:val="nil"/>
                <w:between w:val="nil"/>
                <w:bar w:val="nil"/>
              </w:pBdr>
              <w:spacing w:before="60" w:after="60" w:line="276" w:lineRule="auto"/>
              <w:ind w:left="0" w:firstLine="0"/>
              <w:jc w:val="left"/>
              <w:rPr>
                <w:rFonts w:ascii="Arial" w:hAnsi="Arial"/>
                <w:b/>
                <w:noProof/>
                <w:sz w:val="16"/>
                <w:szCs w:val="16"/>
                <w:bdr w:val="nil"/>
              </w:rPr>
            </w:pPr>
            <w:r w:rsidRPr="00D948B5">
              <w:rPr>
                <w:rFonts w:ascii="Arial" w:hAnsi="Arial"/>
                <w:b/>
                <w:noProof/>
                <w:sz w:val="16"/>
                <w:szCs w:val="16"/>
              </w:rPr>
              <w:t>Type of structured entity</w:t>
            </w:r>
          </w:p>
        </w:tc>
        <w:tc>
          <w:tcPr>
            <w:tcW w:w="5528" w:type="dxa"/>
          </w:tcPr>
          <w:p w14:paraId="1484ED1E" w14:textId="77777777" w:rsidR="00FD1E19" w:rsidRPr="00D948B5" w:rsidRDefault="00FD1E19" w:rsidP="00BE7E4A">
            <w:pPr>
              <w:pBdr>
                <w:top w:val="nil"/>
                <w:left w:val="nil"/>
                <w:bottom w:val="nil"/>
                <w:right w:val="nil"/>
                <w:between w:val="nil"/>
                <w:bar w:val="nil"/>
              </w:pBdr>
              <w:spacing w:before="60" w:after="60" w:line="276" w:lineRule="auto"/>
              <w:ind w:left="0" w:firstLine="0"/>
              <w:rPr>
                <w:rFonts w:ascii="Arial" w:hAnsi="Arial"/>
                <w:b/>
                <w:noProof/>
                <w:sz w:val="16"/>
                <w:szCs w:val="16"/>
                <w:bdr w:val="nil"/>
              </w:rPr>
            </w:pPr>
            <w:r w:rsidRPr="00D948B5">
              <w:rPr>
                <w:rFonts w:ascii="Arial" w:hAnsi="Arial"/>
                <w:b/>
                <w:noProof/>
                <w:sz w:val="16"/>
                <w:szCs w:val="16"/>
              </w:rPr>
              <w:t>Nature and purpose</w:t>
            </w:r>
          </w:p>
        </w:tc>
        <w:tc>
          <w:tcPr>
            <w:tcW w:w="2835" w:type="dxa"/>
          </w:tcPr>
          <w:p w14:paraId="4A89545E" w14:textId="77777777" w:rsidR="00FD1E19" w:rsidRPr="00D948B5" w:rsidRDefault="00FD1E19" w:rsidP="00BE7E4A">
            <w:pPr>
              <w:pBdr>
                <w:top w:val="nil"/>
                <w:left w:val="nil"/>
                <w:bottom w:val="nil"/>
                <w:right w:val="nil"/>
                <w:between w:val="nil"/>
                <w:bar w:val="nil"/>
              </w:pBdr>
              <w:spacing w:before="60" w:after="60" w:line="276" w:lineRule="auto"/>
              <w:ind w:left="0" w:firstLine="0"/>
              <w:rPr>
                <w:rFonts w:ascii="Arial" w:hAnsi="Arial"/>
                <w:b/>
                <w:noProof/>
                <w:sz w:val="16"/>
                <w:szCs w:val="16"/>
                <w:bdr w:val="nil"/>
              </w:rPr>
            </w:pPr>
            <w:r w:rsidRPr="00D948B5">
              <w:rPr>
                <w:rFonts w:ascii="Arial" w:hAnsi="Arial"/>
                <w:b/>
                <w:noProof/>
                <w:sz w:val="16"/>
                <w:szCs w:val="16"/>
              </w:rPr>
              <w:t xml:space="preserve">Interest held by the </w:t>
            </w:r>
            <w:r>
              <w:rPr>
                <w:rFonts w:ascii="Arial" w:hAnsi="Arial"/>
                <w:b/>
                <w:noProof/>
                <w:sz w:val="16"/>
                <w:szCs w:val="16"/>
              </w:rPr>
              <w:t>Facility</w:t>
            </w:r>
          </w:p>
        </w:tc>
      </w:tr>
      <w:tr w:rsidR="00FD1E19" w14:paraId="5B13774E" w14:textId="77777777" w:rsidTr="00BE7E4A">
        <w:tc>
          <w:tcPr>
            <w:tcW w:w="1560" w:type="dxa"/>
          </w:tcPr>
          <w:p w14:paraId="05E83E22" w14:textId="77777777" w:rsidR="00FD1E19" w:rsidRPr="007D3A1D" w:rsidRDefault="00FD1E19" w:rsidP="00BE7E4A">
            <w:pPr>
              <w:pBdr>
                <w:top w:val="nil"/>
                <w:left w:val="nil"/>
                <w:bottom w:val="nil"/>
                <w:right w:val="nil"/>
                <w:between w:val="nil"/>
                <w:bar w:val="nil"/>
              </w:pBdr>
              <w:spacing w:before="60" w:after="60" w:line="276" w:lineRule="auto"/>
              <w:ind w:left="0" w:firstLine="0"/>
              <w:rPr>
                <w:rFonts w:ascii="Arial" w:hAnsi="Arial"/>
                <w:noProof/>
                <w:sz w:val="16"/>
                <w:szCs w:val="16"/>
                <w:bdr w:val="nil"/>
              </w:rPr>
            </w:pPr>
            <w:r w:rsidRPr="001D2D32">
              <w:rPr>
                <w:rFonts w:ascii="Arial" w:hAnsi="Arial"/>
                <w:noProof/>
                <w:sz w:val="16"/>
                <w:szCs w:val="16"/>
              </w:rPr>
              <w:t>Project Finance - lending to Special Purposes Vehicles (“SPV”)</w:t>
            </w:r>
          </w:p>
        </w:tc>
        <w:tc>
          <w:tcPr>
            <w:tcW w:w="5528" w:type="dxa"/>
          </w:tcPr>
          <w:p w14:paraId="39A44CCF" w14:textId="77777777" w:rsidR="00FD1E19" w:rsidRPr="007D3A1D" w:rsidRDefault="00FD1E19" w:rsidP="00BE7E4A">
            <w:pPr>
              <w:pBdr>
                <w:top w:val="nil"/>
                <w:left w:val="nil"/>
                <w:bottom w:val="nil"/>
                <w:right w:val="nil"/>
                <w:between w:val="nil"/>
                <w:bar w:val="nil"/>
              </w:pBdr>
              <w:spacing w:before="60" w:after="60" w:line="276" w:lineRule="auto"/>
              <w:ind w:left="0" w:firstLine="0"/>
              <w:rPr>
                <w:rFonts w:ascii="Arial" w:hAnsi="Arial"/>
                <w:noProof/>
                <w:sz w:val="16"/>
                <w:szCs w:val="16"/>
                <w:bdr w:val="nil"/>
              </w:rPr>
            </w:pPr>
            <w:r w:rsidRPr="001D2D32">
              <w:rPr>
                <w:rFonts w:ascii="Arial" w:hAnsi="Arial"/>
                <w:noProof/>
                <w:sz w:val="16"/>
                <w:szCs w:val="16"/>
              </w:rPr>
              <w:t xml:space="preserve">Project Finance Transactions (PF Operations) are transactions where the </w:t>
            </w:r>
            <w:r>
              <w:rPr>
                <w:rFonts w:ascii="Arial" w:hAnsi="Arial"/>
                <w:noProof/>
                <w:sz w:val="16"/>
                <w:szCs w:val="16"/>
              </w:rPr>
              <w:t xml:space="preserve">Facility </w:t>
            </w:r>
            <w:r w:rsidRPr="001D2D32">
              <w:rPr>
                <w:rFonts w:ascii="Arial" w:hAnsi="Arial"/>
                <w:noProof/>
                <w:sz w:val="16"/>
                <w:szCs w:val="16"/>
              </w:rPr>
              <w:t>relies for the servicing of its debt on a borrower whose sole or main source of revenue is generated by a single or limited number of assets being financed by such debt or other pre-existing assets contractually linked to the project.  PF operations are often financed through SPV.</w:t>
            </w:r>
          </w:p>
        </w:tc>
        <w:tc>
          <w:tcPr>
            <w:tcW w:w="2835" w:type="dxa"/>
          </w:tcPr>
          <w:p w14:paraId="6F236C5A" w14:textId="77777777" w:rsidR="00FD1E19" w:rsidRPr="001D2D32" w:rsidRDefault="00FD1E19" w:rsidP="00BE7E4A">
            <w:pPr>
              <w:pBdr>
                <w:top w:val="nil"/>
                <w:left w:val="nil"/>
                <w:bottom w:val="nil"/>
                <w:right w:val="nil"/>
                <w:between w:val="nil"/>
                <w:bar w:val="nil"/>
              </w:pBdr>
              <w:spacing w:before="60" w:after="60"/>
              <w:ind w:left="0" w:firstLine="0"/>
              <w:rPr>
                <w:rFonts w:ascii="Arial" w:hAnsi="Arial"/>
                <w:noProof/>
                <w:sz w:val="16"/>
                <w:szCs w:val="16"/>
                <w:bdr w:val="nil"/>
              </w:rPr>
            </w:pPr>
            <w:r w:rsidRPr="001D2D32">
              <w:rPr>
                <w:rFonts w:ascii="Arial" w:hAnsi="Arial"/>
                <w:noProof/>
                <w:sz w:val="16"/>
                <w:szCs w:val="16"/>
              </w:rPr>
              <w:t>Net disbursed amounts</w:t>
            </w:r>
            <w:r>
              <w:rPr>
                <w:rFonts w:ascii="Arial" w:hAnsi="Arial"/>
                <w:noProof/>
                <w:sz w:val="16"/>
                <w:szCs w:val="16"/>
              </w:rPr>
              <w:t>;</w:t>
            </w:r>
          </w:p>
          <w:p w14:paraId="3D0099A7" w14:textId="77777777" w:rsidR="00FD1E19" w:rsidRPr="007D3A1D" w:rsidRDefault="00FD1E19" w:rsidP="00BE7E4A">
            <w:pPr>
              <w:pBdr>
                <w:top w:val="nil"/>
                <w:left w:val="nil"/>
                <w:bottom w:val="nil"/>
                <w:right w:val="nil"/>
                <w:between w:val="nil"/>
                <w:bar w:val="nil"/>
              </w:pBdr>
              <w:spacing w:before="60" w:after="60" w:line="276" w:lineRule="auto"/>
              <w:ind w:left="0" w:firstLine="0"/>
              <w:rPr>
                <w:rFonts w:ascii="Arial" w:hAnsi="Arial"/>
                <w:noProof/>
                <w:sz w:val="16"/>
                <w:szCs w:val="16"/>
                <w:bdr w:val="nil"/>
              </w:rPr>
            </w:pPr>
            <w:r w:rsidRPr="001D2D32">
              <w:rPr>
                <w:rFonts w:ascii="Arial" w:hAnsi="Arial"/>
                <w:noProof/>
                <w:sz w:val="16"/>
                <w:szCs w:val="16"/>
              </w:rPr>
              <w:t>Interest income</w:t>
            </w:r>
            <w:r>
              <w:rPr>
                <w:rFonts w:ascii="Arial" w:hAnsi="Arial"/>
                <w:noProof/>
                <w:sz w:val="16"/>
                <w:szCs w:val="16"/>
              </w:rPr>
              <w:t>.</w:t>
            </w:r>
          </w:p>
        </w:tc>
      </w:tr>
      <w:tr w:rsidR="00FD1E19" w14:paraId="229D7C1D" w14:textId="77777777" w:rsidTr="00BE7E4A">
        <w:tc>
          <w:tcPr>
            <w:tcW w:w="1560" w:type="dxa"/>
          </w:tcPr>
          <w:p w14:paraId="14D4CACC" w14:textId="77777777" w:rsidR="00FD1E19" w:rsidRDefault="00FD1E19" w:rsidP="00BE7E4A">
            <w:pPr>
              <w:pBdr>
                <w:top w:val="nil"/>
                <w:left w:val="nil"/>
                <w:bottom w:val="nil"/>
                <w:right w:val="nil"/>
                <w:between w:val="nil"/>
                <w:bar w:val="nil"/>
              </w:pBdr>
              <w:spacing w:before="60" w:after="60" w:line="276" w:lineRule="auto"/>
              <w:ind w:left="0" w:firstLine="0"/>
              <w:rPr>
                <w:rFonts w:ascii="Arial" w:hAnsi="Arial"/>
                <w:noProof/>
                <w:sz w:val="16"/>
                <w:szCs w:val="16"/>
                <w:bdr w:val="nil"/>
              </w:rPr>
            </w:pPr>
            <w:r w:rsidRPr="007D3A1D">
              <w:rPr>
                <w:rFonts w:ascii="Arial" w:hAnsi="Arial"/>
                <w:noProof/>
                <w:sz w:val="16"/>
                <w:szCs w:val="16"/>
              </w:rPr>
              <w:t>Venture capital operations</w:t>
            </w:r>
          </w:p>
        </w:tc>
        <w:tc>
          <w:tcPr>
            <w:tcW w:w="5528" w:type="dxa"/>
          </w:tcPr>
          <w:p w14:paraId="4274B752" w14:textId="77777777" w:rsidR="00FD1E19" w:rsidRDefault="00FD1E19" w:rsidP="00BE7E4A">
            <w:pPr>
              <w:pBdr>
                <w:top w:val="nil"/>
                <w:left w:val="nil"/>
                <w:bottom w:val="nil"/>
                <w:right w:val="nil"/>
                <w:between w:val="nil"/>
                <w:bar w:val="nil"/>
              </w:pBdr>
              <w:spacing w:before="60" w:after="60" w:line="276" w:lineRule="auto"/>
              <w:ind w:left="0" w:firstLine="0"/>
              <w:rPr>
                <w:rFonts w:ascii="Arial" w:hAnsi="Arial"/>
                <w:noProof/>
                <w:sz w:val="16"/>
                <w:szCs w:val="16"/>
                <w:bdr w:val="nil"/>
              </w:rPr>
            </w:pPr>
            <w:r w:rsidRPr="001D2D32">
              <w:rPr>
                <w:rFonts w:ascii="Arial" w:hAnsi="Arial"/>
                <w:noProof/>
                <w:sz w:val="16"/>
                <w:szCs w:val="16"/>
              </w:rPr>
              <w:t xml:space="preserve">The </w:t>
            </w:r>
            <w:r>
              <w:rPr>
                <w:rFonts w:ascii="Arial" w:hAnsi="Arial"/>
                <w:noProof/>
                <w:sz w:val="16"/>
                <w:szCs w:val="16"/>
              </w:rPr>
              <w:t xml:space="preserve">Facility </w:t>
            </w:r>
            <w:r w:rsidRPr="001D2D32">
              <w:rPr>
                <w:rFonts w:ascii="Arial" w:hAnsi="Arial"/>
                <w:noProof/>
                <w:sz w:val="16"/>
                <w:szCs w:val="16"/>
              </w:rPr>
              <w:t>finances venture capital and investment funds. Venture capital and investment funds pool and manage money from investors seeking private equity stakes in small and medium-size enterprises with strong growth potential as well as financing infrastructure projects.</w:t>
            </w:r>
          </w:p>
        </w:tc>
        <w:tc>
          <w:tcPr>
            <w:tcW w:w="2835" w:type="dxa"/>
          </w:tcPr>
          <w:p w14:paraId="12A99C02" w14:textId="77777777" w:rsidR="00FD1E19" w:rsidRPr="007D3A1D" w:rsidRDefault="00FD1E19" w:rsidP="00BE7E4A">
            <w:pPr>
              <w:pBdr>
                <w:top w:val="nil"/>
                <w:left w:val="nil"/>
                <w:bottom w:val="nil"/>
                <w:right w:val="nil"/>
                <w:between w:val="nil"/>
                <w:bar w:val="nil"/>
              </w:pBdr>
              <w:spacing w:before="60" w:after="60" w:line="276" w:lineRule="auto"/>
              <w:ind w:left="0" w:firstLine="0"/>
              <w:rPr>
                <w:rFonts w:ascii="Arial" w:hAnsi="Arial"/>
                <w:noProof/>
                <w:sz w:val="16"/>
                <w:szCs w:val="16"/>
                <w:bdr w:val="nil"/>
              </w:rPr>
            </w:pPr>
            <w:r w:rsidRPr="007D3A1D">
              <w:rPr>
                <w:rFonts w:ascii="Arial" w:hAnsi="Arial"/>
                <w:noProof/>
                <w:sz w:val="16"/>
                <w:szCs w:val="16"/>
              </w:rPr>
              <w:t>Investments in units/shares issued by the venture capital entity;</w:t>
            </w:r>
          </w:p>
          <w:p w14:paraId="0FD2BCB1" w14:textId="77777777" w:rsidR="00FD1E19" w:rsidRDefault="00FD1E19" w:rsidP="00BE7E4A">
            <w:pPr>
              <w:pBdr>
                <w:top w:val="nil"/>
                <w:left w:val="nil"/>
                <w:bottom w:val="nil"/>
                <w:right w:val="nil"/>
                <w:between w:val="nil"/>
                <w:bar w:val="nil"/>
              </w:pBdr>
              <w:spacing w:before="60" w:after="60" w:line="276" w:lineRule="auto"/>
              <w:ind w:left="0" w:firstLine="0"/>
              <w:rPr>
                <w:rFonts w:ascii="Arial" w:hAnsi="Arial"/>
                <w:noProof/>
                <w:sz w:val="16"/>
                <w:szCs w:val="16"/>
                <w:bdr w:val="nil"/>
              </w:rPr>
            </w:pPr>
            <w:r w:rsidRPr="007D3A1D">
              <w:rPr>
                <w:rFonts w:ascii="Arial" w:hAnsi="Arial"/>
                <w:noProof/>
                <w:sz w:val="16"/>
                <w:szCs w:val="16"/>
              </w:rPr>
              <w:t>Divide</w:t>
            </w:r>
            <w:r>
              <w:rPr>
                <w:rFonts w:ascii="Arial" w:hAnsi="Arial"/>
                <w:noProof/>
                <w:sz w:val="16"/>
                <w:szCs w:val="16"/>
              </w:rPr>
              <w:t>nds received as dividend income.</w:t>
            </w:r>
          </w:p>
        </w:tc>
      </w:tr>
    </w:tbl>
    <w:p w14:paraId="0EAF25A7" w14:textId="77777777" w:rsidR="00FD1E19"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p w14:paraId="70442539" w14:textId="77777777" w:rsidR="00FD1E19"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r w:rsidRPr="00765966">
        <w:rPr>
          <w:rFonts w:ascii="Arial" w:eastAsia="Calibri" w:hAnsi="Arial" w:cs="Arial"/>
          <w:noProof/>
          <w:sz w:val="16"/>
          <w:szCs w:val="16"/>
          <w:lang w:val="en-US"/>
        </w:rPr>
        <w:t xml:space="preserve">The table below shows the </w:t>
      </w:r>
      <w:r>
        <w:rPr>
          <w:rFonts w:ascii="Arial" w:eastAsia="Calibri" w:hAnsi="Arial" w:cs="Arial"/>
          <w:noProof/>
          <w:sz w:val="16"/>
          <w:szCs w:val="16"/>
          <w:lang w:val="en-US"/>
        </w:rPr>
        <w:t>c</w:t>
      </w:r>
      <w:r w:rsidRPr="00A13EC0">
        <w:rPr>
          <w:rFonts w:ascii="Arial" w:eastAsia="Calibri" w:hAnsi="Arial" w:cs="Arial"/>
          <w:noProof/>
          <w:sz w:val="16"/>
          <w:szCs w:val="16"/>
          <w:lang w:val="en-US"/>
        </w:rPr>
        <w:t>arrying amount</w:t>
      </w:r>
      <w:r>
        <w:rPr>
          <w:rFonts w:ascii="Arial" w:eastAsia="Calibri" w:hAnsi="Arial" w:cs="Arial"/>
          <w:noProof/>
          <w:sz w:val="16"/>
          <w:szCs w:val="16"/>
          <w:lang w:val="en-US"/>
        </w:rPr>
        <w:t xml:space="preserve">s </w:t>
      </w:r>
      <w:r w:rsidRPr="00765966">
        <w:rPr>
          <w:rFonts w:ascii="Arial" w:eastAsia="Calibri" w:hAnsi="Arial" w:cs="Arial"/>
          <w:noProof/>
          <w:sz w:val="16"/>
          <w:szCs w:val="16"/>
          <w:lang w:val="en-US"/>
        </w:rPr>
        <w:t xml:space="preserve">of unconsolidated structured entities in which the </w:t>
      </w:r>
      <w:r>
        <w:rPr>
          <w:rFonts w:ascii="Arial" w:eastAsia="Calibri" w:hAnsi="Arial" w:cs="Arial"/>
          <w:noProof/>
          <w:sz w:val="16"/>
          <w:szCs w:val="16"/>
          <w:lang w:val="en-US"/>
        </w:rPr>
        <w:t>Facility</w:t>
      </w:r>
      <w:r w:rsidRPr="00765966">
        <w:rPr>
          <w:rFonts w:ascii="Arial" w:eastAsia="Calibri" w:hAnsi="Arial" w:cs="Arial"/>
          <w:noProof/>
          <w:sz w:val="16"/>
          <w:szCs w:val="16"/>
          <w:lang w:val="en-US"/>
        </w:rPr>
        <w:t xml:space="preserve"> has an interest at the reporting date, as well as the </w:t>
      </w:r>
      <w:r>
        <w:rPr>
          <w:rFonts w:ascii="Arial" w:eastAsia="Calibri" w:hAnsi="Arial" w:cs="Arial"/>
          <w:noProof/>
          <w:sz w:val="16"/>
          <w:szCs w:val="16"/>
          <w:lang w:val="en-US"/>
        </w:rPr>
        <w:t>Facility</w:t>
      </w:r>
      <w:r w:rsidRPr="00765966">
        <w:rPr>
          <w:rFonts w:ascii="Arial" w:eastAsia="Calibri" w:hAnsi="Arial" w:cs="Arial"/>
          <w:noProof/>
          <w:sz w:val="16"/>
          <w:szCs w:val="16"/>
          <w:lang w:val="en-US"/>
        </w:rPr>
        <w:t>'s maximum exposure to loss in relation to those entities.</w:t>
      </w:r>
      <w:r>
        <w:rPr>
          <w:rFonts w:ascii="Arial" w:eastAsia="Calibri" w:hAnsi="Arial" w:cs="Arial"/>
          <w:noProof/>
          <w:sz w:val="16"/>
          <w:szCs w:val="16"/>
          <w:lang w:val="en-US"/>
        </w:rPr>
        <w:t xml:space="preserve"> The maximum exposure to loss includes the c</w:t>
      </w:r>
      <w:r w:rsidRPr="00A13EC0">
        <w:rPr>
          <w:rFonts w:ascii="Arial" w:eastAsia="Calibri" w:hAnsi="Arial" w:cs="Arial"/>
          <w:noProof/>
          <w:sz w:val="16"/>
          <w:szCs w:val="16"/>
          <w:lang w:val="en-US"/>
        </w:rPr>
        <w:t>arrying amount</w:t>
      </w:r>
      <w:r>
        <w:rPr>
          <w:rFonts w:ascii="Arial" w:eastAsia="Calibri" w:hAnsi="Arial" w:cs="Arial"/>
          <w:noProof/>
          <w:sz w:val="16"/>
          <w:szCs w:val="16"/>
          <w:lang w:val="en-US"/>
        </w:rPr>
        <w:t>s and the related</w:t>
      </w:r>
      <w:r w:rsidRPr="00A13EC0">
        <w:rPr>
          <w:rFonts w:ascii="Arial" w:eastAsia="Calibri" w:hAnsi="Arial" w:cs="Arial"/>
          <w:noProof/>
          <w:sz w:val="16"/>
          <w:szCs w:val="16"/>
          <w:lang w:val="en-US"/>
        </w:rPr>
        <w:t xml:space="preserve"> </w:t>
      </w:r>
      <w:r>
        <w:rPr>
          <w:rFonts w:ascii="Arial" w:eastAsia="Calibri" w:hAnsi="Arial" w:cs="Arial"/>
          <w:noProof/>
          <w:sz w:val="16"/>
          <w:szCs w:val="16"/>
          <w:lang w:val="en-US"/>
        </w:rPr>
        <w:t xml:space="preserve">undisbursed commitments. </w:t>
      </w:r>
    </w:p>
    <w:p w14:paraId="0154E656" w14:textId="77777777" w:rsidR="00FD1E19"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lang w:val="en-US"/>
        </w:rPr>
      </w:pPr>
    </w:p>
    <w:tbl>
      <w:tblPr>
        <w:tblStyle w:val="CDMRange2"/>
        <w:tblW w:w="5000" w:type="pct"/>
        <w:tblLayout w:type="fixed"/>
        <w:tblLook w:val="0600" w:firstRow="0" w:lastRow="0" w:firstColumn="0" w:lastColumn="0" w:noHBand="1" w:noVBand="1"/>
      </w:tblPr>
      <w:tblGrid>
        <w:gridCol w:w="2221"/>
        <w:gridCol w:w="2221"/>
        <w:gridCol w:w="1309"/>
        <w:gridCol w:w="1309"/>
        <w:gridCol w:w="1309"/>
        <w:gridCol w:w="1309"/>
      </w:tblGrid>
      <w:tr w:rsidR="00FD1E19" w14:paraId="1634583F" w14:textId="77777777" w:rsidTr="00BE7E4A">
        <w:trPr>
          <w:trHeight w:hRule="exact" w:val="300"/>
        </w:trPr>
        <w:tc>
          <w:tcPr>
            <w:tcW w:w="2295" w:type="dxa"/>
            <w:tcBorders>
              <w:top w:val="single" w:sz="4" w:space="0" w:color="000000"/>
              <w:left w:val="nil"/>
              <w:bottom w:val="single" w:sz="4" w:space="0" w:color="000000"/>
              <w:right w:val="nil"/>
              <w:tl2br w:val="nil"/>
              <w:tr2bl w:val="nil"/>
            </w:tcBorders>
            <w:tcMar>
              <w:left w:w="0" w:type="dxa"/>
              <w:right w:w="0" w:type="dxa"/>
            </w:tcMar>
            <w:vAlign w:val="center"/>
          </w:tcPr>
          <w:p w14:paraId="311510A3" w14:textId="77777777" w:rsidR="00FD1E19" w:rsidRDefault="00FD1E19" w:rsidP="00BE7E4A">
            <w:pPr>
              <w:suppressAutoHyphens/>
              <w:rPr>
                <w:rFonts w:ascii="Arial" w:eastAsia="Arial" w:hAnsi="Arial" w:cs="Arial"/>
                <w:b/>
                <w:noProof/>
                <w:color w:val="000000"/>
                <w:sz w:val="16"/>
                <w:lang w:eastAsia="ar-SA"/>
              </w:rPr>
            </w:pPr>
            <w:bookmarkStart w:id="337" w:name="RG_MARKER_90232"/>
            <w:bookmarkEnd w:id="337"/>
          </w:p>
        </w:tc>
        <w:tc>
          <w:tcPr>
            <w:tcW w:w="2295" w:type="dxa"/>
            <w:tcBorders>
              <w:top w:val="single" w:sz="4" w:space="0" w:color="000000"/>
              <w:left w:val="nil"/>
              <w:bottom w:val="single" w:sz="4" w:space="0" w:color="000000"/>
              <w:right w:val="nil"/>
              <w:tl2br w:val="nil"/>
              <w:tr2bl w:val="nil"/>
            </w:tcBorders>
            <w:tcMar>
              <w:left w:w="0" w:type="dxa"/>
              <w:right w:w="0" w:type="dxa"/>
            </w:tcMar>
            <w:vAlign w:val="center"/>
          </w:tcPr>
          <w:p w14:paraId="102C1B2E" w14:textId="77777777" w:rsidR="00FD1E19" w:rsidRDefault="00FD1E19" w:rsidP="00BE7E4A">
            <w:pPr>
              <w:suppressAutoHyphens/>
              <w:rPr>
                <w:rFonts w:ascii="Arial" w:eastAsia="Arial" w:hAnsi="Arial" w:cs="Arial"/>
                <w:b/>
                <w:noProof/>
                <w:color w:val="000000"/>
                <w:sz w:val="16"/>
                <w:lang w:eastAsia="ar-SA"/>
              </w:rPr>
            </w:pPr>
          </w:p>
        </w:tc>
        <w:tc>
          <w:tcPr>
            <w:tcW w:w="27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071B6A26"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31.12.2025</w:t>
            </w:r>
          </w:p>
        </w:tc>
        <w:tc>
          <w:tcPr>
            <w:tcW w:w="2700" w:type="dxa"/>
            <w:gridSpan w:val="2"/>
            <w:tcBorders>
              <w:top w:val="single" w:sz="4" w:space="0" w:color="000000"/>
              <w:left w:val="nil"/>
              <w:bottom w:val="single" w:sz="4" w:space="0" w:color="000000"/>
              <w:right w:val="nil"/>
              <w:tl2br w:val="nil"/>
              <w:tr2bl w:val="nil"/>
            </w:tcBorders>
            <w:tcMar>
              <w:left w:w="40" w:type="dxa"/>
              <w:right w:w="40" w:type="dxa"/>
            </w:tcMar>
            <w:vAlign w:val="center"/>
          </w:tcPr>
          <w:p w14:paraId="41C3F900" w14:textId="77777777" w:rsidR="00FD1E19" w:rsidRDefault="00FD1E19" w:rsidP="00BE7E4A">
            <w:pPr>
              <w:suppressAutoHyphens/>
              <w:jc w:val="center"/>
              <w:rPr>
                <w:rFonts w:ascii="Arial" w:eastAsia="Arial" w:hAnsi="Arial" w:cs="Arial"/>
                <w:b/>
                <w:noProof/>
                <w:color w:val="000000"/>
                <w:sz w:val="16"/>
                <w:lang w:eastAsia="ar-SA"/>
              </w:rPr>
            </w:pPr>
            <w:r>
              <w:rPr>
                <w:rFonts w:ascii="Arial" w:eastAsia="Arial" w:hAnsi="Arial" w:cs="Arial"/>
                <w:b/>
                <w:noProof/>
                <w:color w:val="000000"/>
                <w:sz w:val="16"/>
                <w:lang w:eastAsia="ar-SA"/>
              </w:rPr>
              <w:t>31.12.2024</w:t>
            </w:r>
          </w:p>
        </w:tc>
      </w:tr>
      <w:tr w:rsidR="00FD1E19" w14:paraId="7EB5CB9D"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75"/>
        </w:trPr>
        <w:tc>
          <w:tcPr>
            <w:tcW w:w="2295" w:type="dxa"/>
            <w:tcBorders>
              <w:top w:val="single" w:sz="4" w:space="0" w:color="000000"/>
              <w:left w:val="nil"/>
              <w:bottom w:val="single" w:sz="4" w:space="0" w:color="000000"/>
              <w:right w:val="nil"/>
              <w:tl2br w:val="nil"/>
              <w:tr2bl w:val="nil"/>
            </w:tcBorders>
            <w:tcMar>
              <w:left w:w="40" w:type="dxa"/>
              <w:right w:w="40" w:type="dxa"/>
            </w:tcMar>
            <w:vAlign w:val="center"/>
          </w:tcPr>
          <w:p w14:paraId="712A1F9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Type of structured entity</w:t>
            </w:r>
          </w:p>
        </w:tc>
        <w:tc>
          <w:tcPr>
            <w:tcW w:w="2295" w:type="dxa"/>
            <w:tcBorders>
              <w:top w:val="single" w:sz="4" w:space="0" w:color="000000"/>
              <w:left w:val="nil"/>
              <w:bottom w:val="single" w:sz="4" w:space="0" w:color="000000"/>
              <w:right w:val="nil"/>
              <w:tl2br w:val="nil"/>
              <w:tr2bl w:val="nil"/>
            </w:tcBorders>
            <w:tcMar>
              <w:left w:w="40" w:type="dxa"/>
              <w:right w:w="40" w:type="dxa"/>
            </w:tcMar>
            <w:vAlign w:val="center"/>
          </w:tcPr>
          <w:p w14:paraId="780A87E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Caption</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470C444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Carrying amount </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3CA3CA1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Maximum exposure to loss</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728C584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Carrying amount </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0D227A2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 xml:space="preserve">Maximum exposure to loss </w:t>
            </w:r>
          </w:p>
        </w:tc>
      </w:tr>
      <w:tr w:rsidR="00FD1E19" w14:paraId="083B6A4C"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295" w:type="dxa"/>
            <w:tcBorders>
              <w:top w:val="single" w:sz="4" w:space="0" w:color="000000"/>
              <w:left w:val="nil"/>
              <w:bottom w:val="nil"/>
              <w:right w:val="nil"/>
              <w:tl2br w:val="nil"/>
              <w:tr2bl w:val="nil"/>
            </w:tcBorders>
            <w:tcMar>
              <w:left w:w="40" w:type="dxa"/>
              <w:right w:w="40" w:type="dxa"/>
            </w:tcMar>
            <w:vAlign w:val="center"/>
          </w:tcPr>
          <w:p w14:paraId="1F5139E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Venture capital funds</w:t>
            </w:r>
          </w:p>
        </w:tc>
        <w:tc>
          <w:tcPr>
            <w:tcW w:w="2295" w:type="dxa"/>
            <w:tcBorders>
              <w:top w:val="single" w:sz="4" w:space="0" w:color="000000"/>
              <w:left w:val="nil"/>
              <w:bottom w:val="nil"/>
              <w:right w:val="nil"/>
              <w:tl2br w:val="nil"/>
              <w:tr2bl w:val="nil"/>
            </w:tcBorders>
            <w:tcMar>
              <w:left w:w="40" w:type="dxa"/>
              <w:right w:w="40" w:type="dxa"/>
            </w:tcMar>
            <w:vAlign w:val="center"/>
          </w:tcPr>
          <w:p w14:paraId="0A26195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350" w:type="dxa"/>
            <w:tcBorders>
              <w:top w:val="single" w:sz="4" w:space="0" w:color="000000"/>
              <w:left w:val="nil"/>
              <w:bottom w:val="nil"/>
              <w:right w:val="nil"/>
              <w:tl2br w:val="nil"/>
              <w:tr2bl w:val="nil"/>
            </w:tcBorders>
            <w:tcMar>
              <w:left w:w="40" w:type="dxa"/>
              <w:right w:w="100" w:type="dxa"/>
            </w:tcMar>
            <w:vAlign w:val="center"/>
          </w:tcPr>
          <w:p w14:paraId="72A63B8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550,528</w:t>
            </w:r>
          </w:p>
        </w:tc>
        <w:tc>
          <w:tcPr>
            <w:tcW w:w="1350" w:type="dxa"/>
            <w:tcBorders>
              <w:top w:val="single" w:sz="4" w:space="0" w:color="000000"/>
              <w:left w:val="nil"/>
              <w:bottom w:val="nil"/>
              <w:right w:val="nil"/>
              <w:tl2br w:val="nil"/>
              <w:tr2bl w:val="nil"/>
            </w:tcBorders>
            <w:tcMar>
              <w:left w:w="40" w:type="dxa"/>
              <w:right w:w="100" w:type="dxa"/>
            </w:tcMar>
            <w:vAlign w:val="center"/>
          </w:tcPr>
          <w:p w14:paraId="6E47651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550,528</w:t>
            </w:r>
          </w:p>
        </w:tc>
        <w:tc>
          <w:tcPr>
            <w:tcW w:w="1350" w:type="dxa"/>
            <w:tcBorders>
              <w:top w:val="single" w:sz="4" w:space="0" w:color="000000"/>
              <w:left w:val="nil"/>
              <w:bottom w:val="nil"/>
              <w:right w:val="nil"/>
              <w:tl2br w:val="nil"/>
              <w:tr2bl w:val="nil"/>
            </w:tcBorders>
            <w:tcMar>
              <w:left w:w="40" w:type="dxa"/>
              <w:right w:w="100" w:type="dxa"/>
            </w:tcMar>
            <w:vAlign w:val="center"/>
          </w:tcPr>
          <w:p w14:paraId="43FF021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655,817</w:t>
            </w:r>
          </w:p>
        </w:tc>
        <w:tc>
          <w:tcPr>
            <w:tcW w:w="1350" w:type="dxa"/>
            <w:tcBorders>
              <w:top w:val="single" w:sz="4" w:space="0" w:color="000000"/>
              <w:left w:val="nil"/>
              <w:bottom w:val="nil"/>
              <w:right w:val="nil"/>
              <w:tl2br w:val="nil"/>
              <w:tr2bl w:val="nil"/>
            </w:tcBorders>
            <w:tcMar>
              <w:left w:w="40" w:type="dxa"/>
              <w:right w:w="100" w:type="dxa"/>
            </w:tcMar>
            <w:vAlign w:val="center"/>
          </w:tcPr>
          <w:p w14:paraId="2900369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667,832</w:t>
            </w:r>
          </w:p>
        </w:tc>
      </w:tr>
      <w:tr w:rsidR="00FD1E19" w14:paraId="6F630B78"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295" w:type="dxa"/>
            <w:tcBorders>
              <w:top w:val="nil"/>
              <w:left w:val="nil"/>
              <w:bottom w:val="nil"/>
              <w:right w:val="nil"/>
              <w:tl2br w:val="nil"/>
              <w:tr2bl w:val="nil"/>
            </w:tcBorders>
            <w:shd w:val="clear" w:color="FFFFFF" w:fill="C3C3C3"/>
            <w:tcMar>
              <w:left w:w="40" w:type="dxa"/>
              <w:right w:w="40" w:type="dxa"/>
            </w:tcMar>
            <w:vAlign w:val="center"/>
          </w:tcPr>
          <w:p w14:paraId="6A69897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2295" w:type="dxa"/>
            <w:tcBorders>
              <w:top w:val="nil"/>
              <w:left w:val="nil"/>
              <w:bottom w:val="nil"/>
              <w:right w:val="nil"/>
              <w:tl2br w:val="nil"/>
              <w:tr2bl w:val="nil"/>
            </w:tcBorders>
            <w:shd w:val="clear" w:color="FFFFFF" w:fill="C3C3C3"/>
            <w:tcMar>
              <w:left w:w="0" w:type="dxa"/>
              <w:right w:w="0" w:type="dxa"/>
            </w:tcMar>
            <w:vAlign w:val="center"/>
          </w:tcPr>
          <w:p w14:paraId="6DCCCD90" w14:textId="77777777" w:rsidR="00FD1E19" w:rsidRDefault="00FD1E19" w:rsidP="00BE7E4A">
            <w:pPr>
              <w:suppressAutoHyphens/>
              <w:rPr>
                <w:rFonts w:ascii="Arial" w:eastAsia="Arial" w:hAnsi="Arial" w:cs="Arial"/>
                <w:b/>
                <w:noProof/>
                <w:color w:val="000000"/>
                <w:sz w:val="16"/>
                <w:lang w:eastAsia="ar-SA"/>
              </w:rPr>
            </w:pPr>
          </w:p>
        </w:tc>
        <w:tc>
          <w:tcPr>
            <w:tcW w:w="1350" w:type="dxa"/>
            <w:tcBorders>
              <w:top w:val="nil"/>
              <w:left w:val="nil"/>
              <w:bottom w:val="nil"/>
              <w:right w:val="nil"/>
              <w:tl2br w:val="nil"/>
              <w:tr2bl w:val="nil"/>
            </w:tcBorders>
            <w:shd w:val="clear" w:color="FFFFFF" w:fill="C3C3C3"/>
            <w:tcMar>
              <w:left w:w="40" w:type="dxa"/>
              <w:right w:w="40" w:type="dxa"/>
            </w:tcMar>
            <w:vAlign w:val="center"/>
          </w:tcPr>
          <w:p w14:paraId="64F6F3E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550,528</w:t>
            </w:r>
          </w:p>
        </w:tc>
        <w:tc>
          <w:tcPr>
            <w:tcW w:w="1350" w:type="dxa"/>
            <w:tcBorders>
              <w:top w:val="nil"/>
              <w:left w:val="nil"/>
              <w:bottom w:val="nil"/>
              <w:right w:val="nil"/>
              <w:tl2br w:val="nil"/>
              <w:tr2bl w:val="nil"/>
            </w:tcBorders>
            <w:shd w:val="clear" w:color="FFFFFF" w:fill="C3C3C3"/>
            <w:tcMar>
              <w:left w:w="40" w:type="dxa"/>
              <w:right w:w="40" w:type="dxa"/>
            </w:tcMar>
            <w:vAlign w:val="center"/>
          </w:tcPr>
          <w:p w14:paraId="70F73EED"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550,528</w:t>
            </w:r>
          </w:p>
        </w:tc>
        <w:tc>
          <w:tcPr>
            <w:tcW w:w="1350" w:type="dxa"/>
            <w:tcBorders>
              <w:top w:val="nil"/>
              <w:left w:val="nil"/>
              <w:bottom w:val="nil"/>
              <w:right w:val="nil"/>
              <w:tl2br w:val="nil"/>
              <w:tr2bl w:val="nil"/>
            </w:tcBorders>
            <w:shd w:val="clear" w:color="FFFFFF" w:fill="C3C3C3"/>
            <w:tcMar>
              <w:left w:w="40" w:type="dxa"/>
              <w:right w:w="40" w:type="dxa"/>
            </w:tcMar>
            <w:vAlign w:val="center"/>
          </w:tcPr>
          <w:p w14:paraId="583606C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655,817</w:t>
            </w:r>
          </w:p>
        </w:tc>
        <w:tc>
          <w:tcPr>
            <w:tcW w:w="1350" w:type="dxa"/>
            <w:tcBorders>
              <w:top w:val="nil"/>
              <w:left w:val="nil"/>
              <w:bottom w:val="nil"/>
              <w:right w:val="nil"/>
              <w:tl2br w:val="nil"/>
              <w:tr2bl w:val="nil"/>
            </w:tcBorders>
            <w:shd w:val="clear" w:color="FFFFFF" w:fill="C3C3C3"/>
            <w:tcMar>
              <w:left w:w="40" w:type="dxa"/>
              <w:right w:w="40" w:type="dxa"/>
            </w:tcMar>
            <w:vAlign w:val="center"/>
          </w:tcPr>
          <w:p w14:paraId="2BAEE3B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667,832</w:t>
            </w:r>
          </w:p>
        </w:tc>
      </w:tr>
      <w:tr w:rsidR="00FD1E19" w14:paraId="5330284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2"/>
        </w:trPr>
        <w:tc>
          <w:tcPr>
            <w:tcW w:w="9990" w:type="dxa"/>
            <w:gridSpan w:val="6"/>
            <w:tcBorders>
              <w:top w:val="nil"/>
              <w:left w:val="nil"/>
              <w:bottom w:val="nil"/>
              <w:right w:val="nil"/>
              <w:tl2br w:val="nil"/>
              <w:tr2bl w:val="nil"/>
            </w:tcBorders>
            <w:tcMar>
              <w:left w:w="40" w:type="dxa"/>
              <w:right w:w="40" w:type="dxa"/>
            </w:tcMar>
            <w:vAlign w:val="bottom"/>
          </w:tcPr>
          <w:p w14:paraId="45BBDD9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No support is provided to structured entities by the Facility beyond the respective financing. </w:t>
            </w:r>
          </w:p>
        </w:tc>
      </w:tr>
    </w:tbl>
    <w:p w14:paraId="7986A18E" w14:textId="77777777" w:rsidR="00FD1E19" w:rsidRPr="00E1194A" w:rsidRDefault="00FD1E19" w:rsidP="00FD1E19">
      <w:pPr>
        <w:pageBreakBefore/>
        <w:pBdr>
          <w:top w:val="nil"/>
          <w:left w:val="nil"/>
          <w:bottom w:val="nil"/>
          <w:right w:val="nil"/>
          <w:between w:val="nil"/>
          <w:bar w:val="nil"/>
        </w:pBdr>
        <w:tabs>
          <w:tab w:val="center" w:pos="4320"/>
          <w:tab w:val="right" w:pos="8640"/>
        </w:tabs>
        <w:suppressAutoHyphens/>
        <w:spacing w:before="60" w:after="60"/>
        <w:ind w:left="431" w:hanging="431"/>
        <w:rPr>
          <w:rFonts w:ascii="Arial" w:eastAsia="Calibri" w:hAnsi="Arial"/>
          <w:b/>
          <w:noProof/>
          <w:sz w:val="20"/>
          <w:szCs w:val="20"/>
          <w:bdr w:val="nil"/>
          <w:lang w:eastAsia="ar-SA"/>
        </w:rPr>
      </w:pPr>
      <w:bookmarkStart w:id="338" w:name="RG_MARKER_90234"/>
      <w:bookmarkStart w:id="339" w:name="RG_MARKER_90233"/>
      <w:r w:rsidRPr="00E95DBA">
        <w:rPr>
          <w:rFonts w:ascii="Arial" w:eastAsia="Calibri" w:hAnsi="Arial" w:cs="Arial"/>
          <w:b/>
          <w:noProof/>
          <w:sz w:val="20"/>
          <w:szCs w:val="20"/>
          <w:lang w:eastAsia="ar-SA"/>
        </w:rPr>
        <w:t>25</w:t>
      </w:r>
      <w:bookmarkEnd w:id="338"/>
      <w:bookmarkEnd w:id="339"/>
      <w:r>
        <w:rPr>
          <w:rFonts w:ascii="Arial" w:eastAsia="Calibri" w:hAnsi="Arial" w:cs="Arial"/>
          <w:b/>
          <w:noProof/>
          <w:sz w:val="20"/>
          <w:szCs w:val="20"/>
          <w:lang w:eastAsia="ar-SA"/>
        </w:rPr>
        <w:tab/>
      </w:r>
      <w:r w:rsidRPr="00E95DBA">
        <w:rPr>
          <w:rFonts w:ascii="Arial" w:eastAsia="Calibri" w:hAnsi="Arial" w:cs="Arial"/>
          <w:b/>
          <w:noProof/>
          <w:sz w:val="20"/>
          <w:szCs w:val="20"/>
          <w:lang w:eastAsia="ar-SA"/>
        </w:rPr>
        <w:t xml:space="preserve">Impact financing envelope </w:t>
      </w:r>
      <w:r w:rsidRPr="00E1194A">
        <w:rPr>
          <w:rFonts w:ascii="Arial" w:eastAsia="Calibri" w:hAnsi="Arial" w:cs="Arial"/>
          <w:b/>
          <w:noProof/>
          <w:sz w:val="20"/>
          <w:szCs w:val="20"/>
          <w:lang w:eastAsia="ar-SA"/>
        </w:rPr>
        <w:t>(in EUR’000)</w:t>
      </w:r>
    </w:p>
    <w:p w14:paraId="3CF0BC66" w14:textId="77777777" w:rsidR="00FD1E19" w:rsidRDefault="00FD1E19" w:rsidP="00FD1E19">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14:paraId="7A78599C"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r w:rsidRPr="00E95DBA">
        <w:rPr>
          <w:rFonts w:ascii="Arial" w:eastAsia="Calibri" w:hAnsi="Arial" w:cs="Arial"/>
          <w:noProof/>
          <w:sz w:val="16"/>
          <w:szCs w:val="16"/>
        </w:rPr>
        <w:t>In June 2013 the ACP-EU Joint Ministerial Council approved the new financial protocol for the 11</w:t>
      </w:r>
      <w:r w:rsidRPr="00E95DBA">
        <w:rPr>
          <w:rFonts w:ascii="Arial" w:eastAsia="Calibri" w:hAnsi="Arial" w:cs="Arial"/>
          <w:noProof/>
          <w:sz w:val="16"/>
          <w:szCs w:val="16"/>
          <w:vertAlign w:val="superscript"/>
        </w:rPr>
        <w:t>th</w:t>
      </w:r>
      <w:r w:rsidRPr="00E95DBA">
        <w:rPr>
          <w:rFonts w:ascii="Arial" w:eastAsia="Calibri" w:hAnsi="Arial" w:cs="Arial"/>
          <w:noProof/>
          <w:sz w:val="16"/>
          <w:szCs w:val="16"/>
        </w:rPr>
        <w:t xml:space="preserve"> European Development Fund (EDF), covering the period 2014-2020. </w:t>
      </w:r>
    </w:p>
    <w:p w14:paraId="7612BD97"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p>
    <w:p w14:paraId="480036E0"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r w:rsidRPr="00E95DBA">
        <w:rPr>
          <w:rFonts w:ascii="Arial" w:eastAsia="Calibri" w:hAnsi="Arial" w:cs="Arial"/>
          <w:noProof/>
          <w:sz w:val="16"/>
          <w:szCs w:val="16"/>
        </w:rPr>
        <w:t>A new EUR 500m endowment was agreed for the Investment Facility, the so called ‘impact financing envelope’ or “IFE”, enabling the Facility to support projects that promise a particularly high development impact whilst bearing the greater risks inherent in such</w:t>
      </w:r>
      <w:r>
        <w:rPr>
          <w:rFonts w:ascii="Arial" w:eastAsia="Calibri" w:hAnsi="Arial" w:cs="Arial"/>
          <w:noProof/>
          <w:sz w:val="16"/>
          <w:szCs w:val="16"/>
        </w:rPr>
        <w:t xml:space="preserve"> investments. This envelope </w:t>
      </w:r>
      <w:r w:rsidRPr="00E95DBA">
        <w:rPr>
          <w:rFonts w:ascii="Arial" w:eastAsia="Calibri" w:hAnsi="Arial" w:cs="Arial"/>
          <w:noProof/>
          <w:sz w:val="16"/>
          <w:szCs w:val="16"/>
        </w:rPr>
        <w:t>pre</w:t>
      </w:r>
      <w:r>
        <w:rPr>
          <w:rFonts w:ascii="Arial" w:eastAsia="Calibri" w:hAnsi="Arial" w:cs="Arial"/>
          <w:noProof/>
          <w:sz w:val="16"/>
          <w:szCs w:val="16"/>
        </w:rPr>
        <w:t xml:space="preserve">sents </w:t>
      </w:r>
      <w:r w:rsidRPr="00E95DBA">
        <w:rPr>
          <w:rFonts w:ascii="Arial" w:eastAsia="Calibri" w:hAnsi="Arial" w:cs="Arial"/>
          <w:noProof/>
          <w:sz w:val="16"/>
          <w:szCs w:val="16"/>
        </w:rPr>
        <w:t>new possibilit</w:t>
      </w:r>
      <w:r>
        <w:rPr>
          <w:rFonts w:ascii="Arial" w:eastAsia="Calibri" w:hAnsi="Arial" w:cs="Arial"/>
          <w:noProof/>
          <w:sz w:val="16"/>
          <w:szCs w:val="16"/>
        </w:rPr>
        <w:t>ies for enhancing the Facility</w:t>
      </w:r>
      <w:r w:rsidRPr="00E95DBA">
        <w:rPr>
          <w:rFonts w:ascii="Arial" w:eastAsia="Calibri" w:hAnsi="Arial" w:cs="Arial"/>
          <w:noProof/>
          <w:sz w:val="16"/>
          <w:szCs w:val="16"/>
        </w:rPr>
        <w:t>’s private sector lending through investments in the following instruments:</w:t>
      </w:r>
    </w:p>
    <w:p w14:paraId="4B46144E"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p>
    <w:p w14:paraId="5A85C183"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r w:rsidRPr="00E95DBA">
        <w:rPr>
          <w:rFonts w:ascii="Arial" w:eastAsia="Calibri" w:hAnsi="Arial" w:cs="Arial"/>
          <w:b/>
          <w:noProof/>
          <w:sz w:val="16"/>
          <w:szCs w:val="16"/>
        </w:rPr>
        <w:t>Social impact equity funds</w:t>
      </w:r>
      <w:r w:rsidRPr="00E95DBA">
        <w:rPr>
          <w:rFonts w:ascii="Arial" w:eastAsia="Calibri" w:hAnsi="Arial" w:cs="Arial"/>
          <w:noProof/>
          <w:sz w:val="16"/>
          <w:szCs w:val="16"/>
        </w:rPr>
        <w:t xml:space="preserve"> - promoted by an emerging population of private equity fund managers who put the alleviation of social or environmental issues at the core of their funds' investment strategy but still target sustainability at the levels of both the fund and its investee companies.</w:t>
      </w:r>
    </w:p>
    <w:p w14:paraId="585D9BE0"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p>
    <w:p w14:paraId="1A31BFB0"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r w:rsidRPr="00E95DBA">
        <w:rPr>
          <w:rFonts w:ascii="Arial" w:eastAsia="Calibri" w:hAnsi="Arial" w:cs="Arial"/>
          <w:b/>
          <w:noProof/>
          <w:sz w:val="16"/>
          <w:szCs w:val="16"/>
        </w:rPr>
        <w:t>Loans to financial intermediaries</w:t>
      </w:r>
      <w:r w:rsidRPr="00E95DBA">
        <w:rPr>
          <w:rFonts w:ascii="Arial" w:eastAsia="Calibri" w:hAnsi="Arial" w:cs="Arial"/>
          <w:noProof/>
          <w:sz w:val="16"/>
          <w:szCs w:val="16"/>
        </w:rPr>
        <w:t xml:space="preserve"> - (e.g. microfinance institutions, local banks and credit unions) operating in ACP countries in which the EIB cannot consider financing - in particular in local currency - under the existing credit risk guidelines, e.g. due to either high country risks, currency volatility or lack of pricing benchmarks. The main objective of such loans </w:t>
      </w:r>
      <w:r>
        <w:rPr>
          <w:rFonts w:ascii="Arial" w:eastAsia="Calibri" w:hAnsi="Arial" w:cs="Arial"/>
          <w:noProof/>
          <w:sz w:val="16"/>
          <w:szCs w:val="16"/>
        </w:rPr>
        <w:t xml:space="preserve">is </w:t>
      </w:r>
      <w:r w:rsidRPr="00E95DBA">
        <w:rPr>
          <w:rFonts w:ascii="Arial" w:eastAsia="Calibri" w:hAnsi="Arial" w:cs="Arial"/>
          <w:noProof/>
          <w:sz w:val="16"/>
          <w:szCs w:val="16"/>
        </w:rPr>
        <w:t>to fund projects with a high developmental impact, especially in the field of support to micro and small enterprises (MSEs) and agriculture, which generally do not qualify for IF financing.</w:t>
      </w:r>
    </w:p>
    <w:p w14:paraId="01937837"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b/>
          <w:noProof/>
          <w:sz w:val="16"/>
          <w:szCs w:val="16"/>
          <w:bdr w:val="nil"/>
        </w:rPr>
      </w:pPr>
    </w:p>
    <w:p w14:paraId="11778F14"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r w:rsidRPr="00E95DBA">
        <w:rPr>
          <w:rFonts w:ascii="Arial" w:eastAsia="Calibri" w:hAnsi="Arial" w:cs="Arial"/>
          <w:b/>
          <w:noProof/>
          <w:sz w:val="16"/>
          <w:szCs w:val="16"/>
        </w:rPr>
        <w:t>Risk sharing facilitating instruments</w:t>
      </w:r>
      <w:r w:rsidRPr="00E95DBA">
        <w:rPr>
          <w:rFonts w:ascii="Arial" w:eastAsia="Calibri" w:hAnsi="Arial" w:cs="Arial"/>
          <w:noProof/>
          <w:sz w:val="16"/>
          <w:szCs w:val="16"/>
        </w:rPr>
        <w:t xml:space="preserve"> </w:t>
      </w:r>
      <w:r>
        <w:rPr>
          <w:rFonts w:ascii="Arial" w:eastAsia="Calibri" w:hAnsi="Arial" w:cs="Arial"/>
          <w:noProof/>
          <w:sz w:val="16"/>
          <w:szCs w:val="16"/>
        </w:rPr>
        <w:t xml:space="preserve">- </w:t>
      </w:r>
      <w:r w:rsidRPr="00E95DBA">
        <w:rPr>
          <w:rFonts w:ascii="Arial" w:eastAsia="Calibri" w:hAnsi="Arial" w:cs="Arial"/>
          <w:noProof/>
          <w:sz w:val="16"/>
          <w:szCs w:val="16"/>
        </w:rPr>
        <w:t>which take the form of first loss guarantees ("first loss pieces") that facilitate risk sharing operations of the EIB with local financial intermediaries (mainly commercial banks) for the benefit of underserved SMEs and small projects that meet the Impact Financing Criteria in situations where a market gap has been identified in relation to the access of SMEs/small projects to finance. The first loss pieces would be structured as a counter-guarantee in favour of senior guarantee tranches funded by the EIB - under the Investment Facility - and by other I</w:t>
      </w:r>
      <w:r>
        <w:rPr>
          <w:rFonts w:ascii="Arial" w:eastAsia="Calibri" w:hAnsi="Arial" w:cs="Arial"/>
          <w:noProof/>
          <w:sz w:val="16"/>
          <w:szCs w:val="16"/>
        </w:rPr>
        <w:t xml:space="preserve">nternational </w:t>
      </w:r>
      <w:r w:rsidRPr="00E95DBA">
        <w:rPr>
          <w:rFonts w:ascii="Arial" w:eastAsia="Calibri" w:hAnsi="Arial" w:cs="Arial"/>
          <w:noProof/>
          <w:sz w:val="16"/>
          <w:szCs w:val="16"/>
        </w:rPr>
        <w:t>F</w:t>
      </w:r>
      <w:r>
        <w:rPr>
          <w:rFonts w:ascii="Arial" w:eastAsia="Calibri" w:hAnsi="Arial" w:cs="Arial"/>
          <w:noProof/>
          <w:sz w:val="16"/>
          <w:szCs w:val="16"/>
        </w:rPr>
        <w:t xml:space="preserve">inancial Institutions/Development </w:t>
      </w:r>
      <w:r w:rsidRPr="00E95DBA">
        <w:rPr>
          <w:rFonts w:ascii="Arial" w:eastAsia="Calibri" w:hAnsi="Arial" w:cs="Arial"/>
          <w:noProof/>
          <w:sz w:val="16"/>
          <w:szCs w:val="16"/>
        </w:rPr>
        <w:t>F</w:t>
      </w:r>
      <w:r>
        <w:rPr>
          <w:rFonts w:ascii="Arial" w:eastAsia="Calibri" w:hAnsi="Arial" w:cs="Arial"/>
          <w:noProof/>
          <w:sz w:val="16"/>
          <w:szCs w:val="16"/>
        </w:rPr>
        <w:t>inancial Institutions</w:t>
      </w:r>
      <w:r w:rsidRPr="00E95DBA">
        <w:rPr>
          <w:rFonts w:ascii="Arial" w:eastAsia="Calibri" w:hAnsi="Arial" w:cs="Arial"/>
          <w:noProof/>
          <w:sz w:val="16"/>
          <w:szCs w:val="16"/>
        </w:rPr>
        <w:t>, thus generating a substantial leverage effect.</w:t>
      </w:r>
    </w:p>
    <w:p w14:paraId="32B8B57B"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p>
    <w:p w14:paraId="7316EC09" w14:textId="77777777" w:rsidR="00FD1E19" w:rsidRPr="00E95DBA"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r w:rsidRPr="00E95DBA">
        <w:rPr>
          <w:rFonts w:ascii="Arial" w:eastAsia="Calibri" w:hAnsi="Arial" w:cs="Arial"/>
          <w:b/>
          <w:noProof/>
          <w:sz w:val="16"/>
          <w:szCs w:val="16"/>
        </w:rPr>
        <w:t>Direct financing</w:t>
      </w:r>
      <w:r w:rsidRPr="00E95DBA">
        <w:rPr>
          <w:rFonts w:ascii="Arial" w:eastAsia="Calibri" w:hAnsi="Arial" w:cs="Arial"/>
          <w:noProof/>
          <w:sz w:val="16"/>
          <w:szCs w:val="16"/>
        </w:rPr>
        <w:t xml:space="preserve"> </w:t>
      </w:r>
      <w:r>
        <w:rPr>
          <w:rFonts w:ascii="Arial" w:eastAsia="Calibri" w:hAnsi="Arial" w:cs="Arial"/>
          <w:noProof/>
          <w:sz w:val="16"/>
          <w:szCs w:val="16"/>
        </w:rPr>
        <w:t xml:space="preserve">- </w:t>
      </w:r>
      <w:r>
        <w:rPr>
          <w:rFonts w:ascii="Arial" w:eastAsia="Calibri" w:hAnsi="Arial" w:cs="Arial"/>
          <w:noProof/>
          <w:sz w:val="16"/>
          <w:szCs w:val="16"/>
          <w:bdr w:val="none" w:sz="0" w:space="0" w:color="auto" w:frame="1"/>
          <w:lang w:val="en-US"/>
        </w:rPr>
        <w:t>through debt (i.e. loans) or equity instruments in projects with sound and experienced promoters and high developmental impacts, but that will, however, also entail higher expectations of losses and difficulties to recover the investment (equity type risk with higher than usual expectation of losses). The EIB applies strict selection and eligibility criteria for this instrument, as these projects, notwithstanding their high developmental impact, would not be able to meet acceptable financing criteria (i.e. low expectation of recovering the investment or offsetting the losses through interest rates /equity returns).</w:t>
      </w:r>
    </w:p>
    <w:p w14:paraId="516A0E3E" w14:textId="77777777" w:rsidR="00FD1E19" w:rsidRPr="00E95DBA" w:rsidRDefault="00FD1E19" w:rsidP="00FD1E19">
      <w:pPr>
        <w:pBdr>
          <w:top w:val="nil"/>
          <w:left w:val="nil"/>
          <w:bottom w:val="nil"/>
          <w:right w:val="nil"/>
          <w:between w:val="nil"/>
          <w:bar w:val="nil"/>
        </w:pBdr>
        <w:tabs>
          <w:tab w:val="left" w:pos="426"/>
        </w:tabs>
        <w:spacing w:before="60" w:after="60"/>
        <w:jc w:val="both"/>
        <w:rPr>
          <w:rFonts w:eastAsia="Calibri" w:cs="Arial"/>
          <w:noProof/>
          <w:sz w:val="16"/>
          <w:szCs w:val="16"/>
          <w:bdr w:val="nil"/>
        </w:rPr>
      </w:pPr>
    </w:p>
    <w:p w14:paraId="6CB13138" w14:textId="77777777" w:rsidR="00FD1E19" w:rsidRPr="00B24BEC" w:rsidRDefault="00FD1E19" w:rsidP="00FD1E19">
      <w:pPr>
        <w:pBdr>
          <w:top w:val="nil"/>
          <w:left w:val="nil"/>
          <w:bottom w:val="nil"/>
          <w:right w:val="nil"/>
          <w:between w:val="nil"/>
          <w:bar w:val="nil"/>
        </w:pBdr>
        <w:tabs>
          <w:tab w:val="left" w:pos="0"/>
        </w:tabs>
        <w:spacing w:before="60" w:after="60"/>
        <w:jc w:val="both"/>
        <w:rPr>
          <w:rFonts w:ascii="Arial" w:eastAsia="Calibri" w:hAnsi="Arial" w:cs="Arial"/>
          <w:noProof/>
          <w:sz w:val="16"/>
          <w:szCs w:val="16"/>
          <w:bdr w:val="nil"/>
        </w:rPr>
      </w:pPr>
      <w:r w:rsidRPr="00E95DBA">
        <w:rPr>
          <w:rFonts w:ascii="Arial" w:eastAsia="Calibri" w:hAnsi="Arial" w:cs="Arial"/>
          <w:noProof/>
          <w:sz w:val="16"/>
          <w:szCs w:val="16"/>
        </w:rPr>
        <w:t>The IFE also allow</w:t>
      </w:r>
      <w:r>
        <w:rPr>
          <w:rFonts w:ascii="Arial" w:eastAsia="Calibri" w:hAnsi="Arial" w:cs="Arial"/>
          <w:noProof/>
          <w:sz w:val="16"/>
          <w:szCs w:val="16"/>
        </w:rPr>
        <w:t>s</w:t>
      </w:r>
      <w:r w:rsidRPr="00E95DBA">
        <w:rPr>
          <w:rFonts w:ascii="Arial" w:eastAsia="Calibri" w:hAnsi="Arial" w:cs="Arial"/>
          <w:noProof/>
          <w:sz w:val="16"/>
          <w:szCs w:val="16"/>
        </w:rPr>
        <w:t xml:space="preserve"> diversification into new sectors, such as health and education, agriculture and food security, and the development </w:t>
      </w:r>
      <w:r w:rsidRPr="00B24BEC">
        <w:rPr>
          <w:rFonts w:ascii="Arial" w:eastAsia="Calibri" w:hAnsi="Arial" w:cs="Arial"/>
          <w:noProof/>
          <w:sz w:val="16"/>
          <w:szCs w:val="16"/>
        </w:rPr>
        <w:t>of new and innovative risk-sharing instruments.</w:t>
      </w:r>
      <w:r w:rsidRPr="00B24BEC">
        <w:rPr>
          <w:rFonts w:ascii="Arial" w:eastAsia="Calibri" w:hAnsi="Arial" w:cs="Arial"/>
          <w:noProof/>
          <w:sz w:val="16"/>
          <w:szCs w:val="16"/>
          <w:lang w:val="en-US"/>
        </w:rPr>
        <w:t xml:space="preserve"> </w:t>
      </w:r>
      <w:r w:rsidRPr="00B24BEC">
        <w:rPr>
          <w:rFonts w:ascii="Arial" w:eastAsia="Calibri" w:hAnsi="Arial" w:cs="Arial"/>
          <w:noProof/>
          <w:sz w:val="16"/>
          <w:szCs w:val="16"/>
        </w:rPr>
        <w:t>In 2016, the IFE financing capacity was increased to EUR 800</w:t>
      </w:r>
      <w:r>
        <w:rPr>
          <w:rFonts w:ascii="Arial" w:eastAsia="Calibri" w:hAnsi="Arial" w:cs="Arial"/>
          <w:noProof/>
          <w:sz w:val="16"/>
          <w:szCs w:val="16"/>
        </w:rPr>
        <w:t xml:space="preserve"> </w:t>
      </w:r>
      <w:r w:rsidRPr="00B24BEC">
        <w:rPr>
          <w:rFonts w:ascii="Arial" w:eastAsia="Calibri" w:hAnsi="Arial" w:cs="Arial"/>
          <w:noProof/>
          <w:sz w:val="16"/>
          <w:szCs w:val="16"/>
        </w:rPr>
        <w:t>m</w:t>
      </w:r>
      <w:r>
        <w:rPr>
          <w:rFonts w:ascii="Arial" w:eastAsia="Calibri" w:hAnsi="Arial" w:cs="Arial"/>
          <w:noProof/>
          <w:sz w:val="16"/>
          <w:szCs w:val="16"/>
        </w:rPr>
        <w:t>illion</w:t>
      </w:r>
      <w:r w:rsidRPr="00B24BEC">
        <w:rPr>
          <w:rFonts w:ascii="Arial" w:eastAsia="Calibri" w:hAnsi="Arial" w:cs="Arial"/>
          <w:noProof/>
          <w:sz w:val="16"/>
          <w:szCs w:val="16"/>
        </w:rPr>
        <w:t xml:space="preserve"> by making the IFE partially revolving.</w:t>
      </w:r>
    </w:p>
    <w:p w14:paraId="64BA233C" w14:textId="77777777" w:rsidR="00FD1E19" w:rsidRPr="00E95DBA" w:rsidRDefault="00FD1E19" w:rsidP="00FD1E19">
      <w:pPr>
        <w:pBdr>
          <w:top w:val="nil"/>
          <w:left w:val="nil"/>
          <w:bottom w:val="nil"/>
          <w:right w:val="nil"/>
          <w:between w:val="nil"/>
          <w:bar w:val="nil"/>
        </w:pBdr>
        <w:tabs>
          <w:tab w:val="left" w:pos="0"/>
        </w:tabs>
        <w:spacing w:before="60" w:after="60"/>
        <w:jc w:val="both"/>
        <w:rPr>
          <w:rFonts w:eastAsia="Calibri" w:cs="Arial"/>
          <w:noProof/>
          <w:sz w:val="16"/>
          <w:szCs w:val="16"/>
          <w:bdr w:val="nil"/>
        </w:rPr>
      </w:pPr>
    </w:p>
    <w:p w14:paraId="53E6923B" w14:textId="77777777" w:rsidR="00FD1E19" w:rsidRDefault="00FD1E19" w:rsidP="00FD1E19">
      <w:pPr>
        <w:pBdr>
          <w:top w:val="nil"/>
          <w:left w:val="nil"/>
          <w:bottom w:val="nil"/>
          <w:right w:val="nil"/>
          <w:between w:val="nil"/>
          <w:bar w:val="nil"/>
        </w:pBdr>
        <w:tabs>
          <w:tab w:val="left" w:pos="0"/>
        </w:tabs>
        <w:spacing w:before="60" w:after="60"/>
        <w:jc w:val="both"/>
        <w:rPr>
          <w:rFonts w:ascii="Arial" w:eastAsia="Calibri" w:hAnsi="Arial" w:cs="Arial"/>
          <w:noProof/>
          <w:sz w:val="16"/>
          <w:szCs w:val="16"/>
          <w:bdr w:val="nil"/>
          <w:lang w:val="en-US"/>
        </w:rPr>
        <w:sectPr w:rsidR="00FD1E19" w:rsidSect="00FD1E19">
          <w:headerReference w:type="even" r:id="rId162"/>
          <w:headerReference w:type="default" r:id="rId163"/>
          <w:footerReference w:type="even" r:id="rId164"/>
          <w:headerReference w:type="first" r:id="rId165"/>
          <w:footerReference w:type="first" r:id="rId166"/>
          <w:type w:val="continuous"/>
          <w:pgSz w:w="11906" w:h="16838" w:code="9"/>
          <w:pgMar w:top="765" w:right="1134" w:bottom="765" w:left="1134" w:header="709" w:footer="709" w:gutter="0"/>
          <w:pgBorders>
            <w:top w:val="nil"/>
            <w:left w:val="nil"/>
            <w:bottom w:val="nil"/>
            <w:right w:val="nil"/>
          </w:pgBorders>
          <w:cols w:space="720"/>
          <w:docGrid w:linePitch="360"/>
        </w:sectPr>
      </w:pPr>
      <w:r w:rsidRPr="00E95DBA">
        <w:rPr>
          <w:rFonts w:ascii="Arial" w:eastAsia="Calibri" w:hAnsi="Arial" w:cs="Arial"/>
          <w:noProof/>
          <w:sz w:val="16"/>
          <w:szCs w:val="16"/>
          <w:lang w:val="en-US"/>
        </w:rPr>
        <w:t>From a financial and accounting perspective the IFE forms part of the IF portfolio and is accounted for in the overall IF annual financial statemen</w:t>
      </w:r>
      <w:r>
        <w:rPr>
          <w:rFonts w:ascii="Arial" w:eastAsia="Calibri" w:hAnsi="Arial" w:cs="Arial"/>
          <w:noProof/>
          <w:sz w:val="16"/>
          <w:szCs w:val="16"/>
          <w:lang w:val="en-US"/>
        </w:rPr>
        <w:t>ts.</w:t>
      </w:r>
    </w:p>
    <w:p w14:paraId="4F84CEAE" w14:textId="77777777" w:rsidR="00FD1E19" w:rsidRPr="00E1194A" w:rsidRDefault="00FD1E19" w:rsidP="00FD1E19">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eastAsia="Calibri" w:hAnsi="Arial"/>
          <w:b/>
          <w:noProof/>
          <w:sz w:val="20"/>
          <w:szCs w:val="20"/>
          <w:bdr w:val="nil"/>
          <w:lang w:eastAsia="ar-SA"/>
        </w:rPr>
      </w:pPr>
      <w:r w:rsidRPr="00E95DBA">
        <w:rPr>
          <w:rFonts w:ascii="Arial" w:eastAsia="Calibri" w:hAnsi="Arial" w:cs="Arial"/>
          <w:b/>
          <w:noProof/>
          <w:sz w:val="20"/>
          <w:szCs w:val="20"/>
          <w:lang w:eastAsia="ar-SA"/>
        </w:rPr>
        <w:t>25</w:t>
      </w:r>
      <w:r>
        <w:rPr>
          <w:rFonts w:ascii="Arial" w:eastAsia="Calibri" w:hAnsi="Arial" w:cs="Arial"/>
          <w:b/>
          <w:noProof/>
          <w:sz w:val="20"/>
          <w:szCs w:val="20"/>
          <w:lang w:eastAsia="ar-SA"/>
        </w:rPr>
        <w:tab/>
      </w:r>
      <w:r w:rsidRPr="00E95DBA">
        <w:rPr>
          <w:rFonts w:ascii="Arial" w:eastAsia="Calibri" w:hAnsi="Arial" w:cs="Arial"/>
          <w:b/>
          <w:noProof/>
          <w:sz w:val="20"/>
          <w:szCs w:val="20"/>
          <w:lang w:eastAsia="ar-SA"/>
        </w:rPr>
        <w:t xml:space="preserve">Impact financing envelope </w:t>
      </w:r>
      <w:r w:rsidRPr="00E1194A">
        <w:rPr>
          <w:rFonts w:ascii="Arial" w:eastAsia="Calibri" w:hAnsi="Arial" w:cs="Arial"/>
          <w:b/>
          <w:noProof/>
          <w:sz w:val="20"/>
          <w:szCs w:val="20"/>
          <w:lang w:eastAsia="ar-SA"/>
        </w:rPr>
        <w:t>(in EUR’000)</w:t>
      </w:r>
      <w:r>
        <w:rPr>
          <w:rFonts w:ascii="Arial" w:eastAsia="Calibri" w:hAnsi="Arial" w:cs="Arial"/>
          <w:b/>
          <w:noProof/>
          <w:sz w:val="20"/>
          <w:szCs w:val="20"/>
          <w:lang w:eastAsia="ar-SA"/>
        </w:rPr>
        <w:t xml:space="preserve"> (continued)</w:t>
      </w:r>
    </w:p>
    <w:p w14:paraId="34F9BC9B" w14:textId="77777777" w:rsidR="00FD1E19" w:rsidRPr="00725D0F" w:rsidRDefault="00FD1E19" w:rsidP="00FD1E19">
      <w:pPr>
        <w:pBdr>
          <w:top w:val="nil"/>
          <w:left w:val="nil"/>
          <w:bottom w:val="nil"/>
          <w:right w:val="nil"/>
          <w:between w:val="nil"/>
          <w:bar w:val="nil"/>
        </w:pBdr>
        <w:tabs>
          <w:tab w:val="center" w:pos="4320"/>
          <w:tab w:val="right" w:pos="8640"/>
        </w:tabs>
        <w:suppressAutoHyphens/>
        <w:spacing w:before="120" w:after="120"/>
        <w:ind w:left="432" w:hanging="432"/>
        <w:jc w:val="both"/>
        <w:rPr>
          <w:rFonts w:ascii="Arial" w:eastAsia="Calibri" w:hAnsi="Arial"/>
          <w:noProof/>
          <w:sz w:val="16"/>
          <w:szCs w:val="16"/>
          <w:bdr w:val="nil"/>
        </w:rPr>
      </w:pPr>
    </w:p>
    <w:p w14:paraId="6BC56684" w14:textId="77777777" w:rsidR="00FD1E19" w:rsidRDefault="00FD1E19" w:rsidP="00FD1E19">
      <w:pPr>
        <w:pBdr>
          <w:top w:val="nil"/>
          <w:left w:val="nil"/>
          <w:bottom w:val="nil"/>
          <w:right w:val="nil"/>
          <w:between w:val="nil"/>
          <w:bar w:val="nil"/>
        </w:pBdr>
        <w:tabs>
          <w:tab w:val="center" w:pos="4320"/>
          <w:tab w:val="right" w:pos="8640"/>
        </w:tabs>
        <w:suppressAutoHyphens/>
        <w:spacing w:before="60" w:after="60"/>
        <w:ind w:left="431" w:hanging="431"/>
        <w:jc w:val="both"/>
        <w:rPr>
          <w:rFonts w:ascii="Arial" w:eastAsia="Calibri" w:hAnsi="Arial"/>
          <w:noProof/>
          <w:sz w:val="16"/>
          <w:szCs w:val="16"/>
          <w:bdr w:val="nil"/>
          <w:lang w:val="en-US"/>
        </w:rPr>
      </w:pPr>
      <w:r>
        <w:rPr>
          <w:rFonts w:ascii="Arial" w:eastAsia="Calibri" w:hAnsi="Arial" w:cs="Arial"/>
          <w:noProof/>
          <w:sz w:val="16"/>
          <w:szCs w:val="16"/>
          <w:lang w:val="en-US"/>
        </w:rPr>
        <w:t>The following table represents the carrying amounts and the committed, but undisbursed amounts, per type of asset:</w:t>
      </w:r>
    </w:p>
    <w:tbl>
      <w:tblPr>
        <w:tblStyle w:val="CDMRange1"/>
        <w:tblW w:w="5000" w:type="pct"/>
        <w:tblLayout w:type="fixed"/>
        <w:tblLook w:val="0600" w:firstRow="0" w:lastRow="0" w:firstColumn="0" w:lastColumn="0" w:noHBand="1" w:noVBand="1"/>
      </w:tblPr>
      <w:tblGrid>
        <w:gridCol w:w="1716"/>
        <w:gridCol w:w="1716"/>
        <w:gridCol w:w="1507"/>
        <w:gridCol w:w="1020"/>
        <w:gridCol w:w="1252"/>
        <w:gridCol w:w="1066"/>
        <w:gridCol w:w="1020"/>
        <w:gridCol w:w="1159"/>
      </w:tblGrid>
      <w:tr w:rsidR="00FD1E19" w14:paraId="65C168A3" w14:textId="77777777" w:rsidTr="00BE7E4A">
        <w:trPr>
          <w:trHeight w:hRule="exact" w:val="792"/>
        </w:trPr>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14:paraId="0EFAB87D" w14:textId="77777777" w:rsidR="00FD1E19" w:rsidRDefault="00FD1E19" w:rsidP="00BE7E4A">
            <w:pPr>
              <w:suppressAutoHyphens/>
              <w:rPr>
                <w:rFonts w:ascii="Arial" w:eastAsia="Arial" w:hAnsi="Arial" w:cs="Arial"/>
                <w:b/>
                <w:noProof/>
                <w:color w:val="000000"/>
                <w:sz w:val="16"/>
                <w:lang w:eastAsia="ar-SA"/>
              </w:rPr>
            </w:pPr>
            <w:bookmarkStart w:id="340" w:name="RG_MARKER_90235"/>
            <w:r>
              <w:rPr>
                <w:rFonts w:ascii="Arial" w:eastAsia="Arial" w:hAnsi="Arial" w:cs="Arial"/>
                <w:b/>
                <w:noProof/>
                <w:color w:val="000000"/>
                <w:sz w:val="16"/>
                <w:lang w:eastAsia="ar-SA"/>
              </w:rPr>
              <w:t>Type of IFE investment</w:t>
            </w:r>
            <w:bookmarkEnd w:id="340"/>
          </w:p>
        </w:tc>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14:paraId="4384417E"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Caption</w:t>
            </w:r>
          </w:p>
        </w:tc>
        <w:tc>
          <w:tcPr>
            <w:tcW w:w="1920" w:type="dxa"/>
            <w:tcBorders>
              <w:top w:val="single" w:sz="4" w:space="0" w:color="000000"/>
              <w:left w:val="nil"/>
              <w:bottom w:val="single" w:sz="4" w:space="0" w:color="000000"/>
              <w:right w:val="nil"/>
              <w:tl2br w:val="nil"/>
              <w:tr2bl w:val="nil"/>
            </w:tcBorders>
            <w:tcMar>
              <w:left w:w="40" w:type="dxa"/>
              <w:right w:w="40" w:type="dxa"/>
            </w:tcMar>
            <w:vAlign w:val="center"/>
          </w:tcPr>
          <w:p w14:paraId="43D14D73"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Measurement</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14:paraId="4F9503FA"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Gross carrying amount as at 31.12.2025</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22C6677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Loss allowance / FV adj. amount as at 31.12.2025</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307AF07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as at 31.12.2025</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14:paraId="776777E4"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Undisbursed amount as at 31.12.2025</w:t>
            </w:r>
          </w:p>
        </w:tc>
        <w:tc>
          <w:tcPr>
            <w:tcW w:w="1470" w:type="dxa"/>
            <w:tcBorders>
              <w:top w:val="single" w:sz="4" w:space="0" w:color="000000"/>
              <w:left w:val="nil"/>
              <w:bottom w:val="single" w:sz="4" w:space="0" w:color="000000"/>
              <w:right w:val="nil"/>
              <w:tl2br w:val="nil"/>
              <w:tr2bl w:val="nil"/>
            </w:tcBorders>
            <w:tcMar>
              <w:left w:w="40" w:type="dxa"/>
              <w:right w:w="40" w:type="dxa"/>
            </w:tcMar>
            <w:vAlign w:val="center"/>
          </w:tcPr>
          <w:p w14:paraId="576F594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OFF BS ECL adj. amount as at 31.12.2025</w:t>
            </w:r>
          </w:p>
        </w:tc>
      </w:tr>
      <w:tr w:rsidR="00FD1E19" w14:paraId="699D951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2"/>
        </w:trPr>
        <w:tc>
          <w:tcPr>
            <w:tcW w:w="2190" w:type="dxa"/>
            <w:tcBorders>
              <w:top w:val="single" w:sz="4" w:space="0" w:color="000000"/>
              <w:left w:val="nil"/>
              <w:bottom w:val="nil"/>
              <w:right w:val="nil"/>
              <w:tl2br w:val="nil"/>
              <w:tr2bl w:val="nil"/>
            </w:tcBorders>
            <w:tcMar>
              <w:left w:w="40" w:type="dxa"/>
              <w:right w:w="40" w:type="dxa"/>
            </w:tcMar>
            <w:vAlign w:val="center"/>
          </w:tcPr>
          <w:p w14:paraId="47D81F9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to financial intermediaries</w:t>
            </w:r>
          </w:p>
        </w:tc>
        <w:tc>
          <w:tcPr>
            <w:tcW w:w="2190" w:type="dxa"/>
            <w:tcBorders>
              <w:top w:val="single" w:sz="4" w:space="0" w:color="000000"/>
              <w:left w:val="nil"/>
              <w:bottom w:val="nil"/>
              <w:right w:val="nil"/>
              <w:tl2br w:val="nil"/>
              <w:tr2bl w:val="nil"/>
            </w:tcBorders>
            <w:tcMar>
              <w:left w:w="40" w:type="dxa"/>
              <w:right w:w="40" w:type="dxa"/>
            </w:tcMar>
            <w:vAlign w:val="center"/>
          </w:tcPr>
          <w:p w14:paraId="4941A12D"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Loans and advances </w:t>
            </w:r>
          </w:p>
        </w:tc>
        <w:tc>
          <w:tcPr>
            <w:tcW w:w="1920" w:type="dxa"/>
            <w:tcBorders>
              <w:top w:val="single" w:sz="4" w:space="0" w:color="000000"/>
              <w:left w:val="nil"/>
              <w:bottom w:val="nil"/>
              <w:right w:val="nil"/>
              <w:tl2br w:val="nil"/>
              <w:tr2bl w:val="nil"/>
            </w:tcBorders>
            <w:tcMar>
              <w:left w:w="40" w:type="dxa"/>
              <w:right w:w="40" w:type="dxa"/>
            </w:tcMar>
            <w:vAlign w:val="center"/>
          </w:tcPr>
          <w:p w14:paraId="75D11EB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AC</w:t>
            </w:r>
          </w:p>
        </w:tc>
        <w:tc>
          <w:tcPr>
            <w:tcW w:w="1290" w:type="dxa"/>
            <w:tcBorders>
              <w:top w:val="single" w:sz="4" w:space="0" w:color="000000"/>
              <w:left w:val="nil"/>
              <w:bottom w:val="nil"/>
              <w:right w:val="nil"/>
              <w:tl2br w:val="nil"/>
              <w:tr2bl w:val="nil"/>
            </w:tcBorders>
            <w:tcMar>
              <w:left w:w="40" w:type="dxa"/>
              <w:right w:w="40" w:type="dxa"/>
            </w:tcMar>
            <w:vAlign w:val="center"/>
          </w:tcPr>
          <w:p w14:paraId="7293B3A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33,388</w:t>
            </w:r>
          </w:p>
        </w:tc>
        <w:tc>
          <w:tcPr>
            <w:tcW w:w="1590" w:type="dxa"/>
            <w:tcBorders>
              <w:top w:val="single" w:sz="4" w:space="0" w:color="000000"/>
              <w:left w:val="nil"/>
              <w:bottom w:val="nil"/>
              <w:right w:val="nil"/>
              <w:tl2br w:val="nil"/>
              <w:tr2bl w:val="nil"/>
            </w:tcBorders>
            <w:tcMar>
              <w:left w:w="40" w:type="dxa"/>
              <w:right w:w="40" w:type="dxa"/>
            </w:tcMar>
            <w:vAlign w:val="center"/>
          </w:tcPr>
          <w:p w14:paraId="276127C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-1,135</w:t>
            </w:r>
          </w:p>
        </w:tc>
        <w:tc>
          <w:tcPr>
            <w:tcW w:w="1350" w:type="dxa"/>
            <w:tcBorders>
              <w:top w:val="single" w:sz="4" w:space="0" w:color="000000"/>
              <w:left w:val="nil"/>
              <w:bottom w:val="nil"/>
              <w:right w:val="nil"/>
              <w:tl2br w:val="nil"/>
              <w:tr2bl w:val="nil"/>
            </w:tcBorders>
            <w:tcMar>
              <w:left w:w="40" w:type="dxa"/>
              <w:right w:w="40" w:type="dxa"/>
            </w:tcMar>
            <w:vAlign w:val="center"/>
          </w:tcPr>
          <w:p w14:paraId="553ECF3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32,253</w:t>
            </w:r>
          </w:p>
        </w:tc>
        <w:tc>
          <w:tcPr>
            <w:tcW w:w="1290" w:type="dxa"/>
            <w:tcBorders>
              <w:top w:val="single" w:sz="4" w:space="0" w:color="000000"/>
              <w:left w:val="nil"/>
              <w:bottom w:val="nil"/>
              <w:right w:val="nil"/>
              <w:tl2br w:val="nil"/>
              <w:tr2bl w:val="nil"/>
            </w:tcBorders>
            <w:tcMar>
              <w:left w:w="40" w:type="dxa"/>
              <w:right w:w="40" w:type="dxa"/>
            </w:tcMar>
            <w:vAlign w:val="center"/>
          </w:tcPr>
          <w:p w14:paraId="65A10C82"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5,000</w:t>
            </w:r>
          </w:p>
        </w:tc>
        <w:tc>
          <w:tcPr>
            <w:tcW w:w="1470" w:type="dxa"/>
            <w:tcBorders>
              <w:top w:val="single" w:sz="4" w:space="0" w:color="000000"/>
              <w:left w:val="nil"/>
              <w:bottom w:val="nil"/>
              <w:right w:val="nil"/>
              <w:tl2br w:val="nil"/>
              <w:tr2bl w:val="nil"/>
            </w:tcBorders>
            <w:tcMar>
              <w:left w:w="40" w:type="dxa"/>
              <w:right w:w="40" w:type="dxa"/>
            </w:tcMar>
            <w:vAlign w:val="center"/>
          </w:tcPr>
          <w:p w14:paraId="6E69BDA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-352</w:t>
            </w:r>
          </w:p>
        </w:tc>
      </w:tr>
      <w:tr w:rsidR="00FD1E19" w14:paraId="74FA8557"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79"/>
        </w:trPr>
        <w:tc>
          <w:tcPr>
            <w:tcW w:w="2190" w:type="dxa"/>
            <w:tcBorders>
              <w:top w:val="nil"/>
              <w:left w:val="nil"/>
              <w:bottom w:val="nil"/>
              <w:right w:val="nil"/>
              <w:tl2br w:val="nil"/>
              <w:tr2bl w:val="nil"/>
            </w:tcBorders>
            <w:tcMar>
              <w:left w:w="40" w:type="dxa"/>
              <w:right w:w="40" w:type="dxa"/>
            </w:tcMar>
            <w:vAlign w:val="center"/>
          </w:tcPr>
          <w:p w14:paraId="5D6E9E00"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Direct loan operations</w:t>
            </w:r>
          </w:p>
        </w:tc>
        <w:tc>
          <w:tcPr>
            <w:tcW w:w="2190" w:type="dxa"/>
            <w:tcBorders>
              <w:top w:val="nil"/>
              <w:left w:val="nil"/>
              <w:bottom w:val="nil"/>
              <w:right w:val="nil"/>
              <w:tl2br w:val="nil"/>
              <w:tr2bl w:val="nil"/>
            </w:tcBorders>
            <w:tcMar>
              <w:left w:w="40" w:type="dxa"/>
              <w:right w:w="40" w:type="dxa"/>
            </w:tcMar>
            <w:vAlign w:val="center"/>
          </w:tcPr>
          <w:p w14:paraId="77B05AB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Loans and advances </w:t>
            </w:r>
          </w:p>
        </w:tc>
        <w:tc>
          <w:tcPr>
            <w:tcW w:w="1920" w:type="dxa"/>
            <w:tcBorders>
              <w:top w:val="nil"/>
              <w:left w:val="nil"/>
              <w:bottom w:val="nil"/>
              <w:right w:val="nil"/>
              <w:tl2br w:val="nil"/>
              <w:tr2bl w:val="nil"/>
            </w:tcBorders>
            <w:tcMar>
              <w:left w:w="40" w:type="dxa"/>
              <w:right w:w="40" w:type="dxa"/>
            </w:tcMar>
            <w:vAlign w:val="center"/>
          </w:tcPr>
          <w:p w14:paraId="4395DE59"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FVTPL</w:t>
            </w:r>
          </w:p>
        </w:tc>
        <w:tc>
          <w:tcPr>
            <w:tcW w:w="1290" w:type="dxa"/>
            <w:tcBorders>
              <w:top w:val="nil"/>
              <w:left w:val="nil"/>
              <w:bottom w:val="nil"/>
              <w:right w:val="nil"/>
              <w:tl2br w:val="nil"/>
              <w:tr2bl w:val="nil"/>
            </w:tcBorders>
            <w:tcMar>
              <w:left w:w="40" w:type="dxa"/>
              <w:right w:w="40" w:type="dxa"/>
            </w:tcMar>
            <w:vAlign w:val="center"/>
          </w:tcPr>
          <w:p w14:paraId="677FE68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87,723</w:t>
            </w:r>
          </w:p>
        </w:tc>
        <w:tc>
          <w:tcPr>
            <w:tcW w:w="1590" w:type="dxa"/>
            <w:tcBorders>
              <w:top w:val="nil"/>
              <w:left w:val="nil"/>
              <w:bottom w:val="nil"/>
              <w:right w:val="nil"/>
              <w:tl2br w:val="nil"/>
              <w:tr2bl w:val="nil"/>
            </w:tcBorders>
            <w:tcMar>
              <w:left w:w="40" w:type="dxa"/>
              <w:right w:w="40" w:type="dxa"/>
            </w:tcMar>
            <w:vAlign w:val="center"/>
          </w:tcPr>
          <w:p w14:paraId="30BACB7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-68,525</w:t>
            </w:r>
          </w:p>
        </w:tc>
        <w:tc>
          <w:tcPr>
            <w:tcW w:w="1350" w:type="dxa"/>
            <w:tcBorders>
              <w:top w:val="nil"/>
              <w:left w:val="nil"/>
              <w:bottom w:val="nil"/>
              <w:right w:val="nil"/>
              <w:tl2br w:val="nil"/>
              <w:tr2bl w:val="nil"/>
            </w:tcBorders>
            <w:tcMar>
              <w:left w:w="40" w:type="dxa"/>
              <w:right w:w="40" w:type="dxa"/>
            </w:tcMar>
            <w:vAlign w:val="center"/>
          </w:tcPr>
          <w:p w14:paraId="091C5D9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19,198</w:t>
            </w:r>
          </w:p>
        </w:tc>
        <w:tc>
          <w:tcPr>
            <w:tcW w:w="1290" w:type="dxa"/>
            <w:tcBorders>
              <w:top w:val="nil"/>
              <w:left w:val="nil"/>
              <w:bottom w:val="nil"/>
              <w:right w:val="nil"/>
              <w:tl2br w:val="nil"/>
              <w:tr2bl w:val="nil"/>
            </w:tcBorders>
            <w:tcMar>
              <w:left w:w="40" w:type="dxa"/>
              <w:right w:w="40" w:type="dxa"/>
            </w:tcMar>
            <w:vAlign w:val="center"/>
          </w:tcPr>
          <w:p w14:paraId="203F16AA"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30,738</w:t>
            </w:r>
          </w:p>
        </w:tc>
        <w:tc>
          <w:tcPr>
            <w:tcW w:w="1470" w:type="dxa"/>
            <w:tcBorders>
              <w:top w:val="nil"/>
              <w:left w:val="nil"/>
              <w:bottom w:val="nil"/>
              <w:right w:val="nil"/>
              <w:tl2br w:val="nil"/>
              <w:tr2bl w:val="nil"/>
            </w:tcBorders>
            <w:tcMar>
              <w:left w:w="40" w:type="dxa"/>
              <w:right w:w="40" w:type="dxa"/>
            </w:tcMar>
            <w:vAlign w:val="center"/>
          </w:tcPr>
          <w:p w14:paraId="2F55431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2B144E5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69"/>
        </w:trPr>
        <w:tc>
          <w:tcPr>
            <w:tcW w:w="2190" w:type="dxa"/>
            <w:tcBorders>
              <w:top w:val="nil"/>
              <w:left w:val="nil"/>
              <w:bottom w:val="nil"/>
              <w:right w:val="nil"/>
              <w:tl2br w:val="nil"/>
              <w:tr2bl w:val="nil"/>
            </w:tcBorders>
            <w:tcMar>
              <w:left w:w="40" w:type="dxa"/>
              <w:right w:w="40" w:type="dxa"/>
            </w:tcMar>
            <w:vAlign w:val="center"/>
          </w:tcPr>
          <w:p w14:paraId="49DA543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Social impact equity funds</w:t>
            </w:r>
          </w:p>
        </w:tc>
        <w:tc>
          <w:tcPr>
            <w:tcW w:w="2190" w:type="dxa"/>
            <w:tcBorders>
              <w:top w:val="nil"/>
              <w:left w:val="nil"/>
              <w:bottom w:val="nil"/>
              <w:right w:val="nil"/>
              <w:tl2br w:val="nil"/>
              <w:tr2bl w:val="nil"/>
            </w:tcBorders>
            <w:tcMar>
              <w:left w:w="40" w:type="dxa"/>
              <w:right w:w="40" w:type="dxa"/>
            </w:tcMar>
            <w:vAlign w:val="center"/>
          </w:tcPr>
          <w:p w14:paraId="57DD9453"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920" w:type="dxa"/>
            <w:tcBorders>
              <w:top w:val="nil"/>
              <w:left w:val="nil"/>
              <w:bottom w:val="nil"/>
              <w:right w:val="nil"/>
              <w:tl2br w:val="nil"/>
              <w:tr2bl w:val="nil"/>
            </w:tcBorders>
            <w:tcMar>
              <w:left w:w="40" w:type="dxa"/>
              <w:right w:w="40" w:type="dxa"/>
            </w:tcMar>
            <w:vAlign w:val="center"/>
          </w:tcPr>
          <w:p w14:paraId="6A9025E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FVTPL</w:t>
            </w:r>
          </w:p>
        </w:tc>
        <w:tc>
          <w:tcPr>
            <w:tcW w:w="1290" w:type="dxa"/>
            <w:tcBorders>
              <w:top w:val="nil"/>
              <w:left w:val="nil"/>
              <w:bottom w:val="nil"/>
              <w:right w:val="nil"/>
              <w:tl2br w:val="nil"/>
              <w:tr2bl w:val="nil"/>
            </w:tcBorders>
            <w:tcMar>
              <w:left w:w="40" w:type="dxa"/>
              <w:right w:w="40" w:type="dxa"/>
            </w:tcMar>
            <w:vAlign w:val="center"/>
          </w:tcPr>
          <w:p w14:paraId="370A91B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132,348</w:t>
            </w:r>
          </w:p>
        </w:tc>
        <w:tc>
          <w:tcPr>
            <w:tcW w:w="1590" w:type="dxa"/>
            <w:tcBorders>
              <w:top w:val="nil"/>
              <w:left w:val="nil"/>
              <w:bottom w:val="nil"/>
              <w:right w:val="nil"/>
              <w:tl2br w:val="nil"/>
              <w:tr2bl w:val="nil"/>
            </w:tcBorders>
            <w:tcMar>
              <w:left w:w="40" w:type="dxa"/>
              <w:right w:w="40" w:type="dxa"/>
            </w:tcMar>
            <w:vAlign w:val="center"/>
          </w:tcPr>
          <w:p w14:paraId="2B84026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-17,966</w:t>
            </w:r>
          </w:p>
        </w:tc>
        <w:tc>
          <w:tcPr>
            <w:tcW w:w="1350" w:type="dxa"/>
            <w:tcBorders>
              <w:top w:val="nil"/>
              <w:left w:val="nil"/>
              <w:bottom w:val="nil"/>
              <w:right w:val="nil"/>
              <w:tl2br w:val="nil"/>
              <w:tr2bl w:val="nil"/>
            </w:tcBorders>
            <w:tcMar>
              <w:left w:w="40" w:type="dxa"/>
              <w:right w:w="40" w:type="dxa"/>
            </w:tcMar>
            <w:vAlign w:val="center"/>
          </w:tcPr>
          <w:p w14:paraId="025DE23F"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114,382</w:t>
            </w:r>
          </w:p>
        </w:tc>
        <w:tc>
          <w:tcPr>
            <w:tcW w:w="1290" w:type="dxa"/>
            <w:tcBorders>
              <w:top w:val="nil"/>
              <w:left w:val="nil"/>
              <w:bottom w:val="nil"/>
              <w:right w:val="nil"/>
              <w:tl2br w:val="nil"/>
              <w:tr2bl w:val="nil"/>
            </w:tcBorders>
            <w:tcMar>
              <w:left w:w="40" w:type="dxa"/>
              <w:right w:w="40" w:type="dxa"/>
            </w:tcMar>
            <w:vAlign w:val="center"/>
          </w:tcPr>
          <w:p w14:paraId="66BD4BC6"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21,438</w:t>
            </w:r>
          </w:p>
        </w:tc>
        <w:tc>
          <w:tcPr>
            <w:tcW w:w="1470" w:type="dxa"/>
            <w:tcBorders>
              <w:top w:val="nil"/>
              <w:left w:val="nil"/>
              <w:bottom w:val="nil"/>
              <w:right w:val="nil"/>
              <w:tl2br w:val="nil"/>
              <w:tr2bl w:val="nil"/>
            </w:tcBorders>
            <w:tcMar>
              <w:left w:w="40" w:type="dxa"/>
              <w:right w:w="40" w:type="dxa"/>
            </w:tcMar>
            <w:vAlign w:val="center"/>
          </w:tcPr>
          <w:p w14:paraId="0710D050"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7155600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190" w:type="dxa"/>
            <w:tcBorders>
              <w:top w:val="nil"/>
              <w:left w:val="nil"/>
              <w:bottom w:val="nil"/>
              <w:right w:val="nil"/>
              <w:tl2br w:val="nil"/>
              <w:tr2bl w:val="nil"/>
            </w:tcBorders>
            <w:tcMar>
              <w:left w:w="40" w:type="dxa"/>
              <w:right w:w="40" w:type="dxa"/>
            </w:tcMar>
            <w:vAlign w:val="center"/>
          </w:tcPr>
          <w:p w14:paraId="450DA802"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Direct equity participations</w:t>
            </w:r>
          </w:p>
        </w:tc>
        <w:tc>
          <w:tcPr>
            <w:tcW w:w="2190" w:type="dxa"/>
            <w:tcBorders>
              <w:top w:val="nil"/>
              <w:left w:val="nil"/>
              <w:bottom w:val="nil"/>
              <w:right w:val="nil"/>
              <w:tl2br w:val="nil"/>
              <w:tr2bl w:val="nil"/>
            </w:tcBorders>
            <w:tcMar>
              <w:left w:w="40" w:type="dxa"/>
              <w:right w:w="40" w:type="dxa"/>
            </w:tcMar>
            <w:vAlign w:val="center"/>
          </w:tcPr>
          <w:p w14:paraId="37F3371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920" w:type="dxa"/>
            <w:tcBorders>
              <w:top w:val="nil"/>
              <w:left w:val="nil"/>
              <w:bottom w:val="nil"/>
              <w:right w:val="nil"/>
              <w:tl2br w:val="nil"/>
              <w:tr2bl w:val="nil"/>
            </w:tcBorders>
            <w:tcMar>
              <w:left w:w="40" w:type="dxa"/>
              <w:right w:w="40" w:type="dxa"/>
            </w:tcMar>
            <w:vAlign w:val="center"/>
          </w:tcPr>
          <w:p w14:paraId="0895F39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FVTPL</w:t>
            </w:r>
          </w:p>
        </w:tc>
        <w:tc>
          <w:tcPr>
            <w:tcW w:w="1290" w:type="dxa"/>
            <w:tcBorders>
              <w:top w:val="nil"/>
              <w:left w:val="nil"/>
              <w:bottom w:val="nil"/>
              <w:right w:val="nil"/>
              <w:tl2br w:val="nil"/>
              <w:tr2bl w:val="nil"/>
            </w:tcBorders>
            <w:tcMar>
              <w:left w:w="40" w:type="dxa"/>
              <w:right w:w="40" w:type="dxa"/>
            </w:tcMar>
            <w:vAlign w:val="center"/>
          </w:tcPr>
          <w:p w14:paraId="7BAF514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53,994</w:t>
            </w:r>
          </w:p>
        </w:tc>
        <w:tc>
          <w:tcPr>
            <w:tcW w:w="1590" w:type="dxa"/>
            <w:tcBorders>
              <w:top w:val="nil"/>
              <w:left w:val="nil"/>
              <w:bottom w:val="nil"/>
              <w:right w:val="nil"/>
              <w:tl2br w:val="nil"/>
              <w:tr2bl w:val="nil"/>
            </w:tcBorders>
            <w:tcMar>
              <w:left w:w="40" w:type="dxa"/>
              <w:right w:w="40" w:type="dxa"/>
            </w:tcMar>
            <w:vAlign w:val="center"/>
          </w:tcPr>
          <w:p w14:paraId="0FCD238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82,626</w:t>
            </w:r>
          </w:p>
        </w:tc>
        <w:tc>
          <w:tcPr>
            <w:tcW w:w="1350" w:type="dxa"/>
            <w:tcBorders>
              <w:top w:val="nil"/>
              <w:left w:val="nil"/>
              <w:bottom w:val="nil"/>
              <w:right w:val="nil"/>
              <w:tl2br w:val="nil"/>
              <w:tr2bl w:val="nil"/>
            </w:tcBorders>
            <w:tcMar>
              <w:left w:w="40" w:type="dxa"/>
              <w:right w:w="40" w:type="dxa"/>
            </w:tcMar>
            <w:vAlign w:val="center"/>
          </w:tcPr>
          <w:p w14:paraId="4BD9924B"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136,620</w:t>
            </w:r>
          </w:p>
        </w:tc>
        <w:tc>
          <w:tcPr>
            <w:tcW w:w="1290" w:type="dxa"/>
            <w:tcBorders>
              <w:top w:val="nil"/>
              <w:left w:val="nil"/>
              <w:bottom w:val="nil"/>
              <w:right w:val="nil"/>
              <w:tl2br w:val="nil"/>
              <w:tr2bl w:val="nil"/>
            </w:tcBorders>
            <w:tcMar>
              <w:left w:w="40" w:type="dxa"/>
              <w:right w:w="40" w:type="dxa"/>
            </w:tcMar>
            <w:vAlign w:val="center"/>
          </w:tcPr>
          <w:p w14:paraId="74CE18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w:t>
            </w:r>
          </w:p>
        </w:tc>
        <w:tc>
          <w:tcPr>
            <w:tcW w:w="1470" w:type="dxa"/>
            <w:tcBorders>
              <w:top w:val="nil"/>
              <w:left w:val="nil"/>
              <w:bottom w:val="nil"/>
              <w:right w:val="nil"/>
              <w:tl2br w:val="nil"/>
              <w:tr2bl w:val="nil"/>
            </w:tcBorders>
            <w:tcMar>
              <w:left w:w="40" w:type="dxa"/>
              <w:right w:w="40" w:type="dxa"/>
            </w:tcMar>
            <w:vAlign w:val="center"/>
          </w:tcPr>
          <w:p w14:paraId="2187C9C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3EA2000A"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nil"/>
              <w:right w:val="nil"/>
              <w:tl2br w:val="nil"/>
              <w:tr2bl w:val="nil"/>
            </w:tcBorders>
            <w:shd w:val="clear" w:color="FFFFFF" w:fill="C1C1C1"/>
            <w:tcMar>
              <w:left w:w="40" w:type="dxa"/>
              <w:right w:w="40" w:type="dxa"/>
            </w:tcMar>
            <w:vAlign w:val="center"/>
          </w:tcPr>
          <w:p w14:paraId="7351492D"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2190" w:type="dxa"/>
            <w:tcBorders>
              <w:top w:val="nil"/>
              <w:left w:val="nil"/>
              <w:bottom w:val="nil"/>
              <w:right w:val="nil"/>
              <w:tl2br w:val="nil"/>
              <w:tr2bl w:val="nil"/>
            </w:tcBorders>
            <w:shd w:val="clear" w:color="FFFFFF" w:fill="C1C1C1"/>
            <w:tcMar>
              <w:left w:w="0" w:type="dxa"/>
              <w:right w:w="0" w:type="dxa"/>
            </w:tcMar>
            <w:vAlign w:val="center"/>
          </w:tcPr>
          <w:p w14:paraId="10712761" w14:textId="77777777" w:rsidR="00FD1E19" w:rsidRDefault="00FD1E19" w:rsidP="00BE7E4A">
            <w:pPr>
              <w:suppressAutoHyphens/>
              <w:rPr>
                <w:rFonts w:ascii="Arial" w:eastAsia="Arial" w:hAnsi="Arial" w:cs="Arial"/>
                <w:b/>
                <w:noProof/>
                <w:color w:val="000000"/>
                <w:sz w:val="16"/>
                <w:lang w:eastAsia="ar-SA"/>
              </w:rPr>
            </w:pPr>
          </w:p>
        </w:tc>
        <w:tc>
          <w:tcPr>
            <w:tcW w:w="1920" w:type="dxa"/>
            <w:tcBorders>
              <w:top w:val="nil"/>
              <w:left w:val="nil"/>
              <w:bottom w:val="nil"/>
              <w:right w:val="nil"/>
              <w:tl2br w:val="nil"/>
              <w:tr2bl w:val="nil"/>
            </w:tcBorders>
            <w:shd w:val="clear" w:color="FFFFFF" w:fill="C1C1C1"/>
            <w:tcMar>
              <w:left w:w="0" w:type="dxa"/>
              <w:right w:w="0" w:type="dxa"/>
            </w:tcMar>
            <w:vAlign w:val="center"/>
          </w:tcPr>
          <w:p w14:paraId="60007A98" w14:textId="77777777" w:rsidR="00FD1E19" w:rsidRDefault="00FD1E19" w:rsidP="00BE7E4A">
            <w:pPr>
              <w:suppressAutoHyphens/>
              <w:rPr>
                <w:rFonts w:ascii="Arial" w:eastAsia="Arial" w:hAnsi="Arial" w:cs="Arial"/>
                <w:b/>
                <w:noProof/>
                <w:color w:val="000000"/>
                <w:sz w:val="16"/>
                <w:lang w:eastAsia="ar-SA"/>
              </w:rPr>
            </w:pPr>
          </w:p>
        </w:tc>
        <w:tc>
          <w:tcPr>
            <w:tcW w:w="1290" w:type="dxa"/>
            <w:tcBorders>
              <w:top w:val="nil"/>
              <w:left w:val="nil"/>
              <w:bottom w:val="nil"/>
              <w:right w:val="nil"/>
              <w:tl2br w:val="nil"/>
              <w:tr2bl w:val="nil"/>
            </w:tcBorders>
            <w:shd w:val="clear" w:color="FFFFFF" w:fill="C1C1C1"/>
            <w:tcMar>
              <w:left w:w="40" w:type="dxa"/>
              <w:right w:w="40" w:type="dxa"/>
            </w:tcMar>
            <w:vAlign w:val="center"/>
          </w:tcPr>
          <w:p w14:paraId="0D6C0891"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307,453</w:t>
            </w:r>
          </w:p>
        </w:tc>
        <w:tc>
          <w:tcPr>
            <w:tcW w:w="1590" w:type="dxa"/>
            <w:tcBorders>
              <w:top w:val="nil"/>
              <w:left w:val="nil"/>
              <w:bottom w:val="nil"/>
              <w:right w:val="nil"/>
              <w:tl2br w:val="nil"/>
              <w:tr2bl w:val="nil"/>
            </w:tcBorders>
            <w:shd w:val="clear" w:color="FFFFFF" w:fill="C1C1C1"/>
            <w:tcMar>
              <w:left w:w="40" w:type="dxa"/>
              <w:right w:w="40" w:type="dxa"/>
            </w:tcMar>
            <w:vAlign w:val="center"/>
          </w:tcPr>
          <w:p w14:paraId="0491530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-5,000</w:t>
            </w:r>
          </w:p>
        </w:tc>
        <w:tc>
          <w:tcPr>
            <w:tcW w:w="1350" w:type="dxa"/>
            <w:tcBorders>
              <w:top w:val="nil"/>
              <w:left w:val="nil"/>
              <w:bottom w:val="nil"/>
              <w:right w:val="nil"/>
              <w:tl2br w:val="nil"/>
              <w:tr2bl w:val="nil"/>
            </w:tcBorders>
            <w:shd w:val="clear" w:color="FFFFFF" w:fill="C1C1C1"/>
            <w:tcMar>
              <w:left w:w="40" w:type="dxa"/>
              <w:right w:w="40" w:type="dxa"/>
            </w:tcMar>
            <w:vAlign w:val="center"/>
          </w:tcPr>
          <w:p w14:paraId="562A2D4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302,453</w:t>
            </w:r>
          </w:p>
        </w:tc>
        <w:tc>
          <w:tcPr>
            <w:tcW w:w="1290" w:type="dxa"/>
            <w:tcBorders>
              <w:top w:val="nil"/>
              <w:left w:val="nil"/>
              <w:bottom w:val="nil"/>
              <w:right w:val="nil"/>
              <w:tl2br w:val="nil"/>
              <w:tr2bl w:val="nil"/>
            </w:tcBorders>
            <w:shd w:val="clear" w:color="FFFFFF" w:fill="C1C1C1"/>
            <w:tcMar>
              <w:left w:w="40" w:type="dxa"/>
              <w:right w:w="40" w:type="dxa"/>
            </w:tcMar>
            <w:vAlign w:val="center"/>
          </w:tcPr>
          <w:p w14:paraId="2B179D1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57,190</w:t>
            </w:r>
          </w:p>
        </w:tc>
        <w:tc>
          <w:tcPr>
            <w:tcW w:w="1470" w:type="dxa"/>
            <w:tcBorders>
              <w:top w:val="nil"/>
              <w:left w:val="nil"/>
              <w:bottom w:val="nil"/>
              <w:right w:val="nil"/>
              <w:tl2br w:val="nil"/>
              <w:tr2bl w:val="nil"/>
            </w:tcBorders>
            <w:shd w:val="clear" w:color="FFFFFF" w:fill="C1C1C1"/>
            <w:tcMar>
              <w:left w:w="40" w:type="dxa"/>
              <w:right w:w="40" w:type="dxa"/>
            </w:tcMar>
            <w:vAlign w:val="center"/>
          </w:tcPr>
          <w:p w14:paraId="43F239D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-352</w:t>
            </w:r>
          </w:p>
        </w:tc>
      </w:tr>
      <w:tr w:rsidR="00FD1E19" w14:paraId="4AC20B9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7590" w:type="dxa"/>
            <w:gridSpan w:val="4"/>
            <w:tcBorders>
              <w:top w:val="nil"/>
              <w:left w:val="nil"/>
              <w:bottom w:val="nil"/>
              <w:right w:val="nil"/>
              <w:tl2br w:val="nil"/>
              <w:tr2bl w:val="nil"/>
            </w:tcBorders>
            <w:noWrap/>
            <w:tcMar>
              <w:left w:w="40" w:type="dxa"/>
              <w:right w:w="40" w:type="dxa"/>
            </w:tcMar>
            <w:vAlign w:val="center"/>
          </w:tcPr>
          <w:p w14:paraId="67E8610A" w14:textId="77777777" w:rsidR="00FD1E19" w:rsidRDefault="00FD1E19" w:rsidP="00BE7E4A">
            <w:pPr>
              <w:suppressAutoHyphens/>
              <w:rPr>
                <w:rFonts w:ascii="Arial" w:eastAsia="Arial" w:hAnsi="Arial" w:cs="Arial"/>
                <w:noProof/>
                <w:color w:val="000000"/>
                <w:sz w:val="14"/>
                <w:lang w:eastAsia="ar-SA"/>
              </w:rPr>
            </w:pPr>
            <w:r>
              <w:rPr>
                <w:rFonts w:ascii="Arial" w:eastAsia="Arial" w:hAnsi="Arial" w:cs="Arial"/>
                <w:noProof/>
                <w:color w:val="000000"/>
                <w:sz w:val="14"/>
                <w:lang w:eastAsia="ar-SA"/>
              </w:rPr>
              <w:t xml:space="preserve">* For details, please refer to section subsequent measurement of Note 2.4.3. </w:t>
            </w:r>
          </w:p>
        </w:tc>
        <w:tc>
          <w:tcPr>
            <w:tcW w:w="1590" w:type="dxa"/>
            <w:tcBorders>
              <w:top w:val="nil"/>
              <w:left w:val="nil"/>
              <w:bottom w:val="nil"/>
              <w:right w:val="nil"/>
              <w:tl2br w:val="nil"/>
              <w:tr2bl w:val="nil"/>
            </w:tcBorders>
            <w:noWrap/>
            <w:tcMar>
              <w:left w:w="0" w:type="dxa"/>
              <w:right w:w="0" w:type="dxa"/>
            </w:tcMar>
            <w:vAlign w:val="bottom"/>
          </w:tcPr>
          <w:p w14:paraId="58DF9B91" w14:textId="77777777" w:rsidR="00FD1E19" w:rsidRDefault="00FD1E19" w:rsidP="00BE7E4A">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14:paraId="155FE8D6" w14:textId="77777777" w:rsidR="00FD1E19" w:rsidRDefault="00FD1E19" w:rsidP="00BE7E4A">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14:paraId="1B742772" w14:textId="77777777" w:rsidR="00FD1E19" w:rsidRDefault="00FD1E19" w:rsidP="00BE7E4A">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14:paraId="521A01C0" w14:textId="77777777" w:rsidR="00FD1E19" w:rsidRDefault="00FD1E19" w:rsidP="00BE7E4A">
            <w:pPr>
              <w:suppressAutoHyphens/>
              <w:rPr>
                <w:rFonts w:ascii="Calibri" w:eastAsia="Calibri" w:hAnsi="Calibri" w:cs="Calibri"/>
                <w:noProof/>
                <w:color w:val="000000"/>
                <w:sz w:val="22"/>
                <w:lang w:eastAsia="ar-SA"/>
              </w:rPr>
            </w:pPr>
          </w:p>
        </w:tc>
      </w:tr>
      <w:tr w:rsidR="00FD1E19" w14:paraId="4B451190"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single" w:sz="4" w:space="0" w:color="000000"/>
              <w:right w:val="nil"/>
              <w:tl2br w:val="nil"/>
              <w:tr2bl w:val="nil"/>
            </w:tcBorders>
            <w:noWrap/>
            <w:tcMar>
              <w:left w:w="0" w:type="dxa"/>
              <w:right w:w="0" w:type="dxa"/>
            </w:tcMar>
            <w:vAlign w:val="bottom"/>
          </w:tcPr>
          <w:p w14:paraId="1142E4AA" w14:textId="77777777" w:rsidR="00FD1E19" w:rsidRDefault="00FD1E19" w:rsidP="00BE7E4A">
            <w:pPr>
              <w:suppressAutoHyphens/>
              <w:rPr>
                <w:rFonts w:ascii="Calibri" w:eastAsia="Calibri" w:hAnsi="Calibri" w:cs="Calibri"/>
                <w:noProof/>
                <w:color w:val="000000"/>
                <w:sz w:val="22"/>
                <w:lang w:eastAsia="ar-SA"/>
              </w:rPr>
            </w:pPr>
          </w:p>
        </w:tc>
        <w:tc>
          <w:tcPr>
            <w:tcW w:w="2190" w:type="dxa"/>
            <w:tcBorders>
              <w:top w:val="nil"/>
              <w:left w:val="nil"/>
              <w:bottom w:val="single" w:sz="4" w:space="0" w:color="000000"/>
              <w:right w:val="nil"/>
              <w:tl2br w:val="nil"/>
              <w:tr2bl w:val="nil"/>
            </w:tcBorders>
            <w:noWrap/>
            <w:tcMar>
              <w:left w:w="0" w:type="dxa"/>
              <w:right w:w="0" w:type="dxa"/>
            </w:tcMar>
            <w:vAlign w:val="bottom"/>
          </w:tcPr>
          <w:p w14:paraId="4E4B1491" w14:textId="77777777" w:rsidR="00FD1E19" w:rsidRDefault="00FD1E19" w:rsidP="00BE7E4A">
            <w:pPr>
              <w:suppressAutoHyphens/>
              <w:rPr>
                <w:rFonts w:ascii="Calibri" w:eastAsia="Calibri" w:hAnsi="Calibri" w:cs="Calibri"/>
                <w:noProof/>
                <w:color w:val="000000"/>
                <w:sz w:val="22"/>
                <w:lang w:eastAsia="ar-SA"/>
              </w:rPr>
            </w:pPr>
          </w:p>
        </w:tc>
        <w:tc>
          <w:tcPr>
            <w:tcW w:w="1920" w:type="dxa"/>
            <w:tcBorders>
              <w:top w:val="nil"/>
              <w:left w:val="nil"/>
              <w:bottom w:val="single" w:sz="4" w:space="0" w:color="000000"/>
              <w:right w:val="nil"/>
              <w:tl2br w:val="nil"/>
              <w:tr2bl w:val="nil"/>
            </w:tcBorders>
            <w:noWrap/>
            <w:tcMar>
              <w:left w:w="0" w:type="dxa"/>
              <w:right w:w="0" w:type="dxa"/>
            </w:tcMar>
            <w:vAlign w:val="bottom"/>
          </w:tcPr>
          <w:p w14:paraId="3160CB1B" w14:textId="77777777" w:rsidR="00FD1E19" w:rsidRDefault="00FD1E19" w:rsidP="00BE7E4A">
            <w:pPr>
              <w:suppressAutoHyphens/>
              <w:rPr>
                <w:rFonts w:ascii="Calibri" w:eastAsia="Calibri" w:hAnsi="Calibri" w:cs="Calibri"/>
                <w:noProof/>
                <w:color w:val="000000"/>
                <w:sz w:val="22"/>
                <w:lang w:eastAsia="ar-SA"/>
              </w:rPr>
            </w:pPr>
          </w:p>
        </w:tc>
        <w:tc>
          <w:tcPr>
            <w:tcW w:w="1290" w:type="dxa"/>
            <w:tcBorders>
              <w:top w:val="nil"/>
              <w:left w:val="nil"/>
              <w:bottom w:val="single" w:sz="4" w:space="0" w:color="000000"/>
              <w:right w:val="nil"/>
              <w:tl2br w:val="nil"/>
              <w:tr2bl w:val="nil"/>
            </w:tcBorders>
            <w:noWrap/>
            <w:tcMar>
              <w:left w:w="0" w:type="dxa"/>
              <w:right w:w="0" w:type="dxa"/>
            </w:tcMar>
            <w:vAlign w:val="bottom"/>
          </w:tcPr>
          <w:p w14:paraId="695C88C6" w14:textId="77777777" w:rsidR="00FD1E19" w:rsidRDefault="00FD1E19" w:rsidP="00BE7E4A">
            <w:pPr>
              <w:suppressAutoHyphens/>
              <w:rPr>
                <w:rFonts w:ascii="Calibri" w:eastAsia="Calibri" w:hAnsi="Calibri" w:cs="Calibri"/>
                <w:noProof/>
                <w:color w:val="000000"/>
                <w:sz w:val="22"/>
                <w:lang w:eastAsia="ar-SA"/>
              </w:rPr>
            </w:pPr>
          </w:p>
        </w:tc>
        <w:tc>
          <w:tcPr>
            <w:tcW w:w="1590" w:type="dxa"/>
            <w:tcBorders>
              <w:top w:val="nil"/>
              <w:left w:val="nil"/>
              <w:bottom w:val="single" w:sz="4" w:space="0" w:color="000000"/>
              <w:right w:val="nil"/>
              <w:tl2br w:val="nil"/>
              <w:tr2bl w:val="nil"/>
            </w:tcBorders>
            <w:noWrap/>
            <w:tcMar>
              <w:left w:w="0" w:type="dxa"/>
              <w:right w:w="0" w:type="dxa"/>
            </w:tcMar>
            <w:vAlign w:val="bottom"/>
          </w:tcPr>
          <w:p w14:paraId="1DF7F617" w14:textId="77777777" w:rsidR="00FD1E19" w:rsidRDefault="00FD1E19" w:rsidP="00BE7E4A">
            <w:pPr>
              <w:suppressAutoHyphens/>
              <w:rPr>
                <w:rFonts w:ascii="Calibri" w:eastAsia="Calibri" w:hAnsi="Calibri" w:cs="Calibri"/>
                <w:noProof/>
                <w:color w:val="000000"/>
                <w:sz w:val="22"/>
                <w:lang w:eastAsia="ar-SA"/>
              </w:rPr>
            </w:pPr>
          </w:p>
        </w:tc>
        <w:tc>
          <w:tcPr>
            <w:tcW w:w="1350" w:type="dxa"/>
            <w:tcBorders>
              <w:top w:val="nil"/>
              <w:left w:val="nil"/>
              <w:bottom w:val="single" w:sz="4" w:space="0" w:color="000000"/>
              <w:right w:val="nil"/>
              <w:tl2br w:val="nil"/>
              <w:tr2bl w:val="nil"/>
            </w:tcBorders>
            <w:noWrap/>
            <w:tcMar>
              <w:left w:w="0" w:type="dxa"/>
              <w:right w:w="0" w:type="dxa"/>
            </w:tcMar>
            <w:vAlign w:val="bottom"/>
          </w:tcPr>
          <w:p w14:paraId="4CA881E2" w14:textId="77777777" w:rsidR="00FD1E19" w:rsidRDefault="00FD1E19" w:rsidP="00BE7E4A">
            <w:pPr>
              <w:suppressAutoHyphens/>
              <w:rPr>
                <w:rFonts w:ascii="Calibri" w:eastAsia="Calibri" w:hAnsi="Calibri" w:cs="Calibri"/>
                <w:noProof/>
                <w:color w:val="000000"/>
                <w:sz w:val="22"/>
                <w:lang w:eastAsia="ar-SA"/>
              </w:rPr>
            </w:pPr>
          </w:p>
        </w:tc>
        <w:tc>
          <w:tcPr>
            <w:tcW w:w="1290" w:type="dxa"/>
            <w:tcBorders>
              <w:top w:val="nil"/>
              <w:left w:val="nil"/>
              <w:bottom w:val="single" w:sz="4" w:space="0" w:color="000000"/>
              <w:right w:val="nil"/>
              <w:tl2br w:val="nil"/>
              <w:tr2bl w:val="nil"/>
            </w:tcBorders>
            <w:noWrap/>
            <w:tcMar>
              <w:left w:w="0" w:type="dxa"/>
              <w:right w:w="0" w:type="dxa"/>
            </w:tcMar>
            <w:vAlign w:val="bottom"/>
          </w:tcPr>
          <w:p w14:paraId="778B9769" w14:textId="77777777" w:rsidR="00FD1E19" w:rsidRDefault="00FD1E19" w:rsidP="00BE7E4A">
            <w:pPr>
              <w:suppressAutoHyphens/>
              <w:rPr>
                <w:rFonts w:ascii="Calibri" w:eastAsia="Calibri" w:hAnsi="Calibri" w:cs="Calibri"/>
                <w:noProof/>
                <w:color w:val="000000"/>
                <w:sz w:val="22"/>
                <w:lang w:eastAsia="ar-SA"/>
              </w:rPr>
            </w:pPr>
          </w:p>
        </w:tc>
        <w:tc>
          <w:tcPr>
            <w:tcW w:w="1470" w:type="dxa"/>
            <w:tcBorders>
              <w:top w:val="nil"/>
              <w:left w:val="nil"/>
              <w:bottom w:val="single" w:sz="4" w:space="0" w:color="000000"/>
              <w:right w:val="nil"/>
              <w:tl2br w:val="nil"/>
              <w:tr2bl w:val="nil"/>
            </w:tcBorders>
            <w:noWrap/>
            <w:tcMar>
              <w:left w:w="0" w:type="dxa"/>
              <w:right w:w="0" w:type="dxa"/>
            </w:tcMar>
            <w:vAlign w:val="bottom"/>
          </w:tcPr>
          <w:p w14:paraId="413C8EF5" w14:textId="77777777" w:rsidR="00FD1E19" w:rsidRDefault="00FD1E19" w:rsidP="00BE7E4A">
            <w:pPr>
              <w:suppressAutoHyphens/>
              <w:rPr>
                <w:rFonts w:ascii="Calibri" w:eastAsia="Calibri" w:hAnsi="Calibri" w:cs="Calibri"/>
                <w:noProof/>
                <w:color w:val="000000"/>
                <w:sz w:val="22"/>
                <w:lang w:eastAsia="ar-SA"/>
              </w:rPr>
            </w:pPr>
          </w:p>
        </w:tc>
      </w:tr>
      <w:tr w:rsidR="00FD1E19" w14:paraId="1B63B521"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0"/>
        </w:trPr>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14:paraId="33BFA2DF"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Type of IFE investment</w:t>
            </w:r>
          </w:p>
        </w:tc>
        <w:tc>
          <w:tcPr>
            <w:tcW w:w="2190" w:type="dxa"/>
            <w:tcBorders>
              <w:top w:val="single" w:sz="4" w:space="0" w:color="000000"/>
              <w:left w:val="nil"/>
              <w:bottom w:val="single" w:sz="4" w:space="0" w:color="000000"/>
              <w:right w:val="nil"/>
              <w:tl2br w:val="nil"/>
              <w:tr2bl w:val="nil"/>
            </w:tcBorders>
            <w:tcMar>
              <w:left w:w="40" w:type="dxa"/>
              <w:right w:w="40" w:type="dxa"/>
            </w:tcMar>
            <w:vAlign w:val="center"/>
          </w:tcPr>
          <w:p w14:paraId="59D80B85"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Caption</w:t>
            </w:r>
          </w:p>
        </w:tc>
        <w:tc>
          <w:tcPr>
            <w:tcW w:w="1920" w:type="dxa"/>
            <w:tcBorders>
              <w:top w:val="single" w:sz="4" w:space="0" w:color="000000"/>
              <w:left w:val="nil"/>
              <w:bottom w:val="single" w:sz="4" w:space="0" w:color="000000"/>
              <w:right w:val="nil"/>
              <w:tl2br w:val="nil"/>
              <w:tr2bl w:val="nil"/>
            </w:tcBorders>
            <w:tcMar>
              <w:left w:w="40" w:type="dxa"/>
              <w:right w:w="40" w:type="dxa"/>
            </w:tcMar>
            <w:vAlign w:val="center"/>
          </w:tcPr>
          <w:p w14:paraId="503EC43C"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Measurement</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14:paraId="12FB0040"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Gross carrying amount as at 31.12.2024</w:t>
            </w:r>
          </w:p>
        </w:tc>
        <w:tc>
          <w:tcPr>
            <w:tcW w:w="1590" w:type="dxa"/>
            <w:tcBorders>
              <w:top w:val="single" w:sz="4" w:space="0" w:color="000000"/>
              <w:left w:val="nil"/>
              <w:bottom w:val="single" w:sz="4" w:space="0" w:color="000000"/>
              <w:right w:val="nil"/>
              <w:tl2br w:val="nil"/>
              <w:tr2bl w:val="nil"/>
            </w:tcBorders>
            <w:tcMar>
              <w:left w:w="40" w:type="dxa"/>
              <w:right w:w="40" w:type="dxa"/>
            </w:tcMar>
            <w:vAlign w:val="center"/>
          </w:tcPr>
          <w:p w14:paraId="4245518B"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Loss allowance/FV adj. amount as at  31.12.2024</w:t>
            </w:r>
          </w:p>
        </w:tc>
        <w:tc>
          <w:tcPr>
            <w:tcW w:w="1350" w:type="dxa"/>
            <w:tcBorders>
              <w:top w:val="single" w:sz="4" w:space="0" w:color="000000"/>
              <w:left w:val="nil"/>
              <w:bottom w:val="single" w:sz="4" w:space="0" w:color="000000"/>
              <w:right w:val="nil"/>
              <w:tl2br w:val="nil"/>
              <w:tr2bl w:val="nil"/>
            </w:tcBorders>
            <w:tcMar>
              <w:left w:w="40" w:type="dxa"/>
              <w:right w:w="40" w:type="dxa"/>
            </w:tcMar>
            <w:vAlign w:val="center"/>
          </w:tcPr>
          <w:p w14:paraId="78562778"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Carrying amount as at 31.12.2024</w:t>
            </w:r>
          </w:p>
        </w:tc>
        <w:tc>
          <w:tcPr>
            <w:tcW w:w="1290" w:type="dxa"/>
            <w:tcBorders>
              <w:top w:val="single" w:sz="4" w:space="0" w:color="000000"/>
              <w:left w:val="nil"/>
              <w:bottom w:val="single" w:sz="4" w:space="0" w:color="000000"/>
              <w:right w:val="nil"/>
              <w:tl2br w:val="nil"/>
              <w:tr2bl w:val="nil"/>
            </w:tcBorders>
            <w:tcMar>
              <w:left w:w="40" w:type="dxa"/>
              <w:right w:w="40" w:type="dxa"/>
            </w:tcMar>
            <w:vAlign w:val="center"/>
          </w:tcPr>
          <w:p w14:paraId="1C352EF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Undisbursed amount as at 31.12.2024</w:t>
            </w:r>
          </w:p>
        </w:tc>
        <w:tc>
          <w:tcPr>
            <w:tcW w:w="1470" w:type="dxa"/>
            <w:tcBorders>
              <w:top w:val="single" w:sz="4" w:space="0" w:color="000000"/>
              <w:left w:val="nil"/>
              <w:bottom w:val="single" w:sz="4" w:space="0" w:color="000000"/>
              <w:right w:val="nil"/>
              <w:tl2br w:val="nil"/>
              <w:tr2bl w:val="nil"/>
            </w:tcBorders>
            <w:tcMar>
              <w:left w:w="40" w:type="dxa"/>
              <w:right w:w="40" w:type="dxa"/>
            </w:tcMar>
            <w:vAlign w:val="center"/>
          </w:tcPr>
          <w:p w14:paraId="3F5783AF"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OFF BS ECL adj. amount as at 31.12.2024</w:t>
            </w:r>
          </w:p>
        </w:tc>
      </w:tr>
      <w:tr w:rsidR="00FD1E19" w14:paraId="7768A183"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20"/>
        </w:trPr>
        <w:tc>
          <w:tcPr>
            <w:tcW w:w="2190" w:type="dxa"/>
            <w:tcBorders>
              <w:top w:val="single" w:sz="4" w:space="0" w:color="000000"/>
              <w:left w:val="nil"/>
              <w:bottom w:val="nil"/>
              <w:right w:val="nil"/>
              <w:tl2br w:val="nil"/>
              <w:tr2bl w:val="nil"/>
            </w:tcBorders>
            <w:tcMar>
              <w:left w:w="40" w:type="dxa"/>
              <w:right w:w="40" w:type="dxa"/>
            </w:tcMar>
            <w:vAlign w:val="center"/>
          </w:tcPr>
          <w:p w14:paraId="5B2883AF"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Loans to financial intermediaries</w:t>
            </w:r>
          </w:p>
        </w:tc>
        <w:tc>
          <w:tcPr>
            <w:tcW w:w="2190" w:type="dxa"/>
            <w:tcBorders>
              <w:top w:val="single" w:sz="4" w:space="0" w:color="000000"/>
              <w:left w:val="nil"/>
              <w:bottom w:val="nil"/>
              <w:right w:val="nil"/>
              <w:tl2br w:val="nil"/>
              <w:tr2bl w:val="nil"/>
            </w:tcBorders>
            <w:tcMar>
              <w:left w:w="40" w:type="dxa"/>
              <w:right w:w="40" w:type="dxa"/>
            </w:tcMar>
            <w:vAlign w:val="center"/>
          </w:tcPr>
          <w:p w14:paraId="3C50C27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Loans and advances </w:t>
            </w:r>
          </w:p>
        </w:tc>
        <w:tc>
          <w:tcPr>
            <w:tcW w:w="1920" w:type="dxa"/>
            <w:tcBorders>
              <w:top w:val="single" w:sz="4" w:space="0" w:color="000000"/>
              <w:left w:val="nil"/>
              <w:bottom w:val="nil"/>
              <w:right w:val="nil"/>
              <w:tl2br w:val="nil"/>
              <w:tr2bl w:val="nil"/>
            </w:tcBorders>
            <w:tcMar>
              <w:left w:w="40" w:type="dxa"/>
              <w:right w:w="40" w:type="dxa"/>
            </w:tcMar>
            <w:vAlign w:val="center"/>
          </w:tcPr>
          <w:p w14:paraId="01412CA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AC</w:t>
            </w:r>
          </w:p>
        </w:tc>
        <w:tc>
          <w:tcPr>
            <w:tcW w:w="1290" w:type="dxa"/>
            <w:tcBorders>
              <w:top w:val="single" w:sz="4" w:space="0" w:color="000000"/>
              <w:left w:val="nil"/>
              <w:bottom w:val="nil"/>
              <w:right w:val="nil"/>
              <w:tl2br w:val="nil"/>
              <w:tr2bl w:val="nil"/>
            </w:tcBorders>
            <w:tcMar>
              <w:left w:w="40" w:type="dxa"/>
              <w:right w:w="40" w:type="dxa"/>
            </w:tcMar>
            <w:vAlign w:val="center"/>
          </w:tcPr>
          <w:p w14:paraId="3C5B630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59,209</w:t>
            </w:r>
          </w:p>
        </w:tc>
        <w:tc>
          <w:tcPr>
            <w:tcW w:w="1590" w:type="dxa"/>
            <w:tcBorders>
              <w:top w:val="single" w:sz="4" w:space="0" w:color="000000"/>
              <w:left w:val="nil"/>
              <w:bottom w:val="nil"/>
              <w:right w:val="nil"/>
              <w:tl2br w:val="nil"/>
              <w:tr2bl w:val="nil"/>
            </w:tcBorders>
            <w:tcMar>
              <w:left w:w="40" w:type="dxa"/>
              <w:right w:w="40" w:type="dxa"/>
            </w:tcMar>
            <w:vAlign w:val="center"/>
          </w:tcPr>
          <w:p w14:paraId="18F1F0C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50" w:type="dxa"/>
            <w:tcBorders>
              <w:top w:val="single" w:sz="4" w:space="0" w:color="000000"/>
              <w:left w:val="nil"/>
              <w:bottom w:val="nil"/>
              <w:right w:val="nil"/>
              <w:tl2br w:val="nil"/>
              <w:tr2bl w:val="nil"/>
            </w:tcBorders>
            <w:tcMar>
              <w:left w:w="40" w:type="dxa"/>
              <w:right w:w="40" w:type="dxa"/>
            </w:tcMar>
            <w:vAlign w:val="center"/>
          </w:tcPr>
          <w:p w14:paraId="14AE2E2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59,209</w:t>
            </w:r>
          </w:p>
        </w:tc>
        <w:tc>
          <w:tcPr>
            <w:tcW w:w="1290" w:type="dxa"/>
            <w:tcBorders>
              <w:top w:val="single" w:sz="4" w:space="0" w:color="000000"/>
              <w:left w:val="nil"/>
              <w:bottom w:val="nil"/>
              <w:right w:val="nil"/>
              <w:tl2br w:val="nil"/>
              <w:tr2bl w:val="nil"/>
            </w:tcBorders>
            <w:tcMar>
              <w:left w:w="40" w:type="dxa"/>
              <w:right w:w="40" w:type="dxa"/>
            </w:tcMar>
            <w:vAlign w:val="center"/>
          </w:tcPr>
          <w:p w14:paraId="792D42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5,000</w:t>
            </w:r>
          </w:p>
        </w:tc>
        <w:tc>
          <w:tcPr>
            <w:tcW w:w="1470" w:type="dxa"/>
            <w:tcBorders>
              <w:top w:val="single" w:sz="4" w:space="0" w:color="000000"/>
              <w:left w:val="nil"/>
              <w:bottom w:val="nil"/>
              <w:right w:val="nil"/>
              <w:tl2br w:val="nil"/>
              <w:tr2bl w:val="nil"/>
            </w:tcBorders>
            <w:tcMar>
              <w:left w:w="40" w:type="dxa"/>
              <w:right w:w="40" w:type="dxa"/>
            </w:tcMar>
            <w:vAlign w:val="center"/>
          </w:tcPr>
          <w:p w14:paraId="58560773"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-225</w:t>
            </w:r>
          </w:p>
        </w:tc>
      </w:tr>
      <w:tr w:rsidR="00FD1E19" w14:paraId="6A5C711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nil"/>
              <w:right w:val="nil"/>
              <w:tl2br w:val="nil"/>
              <w:tr2bl w:val="nil"/>
            </w:tcBorders>
            <w:tcMar>
              <w:left w:w="40" w:type="dxa"/>
              <w:right w:w="40" w:type="dxa"/>
            </w:tcMar>
            <w:vAlign w:val="center"/>
          </w:tcPr>
          <w:p w14:paraId="04091D86"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Direct loan operations</w:t>
            </w:r>
          </w:p>
        </w:tc>
        <w:tc>
          <w:tcPr>
            <w:tcW w:w="2190" w:type="dxa"/>
            <w:tcBorders>
              <w:top w:val="nil"/>
              <w:left w:val="nil"/>
              <w:bottom w:val="nil"/>
              <w:right w:val="nil"/>
              <w:tl2br w:val="nil"/>
              <w:tr2bl w:val="nil"/>
            </w:tcBorders>
            <w:tcMar>
              <w:left w:w="40" w:type="dxa"/>
              <w:right w:w="40" w:type="dxa"/>
            </w:tcMar>
            <w:vAlign w:val="center"/>
          </w:tcPr>
          <w:p w14:paraId="6CBE45C4"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 xml:space="preserve">Loans and advances </w:t>
            </w:r>
          </w:p>
        </w:tc>
        <w:tc>
          <w:tcPr>
            <w:tcW w:w="1920" w:type="dxa"/>
            <w:tcBorders>
              <w:top w:val="nil"/>
              <w:left w:val="nil"/>
              <w:bottom w:val="nil"/>
              <w:right w:val="nil"/>
              <w:tl2br w:val="nil"/>
              <w:tr2bl w:val="nil"/>
            </w:tcBorders>
            <w:tcMar>
              <w:left w:w="40" w:type="dxa"/>
              <w:right w:w="40" w:type="dxa"/>
            </w:tcMar>
            <w:vAlign w:val="center"/>
          </w:tcPr>
          <w:p w14:paraId="5A8750DC"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FVTPL</w:t>
            </w:r>
          </w:p>
        </w:tc>
        <w:tc>
          <w:tcPr>
            <w:tcW w:w="1290" w:type="dxa"/>
            <w:tcBorders>
              <w:top w:val="nil"/>
              <w:left w:val="nil"/>
              <w:bottom w:val="nil"/>
              <w:right w:val="nil"/>
              <w:tl2br w:val="nil"/>
              <w:tr2bl w:val="nil"/>
            </w:tcBorders>
            <w:tcMar>
              <w:left w:w="40" w:type="dxa"/>
              <w:right w:w="40" w:type="dxa"/>
            </w:tcMar>
            <w:vAlign w:val="center"/>
          </w:tcPr>
          <w:p w14:paraId="1435EE0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158,880</w:t>
            </w:r>
          </w:p>
        </w:tc>
        <w:tc>
          <w:tcPr>
            <w:tcW w:w="1590" w:type="dxa"/>
            <w:tcBorders>
              <w:top w:val="nil"/>
              <w:left w:val="nil"/>
              <w:bottom w:val="nil"/>
              <w:right w:val="nil"/>
              <w:tl2br w:val="nil"/>
              <w:tr2bl w:val="nil"/>
            </w:tcBorders>
            <w:tcMar>
              <w:left w:w="40" w:type="dxa"/>
              <w:right w:w="40" w:type="dxa"/>
            </w:tcMar>
            <w:vAlign w:val="center"/>
          </w:tcPr>
          <w:p w14:paraId="73FA324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c>
          <w:tcPr>
            <w:tcW w:w="1350" w:type="dxa"/>
            <w:tcBorders>
              <w:top w:val="nil"/>
              <w:left w:val="nil"/>
              <w:bottom w:val="nil"/>
              <w:right w:val="nil"/>
              <w:tl2br w:val="nil"/>
              <w:tr2bl w:val="nil"/>
            </w:tcBorders>
            <w:tcMar>
              <w:left w:w="40" w:type="dxa"/>
              <w:right w:w="40" w:type="dxa"/>
            </w:tcMar>
            <w:vAlign w:val="center"/>
          </w:tcPr>
          <w:p w14:paraId="60689C0C"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158,880</w:t>
            </w:r>
          </w:p>
        </w:tc>
        <w:tc>
          <w:tcPr>
            <w:tcW w:w="1290" w:type="dxa"/>
            <w:tcBorders>
              <w:top w:val="nil"/>
              <w:left w:val="nil"/>
              <w:bottom w:val="nil"/>
              <w:right w:val="nil"/>
              <w:tl2br w:val="nil"/>
              <w:tr2bl w:val="nil"/>
            </w:tcBorders>
            <w:tcMar>
              <w:left w:w="40" w:type="dxa"/>
              <w:right w:w="40" w:type="dxa"/>
            </w:tcMar>
            <w:vAlign w:val="center"/>
          </w:tcPr>
          <w:p w14:paraId="28375DBD"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56,669</w:t>
            </w:r>
          </w:p>
        </w:tc>
        <w:tc>
          <w:tcPr>
            <w:tcW w:w="1470" w:type="dxa"/>
            <w:tcBorders>
              <w:top w:val="nil"/>
              <w:left w:val="nil"/>
              <w:bottom w:val="nil"/>
              <w:right w:val="nil"/>
              <w:tl2br w:val="nil"/>
              <w:tr2bl w:val="nil"/>
            </w:tcBorders>
            <w:tcMar>
              <w:left w:w="40" w:type="dxa"/>
              <w:right w:w="40" w:type="dxa"/>
            </w:tcMar>
            <w:vAlign w:val="center"/>
          </w:tcPr>
          <w:p w14:paraId="6F13EC4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5E026EE4"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190" w:type="dxa"/>
            <w:tcBorders>
              <w:top w:val="nil"/>
              <w:left w:val="nil"/>
              <w:bottom w:val="nil"/>
              <w:right w:val="nil"/>
              <w:tl2br w:val="nil"/>
              <w:tr2bl w:val="nil"/>
            </w:tcBorders>
            <w:tcMar>
              <w:left w:w="40" w:type="dxa"/>
              <w:right w:w="40" w:type="dxa"/>
            </w:tcMar>
            <w:vAlign w:val="center"/>
          </w:tcPr>
          <w:p w14:paraId="776AEDE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Social impact equity funds</w:t>
            </w:r>
          </w:p>
        </w:tc>
        <w:tc>
          <w:tcPr>
            <w:tcW w:w="2190" w:type="dxa"/>
            <w:tcBorders>
              <w:top w:val="nil"/>
              <w:left w:val="nil"/>
              <w:bottom w:val="nil"/>
              <w:right w:val="nil"/>
              <w:tl2br w:val="nil"/>
              <w:tr2bl w:val="nil"/>
            </w:tcBorders>
            <w:tcMar>
              <w:left w:w="40" w:type="dxa"/>
              <w:right w:w="40" w:type="dxa"/>
            </w:tcMar>
            <w:vAlign w:val="center"/>
          </w:tcPr>
          <w:p w14:paraId="5C355E07"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920" w:type="dxa"/>
            <w:tcBorders>
              <w:top w:val="nil"/>
              <w:left w:val="nil"/>
              <w:bottom w:val="nil"/>
              <w:right w:val="nil"/>
              <w:tl2br w:val="nil"/>
              <w:tr2bl w:val="nil"/>
            </w:tcBorders>
            <w:tcMar>
              <w:left w:w="40" w:type="dxa"/>
              <w:right w:w="40" w:type="dxa"/>
            </w:tcMar>
            <w:vAlign w:val="center"/>
          </w:tcPr>
          <w:p w14:paraId="06652BDB"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FVTPL</w:t>
            </w:r>
          </w:p>
        </w:tc>
        <w:tc>
          <w:tcPr>
            <w:tcW w:w="1290" w:type="dxa"/>
            <w:tcBorders>
              <w:top w:val="nil"/>
              <w:left w:val="nil"/>
              <w:bottom w:val="nil"/>
              <w:right w:val="nil"/>
              <w:tl2br w:val="nil"/>
              <w:tr2bl w:val="nil"/>
            </w:tcBorders>
            <w:tcMar>
              <w:left w:w="40" w:type="dxa"/>
              <w:right w:w="40" w:type="dxa"/>
            </w:tcMar>
            <w:vAlign w:val="center"/>
          </w:tcPr>
          <w:p w14:paraId="725026F4"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134,595</w:t>
            </w:r>
          </w:p>
        </w:tc>
        <w:tc>
          <w:tcPr>
            <w:tcW w:w="1590" w:type="dxa"/>
            <w:tcBorders>
              <w:top w:val="nil"/>
              <w:left w:val="nil"/>
              <w:bottom w:val="nil"/>
              <w:right w:val="nil"/>
              <w:tl2br w:val="nil"/>
              <w:tr2bl w:val="nil"/>
            </w:tcBorders>
            <w:tcMar>
              <w:left w:w="40" w:type="dxa"/>
              <w:right w:w="40" w:type="dxa"/>
            </w:tcMar>
            <w:vAlign w:val="center"/>
          </w:tcPr>
          <w:p w14:paraId="07F359E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-1,559</w:t>
            </w:r>
          </w:p>
        </w:tc>
        <w:tc>
          <w:tcPr>
            <w:tcW w:w="1350" w:type="dxa"/>
            <w:tcBorders>
              <w:top w:val="nil"/>
              <w:left w:val="nil"/>
              <w:bottom w:val="nil"/>
              <w:right w:val="nil"/>
              <w:tl2br w:val="nil"/>
              <w:tr2bl w:val="nil"/>
            </w:tcBorders>
            <w:tcMar>
              <w:left w:w="40" w:type="dxa"/>
              <w:right w:w="40" w:type="dxa"/>
            </w:tcMar>
            <w:vAlign w:val="center"/>
          </w:tcPr>
          <w:p w14:paraId="1DCC9EC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133,036</w:t>
            </w:r>
          </w:p>
        </w:tc>
        <w:tc>
          <w:tcPr>
            <w:tcW w:w="1290" w:type="dxa"/>
            <w:tcBorders>
              <w:top w:val="nil"/>
              <w:left w:val="nil"/>
              <w:bottom w:val="nil"/>
              <w:right w:val="nil"/>
              <w:tl2br w:val="nil"/>
              <w:tr2bl w:val="nil"/>
            </w:tcBorders>
            <w:tcMar>
              <w:left w:w="40" w:type="dxa"/>
              <w:right w:w="40" w:type="dxa"/>
            </w:tcMar>
            <w:vAlign w:val="center"/>
          </w:tcPr>
          <w:p w14:paraId="4DF30F8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34,686</w:t>
            </w:r>
          </w:p>
        </w:tc>
        <w:tc>
          <w:tcPr>
            <w:tcW w:w="1470" w:type="dxa"/>
            <w:tcBorders>
              <w:top w:val="nil"/>
              <w:left w:val="nil"/>
              <w:bottom w:val="nil"/>
              <w:right w:val="nil"/>
              <w:tl2br w:val="nil"/>
              <w:tr2bl w:val="nil"/>
            </w:tcBorders>
            <w:tcMar>
              <w:left w:w="40" w:type="dxa"/>
              <w:right w:w="40" w:type="dxa"/>
            </w:tcMar>
            <w:vAlign w:val="center"/>
          </w:tcPr>
          <w:p w14:paraId="00A8925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45243FAE"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0"/>
        </w:trPr>
        <w:tc>
          <w:tcPr>
            <w:tcW w:w="2190" w:type="dxa"/>
            <w:tcBorders>
              <w:top w:val="nil"/>
              <w:left w:val="nil"/>
              <w:bottom w:val="nil"/>
              <w:right w:val="nil"/>
              <w:tl2br w:val="nil"/>
              <w:tr2bl w:val="nil"/>
            </w:tcBorders>
            <w:tcMar>
              <w:left w:w="40" w:type="dxa"/>
              <w:right w:w="40" w:type="dxa"/>
            </w:tcMar>
            <w:vAlign w:val="center"/>
          </w:tcPr>
          <w:p w14:paraId="1E64FA8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Direct equity participations</w:t>
            </w:r>
          </w:p>
        </w:tc>
        <w:tc>
          <w:tcPr>
            <w:tcW w:w="2190" w:type="dxa"/>
            <w:tcBorders>
              <w:top w:val="nil"/>
              <w:left w:val="nil"/>
              <w:bottom w:val="nil"/>
              <w:right w:val="nil"/>
              <w:tl2br w:val="nil"/>
              <w:tr2bl w:val="nil"/>
            </w:tcBorders>
            <w:tcMar>
              <w:left w:w="40" w:type="dxa"/>
              <w:right w:w="40" w:type="dxa"/>
            </w:tcMar>
            <w:vAlign w:val="center"/>
          </w:tcPr>
          <w:p w14:paraId="22EB8F85"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Shares and other variable yield securities</w:t>
            </w:r>
          </w:p>
        </w:tc>
        <w:tc>
          <w:tcPr>
            <w:tcW w:w="1920" w:type="dxa"/>
            <w:tcBorders>
              <w:top w:val="nil"/>
              <w:left w:val="nil"/>
              <w:bottom w:val="nil"/>
              <w:right w:val="nil"/>
              <w:tl2br w:val="nil"/>
              <w:tr2bl w:val="nil"/>
            </w:tcBorders>
            <w:tcMar>
              <w:left w:w="40" w:type="dxa"/>
              <w:right w:w="40" w:type="dxa"/>
            </w:tcMar>
            <w:vAlign w:val="center"/>
          </w:tcPr>
          <w:p w14:paraId="41ED9491" w14:textId="77777777" w:rsidR="00FD1E19" w:rsidRDefault="00FD1E19" w:rsidP="00BE7E4A">
            <w:pPr>
              <w:suppressAutoHyphens/>
              <w:rPr>
                <w:rFonts w:ascii="Arial" w:eastAsia="Arial" w:hAnsi="Arial" w:cs="Arial"/>
                <w:noProof/>
                <w:color w:val="000000"/>
                <w:sz w:val="16"/>
                <w:lang w:eastAsia="ar-SA"/>
              </w:rPr>
            </w:pPr>
            <w:r>
              <w:rPr>
                <w:rFonts w:ascii="Arial" w:eastAsia="Arial" w:hAnsi="Arial" w:cs="Arial"/>
                <w:noProof/>
                <w:color w:val="000000"/>
                <w:sz w:val="16"/>
                <w:lang w:eastAsia="ar-SA"/>
              </w:rPr>
              <w:t>FVTPL</w:t>
            </w:r>
          </w:p>
        </w:tc>
        <w:tc>
          <w:tcPr>
            <w:tcW w:w="1290" w:type="dxa"/>
            <w:tcBorders>
              <w:top w:val="nil"/>
              <w:left w:val="nil"/>
              <w:bottom w:val="nil"/>
              <w:right w:val="nil"/>
              <w:tl2br w:val="nil"/>
              <w:tr2bl w:val="nil"/>
            </w:tcBorders>
            <w:tcMar>
              <w:left w:w="40" w:type="dxa"/>
              <w:right w:w="40" w:type="dxa"/>
            </w:tcMar>
            <w:vAlign w:val="center"/>
          </w:tcPr>
          <w:p w14:paraId="526961CE"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59,843</w:t>
            </w:r>
          </w:p>
        </w:tc>
        <w:tc>
          <w:tcPr>
            <w:tcW w:w="1590" w:type="dxa"/>
            <w:tcBorders>
              <w:top w:val="nil"/>
              <w:left w:val="nil"/>
              <w:bottom w:val="nil"/>
              <w:right w:val="nil"/>
              <w:tl2br w:val="nil"/>
              <w:tr2bl w:val="nil"/>
            </w:tcBorders>
            <w:tcMar>
              <w:left w:w="40" w:type="dxa"/>
              <w:right w:w="40" w:type="dxa"/>
            </w:tcMar>
            <w:vAlign w:val="center"/>
          </w:tcPr>
          <w:p w14:paraId="2FDA0197"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61,686</w:t>
            </w:r>
          </w:p>
        </w:tc>
        <w:tc>
          <w:tcPr>
            <w:tcW w:w="1350" w:type="dxa"/>
            <w:tcBorders>
              <w:top w:val="nil"/>
              <w:left w:val="nil"/>
              <w:bottom w:val="nil"/>
              <w:right w:val="nil"/>
              <w:tl2br w:val="nil"/>
              <w:tr2bl w:val="nil"/>
            </w:tcBorders>
            <w:tcMar>
              <w:left w:w="40" w:type="dxa"/>
              <w:right w:w="40" w:type="dxa"/>
            </w:tcMar>
            <w:vAlign w:val="center"/>
          </w:tcPr>
          <w:p w14:paraId="597BCAF5"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121,529</w:t>
            </w:r>
          </w:p>
        </w:tc>
        <w:tc>
          <w:tcPr>
            <w:tcW w:w="1290" w:type="dxa"/>
            <w:tcBorders>
              <w:top w:val="nil"/>
              <w:left w:val="nil"/>
              <w:bottom w:val="nil"/>
              <w:right w:val="nil"/>
              <w:tl2br w:val="nil"/>
              <w:tr2bl w:val="nil"/>
            </w:tcBorders>
            <w:tcMar>
              <w:left w:w="40" w:type="dxa"/>
              <w:right w:w="40" w:type="dxa"/>
            </w:tcMar>
            <w:vAlign w:val="center"/>
          </w:tcPr>
          <w:p w14:paraId="7D25EF51"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14</w:t>
            </w:r>
          </w:p>
        </w:tc>
        <w:tc>
          <w:tcPr>
            <w:tcW w:w="1470" w:type="dxa"/>
            <w:tcBorders>
              <w:top w:val="nil"/>
              <w:left w:val="nil"/>
              <w:bottom w:val="nil"/>
              <w:right w:val="nil"/>
              <w:tl2br w:val="nil"/>
              <w:tr2bl w:val="nil"/>
            </w:tcBorders>
            <w:tcMar>
              <w:left w:w="40" w:type="dxa"/>
              <w:right w:w="40" w:type="dxa"/>
            </w:tcMar>
            <w:vAlign w:val="center"/>
          </w:tcPr>
          <w:p w14:paraId="335B0038" w14:textId="77777777" w:rsidR="00FD1E19" w:rsidRDefault="00FD1E19" w:rsidP="00BE7E4A">
            <w:pPr>
              <w:suppressAutoHyphens/>
              <w:jc w:val="right"/>
              <w:rPr>
                <w:rFonts w:ascii="Arial" w:eastAsia="Arial" w:hAnsi="Arial" w:cs="Arial"/>
                <w:noProof/>
                <w:color w:val="000000"/>
                <w:sz w:val="16"/>
                <w:lang w:eastAsia="ar-SA"/>
              </w:rPr>
            </w:pPr>
            <w:r>
              <w:rPr>
                <w:rFonts w:ascii="Arial" w:eastAsia="Arial" w:hAnsi="Arial" w:cs="Arial"/>
                <w:noProof/>
                <w:color w:val="000000"/>
                <w:sz w:val="16"/>
                <w:lang w:eastAsia="ar-SA"/>
              </w:rPr>
              <w:t>-</w:t>
            </w:r>
          </w:p>
        </w:tc>
      </w:tr>
      <w:tr w:rsidR="00FD1E19" w14:paraId="0FC6338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2190" w:type="dxa"/>
            <w:tcBorders>
              <w:top w:val="nil"/>
              <w:left w:val="nil"/>
              <w:bottom w:val="nil"/>
              <w:right w:val="nil"/>
              <w:tl2br w:val="nil"/>
              <w:tr2bl w:val="nil"/>
            </w:tcBorders>
            <w:shd w:val="clear" w:color="FFFFFF" w:fill="C1C1C1"/>
            <w:tcMar>
              <w:left w:w="40" w:type="dxa"/>
              <w:right w:w="40" w:type="dxa"/>
            </w:tcMar>
            <w:vAlign w:val="center"/>
          </w:tcPr>
          <w:p w14:paraId="1AABE02A" w14:textId="77777777" w:rsidR="00FD1E19" w:rsidRDefault="00FD1E19" w:rsidP="00BE7E4A">
            <w:pPr>
              <w:suppressAutoHyphens/>
              <w:rPr>
                <w:rFonts w:ascii="Arial" w:eastAsia="Arial" w:hAnsi="Arial" w:cs="Arial"/>
                <w:b/>
                <w:noProof/>
                <w:color w:val="000000"/>
                <w:sz w:val="16"/>
                <w:lang w:eastAsia="ar-SA"/>
              </w:rPr>
            </w:pPr>
            <w:r>
              <w:rPr>
                <w:rFonts w:ascii="Arial" w:eastAsia="Arial" w:hAnsi="Arial" w:cs="Arial"/>
                <w:b/>
                <w:noProof/>
                <w:color w:val="000000"/>
                <w:sz w:val="16"/>
                <w:lang w:eastAsia="ar-SA"/>
              </w:rPr>
              <w:t>Total</w:t>
            </w:r>
          </w:p>
        </w:tc>
        <w:tc>
          <w:tcPr>
            <w:tcW w:w="2190" w:type="dxa"/>
            <w:tcBorders>
              <w:top w:val="nil"/>
              <w:left w:val="nil"/>
              <w:bottom w:val="nil"/>
              <w:right w:val="nil"/>
              <w:tl2br w:val="nil"/>
              <w:tr2bl w:val="nil"/>
            </w:tcBorders>
            <w:shd w:val="clear" w:color="FFFFFF" w:fill="C1C1C1"/>
            <w:tcMar>
              <w:left w:w="0" w:type="dxa"/>
              <w:right w:w="0" w:type="dxa"/>
            </w:tcMar>
            <w:vAlign w:val="center"/>
          </w:tcPr>
          <w:p w14:paraId="4EC35897" w14:textId="77777777" w:rsidR="00FD1E19" w:rsidRDefault="00FD1E19" w:rsidP="00BE7E4A">
            <w:pPr>
              <w:suppressAutoHyphens/>
              <w:rPr>
                <w:rFonts w:ascii="Arial" w:eastAsia="Arial" w:hAnsi="Arial" w:cs="Arial"/>
                <w:b/>
                <w:noProof/>
                <w:color w:val="000000"/>
                <w:sz w:val="16"/>
                <w:lang w:eastAsia="ar-SA"/>
              </w:rPr>
            </w:pPr>
          </w:p>
        </w:tc>
        <w:tc>
          <w:tcPr>
            <w:tcW w:w="1920" w:type="dxa"/>
            <w:tcBorders>
              <w:top w:val="nil"/>
              <w:left w:val="nil"/>
              <w:bottom w:val="nil"/>
              <w:right w:val="nil"/>
              <w:tl2br w:val="nil"/>
              <w:tr2bl w:val="nil"/>
            </w:tcBorders>
            <w:shd w:val="clear" w:color="FFFFFF" w:fill="C1C1C1"/>
            <w:tcMar>
              <w:left w:w="0" w:type="dxa"/>
              <w:right w:w="0" w:type="dxa"/>
            </w:tcMar>
            <w:vAlign w:val="center"/>
          </w:tcPr>
          <w:p w14:paraId="372A6E93" w14:textId="77777777" w:rsidR="00FD1E19" w:rsidRDefault="00FD1E19" w:rsidP="00BE7E4A">
            <w:pPr>
              <w:suppressAutoHyphens/>
              <w:rPr>
                <w:rFonts w:ascii="Arial" w:eastAsia="Arial" w:hAnsi="Arial" w:cs="Arial"/>
                <w:b/>
                <w:noProof/>
                <w:color w:val="000000"/>
                <w:sz w:val="16"/>
                <w:lang w:eastAsia="ar-SA"/>
              </w:rPr>
            </w:pPr>
          </w:p>
        </w:tc>
        <w:tc>
          <w:tcPr>
            <w:tcW w:w="1290" w:type="dxa"/>
            <w:tcBorders>
              <w:top w:val="nil"/>
              <w:left w:val="nil"/>
              <w:bottom w:val="nil"/>
              <w:right w:val="nil"/>
              <w:tl2br w:val="nil"/>
              <w:tr2bl w:val="nil"/>
            </w:tcBorders>
            <w:shd w:val="clear" w:color="FFFFFF" w:fill="C1C1C1"/>
            <w:tcMar>
              <w:left w:w="40" w:type="dxa"/>
              <w:right w:w="40" w:type="dxa"/>
            </w:tcMar>
            <w:vAlign w:val="center"/>
          </w:tcPr>
          <w:p w14:paraId="71E0CF72"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412,527</w:t>
            </w:r>
          </w:p>
        </w:tc>
        <w:tc>
          <w:tcPr>
            <w:tcW w:w="1590" w:type="dxa"/>
            <w:tcBorders>
              <w:top w:val="nil"/>
              <w:left w:val="nil"/>
              <w:bottom w:val="nil"/>
              <w:right w:val="nil"/>
              <w:tl2br w:val="nil"/>
              <w:tr2bl w:val="nil"/>
            </w:tcBorders>
            <w:shd w:val="clear" w:color="FFFFFF" w:fill="C1C1C1"/>
            <w:tcMar>
              <w:left w:w="40" w:type="dxa"/>
              <w:right w:w="40" w:type="dxa"/>
            </w:tcMar>
            <w:vAlign w:val="center"/>
          </w:tcPr>
          <w:p w14:paraId="588344A5"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60,127</w:t>
            </w:r>
          </w:p>
        </w:tc>
        <w:tc>
          <w:tcPr>
            <w:tcW w:w="1350" w:type="dxa"/>
            <w:tcBorders>
              <w:top w:val="nil"/>
              <w:left w:val="nil"/>
              <w:bottom w:val="nil"/>
              <w:right w:val="nil"/>
              <w:tl2br w:val="nil"/>
              <w:tr2bl w:val="nil"/>
            </w:tcBorders>
            <w:shd w:val="clear" w:color="FFFFFF" w:fill="C1C1C1"/>
            <w:tcMar>
              <w:left w:w="40" w:type="dxa"/>
              <w:right w:w="40" w:type="dxa"/>
            </w:tcMar>
            <w:vAlign w:val="center"/>
          </w:tcPr>
          <w:p w14:paraId="3EED4E13"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472,654</w:t>
            </w:r>
          </w:p>
        </w:tc>
        <w:tc>
          <w:tcPr>
            <w:tcW w:w="1290" w:type="dxa"/>
            <w:tcBorders>
              <w:top w:val="nil"/>
              <w:left w:val="nil"/>
              <w:bottom w:val="nil"/>
              <w:right w:val="nil"/>
              <w:tl2br w:val="nil"/>
              <w:tr2bl w:val="nil"/>
            </w:tcBorders>
            <w:shd w:val="clear" w:color="FFFFFF" w:fill="C1C1C1"/>
            <w:tcMar>
              <w:left w:w="40" w:type="dxa"/>
              <w:right w:w="40" w:type="dxa"/>
            </w:tcMar>
            <w:vAlign w:val="center"/>
          </w:tcPr>
          <w:p w14:paraId="30D90A77"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96,369</w:t>
            </w:r>
          </w:p>
        </w:tc>
        <w:tc>
          <w:tcPr>
            <w:tcW w:w="1470" w:type="dxa"/>
            <w:tcBorders>
              <w:top w:val="nil"/>
              <w:left w:val="nil"/>
              <w:bottom w:val="nil"/>
              <w:right w:val="nil"/>
              <w:tl2br w:val="nil"/>
              <w:tr2bl w:val="nil"/>
            </w:tcBorders>
            <w:shd w:val="clear" w:color="FFFFFF" w:fill="C1C1C1"/>
            <w:tcMar>
              <w:left w:w="40" w:type="dxa"/>
              <w:right w:w="40" w:type="dxa"/>
            </w:tcMar>
            <w:vAlign w:val="center"/>
          </w:tcPr>
          <w:p w14:paraId="11734FB9" w14:textId="77777777" w:rsidR="00FD1E19" w:rsidRDefault="00FD1E19" w:rsidP="00BE7E4A">
            <w:pPr>
              <w:suppressAutoHyphens/>
              <w:jc w:val="right"/>
              <w:rPr>
                <w:rFonts w:ascii="Arial" w:eastAsia="Arial" w:hAnsi="Arial" w:cs="Arial"/>
                <w:b/>
                <w:noProof/>
                <w:color w:val="000000"/>
                <w:sz w:val="16"/>
                <w:lang w:eastAsia="ar-SA"/>
              </w:rPr>
            </w:pPr>
            <w:r>
              <w:rPr>
                <w:rFonts w:ascii="Arial" w:eastAsia="Arial" w:hAnsi="Arial" w:cs="Arial"/>
                <w:b/>
                <w:noProof/>
                <w:color w:val="000000"/>
                <w:sz w:val="16"/>
                <w:lang w:eastAsia="ar-SA"/>
              </w:rPr>
              <w:t>-225</w:t>
            </w:r>
          </w:p>
        </w:tc>
      </w:tr>
      <w:tr w:rsidR="00FD1E19" w14:paraId="02503945"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00"/>
        </w:trPr>
        <w:tc>
          <w:tcPr>
            <w:tcW w:w="7590" w:type="dxa"/>
            <w:gridSpan w:val="4"/>
            <w:tcBorders>
              <w:top w:val="nil"/>
              <w:left w:val="nil"/>
              <w:bottom w:val="nil"/>
              <w:right w:val="nil"/>
              <w:tl2br w:val="nil"/>
              <w:tr2bl w:val="nil"/>
            </w:tcBorders>
            <w:noWrap/>
            <w:tcMar>
              <w:left w:w="40" w:type="dxa"/>
              <w:right w:w="40" w:type="dxa"/>
            </w:tcMar>
            <w:vAlign w:val="center"/>
          </w:tcPr>
          <w:p w14:paraId="41B40BFA" w14:textId="77777777" w:rsidR="00FD1E19" w:rsidRDefault="00FD1E19" w:rsidP="00BE7E4A">
            <w:pPr>
              <w:suppressAutoHyphens/>
              <w:rPr>
                <w:rFonts w:ascii="Arial" w:eastAsia="Arial" w:hAnsi="Arial" w:cs="Arial"/>
                <w:noProof/>
                <w:color w:val="000000"/>
                <w:sz w:val="14"/>
                <w:lang w:eastAsia="ar-SA"/>
              </w:rPr>
            </w:pPr>
            <w:r>
              <w:rPr>
                <w:rFonts w:ascii="Arial" w:eastAsia="Arial" w:hAnsi="Arial" w:cs="Arial"/>
                <w:noProof/>
                <w:color w:val="000000"/>
                <w:sz w:val="14"/>
                <w:lang w:eastAsia="ar-SA"/>
              </w:rPr>
              <w:t xml:space="preserve">* For details, please refer to section subsequent measurement of Note 2.4.3. </w:t>
            </w:r>
          </w:p>
        </w:tc>
        <w:tc>
          <w:tcPr>
            <w:tcW w:w="1590" w:type="dxa"/>
            <w:tcBorders>
              <w:top w:val="nil"/>
              <w:left w:val="nil"/>
              <w:bottom w:val="nil"/>
              <w:right w:val="nil"/>
              <w:tl2br w:val="nil"/>
              <w:tr2bl w:val="nil"/>
            </w:tcBorders>
            <w:noWrap/>
            <w:tcMar>
              <w:left w:w="0" w:type="dxa"/>
              <w:right w:w="0" w:type="dxa"/>
            </w:tcMar>
            <w:vAlign w:val="bottom"/>
          </w:tcPr>
          <w:p w14:paraId="333C3D4E" w14:textId="77777777" w:rsidR="00FD1E19" w:rsidRDefault="00FD1E19" w:rsidP="00BE7E4A">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14:paraId="290897C1" w14:textId="77777777" w:rsidR="00FD1E19" w:rsidRDefault="00FD1E19" w:rsidP="00BE7E4A">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14:paraId="49B2865A" w14:textId="77777777" w:rsidR="00FD1E19" w:rsidRDefault="00FD1E19" w:rsidP="00BE7E4A">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14:paraId="60D91039" w14:textId="77777777" w:rsidR="00FD1E19" w:rsidRDefault="00FD1E19" w:rsidP="00BE7E4A">
            <w:pPr>
              <w:suppressAutoHyphens/>
              <w:rPr>
                <w:rFonts w:ascii="Calibri" w:eastAsia="Calibri" w:hAnsi="Calibri" w:cs="Calibri"/>
                <w:noProof/>
                <w:color w:val="000000"/>
                <w:sz w:val="22"/>
                <w:lang w:eastAsia="ar-SA"/>
              </w:rPr>
            </w:pPr>
          </w:p>
        </w:tc>
      </w:tr>
      <w:tr w:rsidR="00FD1E19" w14:paraId="4345644B"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2190" w:type="dxa"/>
            <w:tcBorders>
              <w:top w:val="nil"/>
              <w:left w:val="nil"/>
              <w:bottom w:val="nil"/>
              <w:right w:val="nil"/>
              <w:tl2br w:val="nil"/>
              <w:tr2bl w:val="nil"/>
            </w:tcBorders>
            <w:noWrap/>
            <w:tcMar>
              <w:left w:w="0" w:type="dxa"/>
              <w:right w:w="0" w:type="dxa"/>
            </w:tcMar>
            <w:vAlign w:val="center"/>
          </w:tcPr>
          <w:p w14:paraId="5AB1C862" w14:textId="77777777" w:rsidR="00FD1E19" w:rsidRDefault="00FD1E19" w:rsidP="00BE7E4A">
            <w:pPr>
              <w:suppressAutoHyphens/>
              <w:rPr>
                <w:rFonts w:ascii="Arial" w:eastAsia="Arial" w:hAnsi="Arial" w:cs="Arial"/>
                <w:noProof/>
                <w:color w:val="000000"/>
                <w:sz w:val="16"/>
                <w:lang w:eastAsia="ar-SA"/>
              </w:rPr>
            </w:pPr>
          </w:p>
        </w:tc>
        <w:tc>
          <w:tcPr>
            <w:tcW w:w="2190" w:type="dxa"/>
            <w:tcBorders>
              <w:top w:val="nil"/>
              <w:left w:val="nil"/>
              <w:bottom w:val="nil"/>
              <w:right w:val="nil"/>
              <w:tl2br w:val="nil"/>
              <w:tr2bl w:val="nil"/>
            </w:tcBorders>
            <w:noWrap/>
            <w:tcMar>
              <w:left w:w="0" w:type="dxa"/>
              <w:right w:w="0" w:type="dxa"/>
            </w:tcMar>
            <w:vAlign w:val="center"/>
          </w:tcPr>
          <w:p w14:paraId="716139E8" w14:textId="77777777" w:rsidR="00FD1E19" w:rsidRDefault="00FD1E19" w:rsidP="00BE7E4A">
            <w:pPr>
              <w:suppressAutoHyphens/>
              <w:rPr>
                <w:rFonts w:ascii="Arial" w:eastAsia="Arial" w:hAnsi="Arial" w:cs="Arial"/>
                <w:noProof/>
                <w:color w:val="000000"/>
                <w:sz w:val="16"/>
                <w:lang w:eastAsia="ar-SA"/>
              </w:rPr>
            </w:pPr>
          </w:p>
        </w:tc>
        <w:tc>
          <w:tcPr>
            <w:tcW w:w="1920" w:type="dxa"/>
            <w:tcBorders>
              <w:top w:val="nil"/>
              <w:left w:val="nil"/>
              <w:bottom w:val="nil"/>
              <w:right w:val="nil"/>
              <w:tl2br w:val="nil"/>
              <w:tr2bl w:val="nil"/>
            </w:tcBorders>
            <w:noWrap/>
            <w:tcMar>
              <w:left w:w="0" w:type="dxa"/>
              <w:right w:w="0" w:type="dxa"/>
            </w:tcMar>
            <w:vAlign w:val="center"/>
          </w:tcPr>
          <w:p w14:paraId="39F7761D" w14:textId="77777777" w:rsidR="00FD1E19" w:rsidRDefault="00FD1E19" w:rsidP="00BE7E4A">
            <w:pPr>
              <w:suppressAutoHyphens/>
              <w:rPr>
                <w:rFonts w:ascii="Arial" w:eastAsia="Arial" w:hAnsi="Arial" w:cs="Arial"/>
                <w:noProof/>
                <w:color w:val="000000"/>
                <w:sz w:val="16"/>
                <w:lang w:eastAsia="ar-SA"/>
              </w:rPr>
            </w:pPr>
          </w:p>
        </w:tc>
        <w:tc>
          <w:tcPr>
            <w:tcW w:w="1290" w:type="dxa"/>
            <w:tcBorders>
              <w:top w:val="nil"/>
              <w:left w:val="nil"/>
              <w:bottom w:val="nil"/>
              <w:right w:val="nil"/>
              <w:tl2br w:val="nil"/>
              <w:tr2bl w:val="nil"/>
            </w:tcBorders>
            <w:noWrap/>
            <w:tcMar>
              <w:left w:w="0" w:type="dxa"/>
              <w:right w:w="0" w:type="dxa"/>
            </w:tcMar>
            <w:vAlign w:val="center"/>
          </w:tcPr>
          <w:p w14:paraId="657B01B0" w14:textId="77777777" w:rsidR="00FD1E19" w:rsidRDefault="00FD1E19" w:rsidP="00BE7E4A">
            <w:pPr>
              <w:suppressAutoHyphens/>
              <w:rPr>
                <w:rFonts w:ascii="Arial" w:eastAsia="Arial" w:hAnsi="Arial" w:cs="Arial"/>
                <w:noProof/>
                <w:color w:val="000000"/>
                <w:sz w:val="16"/>
                <w:lang w:eastAsia="ar-SA"/>
              </w:rPr>
            </w:pPr>
          </w:p>
        </w:tc>
        <w:tc>
          <w:tcPr>
            <w:tcW w:w="1590" w:type="dxa"/>
            <w:tcBorders>
              <w:top w:val="nil"/>
              <w:left w:val="nil"/>
              <w:bottom w:val="nil"/>
              <w:right w:val="nil"/>
              <w:tl2br w:val="nil"/>
              <w:tr2bl w:val="nil"/>
            </w:tcBorders>
            <w:noWrap/>
            <w:tcMar>
              <w:left w:w="0" w:type="dxa"/>
              <w:right w:w="0" w:type="dxa"/>
            </w:tcMar>
            <w:vAlign w:val="bottom"/>
          </w:tcPr>
          <w:p w14:paraId="3AFC9DE5" w14:textId="77777777" w:rsidR="00FD1E19" w:rsidRDefault="00FD1E19" w:rsidP="00BE7E4A">
            <w:pPr>
              <w:suppressAutoHyphens/>
              <w:rPr>
                <w:rFonts w:ascii="Calibri" w:eastAsia="Calibri" w:hAnsi="Calibri" w:cs="Calibri"/>
                <w:noProof/>
                <w:color w:val="000000"/>
                <w:sz w:val="22"/>
                <w:lang w:eastAsia="ar-SA"/>
              </w:rPr>
            </w:pPr>
          </w:p>
        </w:tc>
        <w:tc>
          <w:tcPr>
            <w:tcW w:w="1350" w:type="dxa"/>
            <w:tcBorders>
              <w:top w:val="nil"/>
              <w:left w:val="nil"/>
              <w:bottom w:val="nil"/>
              <w:right w:val="nil"/>
              <w:tl2br w:val="nil"/>
              <w:tr2bl w:val="nil"/>
            </w:tcBorders>
            <w:noWrap/>
            <w:tcMar>
              <w:left w:w="0" w:type="dxa"/>
              <w:right w:w="0" w:type="dxa"/>
            </w:tcMar>
            <w:vAlign w:val="bottom"/>
          </w:tcPr>
          <w:p w14:paraId="084235AF" w14:textId="77777777" w:rsidR="00FD1E19" w:rsidRDefault="00FD1E19" w:rsidP="00BE7E4A">
            <w:pPr>
              <w:suppressAutoHyphens/>
              <w:rPr>
                <w:rFonts w:ascii="Calibri" w:eastAsia="Calibri" w:hAnsi="Calibri" w:cs="Calibri"/>
                <w:noProof/>
                <w:color w:val="000000"/>
                <w:sz w:val="22"/>
                <w:lang w:eastAsia="ar-SA"/>
              </w:rPr>
            </w:pPr>
          </w:p>
        </w:tc>
        <w:tc>
          <w:tcPr>
            <w:tcW w:w="1290" w:type="dxa"/>
            <w:tcBorders>
              <w:top w:val="nil"/>
              <w:left w:val="nil"/>
              <w:bottom w:val="nil"/>
              <w:right w:val="nil"/>
              <w:tl2br w:val="nil"/>
              <w:tr2bl w:val="nil"/>
            </w:tcBorders>
            <w:noWrap/>
            <w:tcMar>
              <w:left w:w="0" w:type="dxa"/>
              <w:right w:w="0" w:type="dxa"/>
            </w:tcMar>
            <w:vAlign w:val="bottom"/>
          </w:tcPr>
          <w:p w14:paraId="6F1225BB" w14:textId="77777777" w:rsidR="00FD1E19" w:rsidRDefault="00FD1E19" w:rsidP="00BE7E4A">
            <w:pPr>
              <w:suppressAutoHyphens/>
              <w:rPr>
                <w:rFonts w:ascii="Calibri" w:eastAsia="Calibri" w:hAnsi="Calibri" w:cs="Calibri"/>
                <w:noProof/>
                <w:color w:val="000000"/>
                <w:sz w:val="22"/>
                <w:lang w:eastAsia="ar-SA"/>
              </w:rPr>
            </w:pPr>
          </w:p>
        </w:tc>
        <w:tc>
          <w:tcPr>
            <w:tcW w:w="1470" w:type="dxa"/>
            <w:tcBorders>
              <w:top w:val="nil"/>
              <w:left w:val="nil"/>
              <w:bottom w:val="nil"/>
              <w:right w:val="nil"/>
              <w:tl2br w:val="nil"/>
              <w:tr2bl w:val="nil"/>
            </w:tcBorders>
            <w:noWrap/>
            <w:tcMar>
              <w:left w:w="0" w:type="dxa"/>
              <w:right w:w="0" w:type="dxa"/>
            </w:tcMar>
            <w:vAlign w:val="bottom"/>
          </w:tcPr>
          <w:p w14:paraId="263E68C0" w14:textId="77777777" w:rsidR="00FD1E19" w:rsidRDefault="00FD1E19" w:rsidP="00BE7E4A">
            <w:pPr>
              <w:suppressAutoHyphens/>
              <w:rPr>
                <w:rFonts w:ascii="Calibri" w:eastAsia="Calibri" w:hAnsi="Calibri" w:cs="Calibri"/>
                <w:noProof/>
                <w:color w:val="000000"/>
                <w:sz w:val="22"/>
                <w:lang w:eastAsia="ar-SA"/>
              </w:rPr>
            </w:pPr>
          </w:p>
        </w:tc>
      </w:tr>
      <w:tr w:rsidR="00FD1E19" w14:paraId="2D5C2A3F" w14:textId="77777777" w:rsidTr="00BE7E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72"/>
        </w:trPr>
        <w:tc>
          <w:tcPr>
            <w:tcW w:w="13290" w:type="dxa"/>
            <w:gridSpan w:val="8"/>
            <w:tcBorders>
              <w:top w:val="nil"/>
              <w:left w:val="nil"/>
              <w:bottom w:val="nil"/>
              <w:right w:val="nil"/>
              <w:tl2br w:val="nil"/>
              <w:tr2bl w:val="nil"/>
            </w:tcBorders>
            <w:tcMar>
              <w:left w:w="0" w:type="dxa"/>
              <w:right w:w="0" w:type="dxa"/>
            </w:tcMar>
            <w:vAlign w:val="center"/>
          </w:tcPr>
          <w:p w14:paraId="58256337" w14:textId="77777777" w:rsidR="00FD1E19" w:rsidRDefault="00FD1E19" w:rsidP="00BE7E4A">
            <w:pPr>
              <w:suppressAutoHyphens/>
              <w:jc w:val="both"/>
              <w:rPr>
                <w:rFonts w:ascii="Arial" w:eastAsia="Arial" w:hAnsi="Arial" w:cs="Arial"/>
                <w:noProof/>
                <w:color w:val="000000"/>
                <w:sz w:val="16"/>
                <w:lang w:eastAsia="ar-SA"/>
              </w:rPr>
            </w:pPr>
            <w:r>
              <w:rPr>
                <w:rFonts w:ascii="Arial" w:eastAsia="Arial" w:hAnsi="Arial" w:cs="Arial"/>
                <w:noProof/>
                <w:color w:val="000000"/>
                <w:sz w:val="16"/>
                <w:lang w:eastAsia="ar-SA"/>
              </w:rPr>
              <w:t xml:space="preserve">The EIB is applying the General Mandate Risk Principles to IFE direct loan operations (excluding Loans to financial intermediaries), as envisaged in the EIB’s Credit and Equity Risk Guidelines, and to monitor and report the risk associated with the IFE direct loan operations on the basis of their fair value. According to the methodology, the Bank performs a Qualitative Risk Assessment (QRA) aiming to assess the soundness of the investment rationale and plausible business viability of such operations. </w:t>
            </w:r>
          </w:p>
        </w:tc>
      </w:tr>
    </w:tbl>
    <w:p w14:paraId="43CD70A1" w14:textId="77777777" w:rsidR="00FD1E19" w:rsidRDefault="00FD1E19" w:rsidP="00FD1E19">
      <w:pPr>
        <w:suppressAutoHyphens/>
        <w:rPr>
          <w:noProof/>
          <w:lang w:eastAsia="ar-SA"/>
        </w:rPr>
        <w:sectPr w:rsidR="00FD1E19" w:rsidSect="00FD1E19">
          <w:headerReference w:type="even" r:id="rId167"/>
          <w:headerReference w:type="default" r:id="rId168"/>
          <w:footerReference w:type="even" r:id="rId169"/>
          <w:headerReference w:type="first" r:id="rId170"/>
          <w:footerReference w:type="first" r:id="rId171"/>
          <w:pgSz w:w="11906" w:h="16838" w:code="9"/>
          <w:pgMar w:top="1134" w:right="765" w:bottom="1134" w:left="765" w:header="709" w:footer="709" w:gutter="0"/>
          <w:pgBorders>
            <w:top w:val="nil"/>
            <w:left w:val="nil"/>
            <w:bottom w:val="nil"/>
            <w:right w:val="nil"/>
          </w:pgBorders>
          <w:cols w:space="720"/>
          <w:docGrid w:linePitch="360"/>
        </w:sectPr>
      </w:pPr>
    </w:p>
    <w:p w14:paraId="3B669DBD" w14:textId="77777777" w:rsidR="00FD1E19" w:rsidRPr="00E1194A" w:rsidRDefault="00FD1E19" w:rsidP="00FD1E19">
      <w:pPr>
        <w:pageBreakBefore/>
        <w:pBdr>
          <w:top w:val="nil"/>
          <w:left w:val="nil"/>
          <w:bottom w:val="nil"/>
          <w:right w:val="nil"/>
          <w:between w:val="nil"/>
          <w:bar w:val="nil"/>
        </w:pBdr>
        <w:tabs>
          <w:tab w:val="center" w:pos="4320"/>
          <w:tab w:val="right" w:pos="8640"/>
        </w:tabs>
        <w:suppressAutoHyphens/>
        <w:spacing w:before="120" w:after="120"/>
        <w:ind w:left="431" w:hanging="431"/>
        <w:jc w:val="both"/>
        <w:rPr>
          <w:rFonts w:ascii="Arial" w:eastAsia="Calibri" w:hAnsi="Arial"/>
          <w:b/>
          <w:noProof/>
          <w:sz w:val="20"/>
          <w:szCs w:val="20"/>
          <w:bdr w:val="nil"/>
          <w:lang w:eastAsia="ar-SA"/>
        </w:rPr>
      </w:pPr>
      <w:bookmarkStart w:id="341" w:name="RG_MARKER_90237"/>
      <w:bookmarkStart w:id="342" w:name="RG_MARKER_90236"/>
      <w:r w:rsidRPr="00B919AE">
        <w:rPr>
          <w:rFonts w:ascii="Arial" w:eastAsia="Calibri" w:hAnsi="Arial" w:cs="Arial"/>
          <w:b/>
          <w:noProof/>
          <w:sz w:val="20"/>
          <w:szCs w:val="20"/>
          <w:lang w:eastAsia="ar-SA"/>
        </w:rPr>
        <w:t>26</w:t>
      </w:r>
      <w:bookmarkEnd w:id="341"/>
      <w:bookmarkEnd w:id="342"/>
      <w:r>
        <w:rPr>
          <w:rFonts w:ascii="Arial" w:eastAsia="Calibri" w:hAnsi="Arial" w:cs="Arial"/>
          <w:b/>
          <w:noProof/>
          <w:sz w:val="20"/>
          <w:szCs w:val="20"/>
          <w:lang w:eastAsia="ar-SA"/>
        </w:rPr>
        <w:tab/>
      </w:r>
      <w:r w:rsidRPr="00B919AE">
        <w:rPr>
          <w:rFonts w:ascii="Arial" w:eastAsia="Calibri" w:hAnsi="Arial" w:cs="Arial"/>
          <w:b/>
          <w:noProof/>
          <w:sz w:val="20"/>
          <w:szCs w:val="20"/>
          <w:lang w:eastAsia="ar-SA"/>
        </w:rPr>
        <w:t>Related party disclosures</w:t>
      </w:r>
    </w:p>
    <w:p w14:paraId="6ABE3FE9" w14:textId="77777777" w:rsidR="00FD1E19" w:rsidRDefault="00FD1E19" w:rsidP="00FD1E19">
      <w:pPr>
        <w:pBdr>
          <w:top w:val="nil"/>
          <w:left w:val="nil"/>
          <w:bottom w:val="nil"/>
          <w:right w:val="nil"/>
          <w:between w:val="nil"/>
          <w:bar w:val="nil"/>
        </w:pBdr>
        <w:spacing w:before="60" w:after="60"/>
        <w:ind w:left="431" w:hanging="431"/>
        <w:jc w:val="both"/>
        <w:rPr>
          <w:rFonts w:ascii="Calibri" w:eastAsia="Calibri" w:hAnsi="Calibri" w:cs="Arial"/>
          <w:noProof/>
          <w:sz w:val="16"/>
          <w:szCs w:val="16"/>
          <w:bdr w:val="nil"/>
        </w:rPr>
      </w:pPr>
    </w:p>
    <w:p w14:paraId="1FA6CF33" w14:textId="77777777" w:rsidR="00FD1E19" w:rsidRPr="00B919AE" w:rsidRDefault="00FD1E19" w:rsidP="00FD1E19">
      <w:pPr>
        <w:pBdr>
          <w:top w:val="nil"/>
          <w:left w:val="nil"/>
          <w:bottom w:val="nil"/>
          <w:right w:val="nil"/>
          <w:between w:val="nil"/>
          <w:bar w:val="nil"/>
        </w:pBdr>
        <w:spacing w:before="60" w:after="60"/>
        <w:jc w:val="both"/>
        <w:rPr>
          <w:rFonts w:ascii="Arial" w:eastAsia="Calibri" w:hAnsi="Arial" w:cs="Arial"/>
          <w:noProof/>
          <w:sz w:val="16"/>
          <w:szCs w:val="16"/>
          <w:bdr w:val="nil"/>
        </w:rPr>
      </w:pPr>
      <w:r w:rsidRPr="00B919AE">
        <w:rPr>
          <w:rFonts w:ascii="Arial" w:eastAsia="Calibri" w:hAnsi="Arial" w:cs="Arial"/>
          <w:noProof/>
          <w:sz w:val="16"/>
          <w:szCs w:val="16"/>
        </w:rPr>
        <w:t>The Facility has identified EIB as a related party in the context of IAS 24, as EIB has been mandated by the EU Member States to manage the Facility in accordance with the provisions of the applicable legal framework, including the monitoring of its operations until full reimbursement and provides key management personnel services (EIB Management Committee and EIB Audit Committee). In this regard, EIB is entitled to recover its actual costs incurred for managing the Facility less income generated from standard appraisal fees directly charged by the EIB to clients of the Facility. For more details on the remuneration please refer to the Note 23.</w:t>
      </w:r>
    </w:p>
    <w:p w14:paraId="5D678D2D" w14:textId="77777777" w:rsidR="00FD1E19" w:rsidRPr="00716E95"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bookmarkStart w:id="343" w:name="RG_MARKER_90238"/>
      <w:bookmarkStart w:id="344" w:name="RG_MARKER_90239"/>
      <w:bookmarkEnd w:id="343"/>
      <w:bookmarkEnd w:id="344"/>
    </w:p>
    <w:p w14:paraId="689FD348" w14:textId="77777777" w:rsidR="00FD1E19" w:rsidRPr="003D20B0" w:rsidRDefault="00FD1E19" w:rsidP="00FD1E19">
      <w:pPr>
        <w:pBdr>
          <w:top w:val="nil"/>
          <w:left w:val="nil"/>
          <w:bottom w:val="nil"/>
          <w:right w:val="nil"/>
          <w:between w:val="nil"/>
          <w:bar w:val="nil"/>
        </w:pBdr>
        <w:tabs>
          <w:tab w:val="center" w:pos="4320"/>
          <w:tab w:val="right" w:pos="8640"/>
        </w:tabs>
        <w:suppressAutoHyphens/>
        <w:spacing w:before="120" w:after="120"/>
        <w:ind w:left="431" w:hanging="431"/>
        <w:jc w:val="both"/>
        <w:rPr>
          <w:rFonts w:ascii="Arial" w:hAnsi="Arial"/>
          <w:b/>
          <w:noProof/>
          <w:sz w:val="20"/>
          <w:bdr w:val="nil"/>
          <w:lang w:val="en-US" w:eastAsia="ar-SA"/>
        </w:rPr>
      </w:pPr>
      <w:r w:rsidRPr="00226285">
        <w:rPr>
          <w:rFonts w:ascii="Arial" w:hAnsi="Arial"/>
          <w:b/>
          <w:noProof/>
          <w:sz w:val="20"/>
          <w:lang w:val="en-US" w:eastAsia="ar-SA"/>
        </w:rPr>
        <w:t>27</w:t>
      </w:r>
      <w:r>
        <w:rPr>
          <w:rFonts w:ascii="Arial" w:hAnsi="Arial"/>
          <w:b/>
          <w:noProof/>
          <w:sz w:val="20"/>
          <w:lang w:val="en-US" w:eastAsia="ar-SA"/>
        </w:rPr>
        <w:tab/>
        <w:t>Subsequent events</w:t>
      </w:r>
    </w:p>
    <w:p w14:paraId="56796C7D" w14:textId="77777777" w:rsidR="00FD1E19" w:rsidRPr="0051237E" w:rsidRDefault="00FD1E19" w:rsidP="00FD1E19">
      <w:pPr>
        <w:pBdr>
          <w:top w:val="nil"/>
          <w:left w:val="nil"/>
          <w:bottom w:val="nil"/>
          <w:right w:val="nil"/>
          <w:between w:val="nil"/>
          <w:bar w:val="nil"/>
        </w:pBdr>
        <w:spacing w:before="60" w:after="60"/>
        <w:jc w:val="both"/>
        <w:rPr>
          <w:rFonts w:ascii="Arial" w:hAnsi="Arial"/>
          <w:noProof/>
          <w:sz w:val="16"/>
          <w:szCs w:val="16"/>
          <w:bdr w:val="nil"/>
          <w:lang w:val="en-US" w:eastAsia="ar-SA"/>
        </w:rPr>
      </w:pPr>
    </w:p>
    <w:p w14:paraId="0B43D081" w14:textId="77777777" w:rsidR="00FD1E19" w:rsidRDefault="00FD1E19" w:rsidP="00FD1E19">
      <w:pPr>
        <w:pBdr>
          <w:top w:val="nil"/>
          <w:left w:val="nil"/>
          <w:bottom w:val="nil"/>
          <w:right w:val="nil"/>
          <w:between w:val="nil"/>
          <w:bar w:val="nil"/>
        </w:pBdr>
        <w:autoSpaceDE w:val="0"/>
        <w:autoSpaceDN w:val="0"/>
        <w:spacing w:before="60" w:after="60"/>
        <w:jc w:val="both"/>
        <w:rPr>
          <w:rFonts w:ascii="Arial" w:eastAsia="Calibri" w:hAnsi="Arial" w:cs="Arial"/>
          <w:noProof/>
          <w:sz w:val="16"/>
          <w:szCs w:val="16"/>
          <w:bdr w:val="nil"/>
        </w:rPr>
      </w:pPr>
      <w:r>
        <w:rPr>
          <w:rFonts w:ascii="Arial" w:eastAsia="Calibri" w:hAnsi="Arial" w:cs="Arial"/>
          <w:noProof/>
          <w:sz w:val="16"/>
          <w:szCs w:val="16"/>
          <w:bdr w:val="none" w:sz="0" w:space="0" w:color="auto" w:frame="1"/>
        </w:rPr>
        <w:t>There have been no material events after the balance sheet date that would require adjustment of, or disclosure in, the financial statements as at 31 December 2025.</w:t>
      </w:r>
    </w:p>
    <w:p w14:paraId="43A29737" w14:textId="77777777" w:rsidR="00FD1E19" w:rsidRPr="00BD1346" w:rsidRDefault="00FD1E19" w:rsidP="00FD1E19">
      <w:pPr>
        <w:pBdr>
          <w:top w:val="nil"/>
          <w:left w:val="nil"/>
          <w:bottom w:val="nil"/>
          <w:right w:val="nil"/>
          <w:between w:val="nil"/>
          <w:bar w:val="nil"/>
        </w:pBdr>
        <w:spacing w:before="60" w:after="60"/>
        <w:jc w:val="both"/>
        <w:rPr>
          <w:rFonts w:ascii="Arial" w:hAnsi="Arial"/>
          <w:noProof/>
          <w:sz w:val="16"/>
          <w:szCs w:val="16"/>
          <w:bdr w:val="nil"/>
          <w:lang w:eastAsia="ar-SA"/>
        </w:rPr>
      </w:pPr>
    </w:p>
    <w:bookmarkEnd w:id="2"/>
    <w:bookmarkEnd w:id="194"/>
    <w:p w14:paraId="4F8FF537" w14:textId="77777777" w:rsidR="00FD1E19" w:rsidRDefault="00FD1E19" w:rsidP="00FD1E19">
      <w:pPr>
        <w:suppressAutoHyphens/>
        <w:rPr>
          <w:noProof/>
          <w:lang w:eastAsia="ar-SA"/>
        </w:rPr>
      </w:pPr>
    </w:p>
    <w:p w14:paraId="69F83B9E" w14:textId="0F45952F" w:rsidR="003C6B27" w:rsidRDefault="003C6B27">
      <w:pPr>
        <w:rPr>
          <w:noProof/>
        </w:rPr>
      </w:pPr>
    </w:p>
    <w:sectPr w:rsidR="003C6B27" w:rsidSect="00FD1E19">
      <w:headerReference w:type="even" r:id="rId172"/>
      <w:headerReference w:type="default" r:id="rId173"/>
      <w:footerReference w:type="even" r:id="rId174"/>
      <w:headerReference w:type="first" r:id="rId175"/>
      <w:footerReference w:type="first" r:id="rId176"/>
      <w:pgSz w:w="11906" w:h="16838" w:code="9"/>
      <w:pgMar w:top="765" w:right="1134" w:bottom="765" w:left="1134" w:header="709" w:footer="709" w:gutter="0"/>
      <w:pgBorders>
        <w:top w:val="nil"/>
        <w:left w:val="nil"/>
        <w:bottom w:val="nil"/>
        <w:right w:val="nil"/>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52CDD" w14:textId="77777777" w:rsidR="00FD1E19" w:rsidRDefault="00FD1E19" w:rsidP="00FD1E19">
      <w:pPr>
        <w:spacing w:after="0" w:line="240" w:lineRule="auto"/>
      </w:pPr>
      <w:r>
        <w:separator/>
      </w:r>
    </w:p>
  </w:endnote>
  <w:endnote w:type="continuationSeparator" w:id="0">
    <w:p w14:paraId="2C557E82" w14:textId="77777777" w:rsidR="00FD1E19" w:rsidRDefault="00FD1E19" w:rsidP="00FD1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Futura Lt BT">
    <w:altName w:val="Calibri"/>
    <w:charset w:val="00"/>
    <w:family w:val="swiss"/>
    <w:pitch w:val="variable"/>
    <w:sig w:usb0="00000087" w:usb1="00000000" w:usb2="00000000" w:usb3="00000000" w:csb0="0000001B" w:csb1="00000000"/>
  </w:font>
  <w:font w:name="OpenSymbol">
    <w:altName w:val="Times New Roman"/>
    <w:charset w:val="00"/>
    <w:family w:val="auto"/>
    <w:pitch w:val="default"/>
    <w:sig w:usb0="00000000" w:usb1="00000000" w:usb2="00000000" w:usb3="00000000" w:csb0="00000001" w:csb1="00000000"/>
  </w:font>
  <w:font w:name="Aptos Display">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N)">
    <w:altName w:val="Calibri"/>
    <w:panose1 w:val="00000000000000000000"/>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UI">
    <w:altName w:val="Segoe UI"/>
    <w:panose1 w:val="00000000000000000000"/>
    <w:charset w:val="00"/>
    <w:family w:val="swiss"/>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67B633" w14:textId="51254986" w:rsidR="00EE4C2D" w:rsidRPr="00EE4C2D" w:rsidRDefault="00EE4C2D" w:rsidP="00EE4C2D">
    <w:pPr>
      <w:pStyle w:val="FooterCoverPage"/>
      <w:rPr>
        <w:rFonts w:ascii="Arial" w:hAnsi="Arial" w:cs="Arial"/>
        <w:b/>
        <w:sz w:val="48"/>
      </w:rPr>
    </w:pPr>
    <w:r w:rsidRPr="00EE4C2D">
      <w:rPr>
        <w:rFonts w:ascii="Arial" w:hAnsi="Arial" w:cs="Arial"/>
        <w:b/>
        <w:sz w:val="48"/>
      </w:rPr>
      <w:t>EN</w:t>
    </w:r>
    <w:r w:rsidRPr="00EE4C2D">
      <w:rPr>
        <w:rFonts w:ascii="Arial" w:hAnsi="Arial" w:cs="Arial"/>
        <w:b/>
        <w:sz w:val="48"/>
      </w:rPr>
      <w:tab/>
    </w:r>
    <w:r w:rsidRPr="00EE4C2D">
      <w:rPr>
        <w:rFonts w:ascii="Arial" w:hAnsi="Arial" w:cs="Arial"/>
        <w:b/>
        <w:sz w:val="48"/>
      </w:rPr>
      <w:tab/>
    </w:r>
    <w:r w:rsidRPr="00EE4C2D">
      <w:tab/>
    </w:r>
    <w:r w:rsidRPr="00EE4C2D">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44B3C" w14:textId="76B759E0" w:rsidR="00EE4C2D" w:rsidRPr="00EE4C2D" w:rsidRDefault="00EE4C2D" w:rsidP="00EE4C2D">
    <w:pPr>
      <w:pStyle w:val="FooterCoverPage"/>
      <w:rPr>
        <w:rFonts w:ascii="Arial" w:hAnsi="Arial" w:cs="Arial"/>
        <w:b/>
        <w:sz w:val="48"/>
      </w:rPr>
    </w:pPr>
    <w:r w:rsidRPr="00EE4C2D">
      <w:rPr>
        <w:rFonts w:ascii="Arial" w:hAnsi="Arial" w:cs="Arial"/>
        <w:b/>
        <w:sz w:val="48"/>
      </w:rPr>
      <w:t>EN</w:t>
    </w:r>
    <w:r w:rsidRPr="00EE4C2D">
      <w:rPr>
        <w:rFonts w:ascii="Arial" w:hAnsi="Arial" w:cs="Arial"/>
        <w:b/>
        <w:sz w:val="48"/>
      </w:rPr>
      <w:tab/>
    </w:r>
    <w:r w:rsidRPr="00EE4C2D">
      <w:rPr>
        <w:rFonts w:ascii="Arial" w:hAnsi="Arial" w:cs="Arial"/>
        <w:b/>
        <w:sz w:val="48"/>
      </w:rPr>
      <w:tab/>
    </w:r>
    <w:r w:rsidRPr="00EE4C2D">
      <w:tab/>
    </w:r>
    <w:r w:rsidRPr="00EE4C2D">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D3A0A" w14:textId="77777777" w:rsidR="00EE4C2D" w:rsidRPr="00EE4C2D" w:rsidRDefault="00EE4C2D" w:rsidP="00EE4C2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356BB" w14:textId="77777777" w:rsidR="00FD1E19" w:rsidRDefault="00FD1E1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1F3ED" w14:textId="77777777" w:rsidR="00FD1E19" w:rsidRPr="000D064C" w:rsidRDefault="00EE4C2D" w:rsidP="004A7C67">
    <w:pPr>
      <w:pStyle w:val="Footer"/>
      <w:jc w:val="center"/>
      <w:rPr>
        <w:rFonts w:ascii="Verdana" w:hAnsi="Verdana"/>
        <w:b/>
        <w:color w:val="FFFFFF"/>
        <w:sz w:val="18"/>
        <w:szCs w:val="18"/>
      </w:rPr>
    </w:pPr>
    <w:r>
      <w:rPr>
        <w:noProof/>
      </w:rPr>
      <w:pict w14:anchorId="34730A84">
        <v:rect id="Rectangle 3" o:spid="_x0000_s2056" style="position:absolute;left:0;text-align:left;margin-left:280.25pt;margin-top:.35pt;width:31.75pt;height:62.6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11F780AD" w14:textId="0CEE7159"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1</w:t>
    </w:r>
    <w:r w:rsidRPr="000D064C">
      <w:rPr>
        <w:rFonts w:ascii="Verdana" w:hAnsi="Verdana"/>
        <w:b/>
        <w:noProof/>
        <w:color w:val="FFFFFF"/>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A5CBC" w14:textId="77777777" w:rsidR="00FD1E19" w:rsidRDefault="00FD1E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5D712" w14:textId="590A23CF" w:rsidR="00FD1E19" w:rsidRPr="000D064C" w:rsidRDefault="00EE4C2D" w:rsidP="004A7C67">
    <w:pPr>
      <w:pStyle w:val="Footer"/>
      <w:jc w:val="center"/>
      <w:rPr>
        <w:rFonts w:ascii="Verdana" w:hAnsi="Verdana"/>
        <w:b/>
        <w:color w:val="FFFFFF"/>
        <w:sz w:val="18"/>
        <w:szCs w:val="18"/>
      </w:rPr>
    </w:pPr>
    <w:r>
      <w:rPr>
        <w:noProof/>
      </w:rPr>
      <w:pict w14:anchorId="23A148EA">
        <v:rect id="_x0000_s2057" style="position:absolute;left:0;text-align:left;margin-left:280.25pt;margin-top:.35pt;width:31.75pt;height:62.6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7E88C50C" w14:textId="6F263AF0"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5</w:t>
    </w:r>
    <w:r w:rsidRPr="000D064C">
      <w:rPr>
        <w:rFonts w:ascii="Verdana" w:hAnsi="Verdana"/>
        <w:b/>
        <w:noProof/>
        <w:color w:val="FFFFFF"/>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FF862" w14:textId="38EFE61D" w:rsidR="00FD1E19" w:rsidRPr="000D064C" w:rsidRDefault="00EE4C2D" w:rsidP="004A7C67">
    <w:pPr>
      <w:pStyle w:val="Footer"/>
      <w:jc w:val="center"/>
      <w:rPr>
        <w:rFonts w:ascii="Verdana" w:hAnsi="Verdana"/>
        <w:b/>
        <w:color w:val="FFFFFF"/>
        <w:sz w:val="18"/>
        <w:szCs w:val="18"/>
      </w:rPr>
    </w:pPr>
    <w:r>
      <w:rPr>
        <w:noProof/>
      </w:rPr>
      <w:pict w14:anchorId="40E32C3E">
        <v:rect id="_x0000_s2058" style="position:absolute;left:0;text-align:left;margin-left:280.25pt;margin-top:.35pt;width:31.75pt;height:62.65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4208742F" w14:textId="721C830A"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6</w:t>
    </w:r>
    <w:r w:rsidRPr="000D064C">
      <w:rPr>
        <w:rFonts w:ascii="Verdana" w:hAnsi="Verdana"/>
        <w:b/>
        <w:noProof/>
        <w:color w:val="FFFFFF"/>
        <w:sz w:val="18"/>
        <w:szCs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1B72A" w14:textId="247DA9B5" w:rsidR="00FD1E19" w:rsidRPr="000D064C" w:rsidRDefault="00EE4C2D" w:rsidP="004A7C67">
    <w:pPr>
      <w:pStyle w:val="Footer"/>
      <w:jc w:val="center"/>
      <w:rPr>
        <w:rFonts w:ascii="Verdana" w:hAnsi="Verdana"/>
        <w:b/>
        <w:color w:val="FFFFFF"/>
        <w:sz w:val="18"/>
        <w:szCs w:val="18"/>
      </w:rPr>
    </w:pPr>
    <w:r>
      <w:rPr>
        <w:noProof/>
      </w:rPr>
      <w:pict w14:anchorId="49260E68">
        <v:rect id="_x0000_s2059" style="position:absolute;left:0;text-align:left;margin-left:280.25pt;margin-top:.35pt;width:31.75pt;height:62.6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151C868D" w14:textId="50C43160"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7</w:t>
    </w:r>
    <w:r w:rsidRPr="000D064C">
      <w:rPr>
        <w:rFonts w:ascii="Verdana" w:hAnsi="Verdana"/>
        <w:b/>
        <w:noProof/>
        <w:color w:val="FFFFFF"/>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3DDED" w14:textId="4DCE9FAA" w:rsidR="00FD1E19" w:rsidRPr="000D064C" w:rsidRDefault="00EE4C2D" w:rsidP="004A7C67">
    <w:pPr>
      <w:pStyle w:val="Footer"/>
      <w:jc w:val="center"/>
      <w:rPr>
        <w:rFonts w:ascii="Verdana" w:hAnsi="Verdana"/>
        <w:b/>
        <w:color w:val="FFFFFF"/>
        <w:sz w:val="18"/>
        <w:szCs w:val="18"/>
      </w:rPr>
    </w:pPr>
    <w:r>
      <w:rPr>
        <w:noProof/>
      </w:rPr>
      <w:pict w14:anchorId="40B33FD7">
        <v:rect id="_x0000_s2060" style="position:absolute;left:0;text-align:left;margin-left:280.25pt;margin-top:.35pt;width:31.75pt;height:62.65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0AF5B95F" w14:textId="23564165"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8</w:t>
    </w:r>
    <w:r w:rsidRPr="000D064C">
      <w:rPr>
        <w:rFonts w:ascii="Verdana" w:hAnsi="Verdana"/>
        <w:b/>
        <w:noProof/>
        <w:color w:val="FFFFFF"/>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30D6C4" w14:textId="5BB5587D" w:rsidR="00FD1E19" w:rsidRPr="000D064C" w:rsidRDefault="00EE4C2D" w:rsidP="004A7C67">
    <w:pPr>
      <w:pStyle w:val="Footer"/>
      <w:jc w:val="center"/>
      <w:rPr>
        <w:rFonts w:ascii="Verdana" w:hAnsi="Verdana"/>
        <w:b/>
        <w:color w:val="FFFFFF"/>
        <w:sz w:val="18"/>
        <w:szCs w:val="18"/>
      </w:rPr>
    </w:pPr>
    <w:r>
      <w:rPr>
        <w:noProof/>
      </w:rPr>
      <w:pict w14:anchorId="712DA552">
        <v:rect id="_x0000_s2061" style="position:absolute;left:0;text-align:left;margin-left:280.25pt;margin-top:.35pt;width:31.75pt;height:62.6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59ABEECC" w14:textId="65CB1445"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9</w:t>
    </w:r>
    <w:r w:rsidRPr="000D064C">
      <w:rPr>
        <w:rFonts w:ascii="Verdana" w:hAnsi="Verdana"/>
        <w:b/>
        <w:noProof/>
        <w:color w:val="FFFFFF"/>
        <w:sz w:val="18"/>
        <w:szCs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B88C4" w14:textId="51652778" w:rsidR="00FD1E19" w:rsidRPr="000D064C" w:rsidRDefault="00EE4C2D" w:rsidP="004A7C67">
    <w:pPr>
      <w:pStyle w:val="Footer"/>
      <w:jc w:val="center"/>
      <w:rPr>
        <w:rFonts w:ascii="Verdana" w:hAnsi="Verdana"/>
        <w:b/>
        <w:color w:val="FFFFFF"/>
        <w:sz w:val="18"/>
        <w:szCs w:val="18"/>
      </w:rPr>
    </w:pPr>
    <w:r>
      <w:rPr>
        <w:noProof/>
      </w:rPr>
      <w:pict w14:anchorId="23CD1D51">
        <v:rect id="_x0000_s2062" style="position:absolute;left:0;text-align:left;margin-left:280.25pt;margin-top:.35pt;width:31.75pt;height:62.65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2B8AAC95" w14:textId="068023CE"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10</w:t>
    </w:r>
    <w:r w:rsidRPr="000D064C">
      <w:rPr>
        <w:rFonts w:ascii="Verdana" w:hAnsi="Verdana"/>
        <w:b/>
        <w:noProof/>
        <w:color w:val="FFFFFF"/>
        <w:sz w:val="18"/>
        <w:szCs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3FCB8" w14:textId="133E47F1" w:rsidR="00FD1E19" w:rsidRPr="000D064C" w:rsidRDefault="00EE4C2D" w:rsidP="004A7C67">
    <w:pPr>
      <w:pStyle w:val="Footer"/>
      <w:jc w:val="center"/>
      <w:rPr>
        <w:rFonts w:ascii="Verdana" w:hAnsi="Verdana"/>
        <w:b/>
        <w:color w:val="FFFFFF"/>
        <w:sz w:val="18"/>
        <w:szCs w:val="18"/>
      </w:rPr>
    </w:pPr>
    <w:r>
      <w:rPr>
        <w:noProof/>
      </w:rPr>
      <w:pict w14:anchorId="58280D64">
        <v:rect id="_x0000_s2063" style="position:absolute;left:0;text-align:left;margin-left:280.25pt;margin-top:.35pt;width:31.75pt;height:62.65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34B2D77E" w14:textId="39C0764B"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11</w:t>
    </w:r>
    <w:r w:rsidRPr="000D064C">
      <w:rPr>
        <w:rFonts w:ascii="Verdana" w:hAnsi="Verdana"/>
        <w:b/>
        <w:noProof/>
        <w:color w:val="FFFFFF"/>
        <w:sz w:val="18"/>
        <w:szCs w:val="18"/>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8A807" w14:textId="3DDF2B0E" w:rsidR="00FD1E19" w:rsidRPr="000D064C" w:rsidRDefault="00EE4C2D" w:rsidP="004A7C67">
    <w:pPr>
      <w:pStyle w:val="Footer"/>
      <w:jc w:val="center"/>
      <w:rPr>
        <w:rFonts w:ascii="Verdana" w:hAnsi="Verdana"/>
        <w:b/>
        <w:color w:val="FFFFFF"/>
        <w:sz w:val="18"/>
        <w:szCs w:val="18"/>
      </w:rPr>
    </w:pPr>
    <w:r>
      <w:rPr>
        <w:noProof/>
      </w:rPr>
      <w:pict w14:anchorId="7B75C1DF">
        <v:rect id="_x0000_s2064" style="position:absolute;left:0;text-align:left;margin-left:280.25pt;margin-top:.35pt;width:31.75pt;height:62.65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" fillcolor="#016794" strokecolor="#385d8a" strokeweight="2pt">
          <v:textbox inset=",1.3mm"/>
          <w10:wrap anchorx="page"/>
        </v:rect>
      </w:pict>
    </w:r>
  </w:p>
  <w:p w14:paraId="1823016B" w14:textId="28604EFD"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12</w:t>
    </w:r>
    <w:r w:rsidRPr="000D064C">
      <w:rPr>
        <w:rFonts w:ascii="Verdana" w:hAnsi="Verdana"/>
        <w:b/>
        <w:noProof/>
        <w:color w:val="FFFFFF"/>
        <w:sz w:val="18"/>
        <w:szCs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58286" w14:textId="77777777" w:rsidR="00FD1E19" w:rsidRDefault="00FD1E1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DC376" w14:textId="2C120258" w:rsidR="00FD1E19" w:rsidRPr="000D064C" w:rsidRDefault="00EE4C2D" w:rsidP="004A7C67">
    <w:pPr>
      <w:pStyle w:val="Footer"/>
      <w:jc w:val="center"/>
      <w:rPr>
        <w:rFonts w:ascii="Verdana" w:hAnsi="Verdana"/>
        <w:b/>
        <w:color w:val="FFFFFF"/>
        <w:sz w:val="18"/>
        <w:szCs w:val="18"/>
      </w:rPr>
    </w:pPr>
    <w:r>
      <w:rPr>
        <w:noProof/>
      </w:rPr>
      <w:pict w14:anchorId="6BB2AE9D">
        <v:rect id="_x0000_s2065" style="position:absolute;left:0;text-align:left;margin-left:405pt;margin-top:-1.15pt;width:31.7pt;height:62.6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14:paraId="4C30616E" w14:textId="35C1EC30"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13</w:t>
    </w:r>
    <w:r w:rsidRPr="000D064C">
      <w:rPr>
        <w:rFonts w:ascii="Verdana" w:hAnsi="Verdana"/>
        <w:b/>
        <w:noProof/>
        <w:color w:val="FFFFFF"/>
        <w:sz w:val="18"/>
        <w:szCs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5B479" w14:textId="77777777" w:rsidR="00FD1E19" w:rsidRDefault="00FD1E1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62603" w14:textId="7DCE51DC" w:rsidR="00FD1E19" w:rsidRPr="000D064C" w:rsidRDefault="00EE4C2D" w:rsidP="004A7C67">
    <w:pPr>
      <w:pStyle w:val="Footer"/>
      <w:jc w:val="center"/>
      <w:rPr>
        <w:rFonts w:ascii="Verdana" w:hAnsi="Verdana"/>
        <w:b/>
        <w:color w:val="FFFFFF"/>
        <w:sz w:val="18"/>
        <w:szCs w:val="18"/>
      </w:rPr>
    </w:pPr>
    <w:r>
      <w:rPr>
        <w:noProof/>
      </w:rPr>
      <w:pict w14:anchorId="29CAB43E">
        <v:rect id="_x0000_s2066" style="position:absolute;left:0;text-align:left;margin-left:405pt;margin-top:-1.15pt;width:31.7pt;height:62.6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14:paraId="390D11A3" w14:textId="6822912D"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15</w:t>
    </w:r>
    <w:r w:rsidRPr="000D064C">
      <w:rPr>
        <w:rFonts w:ascii="Verdana" w:hAnsi="Verdana"/>
        <w:b/>
        <w:noProof/>
        <w:color w:val="FFFFFF"/>
        <w:sz w:val="18"/>
        <w:szCs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17C81" w14:textId="0CF71CC2" w:rsidR="00FD1E19" w:rsidRPr="000D064C" w:rsidRDefault="00EE4C2D" w:rsidP="004A7C67">
    <w:pPr>
      <w:pStyle w:val="Footer"/>
      <w:jc w:val="center"/>
      <w:rPr>
        <w:rFonts w:ascii="Verdana" w:hAnsi="Verdana"/>
        <w:b/>
        <w:color w:val="FFFFFF"/>
        <w:sz w:val="18"/>
        <w:szCs w:val="18"/>
      </w:rPr>
    </w:pPr>
    <w:r>
      <w:rPr>
        <w:noProof/>
      </w:rPr>
      <w:pict w14:anchorId="63E18EAA">
        <v:rect id="_x0000_s2067" style="position:absolute;left:0;text-align:left;margin-left:405pt;margin-top:-1.15pt;width:31.7pt;height:62.6pt;z-index:-25165822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14:paraId="43124531" w14:textId="7E3E9E79"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sidR="00EE4C2D">
      <w:rPr>
        <w:rFonts w:ascii="Verdana" w:hAnsi="Verdana"/>
        <w:b/>
        <w:noProof/>
        <w:color w:val="FFFFFF"/>
        <w:sz w:val="18"/>
        <w:szCs w:val="18"/>
      </w:rPr>
      <w:t>16</w:t>
    </w:r>
    <w:r w:rsidRPr="000D064C">
      <w:rPr>
        <w:rFonts w:ascii="Verdana" w:hAnsi="Verdana"/>
        <w:b/>
        <w:noProof/>
        <w:color w:val="FFFFFF"/>
        <w:sz w:val="18"/>
        <w:szCs w:val="18"/>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F1B68" w14:textId="4B707359" w:rsidR="00FD1E19" w:rsidRPr="000D064C" w:rsidRDefault="00EE4C2D" w:rsidP="004A7C67">
    <w:pPr>
      <w:pStyle w:val="Footer"/>
      <w:jc w:val="center"/>
      <w:rPr>
        <w:rFonts w:ascii="Verdana" w:hAnsi="Verdana"/>
        <w:b/>
        <w:color w:val="FFFFFF"/>
        <w:sz w:val="18"/>
        <w:szCs w:val="18"/>
      </w:rPr>
    </w:pPr>
    <w:r>
      <w:rPr>
        <w:noProof/>
      </w:rPr>
      <w:pict w14:anchorId="49705BC6">
        <v:rect id="_x0000_s2068" style="position:absolute;left:0;text-align:left;margin-left:405pt;margin-top:-1.15pt;width:31.7pt;height:62.6pt;z-index:-25165822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" fillcolor="#016794" strokecolor="#385d8a" strokeweight="2pt">
          <v:textbox inset=",1.3mm"/>
          <w10:wrap anchorx="page"/>
        </v:rect>
      </w:pict>
    </w:r>
  </w:p>
  <w:p w14:paraId="056B3B54"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FCB6B" w14:textId="77777777" w:rsidR="00FD1E19" w:rsidRDefault="00FD1E1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8F960" w14:textId="43550F26" w:rsidR="00FD1E19" w:rsidRPr="000D064C" w:rsidRDefault="00EE4C2D" w:rsidP="004A7C67">
    <w:pPr>
      <w:pStyle w:val="Footer"/>
      <w:jc w:val="center"/>
      <w:rPr>
        <w:rFonts w:ascii="Verdana" w:hAnsi="Verdana"/>
        <w:b/>
        <w:color w:val="FFFFFF"/>
        <w:sz w:val="18"/>
        <w:szCs w:val="18"/>
      </w:rPr>
    </w:pPr>
    <w:r>
      <w:rPr>
        <w:noProof/>
      </w:rPr>
      <w:pict w14:anchorId="3A47798B">
        <v:rect id="_x0000_s2069" style="position:absolute;left:0;text-align:left;margin-left:282.75pt;margin-top:-1.15pt;width:31.7pt;height:62.6pt;z-index:-25165822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14:paraId="05E39399"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15507" w14:textId="77777777" w:rsidR="00FD1E19" w:rsidRDefault="00FD1E1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C87642" w14:textId="6D05C436" w:rsidR="00FD1E19" w:rsidRPr="000D064C" w:rsidRDefault="00EE4C2D" w:rsidP="004A7C67">
    <w:pPr>
      <w:pStyle w:val="Footer"/>
      <w:jc w:val="center"/>
      <w:rPr>
        <w:rFonts w:ascii="Verdana" w:hAnsi="Verdana"/>
        <w:b/>
        <w:color w:val="FFFFFF"/>
        <w:sz w:val="18"/>
        <w:szCs w:val="18"/>
      </w:rPr>
    </w:pPr>
    <w:r>
      <w:rPr>
        <w:noProof/>
      </w:rPr>
      <w:pict w14:anchorId="40AB3FD9">
        <v:rect id="_x0000_s2070" style="position:absolute;left:0;text-align:left;margin-left:282.75pt;margin-top:-1.15pt;width:31.7pt;height:62.6pt;z-index:-2516582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14:paraId="446D9DC4"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1B048D" w14:textId="267364BF" w:rsidR="00FD1E19" w:rsidRPr="000D064C" w:rsidRDefault="00EE4C2D" w:rsidP="004A7C67">
    <w:pPr>
      <w:pStyle w:val="Footer"/>
      <w:jc w:val="center"/>
      <w:rPr>
        <w:rFonts w:ascii="Verdana" w:hAnsi="Verdana"/>
        <w:b/>
        <w:color w:val="FFFFFF"/>
        <w:sz w:val="18"/>
        <w:szCs w:val="18"/>
      </w:rPr>
    </w:pPr>
    <w:r>
      <w:rPr>
        <w:noProof/>
      </w:rPr>
      <w:pict w14:anchorId="7A20858D">
        <v:rect id="_x0000_s2071" style="position:absolute;left:0;text-align:left;margin-left:282.75pt;margin-top:-1.15pt;width:31.7pt;height:62.6pt;z-index:-25165821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14:paraId="668A719B"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6311B" w14:textId="2A798418" w:rsidR="00FD1E19" w:rsidRPr="000D064C" w:rsidRDefault="00EE4C2D" w:rsidP="004A7C67">
    <w:pPr>
      <w:pStyle w:val="Footer"/>
      <w:jc w:val="center"/>
      <w:rPr>
        <w:rFonts w:ascii="Verdana" w:hAnsi="Verdana"/>
        <w:b/>
        <w:color w:val="FFFFFF"/>
        <w:sz w:val="18"/>
        <w:szCs w:val="18"/>
      </w:rPr>
    </w:pPr>
    <w:r>
      <w:rPr>
        <w:noProof/>
      </w:rPr>
      <w:pict w14:anchorId="64C927CC">
        <v:rect id="_x0000_s2072" style="position:absolute;left:0;text-align:left;margin-left:282.75pt;margin-top:-1.15pt;width:31.7pt;height:62.6pt;z-index:-25165821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14:paraId="01B6A2C4"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5219C" w14:textId="6F1745C9" w:rsidR="00FD1E19" w:rsidRPr="000D064C" w:rsidRDefault="00EE4C2D" w:rsidP="004A7C67">
    <w:pPr>
      <w:pStyle w:val="Footer"/>
      <w:jc w:val="center"/>
      <w:rPr>
        <w:rFonts w:ascii="Verdana" w:hAnsi="Verdana"/>
        <w:b/>
        <w:color w:val="FFFFFF"/>
        <w:sz w:val="18"/>
        <w:szCs w:val="18"/>
      </w:rPr>
    </w:pPr>
    <w:r>
      <w:rPr>
        <w:noProof/>
      </w:rPr>
      <w:pict w14:anchorId="62B74F66">
        <v:rect id="_x0000_s2073" style="position:absolute;left:0;text-align:left;margin-left:282.75pt;margin-top:-1.15pt;width:31.7pt;height:62.6pt;z-index:-2516582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14:paraId="04171DF7"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AB13F" w14:textId="6B3FB8CB" w:rsidR="00FD1E19" w:rsidRPr="000D064C" w:rsidRDefault="00EE4C2D" w:rsidP="004A7C67">
    <w:pPr>
      <w:pStyle w:val="Footer"/>
      <w:jc w:val="center"/>
      <w:rPr>
        <w:rFonts w:ascii="Verdana" w:hAnsi="Verdana"/>
        <w:b/>
        <w:color w:val="FFFFFF"/>
        <w:sz w:val="18"/>
        <w:szCs w:val="18"/>
      </w:rPr>
    </w:pPr>
    <w:r>
      <w:rPr>
        <w:noProof/>
      </w:rPr>
      <w:pict w14:anchorId="53F37775">
        <v:rect id="_x0000_s2074" style="position:absolute;left:0;text-align:left;margin-left:282.75pt;margin-top:-1.15pt;width:31.7pt;height:62.6pt;z-index:-251658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14:paraId="3B8E86A5"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C2F1" w14:textId="7F09AF47" w:rsidR="00FD1E19" w:rsidRPr="000D064C" w:rsidRDefault="00EE4C2D" w:rsidP="004A7C67">
    <w:pPr>
      <w:pStyle w:val="Footer"/>
      <w:jc w:val="center"/>
      <w:rPr>
        <w:rFonts w:ascii="Verdana" w:hAnsi="Verdana"/>
        <w:b/>
        <w:color w:val="FFFFFF"/>
        <w:sz w:val="18"/>
        <w:szCs w:val="18"/>
      </w:rPr>
    </w:pPr>
    <w:r>
      <w:rPr>
        <w:noProof/>
      </w:rPr>
      <w:pict w14:anchorId="42F254F6">
        <v:rect id="_x0000_s2075" style="position:absolute;left:0;text-align:left;margin-left:282.75pt;margin-top:-1.15pt;width:31.7pt;height:62.6pt;z-index:-25165821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" fillcolor="#016794" strokecolor="#385d8a" strokeweight="2pt">
          <v:textbox inset=",1.3mm"/>
          <w10:wrap anchorx="page"/>
        </v:rect>
      </w:pict>
    </w:r>
  </w:p>
  <w:p w14:paraId="22374A48"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19</w:t>
    </w:r>
    <w:r w:rsidRPr="000D064C">
      <w:rPr>
        <w:rFonts w:ascii="Verdana" w:hAnsi="Verdana"/>
        <w:b/>
        <w:noProof/>
        <w:color w:val="FFFFFF"/>
        <w:sz w:val="18"/>
        <w:szCs w:val="18"/>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1DA" w14:textId="77777777" w:rsidR="00FD1E19" w:rsidRPr="000D064C" w:rsidRDefault="00EE4C2D" w:rsidP="0045259B">
    <w:pPr>
      <w:jc w:val="center"/>
      <w:rPr>
        <w:rFonts w:ascii="Verdana" w:hAnsi="Verdana"/>
        <w:b/>
        <w:color w:val="FFFFFF"/>
        <w:sz w:val="18"/>
        <w:szCs w:val="18"/>
      </w:rPr>
    </w:pPr>
    <w:r>
      <w:rPr>
        <w:rFonts w:ascii="Times New Roman" w:hAnsi="Times New Roman"/>
        <w:noProof/>
        <w:sz w:val="24"/>
        <w:szCs w:val="24"/>
      </w:rPr>
      <w:pict w14:anchorId="6C83BCBF">
        <v:rect id="_x0000_s2049" style="position:absolute;left:0;text-align:left;margin-left:224.8pt;margin-top:.35pt;width:31.75pt;height:62.65pt;z-index:-251658240;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14:paraId="5EA1226A" w14:textId="77777777" w:rsidR="00FD1E19" w:rsidRPr="000D064C" w:rsidRDefault="00FD1E19">
    <w:pP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51</w:t>
    </w:r>
    <w:r w:rsidRPr="000D064C">
      <w:rPr>
        <w:rFonts w:ascii="Verdana" w:hAnsi="Verdana"/>
        <w:b/>
        <w:noProof/>
        <w:color w:val="FFFFFF"/>
        <w:sz w:val="18"/>
        <w:szCs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C67A2" w14:textId="77777777" w:rsidR="00DA27F0" w:rsidRPr="000D064C" w:rsidRDefault="00EE4C2D" w:rsidP="0045259B">
    <w:pPr>
      <w:jc w:val="center"/>
      <w:rPr>
        <w:rFonts w:ascii="Verdana" w:hAnsi="Verdana"/>
        <w:b/>
        <w:color w:val="FFFFFF"/>
        <w:sz w:val="18"/>
        <w:szCs w:val="18"/>
      </w:rPr>
    </w:pPr>
    <w:r>
      <w:rPr>
        <w:rFonts w:ascii="Times New Roman" w:hAnsi="Times New Roman"/>
        <w:noProof/>
        <w:sz w:val="24"/>
        <w:szCs w:val="24"/>
      </w:rPr>
      <w:pict w14:anchorId="681F9A39">
        <v:rect id="_x0000_s2102" style="position:absolute;left:0;text-align:left;margin-left:224.8pt;margin-top:10.1pt;width:31.75pt;height:62.65pt;z-index:-251656147;visibility:visible;mso-wrap-style:square;mso-width-percent:0;mso-height-percent:0;mso-wrap-distance-left:9pt;mso-wrap-distance-top:0;mso-wrap-distance-right:9pt;mso-wrap-distance-bottom:0;mso-width-percent:0;mso-height-percent:0;mso-width-relative:page;mso-height-relative:margin;v-text-anchor:bottom" fillcolor="#016794" strokecolor="#385d8a" strokeweight="2pt">
          <v:path arrowok="t"/>
        </v:rect>
      </w:pict>
    </w:r>
  </w:p>
  <w:p w14:paraId="1CD06D0C" w14:textId="77777777" w:rsidR="00DA27F0" w:rsidRPr="000D064C" w:rsidRDefault="00DA27F0">
    <w:pP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51</w:t>
    </w:r>
    <w:r w:rsidRPr="000D064C">
      <w:rPr>
        <w:rFonts w:ascii="Verdana" w:hAnsi="Verdana"/>
        <w:b/>
        <w:noProof/>
        <w:color w:val="FFFFFF"/>
        <w:sz w:val="18"/>
        <w:szCs w:val="18"/>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DDA93" w14:textId="77777777" w:rsidR="00FD1E19" w:rsidRDefault="00FD1E1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961B5" w14:textId="77777777" w:rsidR="00FD1E19" w:rsidRDefault="00FD1E1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624A8" w14:textId="77777777" w:rsidR="00FD1E19" w:rsidRDefault="00FD1E1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3EDDA" w14:textId="57A35956" w:rsidR="00FD1E19" w:rsidRPr="000D064C" w:rsidRDefault="00EE4C2D" w:rsidP="004A7C67">
    <w:pPr>
      <w:pStyle w:val="Footer"/>
      <w:jc w:val="center"/>
      <w:rPr>
        <w:rFonts w:ascii="Verdana" w:hAnsi="Verdana"/>
        <w:b/>
        <w:color w:val="FFFFFF"/>
        <w:sz w:val="18"/>
        <w:szCs w:val="18"/>
      </w:rPr>
    </w:pPr>
    <w:r>
      <w:rPr>
        <w:noProof/>
      </w:rPr>
      <w:pict w14:anchorId="289AB4CE">
        <v:rect id="_x0000_s2076" style="position:absolute;left:0;text-align:left;margin-left:0;margin-top:.35pt;width:31.75pt;height:62.65pt;z-index:-25165821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44389950"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537D65" w14:textId="77777777" w:rsidR="00FD1E19" w:rsidRDefault="00FD1E1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0B167" w14:textId="360C5B15" w:rsidR="00FD1E19" w:rsidRPr="000D064C" w:rsidRDefault="00EE4C2D" w:rsidP="004A7C67">
    <w:pPr>
      <w:pStyle w:val="Footer"/>
      <w:jc w:val="center"/>
      <w:rPr>
        <w:rFonts w:ascii="Verdana" w:hAnsi="Verdana"/>
        <w:b/>
        <w:color w:val="FFFFFF"/>
        <w:sz w:val="18"/>
        <w:szCs w:val="18"/>
      </w:rPr>
    </w:pPr>
    <w:r>
      <w:rPr>
        <w:noProof/>
      </w:rPr>
      <w:pict w14:anchorId="2F228281">
        <v:rect id="_x0000_s2077" style="position:absolute;left:0;text-align:left;margin-left:0;margin-top:.35pt;width:31.75pt;height:62.65pt;z-index:-25165821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54228E63"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B6F1E5" w14:textId="0819FCF5" w:rsidR="00FD1E19" w:rsidRPr="000D064C" w:rsidRDefault="00EE4C2D" w:rsidP="004A7C67">
    <w:pPr>
      <w:pStyle w:val="Footer"/>
      <w:jc w:val="center"/>
      <w:rPr>
        <w:rFonts w:ascii="Verdana" w:hAnsi="Verdana"/>
        <w:b/>
        <w:color w:val="FFFFFF"/>
        <w:sz w:val="18"/>
        <w:szCs w:val="18"/>
      </w:rPr>
    </w:pPr>
    <w:r>
      <w:rPr>
        <w:noProof/>
      </w:rPr>
      <w:pict w14:anchorId="55F24996">
        <v:rect id="_x0000_s2078" style="position:absolute;left:0;text-align:left;margin-left:0;margin-top:.35pt;width:31.75pt;height:62.65pt;z-index:-2516582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436AB329"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0D610" w14:textId="29CCC608" w:rsidR="00FD1E19" w:rsidRPr="000D064C" w:rsidRDefault="00EE4C2D" w:rsidP="004A7C67">
    <w:pPr>
      <w:pStyle w:val="Footer"/>
      <w:jc w:val="center"/>
      <w:rPr>
        <w:rFonts w:ascii="Verdana" w:hAnsi="Verdana"/>
        <w:b/>
        <w:color w:val="FFFFFF"/>
        <w:sz w:val="18"/>
        <w:szCs w:val="18"/>
      </w:rPr>
    </w:pPr>
    <w:r>
      <w:rPr>
        <w:noProof/>
      </w:rPr>
      <w:pict w14:anchorId="4AF80EC3">
        <v:rect id="_x0000_s2079" style="position:absolute;left:0;text-align:left;margin-left:0;margin-top:.35pt;width:31.75pt;height:62.65pt;z-index:-25165821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2A0E899"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5F543" w14:textId="77777777" w:rsidR="00FD1E19" w:rsidRDefault="00FD1E1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C269B" w14:textId="464141AB" w:rsidR="00FD1E19" w:rsidRPr="000D064C" w:rsidRDefault="00EE4C2D" w:rsidP="004A7C67">
    <w:pPr>
      <w:pStyle w:val="Footer"/>
      <w:jc w:val="center"/>
      <w:rPr>
        <w:rFonts w:ascii="Verdana" w:hAnsi="Verdana"/>
        <w:b/>
        <w:color w:val="FFFFFF"/>
        <w:sz w:val="18"/>
        <w:szCs w:val="18"/>
      </w:rPr>
    </w:pPr>
    <w:r>
      <w:rPr>
        <w:noProof/>
      </w:rPr>
      <w:pict w14:anchorId="61FCD476">
        <v:rect id="_x0000_s2080" style="position:absolute;left:0;text-align:left;margin-left:0;margin-top:.35pt;width:31.75pt;height:62.65pt;z-index:-25165821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5CA1EF55"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31925" w14:textId="77777777" w:rsidR="00FD1E19" w:rsidRDefault="00FD1E1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FD099" w14:textId="77777777" w:rsidR="00FD1E19" w:rsidRDefault="00FD1E1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3ADBC" w14:textId="35AE8D1D" w:rsidR="00FD1E19" w:rsidRPr="000D064C" w:rsidRDefault="00EE4C2D" w:rsidP="004A7C67">
    <w:pPr>
      <w:pStyle w:val="Footer"/>
      <w:jc w:val="center"/>
      <w:rPr>
        <w:rFonts w:ascii="Verdana" w:hAnsi="Verdana"/>
        <w:b/>
        <w:color w:val="FFFFFF"/>
        <w:sz w:val="18"/>
        <w:szCs w:val="18"/>
      </w:rPr>
    </w:pPr>
    <w:r>
      <w:rPr>
        <w:noProof/>
      </w:rPr>
      <w:pict w14:anchorId="05D8386A">
        <v:rect id="_x0000_s2081" style="position:absolute;left:0;text-align:left;margin-left:0;margin-top:.35pt;width:31.75pt;height:62.65pt;z-index:-25165820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107CF099"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AF2DE" w14:textId="77777777" w:rsidR="00FD1E19" w:rsidRDefault="00FD1E1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B0850" w14:textId="39D1BF1A" w:rsidR="00FD1E19" w:rsidRPr="000D064C" w:rsidRDefault="00EE4C2D" w:rsidP="004A7C67">
    <w:pPr>
      <w:pStyle w:val="Footer"/>
      <w:jc w:val="center"/>
      <w:rPr>
        <w:rFonts w:ascii="Verdana" w:hAnsi="Verdana"/>
        <w:b/>
        <w:color w:val="FFFFFF"/>
        <w:sz w:val="18"/>
        <w:szCs w:val="18"/>
      </w:rPr>
    </w:pPr>
    <w:r>
      <w:rPr>
        <w:noProof/>
      </w:rPr>
      <w:pict w14:anchorId="27087DFF">
        <v:rect id="_x0000_s2082" style="position:absolute;left:0;text-align:left;margin-left:0;margin-top:.35pt;width:31.75pt;height:62.65pt;z-index:-2516582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058A96F8"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520D5" w14:textId="77777777" w:rsidR="00FD1E19" w:rsidRDefault="00FD1E1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54C77" w14:textId="6871810E" w:rsidR="00FD1E19" w:rsidRPr="000D064C" w:rsidRDefault="00EE4C2D" w:rsidP="004A7C67">
    <w:pPr>
      <w:pStyle w:val="Footer"/>
      <w:jc w:val="center"/>
      <w:rPr>
        <w:rFonts w:ascii="Verdana" w:hAnsi="Verdana"/>
        <w:b/>
        <w:color w:val="FFFFFF"/>
        <w:sz w:val="18"/>
        <w:szCs w:val="18"/>
      </w:rPr>
    </w:pPr>
    <w:r>
      <w:rPr>
        <w:noProof/>
      </w:rPr>
      <w:pict w14:anchorId="59C965B3">
        <v:rect id="_x0000_s2083" style="position:absolute;left:0;text-align:left;margin-left:0;margin-top:.35pt;width:31.75pt;height:62.65pt;z-index:-25165820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5233E8F"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B0D19" w14:textId="77777777" w:rsidR="00FD1E19" w:rsidRDefault="00FD1E1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96708" w14:textId="77777777" w:rsidR="00FD1E19" w:rsidRDefault="00FD1E1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7D4347" w14:textId="2BFEFD4E" w:rsidR="00FD1E19" w:rsidRPr="000D064C" w:rsidRDefault="00EE4C2D" w:rsidP="004A7C67">
    <w:pPr>
      <w:pStyle w:val="Footer"/>
      <w:jc w:val="center"/>
      <w:rPr>
        <w:rFonts w:ascii="Verdana" w:hAnsi="Verdana"/>
        <w:b/>
        <w:color w:val="FFFFFF"/>
        <w:sz w:val="18"/>
        <w:szCs w:val="18"/>
      </w:rPr>
    </w:pPr>
    <w:r>
      <w:rPr>
        <w:noProof/>
      </w:rPr>
      <w:pict w14:anchorId="58363C91">
        <v:rect id="_x0000_s2084" style="position:absolute;left:0;text-align:left;margin-left:0;margin-top:.35pt;width:31.75pt;height:62.65pt;z-index:-25165820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6E8AF599"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CB126B" w14:textId="77777777" w:rsidR="00FD1E19" w:rsidRDefault="00FD1E1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4D0CB" w14:textId="3D8185E2" w:rsidR="00FD1E19" w:rsidRPr="000D064C" w:rsidRDefault="00EE4C2D" w:rsidP="004A7C67">
    <w:pPr>
      <w:pStyle w:val="Footer"/>
      <w:jc w:val="center"/>
      <w:rPr>
        <w:rFonts w:ascii="Verdana" w:hAnsi="Verdana"/>
        <w:b/>
        <w:color w:val="FFFFFF"/>
        <w:sz w:val="18"/>
        <w:szCs w:val="18"/>
      </w:rPr>
    </w:pPr>
    <w:r>
      <w:rPr>
        <w:noProof/>
      </w:rPr>
      <w:pict w14:anchorId="13C9D0BB">
        <v:rect id="_x0000_s2085" style="position:absolute;left:0;text-align:left;margin-left:0;margin-top:.35pt;width:31.75pt;height:62.65pt;z-index:-25165820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746AEB50"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B70B0" w14:textId="66F6D761" w:rsidR="00FD1E19" w:rsidRPr="000D064C" w:rsidRDefault="00EE4C2D" w:rsidP="004A7C67">
    <w:pPr>
      <w:pStyle w:val="Footer"/>
      <w:jc w:val="center"/>
      <w:rPr>
        <w:rFonts w:ascii="Verdana" w:hAnsi="Verdana"/>
        <w:b/>
        <w:color w:val="FFFFFF"/>
        <w:sz w:val="18"/>
        <w:szCs w:val="18"/>
      </w:rPr>
    </w:pPr>
    <w:r>
      <w:rPr>
        <w:noProof/>
      </w:rPr>
      <w:pict w14:anchorId="7FD32DFE">
        <v:rect id="_x0000_s2086" style="position:absolute;left:0;text-align:left;margin-left:0;margin-top:.35pt;width:31.75pt;height:62.65pt;z-index:-25165820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375EE069"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0791E" w14:textId="61CE6B01" w:rsidR="00FD1E19" w:rsidRPr="000D064C" w:rsidRDefault="00EE4C2D" w:rsidP="004A7C67">
    <w:pPr>
      <w:pStyle w:val="Footer"/>
      <w:jc w:val="center"/>
      <w:rPr>
        <w:rFonts w:ascii="Verdana" w:hAnsi="Verdana"/>
        <w:b/>
        <w:color w:val="FFFFFF"/>
        <w:sz w:val="18"/>
        <w:szCs w:val="18"/>
      </w:rPr>
    </w:pPr>
    <w:r>
      <w:rPr>
        <w:noProof/>
      </w:rPr>
      <w:pict w14:anchorId="150F3859">
        <v:rect id="_x0000_s2087" style="position:absolute;left:0;text-align:left;margin-left:0;margin-top:.35pt;width:31.75pt;height:62.65pt;z-index:-25165820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7432820"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F622A" w14:textId="68622ED9" w:rsidR="00FD1E19" w:rsidRPr="000D064C" w:rsidRDefault="00EE4C2D" w:rsidP="004A7C67">
    <w:pPr>
      <w:pStyle w:val="Footer"/>
      <w:jc w:val="center"/>
      <w:rPr>
        <w:rFonts w:ascii="Verdana" w:hAnsi="Verdana"/>
        <w:b/>
        <w:color w:val="FFFFFF"/>
        <w:sz w:val="18"/>
        <w:szCs w:val="18"/>
      </w:rPr>
    </w:pPr>
    <w:r>
      <w:rPr>
        <w:noProof/>
      </w:rPr>
      <w:pict w14:anchorId="02F0C388">
        <v:rect id="_x0000_s2088" style="position:absolute;left:0;text-align:left;margin-left:0;margin-top:.35pt;width:31.75pt;height:62.65pt;z-index:-25165820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4A35C996"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D1750" w14:textId="432FE9DF" w:rsidR="00FD1E19" w:rsidRPr="000D064C" w:rsidRDefault="00EE4C2D" w:rsidP="004A7C67">
    <w:pPr>
      <w:pStyle w:val="Footer"/>
      <w:jc w:val="center"/>
      <w:rPr>
        <w:rFonts w:ascii="Verdana" w:hAnsi="Verdana"/>
        <w:b/>
        <w:color w:val="FFFFFF"/>
        <w:sz w:val="18"/>
        <w:szCs w:val="18"/>
      </w:rPr>
    </w:pPr>
    <w:r>
      <w:rPr>
        <w:noProof/>
      </w:rPr>
      <w:pict w14:anchorId="6D6C8097">
        <v:rect id="_x0000_s2089" style="position:absolute;left:0;text-align:left;margin-left:0;margin-top:.35pt;width:31.75pt;height:62.65pt;z-index:-25165820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06422B1"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63887" w14:textId="4C6423C4" w:rsidR="00FD1E19" w:rsidRPr="000D064C" w:rsidRDefault="00EE4C2D" w:rsidP="004A7C67">
    <w:pPr>
      <w:pStyle w:val="Footer"/>
      <w:jc w:val="center"/>
      <w:rPr>
        <w:rFonts w:ascii="Verdana" w:hAnsi="Verdana"/>
        <w:b/>
        <w:color w:val="FFFFFF"/>
        <w:sz w:val="18"/>
        <w:szCs w:val="18"/>
      </w:rPr>
    </w:pPr>
    <w:r>
      <w:rPr>
        <w:noProof/>
      </w:rPr>
      <w:pict w14:anchorId="6CAE732D">
        <v:rect id="_x0000_s2090" style="position:absolute;left:0;text-align:left;margin-left:0;margin-top:.35pt;width:31.75pt;height:62.65pt;z-index:-2516582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5AA34ED6"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F0C1F" w14:textId="024603F7" w:rsidR="00FD1E19" w:rsidRPr="000D064C" w:rsidRDefault="00EE4C2D" w:rsidP="004A7C67">
    <w:pPr>
      <w:pStyle w:val="Footer"/>
      <w:jc w:val="center"/>
      <w:rPr>
        <w:rFonts w:ascii="Verdana" w:hAnsi="Verdana"/>
        <w:b/>
        <w:color w:val="FFFFFF"/>
        <w:sz w:val="18"/>
        <w:szCs w:val="18"/>
      </w:rPr>
    </w:pPr>
    <w:r>
      <w:rPr>
        <w:noProof/>
      </w:rPr>
      <w:pict w14:anchorId="7BB3C5ED">
        <v:rect id="_x0000_s2091" style="position:absolute;left:0;text-align:left;margin-left:0;margin-top:.35pt;width:31.75pt;height:62.65pt;z-index:-251658199;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3F0CF90"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3F5FF" w14:textId="2F46631B" w:rsidR="00FD1E19" w:rsidRPr="000D064C" w:rsidRDefault="00EE4C2D" w:rsidP="004A7C67">
    <w:pPr>
      <w:pStyle w:val="Footer"/>
      <w:jc w:val="center"/>
      <w:rPr>
        <w:rFonts w:ascii="Verdana" w:hAnsi="Verdana"/>
        <w:b/>
        <w:color w:val="FFFFFF"/>
        <w:sz w:val="18"/>
        <w:szCs w:val="18"/>
      </w:rPr>
    </w:pPr>
    <w:r>
      <w:rPr>
        <w:noProof/>
      </w:rPr>
      <w:pict w14:anchorId="0C20BD1D">
        <v:rect id="_x0000_s2092" style="position:absolute;left:0;text-align:left;margin-left:0;margin-top:.35pt;width:31.75pt;height:62.65pt;z-index:-25165819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FE12675"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1589D" w14:textId="40E60442" w:rsidR="00FD1E19" w:rsidRPr="000D064C" w:rsidRDefault="00EE4C2D" w:rsidP="004A7C67">
    <w:pPr>
      <w:pStyle w:val="Footer"/>
      <w:jc w:val="center"/>
      <w:rPr>
        <w:rFonts w:ascii="Verdana" w:hAnsi="Verdana"/>
        <w:b/>
        <w:color w:val="FFFFFF"/>
        <w:sz w:val="18"/>
        <w:szCs w:val="18"/>
      </w:rPr>
    </w:pPr>
    <w:r>
      <w:rPr>
        <w:noProof/>
      </w:rPr>
      <w:pict w14:anchorId="0C2D26D1">
        <v:rect id="_x0000_s2093" style="position:absolute;left:0;text-align:left;margin-left:0;margin-top:.35pt;width:31.75pt;height:62.65pt;z-index:-251658197;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2913C67"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05B4D" w14:textId="3C72DDC4" w:rsidR="00FD1E19" w:rsidRPr="000D064C" w:rsidRDefault="00EE4C2D" w:rsidP="004A7C67">
    <w:pPr>
      <w:pStyle w:val="Footer"/>
      <w:jc w:val="center"/>
      <w:rPr>
        <w:rFonts w:ascii="Verdana" w:hAnsi="Verdana"/>
        <w:b/>
        <w:color w:val="FFFFFF"/>
        <w:sz w:val="18"/>
        <w:szCs w:val="18"/>
      </w:rPr>
    </w:pPr>
    <w:r>
      <w:rPr>
        <w:noProof/>
      </w:rPr>
      <w:pict w14:anchorId="381BC6A1">
        <v:rect id="_x0000_s2094" style="position:absolute;left:0;text-align:left;margin-left:0;margin-top:.35pt;width:31.75pt;height:62.65pt;z-index:-25165819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5D4B530A"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BFD38" w14:textId="6206848E" w:rsidR="00FD1E19" w:rsidRPr="000D064C" w:rsidRDefault="00EE4C2D" w:rsidP="004A7C67">
    <w:pPr>
      <w:pStyle w:val="Footer"/>
      <w:jc w:val="center"/>
      <w:rPr>
        <w:rFonts w:ascii="Verdana" w:hAnsi="Verdana"/>
        <w:b/>
        <w:color w:val="FFFFFF"/>
        <w:sz w:val="18"/>
        <w:szCs w:val="18"/>
      </w:rPr>
    </w:pPr>
    <w:r>
      <w:rPr>
        <w:noProof/>
      </w:rPr>
      <w:pict w14:anchorId="6DD7C92D">
        <v:rect id="_x0000_s2095" style="position:absolute;left:0;text-align:left;margin-left:0;margin-top:.35pt;width:31.75pt;height:62.65pt;z-index:-251658195;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" fillcolor="#016794" strokecolor="#385d8a" strokeweight="2pt">
          <v:textbox inset=",1.3mm"/>
          <w10:wrap anchorx="page"/>
        </v:rect>
      </w:pict>
    </w:r>
  </w:p>
  <w:p w14:paraId="2F9E20D1" w14:textId="77777777" w:rsidR="00FD1E19" w:rsidRPr="000D064C" w:rsidRDefault="00FD1E19">
    <w:pPr>
      <w:pStyle w:val="Footer"/>
      <w:jc w:val="center"/>
      <w:rPr>
        <w:rFonts w:ascii="Verdana" w:hAnsi="Verdana"/>
        <w:b/>
        <w:color w:val="FFFFFF"/>
        <w:sz w:val="18"/>
      </w:rPr>
    </w:pPr>
    <w:r w:rsidRPr="000D064C">
      <w:rPr>
        <w:rFonts w:ascii="Verdana" w:hAnsi="Verdana"/>
        <w:b/>
        <w:color w:val="FFFFFF"/>
        <w:sz w:val="18"/>
        <w:szCs w:val="18"/>
      </w:rPr>
      <w:fldChar w:fldCharType="begin"/>
    </w:r>
    <w:r w:rsidRPr="000D064C">
      <w:rPr>
        <w:rFonts w:ascii="Verdana" w:hAnsi="Verdana"/>
        <w:b/>
        <w:color w:val="FFFFFF"/>
        <w:sz w:val="18"/>
        <w:szCs w:val="18"/>
      </w:rPr>
      <w:instrText xml:space="preserve"> PAGE   \* MERGEFORMAT </w:instrText>
    </w:r>
    <w:r w:rsidRPr="000D064C">
      <w:rPr>
        <w:rFonts w:ascii="Verdana" w:hAnsi="Verdana"/>
        <w:b/>
        <w:color w:val="FFFFFF"/>
        <w:sz w:val="18"/>
        <w:szCs w:val="18"/>
      </w:rPr>
      <w:fldChar w:fldCharType="separate"/>
    </w:r>
    <w:r>
      <w:rPr>
        <w:rFonts w:ascii="Verdana" w:hAnsi="Verdana"/>
        <w:b/>
        <w:noProof/>
        <w:color w:val="FFFFFF"/>
        <w:sz w:val="18"/>
        <w:szCs w:val="18"/>
      </w:rPr>
      <w:t>98</w:t>
    </w:r>
    <w:r w:rsidRPr="000D064C">
      <w:rPr>
        <w:rFonts w:ascii="Verdana" w:hAnsi="Verdana"/>
        <w:b/>
        <w:noProof/>
        <w:color w:val="FFFFFF"/>
        <w:sz w:val="18"/>
        <w:szCs w:val="18"/>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E6C97" w14:textId="77777777" w:rsidR="00FD1E19" w:rsidRPr="00C908AC" w:rsidRDefault="00FD1E19" w:rsidP="00006B07">
    <w:pPr>
      <w:pBdr>
        <w:top w:val="nil"/>
        <w:left w:val="nil"/>
        <w:bottom w:val="nil"/>
        <w:right w:val="nil"/>
        <w:between w:val="nil"/>
        <w:bar w:val="nil"/>
      </w:pBdr>
      <w:spacing w:line="276" w:lineRule="auto"/>
      <w:jc w:val="center"/>
      <w:rPr>
        <w:rFonts w:ascii="Arial" w:eastAsia="Calibri" w:hAnsi="Arial" w:cs="Arial"/>
        <w:sz w:val="16"/>
        <w:szCs w:val="16"/>
        <w:bdr w:val="nil"/>
        <w:lang w:val="en-US"/>
      </w:rPr>
    </w:pPr>
    <w:r w:rsidRPr="00C908AC">
      <w:rPr>
        <w:rFonts w:ascii="Arial" w:eastAsia="Calibri" w:hAnsi="Arial" w:cs="Arial"/>
        <w:sz w:val="16"/>
        <w:szCs w:val="16"/>
        <w:lang w:val="en-US"/>
      </w:rPr>
      <w:t>The accompanying notes form an integral part of these financial statements.</w:t>
    </w:r>
  </w:p>
  <w:p w14:paraId="5EE8CA2D" w14:textId="77777777" w:rsidR="00FD1E19" w:rsidRPr="00C908AC" w:rsidRDefault="00FD1E19" w:rsidP="00C908AC">
    <w:pPr>
      <w:pBdr>
        <w:top w:val="nil"/>
        <w:left w:val="nil"/>
        <w:bottom w:val="nil"/>
        <w:right w:val="nil"/>
        <w:between w:val="nil"/>
        <w:bar w:val="nil"/>
      </w:pBdr>
      <w:spacing w:after="200" w:line="276" w:lineRule="auto"/>
      <w:jc w:val="right"/>
      <w:rPr>
        <w:rFonts w:ascii="Arial" w:eastAsia="Calibri" w:hAnsi="Arial" w:cs="Arial"/>
        <w:sz w:val="16"/>
        <w:szCs w:val="16"/>
        <w:bdr w:val="nil"/>
        <w:lang w:val="en-US"/>
      </w:rPr>
    </w:pPr>
    <w:r w:rsidRPr="00C908AC">
      <w:rPr>
        <w:rFonts w:ascii="Arial" w:eastAsia="Calibri" w:hAnsi="Arial" w:cs="Arial"/>
        <w:sz w:val="16"/>
        <w:szCs w:val="16"/>
        <w:lang w:val="en-US"/>
      </w:rPr>
      <w:t xml:space="preserve">Page </w:t>
    </w:r>
    <w:r w:rsidRPr="00C908AC">
      <w:rPr>
        <w:rFonts w:ascii="Arial" w:eastAsia="Calibri" w:hAnsi="Arial" w:cs="Arial"/>
        <w:sz w:val="16"/>
        <w:szCs w:val="16"/>
        <w:bdr w:val="nil"/>
        <w:lang w:val="en-US"/>
      </w:rPr>
      <w:fldChar w:fldCharType="begin"/>
    </w:r>
    <w:r w:rsidRPr="00C908AC">
      <w:rPr>
        <w:rFonts w:ascii="Arial" w:eastAsia="Calibri" w:hAnsi="Arial" w:cs="Arial"/>
        <w:sz w:val="16"/>
        <w:szCs w:val="16"/>
        <w:lang w:val="en-US"/>
      </w:rPr>
      <w:instrText xml:space="preserve"> PAGE  \* Arabic  \* MERGEFORMAT </w:instrText>
    </w:r>
    <w:r w:rsidRPr="00C908AC">
      <w:rPr>
        <w:rFonts w:ascii="Arial" w:eastAsia="Calibri" w:hAnsi="Arial" w:cs="Arial"/>
        <w:sz w:val="16"/>
        <w:szCs w:val="16"/>
        <w:bdr w:val="nil"/>
        <w:lang w:val="en-US"/>
      </w:rPr>
      <w:fldChar w:fldCharType="separate"/>
    </w:r>
    <w:r w:rsidRPr="00C908AC">
      <w:rPr>
        <w:rFonts w:ascii="Arial" w:eastAsia="Calibri" w:hAnsi="Arial" w:cs="Arial"/>
        <w:sz w:val="16"/>
        <w:szCs w:val="16"/>
        <w:lang w:val="en-US"/>
      </w:rPr>
      <w:t>1</w:t>
    </w:r>
    <w:r w:rsidRPr="00C908AC">
      <w:rPr>
        <w:rFonts w:ascii="Arial" w:eastAsia="Calibri" w:hAnsi="Arial" w:cs="Arial"/>
        <w:sz w:val="16"/>
        <w:szCs w:val="16"/>
        <w:bdr w:val="nil"/>
        <w:lang w:val="en-US"/>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AE533" w14:textId="77777777" w:rsidR="00FD1E19" w:rsidRDefault="00FD1E19">
    <w:pPr>
      <w:pBdr>
        <w:top w:val="nil"/>
        <w:left w:val="nil"/>
        <w:bottom w:val="nil"/>
        <w:right w:val="nil"/>
        <w:between w:val="nil"/>
        <w:bar w:val="nil"/>
      </w:pBdr>
      <w:rPr>
        <w:bdr w:val="nil"/>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FDAB9" w14:textId="77777777" w:rsidR="00FD1E19" w:rsidRPr="00C908AC" w:rsidRDefault="00FD1E19" w:rsidP="00C908AC">
    <w:pPr>
      <w:pBdr>
        <w:top w:val="nil"/>
        <w:left w:val="nil"/>
        <w:bottom w:val="nil"/>
        <w:right w:val="nil"/>
        <w:between w:val="nil"/>
        <w:bar w:val="nil"/>
      </w:pBdr>
      <w:spacing w:after="200" w:line="276" w:lineRule="auto"/>
      <w:jc w:val="right"/>
      <w:rPr>
        <w:rFonts w:ascii="Arial" w:eastAsia="Calibri" w:hAnsi="Arial" w:cs="Arial"/>
        <w:sz w:val="16"/>
        <w:szCs w:val="16"/>
        <w:bdr w:val="nil"/>
        <w:lang w:val="en-US"/>
      </w:rPr>
    </w:pPr>
    <w:r w:rsidRPr="00C908AC">
      <w:rPr>
        <w:rFonts w:ascii="Arial" w:eastAsia="Calibri" w:hAnsi="Arial" w:cs="Arial"/>
        <w:sz w:val="16"/>
        <w:szCs w:val="16"/>
        <w:lang w:val="en-US"/>
      </w:rPr>
      <w:t xml:space="preserve">Page </w:t>
    </w:r>
    <w:r w:rsidRPr="00C908AC">
      <w:rPr>
        <w:rFonts w:ascii="Arial" w:eastAsia="Calibri" w:hAnsi="Arial" w:cs="Arial"/>
        <w:sz w:val="16"/>
        <w:szCs w:val="16"/>
        <w:bdr w:val="nil"/>
        <w:lang w:val="en-US"/>
      </w:rPr>
      <w:fldChar w:fldCharType="begin"/>
    </w:r>
    <w:r w:rsidRPr="00C908AC">
      <w:rPr>
        <w:rFonts w:ascii="Arial" w:eastAsia="Calibri" w:hAnsi="Arial" w:cs="Arial"/>
        <w:sz w:val="16"/>
        <w:szCs w:val="16"/>
        <w:lang w:val="en-US"/>
      </w:rPr>
      <w:instrText xml:space="preserve"> PAGE  \* Arabic  \* MERGEFORMAT </w:instrText>
    </w:r>
    <w:r w:rsidRPr="00C908AC">
      <w:rPr>
        <w:rFonts w:ascii="Arial" w:eastAsia="Calibri" w:hAnsi="Arial" w:cs="Arial"/>
        <w:sz w:val="16"/>
        <w:szCs w:val="16"/>
        <w:bdr w:val="nil"/>
        <w:lang w:val="en-US"/>
      </w:rPr>
      <w:fldChar w:fldCharType="separate"/>
    </w:r>
    <w:r w:rsidRPr="00C908AC">
      <w:rPr>
        <w:rFonts w:ascii="Arial" w:eastAsia="Calibri" w:hAnsi="Arial" w:cs="Arial"/>
        <w:sz w:val="16"/>
        <w:szCs w:val="16"/>
        <w:lang w:val="en-US"/>
      </w:rPr>
      <w:t>5</w:t>
    </w:r>
    <w:r w:rsidRPr="00C908AC">
      <w:rPr>
        <w:rFonts w:ascii="Arial" w:eastAsia="Calibri" w:hAnsi="Arial" w:cs="Arial"/>
        <w:sz w:val="16"/>
        <w:szCs w:val="16"/>
        <w:bdr w:val="nil"/>
        <w:lang w:val="en-US"/>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7F735" w14:textId="77777777" w:rsidR="00FD1E19" w:rsidRDefault="00FD1E19">
    <w:pPr>
      <w:pBdr>
        <w:top w:val="nil"/>
        <w:left w:val="nil"/>
        <w:bottom w:val="nil"/>
        <w:right w:val="nil"/>
        <w:between w:val="nil"/>
        <w:bar w:val="nil"/>
      </w:pBdr>
      <w:rPr>
        <w:bdr w:val="nil"/>
      </w:rP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1BE5FD" w14:textId="77777777" w:rsidR="00FD1E19" w:rsidRPr="00C908AC" w:rsidRDefault="00FD1E19" w:rsidP="00C908AC">
    <w:pPr>
      <w:pBdr>
        <w:top w:val="nil"/>
        <w:left w:val="nil"/>
        <w:bottom w:val="nil"/>
        <w:right w:val="nil"/>
        <w:between w:val="nil"/>
        <w:bar w:val="nil"/>
      </w:pBdr>
      <w:spacing w:after="200" w:line="276" w:lineRule="auto"/>
      <w:jc w:val="right"/>
      <w:rPr>
        <w:rFonts w:ascii="Arial" w:eastAsia="Calibri" w:hAnsi="Arial" w:cs="Arial"/>
        <w:sz w:val="16"/>
        <w:szCs w:val="16"/>
        <w:bdr w:val="nil"/>
        <w:lang w:val="en-US"/>
      </w:rPr>
    </w:pPr>
    <w:r w:rsidRPr="00C908AC">
      <w:rPr>
        <w:rFonts w:ascii="Arial" w:eastAsia="Calibri" w:hAnsi="Arial" w:cs="Arial"/>
        <w:sz w:val="16"/>
        <w:szCs w:val="16"/>
        <w:lang w:val="en-US"/>
      </w:rPr>
      <w:t xml:space="preserve">Page </w:t>
    </w:r>
    <w:r w:rsidRPr="00C908AC">
      <w:rPr>
        <w:rFonts w:ascii="Arial" w:eastAsia="Calibri" w:hAnsi="Arial" w:cs="Arial"/>
        <w:sz w:val="16"/>
        <w:szCs w:val="16"/>
        <w:bdr w:val="nil"/>
        <w:lang w:val="en-US"/>
      </w:rPr>
      <w:fldChar w:fldCharType="begin"/>
    </w:r>
    <w:r w:rsidRPr="00C908AC">
      <w:rPr>
        <w:rFonts w:ascii="Arial" w:eastAsia="Calibri" w:hAnsi="Arial" w:cs="Arial"/>
        <w:sz w:val="16"/>
        <w:szCs w:val="16"/>
        <w:lang w:val="en-US"/>
      </w:rPr>
      <w:instrText xml:space="preserve"> PAGE  \* Arabic  \* MERGEFORMAT </w:instrText>
    </w:r>
    <w:r w:rsidRPr="00C908AC">
      <w:rPr>
        <w:rFonts w:ascii="Arial" w:eastAsia="Calibri" w:hAnsi="Arial" w:cs="Arial"/>
        <w:sz w:val="16"/>
        <w:szCs w:val="16"/>
        <w:bdr w:val="nil"/>
        <w:lang w:val="en-US"/>
      </w:rPr>
      <w:fldChar w:fldCharType="separate"/>
    </w:r>
    <w:r w:rsidRPr="00C908AC">
      <w:rPr>
        <w:rFonts w:ascii="Arial" w:eastAsia="Calibri" w:hAnsi="Arial" w:cs="Arial"/>
        <w:sz w:val="16"/>
        <w:szCs w:val="16"/>
        <w:lang w:val="en-US"/>
      </w:rPr>
      <w:t>5</w:t>
    </w:r>
    <w:r w:rsidRPr="00C908AC">
      <w:rPr>
        <w:rFonts w:ascii="Arial" w:eastAsia="Calibri" w:hAnsi="Arial" w:cs="Arial"/>
        <w:sz w:val="16"/>
        <w:szCs w:val="16"/>
        <w:bdr w:val="nil"/>
        <w:lang w:val="en-US"/>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9EF96" w14:textId="77777777" w:rsidR="00FD1E19" w:rsidRDefault="00FD1E19">
    <w:pPr>
      <w:pBdr>
        <w:top w:val="nil"/>
        <w:left w:val="nil"/>
        <w:bottom w:val="nil"/>
        <w:right w:val="nil"/>
        <w:between w:val="nil"/>
        <w:bar w:val="nil"/>
      </w:pBdr>
      <w:rPr>
        <w:bdr w:val="nil"/>
      </w:rP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2AB8F" w14:textId="77777777" w:rsidR="00FD1E19" w:rsidRPr="00C908AC" w:rsidRDefault="00FD1E19" w:rsidP="00C908AC">
    <w:pPr>
      <w:pBdr>
        <w:top w:val="nil"/>
        <w:left w:val="nil"/>
        <w:bottom w:val="nil"/>
        <w:right w:val="nil"/>
        <w:between w:val="nil"/>
        <w:bar w:val="nil"/>
      </w:pBdr>
      <w:spacing w:after="200" w:line="276" w:lineRule="auto"/>
      <w:jc w:val="right"/>
      <w:rPr>
        <w:rFonts w:ascii="Arial" w:eastAsia="Calibri" w:hAnsi="Arial" w:cs="Arial"/>
        <w:sz w:val="16"/>
        <w:szCs w:val="16"/>
        <w:bdr w:val="nil"/>
        <w:lang w:val="en-US"/>
      </w:rPr>
    </w:pPr>
    <w:r w:rsidRPr="00C908AC">
      <w:rPr>
        <w:rFonts w:ascii="Arial" w:eastAsia="Calibri" w:hAnsi="Arial" w:cs="Arial"/>
        <w:sz w:val="16"/>
        <w:szCs w:val="16"/>
        <w:lang w:val="en-US"/>
      </w:rPr>
      <w:t xml:space="preserve">Page </w:t>
    </w:r>
    <w:r w:rsidRPr="00C908AC">
      <w:rPr>
        <w:rFonts w:ascii="Arial" w:eastAsia="Calibri" w:hAnsi="Arial" w:cs="Arial"/>
        <w:sz w:val="16"/>
        <w:szCs w:val="16"/>
        <w:bdr w:val="nil"/>
        <w:lang w:val="en-US"/>
      </w:rPr>
      <w:fldChar w:fldCharType="begin"/>
    </w:r>
    <w:r w:rsidRPr="00C908AC">
      <w:rPr>
        <w:rFonts w:ascii="Arial" w:eastAsia="Calibri" w:hAnsi="Arial" w:cs="Arial"/>
        <w:sz w:val="16"/>
        <w:szCs w:val="16"/>
        <w:lang w:val="en-US"/>
      </w:rPr>
      <w:instrText xml:space="preserve"> PAGE  \* Arabic  \* MERGEFORMAT </w:instrText>
    </w:r>
    <w:r w:rsidRPr="00C908AC">
      <w:rPr>
        <w:rFonts w:ascii="Arial" w:eastAsia="Calibri" w:hAnsi="Arial" w:cs="Arial"/>
        <w:sz w:val="16"/>
        <w:szCs w:val="16"/>
        <w:bdr w:val="nil"/>
        <w:lang w:val="en-US"/>
      </w:rPr>
      <w:fldChar w:fldCharType="separate"/>
    </w:r>
    <w:r w:rsidRPr="00C908AC">
      <w:rPr>
        <w:rFonts w:ascii="Arial" w:eastAsia="Calibri" w:hAnsi="Arial" w:cs="Arial"/>
        <w:sz w:val="16"/>
        <w:szCs w:val="16"/>
        <w:lang w:val="en-US"/>
      </w:rPr>
      <w:t>5</w:t>
    </w:r>
    <w:r w:rsidRPr="00C908AC">
      <w:rPr>
        <w:rFonts w:ascii="Arial" w:eastAsia="Calibri" w:hAnsi="Arial" w:cs="Arial"/>
        <w:sz w:val="16"/>
        <w:szCs w:val="16"/>
        <w:bdr w:val="nil"/>
        <w:lang w:val="en-US"/>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ABAD5" w14:textId="77777777" w:rsidR="00FD1E19" w:rsidRDefault="00FD1E19">
    <w:pPr>
      <w:pBdr>
        <w:top w:val="nil"/>
        <w:left w:val="nil"/>
        <w:bottom w:val="nil"/>
        <w:right w:val="nil"/>
        <w:between w:val="nil"/>
        <w:bar w:val="nil"/>
      </w:pBdr>
      <w:rPr>
        <w:bdr w:val="nil"/>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82BCE" w14:textId="77777777" w:rsidR="00FD1E19" w:rsidRPr="00C908AC" w:rsidRDefault="00FD1E19" w:rsidP="00C908AC">
    <w:pPr>
      <w:pBdr>
        <w:top w:val="nil"/>
        <w:left w:val="nil"/>
        <w:bottom w:val="nil"/>
        <w:right w:val="nil"/>
        <w:between w:val="nil"/>
        <w:bar w:val="nil"/>
      </w:pBdr>
      <w:spacing w:after="200" w:line="276" w:lineRule="auto"/>
      <w:jc w:val="right"/>
      <w:rPr>
        <w:rFonts w:ascii="Arial" w:eastAsia="Calibri" w:hAnsi="Arial" w:cs="Arial"/>
        <w:sz w:val="16"/>
        <w:szCs w:val="16"/>
        <w:bdr w:val="nil"/>
        <w:lang w:val="en-US"/>
      </w:rPr>
    </w:pPr>
    <w:r w:rsidRPr="00C908AC">
      <w:rPr>
        <w:rFonts w:ascii="Arial" w:eastAsia="Calibri" w:hAnsi="Arial" w:cs="Arial"/>
        <w:sz w:val="16"/>
        <w:szCs w:val="16"/>
        <w:lang w:val="en-US"/>
      </w:rPr>
      <w:t xml:space="preserve">Page </w:t>
    </w:r>
    <w:r w:rsidRPr="00C908AC">
      <w:rPr>
        <w:rFonts w:ascii="Arial" w:eastAsia="Calibri" w:hAnsi="Arial" w:cs="Arial"/>
        <w:sz w:val="16"/>
        <w:szCs w:val="16"/>
        <w:bdr w:val="nil"/>
        <w:lang w:val="en-US"/>
      </w:rPr>
      <w:fldChar w:fldCharType="begin"/>
    </w:r>
    <w:r w:rsidRPr="00C908AC">
      <w:rPr>
        <w:rFonts w:ascii="Arial" w:eastAsia="Calibri" w:hAnsi="Arial" w:cs="Arial"/>
        <w:sz w:val="16"/>
        <w:szCs w:val="16"/>
        <w:lang w:val="en-US"/>
      </w:rPr>
      <w:instrText xml:space="preserve"> PAGE  \* Arabic  \* MERGEFORMAT </w:instrText>
    </w:r>
    <w:r w:rsidRPr="00C908AC">
      <w:rPr>
        <w:rFonts w:ascii="Arial" w:eastAsia="Calibri" w:hAnsi="Arial" w:cs="Arial"/>
        <w:sz w:val="16"/>
        <w:szCs w:val="16"/>
        <w:bdr w:val="nil"/>
        <w:lang w:val="en-US"/>
      </w:rPr>
      <w:fldChar w:fldCharType="separate"/>
    </w:r>
    <w:r w:rsidRPr="00C908AC">
      <w:rPr>
        <w:rFonts w:ascii="Arial" w:eastAsia="Calibri" w:hAnsi="Arial" w:cs="Arial"/>
        <w:sz w:val="16"/>
        <w:szCs w:val="16"/>
        <w:lang w:val="en-US"/>
      </w:rPr>
      <w:t>5</w:t>
    </w:r>
    <w:r w:rsidRPr="00C908AC">
      <w:rPr>
        <w:rFonts w:ascii="Arial" w:eastAsia="Calibri" w:hAnsi="Arial" w:cs="Arial"/>
        <w:sz w:val="16"/>
        <w:szCs w:val="16"/>
        <w:bdr w:val="nil"/>
        <w:lang w:val="en-US"/>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B5D40" w14:textId="323F3485" w:rsidR="00FD1E19" w:rsidRDefault="00FD1E19">
    <w:pPr>
      <w:pBdr>
        <w:top w:val="nil"/>
        <w:left w:val="nil"/>
        <w:bottom w:val="nil"/>
        <w:right w:val="nil"/>
        <w:between w:val="nil"/>
        <w:bar w:val="nil"/>
      </w:pBdr>
      <w:spacing w:before="120" w:after="120"/>
      <w:ind w:left="431" w:hanging="431"/>
      <w:jc w:val="both"/>
      <w:rPr>
        <w:rFonts w:ascii="Calibri" w:eastAsia="Calibri" w:hAnsi="Calibri" w:cs="Arial"/>
        <w:bdr w:val="nil"/>
        <w:lang w:val="en-US"/>
      </w:rP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3B4E5" w14:textId="77777777" w:rsidR="00FD1E19" w:rsidRPr="00C908AC" w:rsidRDefault="00FD1E19" w:rsidP="00C908AC">
    <w:pPr>
      <w:pBdr>
        <w:top w:val="nil"/>
        <w:left w:val="nil"/>
        <w:bottom w:val="nil"/>
        <w:right w:val="nil"/>
        <w:between w:val="nil"/>
        <w:bar w:val="nil"/>
      </w:pBdr>
      <w:spacing w:after="200" w:line="276" w:lineRule="auto"/>
      <w:jc w:val="right"/>
      <w:rPr>
        <w:rFonts w:ascii="Arial" w:eastAsia="Calibri" w:hAnsi="Arial" w:cs="Arial"/>
        <w:sz w:val="16"/>
        <w:szCs w:val="16"/>
        <w:bdr w:val="nil"/>
        <w:lang w:val="en-US"/>
      </w:rPr>
    </w:pPr>
    <w:r w:rsidRPr="00C908AC">
      <w:rPr>
        <w:rFonts w:ascii="Arial" w:eastAsia="Calibri" w:hAnsi="Arial" w:cs="Arial"/>
        <w:sz w:val="16"/>
        <w:szCs w:val="16"/>
        <w:lang w:val="en-US"/>
      </w:rPr>
      <w:t xml:space="preserve">Page </w:t>
    </w:r>
    <w:r w:rsidRPr="00C908AC">
      <w:rPr>
        <w:rFonts w:ascii="Arial" w:eastAsia="Calibri" w:hAnsi="Arial" w:cs="Arial"/>
        <w:sz w:val="16"/>
        <w:szCs w:val="16"/>
        <w:bdr w:val="nil"/>
        <w:lang w:val="en-US"/>
      </w:rPr>
      <w:fldChar w:fldCharType="begin"/>
    </w:r>
    <w:r w:rsidRPr="00C908AC">
      <w:rPr>
        <w:rFonts w:ascii="Arial" w:eastAsia="Calibri" w:hAnsi="Arial" w:cs="Arial"/>
        <w:sz w:val="16"/>
        <w:szCs w:val="16"/>
        <w:lang w:val="en-US"/>
      </w:rPr>
      <w:instrText xml:space="preserve"> PAGE  \* Arabic  \* MERGEFORMAT </w:instrText>
    </w:r>
    <w:r w:rsidRPr="00C908AC">
      <w:rPr>
        <w:rFonts w:ascii="Arial" w:eastAsia="Calibri" w:hAnsi="Arial" w:cs="Arial"/>
        <w:sz w:val="16"/>
        <w:szCs w:val="16"/>
        <w:bdr w:val="nil"/>
        <w:lang w:val="en-US"/>
      </w:rPr>
      <w:fldChar w:fldCharType="separate"/>
    </w:r>
    <w:r w:rsidRPr="00C908AC">
      <w:rPr>
        <w:rFonts w:ascii="Arial" w:eastAsia="Calibri" w:hAnsi="Arial" w:cs="Arial"/>
        <w:sz w:val="16"/>
        <w:szCs w:val="16"/>
        <w:lang w:val="en-US"/>
      </w:rPr>
      <w:t>5</w:t>
    </w:r>
    <w:r w:rsidRPr="00C908AC">
      <w:rPr>
        <w:rFonts w:ascii="Arial" w:eastAsia="Calibri" w:hAnsi="Arial" w:cs="Arial"/>
        <w:sz w:val="16"/>
        <w:szCs w:val="16"/>
        <w:bdr w:val="nil"/>
        <w:lang w:val="en-US"/>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896D7" w14:textId="77777777" w:rsidR="00FD1E19" w:rsidRDefault="00FD1E19">
    <w:pPr>
      <w:pBdr>
        <w:top w:val="nil"/>
        <w:left w:val="nil"/>
        <w:bottom w:val="nil"/>
        <w:right w:val="nil"/>
        <w:between w:val="nil"/>
        <w:bar w:val="nil"/>
      </w:pBdr>
      <w:rPr>
        <w:bdr w:val="ni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E5DF29" w14:textId="77777777" w:rsidR="00FD1E19" w:rsidRDefault="00FD1E19" w:rsidP="00FD1E19">
      <w:pPr>
        <w:spacing w:after="0" w:line="240" w:lineRule="auto"/>
      </w:pPr>
      <w:r>
        <w:separator/>
      </w:r>
    </w:p>
  </w:footnote>
  <w:footnote w:type="continuationSeparator" w:id="0">
    <w:p w14:paraId="5F3D2669" w14:textId="77777777" w:rsidR="00FD1E19" w:rsidRDefault="00FD1E19" w:rsidP="00FD1E19">
      <w:pPr>
        <w:spacing w:after="0" w:line="240" w:lineRule="auto"/>
      </w:pPr>
      <w:r>
        <w:continuationSeparator/>
      </w:r>
    </w:p>
  </w:footnote>
  <w:footnote w:id="1">
    <w:p w14:paraId="6CFEE796" w14:textId="77777777" w:rsidR="00FD1E19" w:rsidRPr="00CB0E82" w:rsidRDefault="00FD1E19" w:rsidP="00FD1E19">
      <w:pPr>
        <w:pStyle w:val="FootnoteText"/>
        <w:rPr>
          <w:lang w:val="en-IE"/>
        </w:rPr>
      </w:pPr>
      <w:r>
        <w:rPr>
          <w:rStyle w:val="FootnoteReference"/>
        </w:rPr>
        <w:footnoteRef/>
      </w:r>
      <w:r>
        <w:t xml:space="preserve"> </w:t>
      </w:r>
      <w:r w:rsidRPr="00B22686">
        <w:rPr>
          <w:rFonts w:ascii="Verdana" w:hAnsi="Verdana"/>
          <w:noProof/>
          <w:sz w:val="14"/>
          <w:szCs w:val="14"/>
          <w:lang w:val="en-IE"/>
        </w:rPr>
        <w:t>OJ L 83, 1.4.2003, p. 27.</w:t>
      </w:r>
    </w:p>
  </w:footnote>
  <w:footnote w:id="2">
    <w:p w14:paraId="0A076626" w14:textId="77777777" w:rsidR="00FD1E19" w:rsidRPr="00EF46F0" w:rsidRDefault="00FD1E19" w:rsidP="00FD1E19">
      <w:pPr>
        <w:pStyle w:val="FootnoteText"/>
        <w:rPr>
          <w:sz w:val="14"/>
          <w:szCs w:val="14"/>
          <w:lang w:val="en-IE"/>
        </w:rPr>
      </w:pPr>
      <w:r w:rsidRPr="00EF46F0">
        <w:rPr>
          <w:rStyle w:val="FootnoteReference"/>
          <w:sz w:val="14"/>
          <w:szCs w:val="14"/>
        </w:rPr>
        <w:footnoteRef/>
      </w:r>
      <w:r w:rsidRPr="00EF46F0">
        <w:rPr>
          <w:sz w:val="14"/>
          <w:szCs w:val="14"/>
        </w:rPr>
        <w:t xml:space="preserve"> In accordance with Article 53 of the Financial Regulation applicable to the 11th European Development Fund, the treasury is presented in the balance sheet of the 11</w:t>
      </w:r>
      <w:r w:rsidRPr="00EF46F0">
        <w:rPr>
          <w:sz w:val="14"/>
          <w:szCs w:val="14"/>
          <w:vertAlign w:val="superscript"/>
        </w:rPr>
        <w:t>th</w:t>
      </w:r>
      <w:r w:rsidRPr="00EF46F0">
        <w:rPr>
          <w:sz w:val="14"/>
          <w:szCs w:val="14"/>
        </w:rPr>
        <w:t xml:space="preserve"> EDF. The nature of the various bank accounts is outlined in </w:t>
      </w:r>
      <w:r>
        <w:rPr>
          <w:sz w:val="14"/>
          <w:szCs w:val="14"/>
        </w:rPr>
        <w:t>C</w:t>
      </w:r>
      <w:r w:rsidRPr="00EF46F0">
        <w:rPr>
          <w:sz w:val="14"/>
          <w:szCs w:val="14"/>
        </w:rPr>
        <w:t>hapter 5, Financial Risk Management.</w:t>
      </w:r>
    </w:p>
  </w:footnote>
  <w:footnote w:id="3">
    <w:p w14:paraId="58E66EA2" w14:textId="77777777" w:rsidR="00FD1E19" w:rsidRPr="0076484F" w:rsidRDefault="00FD1E19" w:rsidP="00FD1E19">
      <w:pPr>
        <w:pStyle w:val="FootnoteText"/>
        <w:ind w:left="142" w:hanging="142"/>
        <w:rPr>
          <w:rFonts w:ascii="Verdana" w:hAnsi="Verdana"/>
          <w:sz w:val="14"/>
          <w:szCs w:val="14"/>
          <w:lang w:val="en-US"/>
        </w:rPr>
      </w:pPr>
      <w:r w:rsidRPr="0076484F">
        <w:rPr>
          <w:rStyle w:val="FootnoteReference"/>
          <w:rFonts w:ascii="Verdana" w:hAnsi="Verdana"/>
          <w:sz w:val="14"/>
          <w:szCs w:val="14"/>
        </w:rPr>
        <w:footnoteRef/>
      </w:r>
      <w:r w:rsidRPr="0076484F">
        <w:rPr>
          <w:rFonts w:ascii="Verdana" w:hAnsi="Verdana"/>
          <w:sz w:val="14"/>
          <w:szCs w:val="14"/>
        </w:rPr>
        <w:t xml:space="preserve"> </w:t>
      </w:r>
      <w:r w:rsidRPr="00D11511">
        <w:rPr>
          <w:rFonts w:ascii="Verdana" w:hAnsi="Verdana"/>
          <w:sz w:val="14"/>
          <w:szCs w:val="14"/>
        </w:rPr>
        <w:t>Regulation (EU, Euratom) 2024/2509 of the European Parliament and of the Council of 23 September 2024 on the financial rules applicable to the general budget of the Union (recast).</w:t>
      </w:r>
    </w:p>
  </w:footnote>
  <w:footnote w:id="4">
    <w:p w14:paraId="1B2F2AD9" w14:textId="77777777" w:rsidR="00FD1E19" w:rsidRPr="009A3BDC" w:rsidRDefault="00FD1E19" w:rsidP="00FD1E19">
      <w:pPr>
        <w:pStyle w:val="FootnoteText"/>
        <w:ind w:left="142" w:hanging="142"/>
        <w:rPr>
          <w:sz w:val="14"/>
          <w:szCs w:val="14"/>
        </w:rPr>
      </w:pPr>
      <w:r w:rsidRPr="0076484F">
        <w:rPr>
          <w:rStyle w:val="FootnoteReference"/>
          <w:rFonts w:ascii="Verdana" w:hAnsi="Verdana"/>
          <w:sz w:val="14"/>
          <w:szCs w:val="14"/>
        </w:rPr>
        <w:footnoteRef/>
      </w:r>
      <w:r w:rsidRPr="0076484F">
        <w:rPr>
          <w:rFonts w:ascii="Verdana" w:hAnsi="Verdana"/>
          <w:sz w:val="14"/>
          <w:szCs w:val="14"/>
        </w:rPr>
        <w:t xml:space="preserve"> </w:t>
      </w:r>
      <w:r w:rsidRPr="00F526F2">
        <w:rPr>
          <w:rFonts w:ascii="Verdana" w:hAnsi="Verdana"/>
          <w:sz w:val="14"/>
          <w:szCs w:val="14"/>
        </w:rPr>
        <w:t>Council Regulation (EU) 2018/1877 of 26 November 2018 on the financial regulation applicable to the 11th European Development Fund, and repealing Regulation (EU) 2015/323</w:t>
      </w:r>
      <w:r w:rsidRPr="0076484F">
        <w:rPr>
          <w:rFonts w:ascii="Verdana" w:hAnsi="Verdana"/>
          <w:sz w:val="14"/>
          <w:szCs w:val="14"/>
        </w:rPr>
        <w:t>.</w:t>
      </w:r>
    </w:p>
  </w:footnote>
  <w:footnote w:id="5">
    <w:p w14:paraId="7B8B932E" w14:textId="77777777" w:rsidR="00FD1E19" w:rsidRPr="002D4ED2" w:rsidRDefault="00FD1E19" w:rsidP="00FD1E19">
      <w:pPr>
        <w:pStyle w:val="FootnoteText"/>
        <w:ind w:left="142" w:hanging="142"/>
        <w:rPr>
          <w:sz w:val="14"/>
          <w:szCs w:val="14"/>
          <w:lang w:val="en-US"/>
        </w:rPr>
      </w:pPr>
      <w:r w:rsidRPr="002D4ED2">
        <w:rPr>
          <w:rStyle w:val="FootnoteReference"/>
          <w:sz w:val="14"/>
          <w:szCs w:val="14"/>
        </w:rPr>
        <w:footnoteRef/>
      </w:r>
      <w:r w:rsidRPr="002D4ED2">
        <w:rPr>
          <w:sz w:val="14"/>
          <w:szCs w:val="14"/>
        </w:rPr>
        <w:t xml:space="preserve"> Regulation (EU, Euratom) 2024/2509 of the European Parliament and of the Council of 23 September 2024 on the financial rules applicable to the general budget of the Union (recast).</w:t>
      </w:r>
    </w:p>
  </w:footnote>
  <w:footnote w:id="6">
    <w:p w14:paraId="349A4F70" w14:textId="77777777" w:rsidR="00FD1E19" w:rsidRPr="00B274C0" w:rsidRDefault="00FD1E19" w:rsidP="00FD1E19">
      <w:pPr>
        <w:pStyle w:val="FootnoteText"/>
        <w:ind w:left="142" w:hanging="142"/>
        <w:rPr>
          <w:lang w:val="en-US"/>
        </w:rPr>
      </w:pPr>
      <w:r w:rsidRPr="002D4ED2">
        <w:rPr>
          <w:rStyle w:val="FootnoteReference"/>
          <w:sz w:val="14"/>
          <w:szCs w:val="14"/>
        </w:rPr>
        <w:footnoteRef/>
      </w:r>
      <w:r w:rsidRPr="002D4ED2">
        <w:rPr>
          <w:sz w:val="14"/>
          <w:szCs w:val="14"/>
        </w:rPr>
        <w:t xml:space="preserve"> Council regulation (EU) 2018/1877 of 26 November 2018 on the financial regulation applicable to the 11th European Development Fund, and repealing Regulation (EU) 2015/323.</w:t>
      </w:r>
    </w:p>
  </w:footnote>
  <w:footnote w:id="7">
    <w:p w14:paraId="1EE63BC1"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Verdana" w:hAnsi="Verdana"/>
          <w:color w:val="000000" w:themeColor="text1"/>
          <w:sz w:val="14"/>
          <w:szCs w:val="14"/>
          <w:lang w:val="de-DE"/>
        </w:rPr>
        <w:t>T05-EUTF-SAH-GH-02</w:t>
      </w:r>
      <w:r>
        <w:rPr>
          <w:rFonts w:ascii="Verdana" w:eastAsia="Verdana" w:hAnsi="Verdana"/>
          <w:color w:val="000000" w:themeColor="text1"/>
          <w:sz w:val="14"/>
          <w:szCs w:val="14"/>
          <w:lang w:val="de-DE"/>
        </w:rPr>
        <w:t>.</w:t>
      </w:r>
    </w:p>
  </w:footnote>
  <w:footnote w:id="8">
    <w:p w14:paraId="018F1A35"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Verdana" w:hAnsi="Verdana"/>
          <w:color w:val="000000" w:themeColor="text1"/>
          <w:sz w:val="14"/>
          <w:szCs w:val="14"/>
          <w:lang w:val="de-DE"/>
        </w:rPr>
        <w:t>T05-EUTF-SAH-SN-04</w:t>
      </w:r>
      <w:r>
        <w:rPr>
          <w:rFonts w:ascii="Verdana" w:eastAsia="Verdana" w:hAnsi="Verdana"/>
          <w:color w:val="000000" w:themeColor="text1"/>
          <w:sz w:val="14"/>
          <w:szCs w:val="14"/>
          <w:lang w:val="de-DE"/>
        </w:rPr>
        <w:t>.</w:t>
      </w:r>
    </w:p>
  </w:footnote>
  <w:footnote w:id="9">
    <w:p w14:paraId="69ED147B"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Verdana" w:hAnsi="Verdana"/>
          <w:color w:val="000000" w:themeColor="text1"/>
          <w:sz w:val="14"/>
          <w:szCs w:val="14"/>
          <w:lang w:val="de-DE"/>
        </w:rPr>
        <w:t>T05-EUTF-SAH-GN-01</w:t>
      </w:r>
      <w:r>
        <w:rPr>
          <w:rFonts w:ascii="Verdana" w:eastAsia="Verdana" w:hAnsi="Verdana"/>
          <w:color w:val="000000" w:themeColor="text1"/>
          <w:sz w:val="14"/>
          <w:szCs w:val="14"/>
          <w:lang w:val="de-DE"/>
        </w:rPr>
        <w:t>.</w:t>
      </w:r>
    </w:p>
  </w:footnote>
  <w:footnote w:id="10">
    <w:p w14:paraId="4737997C"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Verdana" w:hAnsi="Verdana"/>
          <w:color w:val="000000" w:themeColor="text1"/>
          <w:sz w:val="14"/>
          <w:szCs w:val="14"/>
          <w:lang w:val="de-DE"/>
        </w:rPr>
        <w:t>T05-EUTF-SAH-REG-15</w:t>
      </w:r>
      <w:r>
        <w:rPr>
          <w:rFonts w:ascii="Verdana" w:eastAsia="Verdana" w:hAnsi="Verdana"/>
          <w:color w:val="000000" w:themeColor="text1"/>
          <w:sz w:val="14"/>
          <w:szCs w:val="14"/>
          <w:lang w:val="de-DE"/>
        </w:rPr>
        <w:t>.</w:t>
      </w:r>
    </w:p>
  </w:footnote>
  <w:footnote w:id="11">
    <w:p w14:paraId="3B081771"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Verdana" w:hAnsi="Verdana"/>
          <w:color w:val="000000" w:themeColor="text1"/>
          <w:sz w:val="14"/>
          <w:szCs w:val="14"/>
          <w:lang w:val="de-DE"/>
        </w:rPr>
        <w:t>T05-EUTF-SAH-GH-02</w:t>
      </w:r>
      <w:r>
        <w:rPr>
          <w:rFonts w:ascii="Verdana" w:eastAsia="Verdana" w:hAnsi="Verdana"/>
          <w:color w:val="000000" w:themeColor="text1"/>
          <w:sz w:val="14"/>
          <w:szCs w:val="14"/>
          <w:lang w:val="de-DE"/>
        </w:rPr>
        <w:t>.</w:t>
      </w:r>
    </w:p>
  </w:footnote>
  <w:footnote w:id="12">
    <w:p w14:paraId="40782B62"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Verdana" w:hAnsi="Verdana"/>
          <w:color w:val="000000" w:themeColor="text1"/>
          <w:sz w:val="14"/>
          <w:szCs w:val="14"/>
          <w:lang w:val="de-DE"/>
        </w:rPr>
        <w:t>T05-</w:t>
      </w:r>
      <w:r w:rsidRPr="005436A2">
        <w:rPr>
          <w:rFonts w:ascii="Verdana" w:eastAsia="Verdana" w:hAnsi="Verdana"/>
          <w:color w:val="000000" w:themeColor="text1"/>
          <w:sz w:val="14"/>
          <w:szCs w:val="14"/>
          <w:lang w:val="de"/>
        </w:rPr>
        <w:t xml:space="preserve"> T05-EUTF-SAH-BF-08</w:t>
      </w:r>
      <w:r>
        <w:rPr>
          <w:rFonts w:ascii="Verdana" w:eastAsia="Verdana" w:hAnsi="Verdana"/>
          <w:color w:val="000000" w:themeColor="text1"/>
          <w:sz w:val="14"/>
          <w:szCs w:val="14"/>
          <w:lang w:val="de"/>
        </w:rPr>
        <w:t>.</w:t>
      </w:r>
    </w:p>
  </w:footnote>
  <w:footnote w:id="13">
    <w:p w14:paraId="5D252691"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Arial" w:hAnsi="Verdana"/>
          <w:color w:val="000000" w:themeColor="text1"/>
          <w:sz w:val="14"/>
          <w:szCs w:val="14"/>
          <w:lang w:val="de-DE"/>
        </w:rPr>
        <w:t>T05-EUTF-SAH-REG-18</w:t>
      </w:r>
      <w:r>
        <w:rPr>
          <w:rFonts w:ascii="Verdana" w:eastAsia="Arial" w:hAnsi="Verdana"/>
          <w:color w:val="000000" w:themeColor="text1"/>
          <w:sz w:val="14"/>
          <w:szCs w:val="14"/>
          <w:lang w:val="de-DE"/>
        </w:rPr>
        <w:t>.</w:t>
      </w:r>
    </w:p>
  </w:footnote>
  <w:footnote w:id="14">
    <w:p w14:paraId="75456BF4" w14:textId="77777777" w:rsidR="00FD1E19" w:rsidRPr="0008629A" w:rsidRDefault="00FD1E19" w:rsidP="00FD1E19">
      <w:pPr>
        <w:pStyle w:val="FootnoteText"/>
        <w:ind w:left="170" w:hanging="170"/>
        <w:rPr>
          <w:rFonts w:ascii="Verdana" w:hAnsi="Verdana"/>
          <w:sz w:val="14"/>
          <w:szCs w:val="14"/>
          <w:lang w:val="de-DE"/>
        </w:rPr>
      </w:pPr>
      <w:r w:rsidRPr="005436A2">
        <w:rPr>
          <w:rStyle w:val="FootnoteReference"/>
          <w:rFonts w:ascii="Verdana" w:hAnsi="Verdana"/>
          <w:sz w:val="14"/>
          <w:szCs w:val="14"/>
        </w:rPr>
        <w:footnoteRef/>
      </w:r>
      <w:r>
        <w:rPr>
          <w:rFonts w:ascii="Verdana" w:hAnsi="Verdana"/>
          <w:sz w:val="14"/>
          <w:szCs w:val="14"/>
          <w:lang w:val="de-DE"/>
        </w:rPr>
        <w:tab/>
      </w:r>
      <w:r w:rsidRPr="0008629A">
        <w:rPr>
          <w:rFonts w:ascii="Verdana" w:eastAsia="Verdana" w:hAnsi="Verdana"/>
          <w:color w:val="000000" w:themeColor="text1"/>
          <w:sz w:val="14"/>
          <w:szCs w:val="14"/>
          <w:lang w:val="de-DE"/>
        </w:rPr>
        <w:t>T05-EUTF-SAH-NE-08</w:t>
      </w:r>
      <w:r>
        <w:rPr>
          <w:rFonts w:ascii="Verdana" w:eastAsia="Verdana" w:hAnsi="Verdana"/>
          <w:color w:val="000000" w:themeColor="text1"/>
          <w:sz w:val="14"/>
          <w:szCs w:val="14"/>
          <w:lang w:val="de-DE"/>
        </w:rPr>
        <w:t>.</w:t>
      </w:r>
    </w:p>
  </w:footnote>
  <w:footnote w:id="15">
    <w:p w14:paraId="034B6355" w14:textId="77777777" w:rsidR="00FD1E19" w:rsidRPr="005436A2" w:rsidRDefault="00FD1E19" w:rsidP="00FD1E19">
      <w:pPr>
        <w:pStyle w:val="FootnoteText"/>
        <w:ind w:left="170" w:hanging="170"/>
        <w:rPr>
          <w:rFonts w:ascii="Verdana" w:hAnsi="Verdana"/>
          <w:sz w:val="14"/>
          <w:szCs w:val="14"/>
          <w:lang w:val="en-IE"/>
        </w:rPr>
      </w:pPr>
      <w:r w:rsidRPr="005436A2">
        <w:rPr>
          <w:rStyle w:val="FootnoteReference"/>
          <w:rFonts w:ascii="Verdana" w:hAnsi="Verdana"/>
          <w:sz w:val="14"/>
          <w:szCs w:val="14"/>
        </w:rPr>
        <w:footnoteRef/>
      </w:r>
      <w:r>
        <w:rPr>
          <w:rFonts w:ascii="Verdana" w:hAnsi="Verdana"/>
          <w:sz w:val="14"/>
          <w:szCs w:val="14"/>
        </w:rPr>
        <w:tab/>
      </w:r>
      <w:r w:rsidRPr="005436A2">
        <w:rPr>
          <w:rFonts w:ascii="Verdana" w:eastAsia="Verdana" w:hAnsi="Verdana"/>
          <w:color w:val="000000" w:themeColor="text1"/>
          <w:sz w:val="14"/>
          <w:szCs w:val="14"/>
        </w:rPr>
        <w:t>T05-EUTF-SAH-NE-10</w:t>
      </w:r>
      <w:r>
        <w:rPr>
          <w:rFonts w:ascii="Verdana" w:eastAsia="Verdana" w:hAnsi="Verdana"/>
          <w:color w:val="000000" w:themeColor="text1"/>
          <w:sz w:val="14"/>
          <w:szCs w:val="14"/>
        </w:rPr>
        <w:t>.</w:t>
      </w:r>
    </w:p>
  </w:footnote>
  <w:footnote w:id="16">
    <w:p w14:paraId="7E2E78BC" w14:textId="77777777" w:rsidR="00FD1E19" w:rsidRPr="008C1A8F" w:rsidRDefault="00FD1E19" w:rsidP="00FD1E19">
      <w:pPr>
        <w:pStyle w:val="FootnoteText"/>
        <w:ind w:left="170" w:hanging="170"/>
        <w:rPr>
          <w:lang w:val="en-IE"/>
        </w:rPr>
      </w:pPr>
      <w:r w:rsidRPr="005436A2">
        <w:rPr>
          <w:rStyle w:val="FootnoteReference"/>
          <w:rFonts w:ascii="Verdana" w:hAnsi="Verdana"/>
          <w:sz w:val="14"/>
          <w:szCs w:val="14"/>
        </w:rPr>
        <w:footnoteRef/>
      </w:r>
      <w:r>
        <w:rPr>
          <w:rFonts w:ascii="Verdana" w:hAnsi="Verdana"/>
          <w:sz w:val="14"/>
          <w:szCs w:val="14"/>
        </w:rPr>
        <w:tab/>
      </w:r>
      <w:r w:rsidRPr="005436A2">
        <w:rPr>
          <w:rFonts w:ascii="Verdana" w:hAnsi="Verdana"/>
          <w:sz w:val="14"/>
          <w:szCs w:val="14"/>
        </w:rPr>
        <w:t>Data from NoA MLS Report (covering period from 2017 to 2025).</w:t>
      </w:r>
    </w:p>
  </w:footnote>
  <w:footnote w:id="17">
    <w:p w14:paraId="57DAC1BA" w14:textId="77777777" w:rsidR="00FD1E19" w:rsidRPr="007A7EB3" w:rsidRDefault="00FD1E19" w:rsidP="00FD1E19">
      <w:pPr>
        <w:pStyle w:val="FootnoteText"/>
        <w:rPr>
          <w:rFonts w:ascii="Verdana" w:hAnsi="Verdana"/>
          <w:sz w:val="14"/>
          <w:szCs w:val="14"/>
          <w:lang w:val="en-IE"/>
        </w:rPr>
      </w:pPr>
      <w:r w:rsidRPr="007A7EB3">
        <w:rPr>
          <w:rStyle w:val="FootnoteReference"/>
          <w:rFonts w:ascii="Verdana" w:hAnsi="Verdana"/>
          <w:sz w:val="14"/>
          <w:szCs w:val="14"/>
        </w:rPr>
        <w:footnoteRef/>
      </w:r>
      <w:r w:rsidRPr="007A7EB3">
        <w:rPr>
          <w:rFonts w:ascii="Verdana" w:hAnsi="Verdana"/>
          <w:sz w:val="14"/>
          <w:szCs w:val="14"/>
        </w:rPr>
        <w:t xml:space="preserve"> Data from NoA MLS Report (covering period from 2017 to 2025).</w:t>
      </w:r>
    </w:p>
  </w:footnote>
  <w:footnote w:id="18">
    <w:p w14:paraId="7E46F008" w14:textId="77777777" w:rsidR="00FD1E19" w:rsidRPr="00CA055C" w:rsidRDefault="00FD1E19" w:rsidP="00FD1E19">
      <w:pPr>
        <w:pStyle w:val="FootnoteText"/>
        <w:rPr>
          <w:sz w:val="14"/>
          <w:szCs w:val="14"/>
          <w:lang w:val="en-IE"/>
        </w:rPr>
      </w:pPr>
      <w:r w:rsidRPr="00CA055C">
        <w:rPr>
          <w:rStyle w:val="FootnoteReference"/>
          <w:sz w:val="14"/>
          <w:szCs w:val="14"/>
        </w:rPr>
        <w:footnoteRef/>
      </w:r>
      <w:r w:rsidRPr="00CA055C">
        <w:rPr>
          <w:sz w:val="14"/>
          <w:szCs w:val="14"/>
        </w:rPr>
        <w:t xml:space="preserve"> COUNCIL REGULATION (EU) 2018/1877</w:t>
      </w:r>
      <w:r>
        <w:rPr>
          <w:sz w:val="14"/>
          <w:szCs w:val="14"/>
        </w:rPr>
        <w:t>.</w:t>
      </w:r>
    </w:p>
  </w:footnote>
  <w:footnote w:id="19">
    <w:p w14:paraId="02735F97" w14:textId="77777777" w:rsidR="00FD1E19" w:rsidRPr="00556CD4" w:rsidRDefault="00FD1E19" w:rsidP="00FD1E19">
      <w:pPr>
        <w:pStyle w:val="FootnoteText"/>
        <w:rPr>
          <w:lang w:val="en-IE"/>
        </w:rPr>
      </w:pPr>
      <w:r w:rsidRPr="00556CD4">
        <w:rPr>
          <w:rStyle w:val="FootnoteReference"/>
          <w:sz w:val="14"/>
          <w:szCs w:val="14"/>
        </w:rPr>
        <w:footnoteRef/>
      </w:r>
      <w:r w:rsidRPr="00556CD4">
        <w:rPr>
          <w:sz w:val="14"/>
          <w:szCs w:val="14"/>
        </w:rPr>
        <w:t xml:space="preserve"> Except for operations in South Sudan</w:t>
      </w:r>
      <w:r w:rsidRPr="00556CD4">
        <w:rPr>
          <w:rFonts w:ascii="Verdana" w:hAnsi="Verdana"/>
          <w:sz w:val="14"/>
          <w:szCs w:val="14"/>
        </w:rPr>
        <w:t>.</w:t>
      </w:r>
    </w:p>
  </w:footnote>
  <w:footnote w:id="20">
    <w:p w14:paraId="1F26E0ED" w14:textId="77777777" w:rsidR="00FD1E19" w:rsidRPr="00556CD4" w:rsidRDefault="00FD1E19" w:rsidP="00FD1E19">
      <w:pPr>
        <w:pStyle w:val="FootnoteText"/>
        <w:rPr>
          <w:sz w:val="14"/>
          <w:szCs w:val="14"/>
          <w:lang w:val="en-IE"/>
        </w:rPr>
      </w:pPr>
      <w:r w:rsidRPr="00556CD4">
        <w:rPr>
          <w:rStyle w:val="FootnoteReference"/>
          <w:sz w:val="14"/>
          <w:szCs w:val="14"/>
        </w:rPr>
        <w:footnoteRef/>
      </w:r>
      <w:r w:rsidRPr="00556CD4">
        <w:rPr>
          <w:sz w:val="14"/>
          <w:szCs w:val="14"/>
        </w:rPr>
        <w:t xml:space="preserve"> 1.402,57 million bridging facility (Council Decision 2015/0246), EUR 200 million ( Council Decision 2017/1206), EUR 223 million ( Council Decision 2020/1708) EUR 43 million (Council Decision 2021/1941),EUR 42.5 million(Council Decision 2022/2242), EUR 7.8 million (Council Decision 2023/2586) and 6.3 million (Council Decision 2024/2906)</w:t>
      </w:r>
    </w:p>
  </w:footnote>
  <w:footnote w:id="21">
    <w:p w14:paraId="318F9900" w14:textId="77777777" w:rsidR="00FD1E19" w:rsidRPr="00556CD4" w:rsidRDefault="00FD1E19" w:rsidP="00FD1E19">
      <w:pPr>
        <w:pStyle w:val="FootnoteText"/>
        <w:rPr>
          <w:sz w:val="14"/>
          <w:szCs w:val="14"/>
          <w:lang w:val="en-IE"/>
        </w:rPr>
      </w:pPr>
      <w:r w:rsidRPr="00556CD4">
        <w:rPr>
          <w:rStyle w:val="FootnoteReference"/>
          <w:sz w:val="14"/>
          <w:szCs w:val="14"/>
        </w:rPr>
        <w:footnoteRef/>
      </w:r>
      <w:r w:rsidRPr="00556CD4">
        <w:rPr>
          <w:sz w:val="14"/>
          <w:szCs w:val="14"/>
        </w:rPr>
        <w:t xml:space="preserve"> Council Decision (EU) 2025/22324.</w:t>
      </w:r>
    </w:p>
  </w:footnote>
  <w:footnote w:id="22">
    <w:p w14:paraId="6CED689E" w14:textId="77777777" w:rsidR="00FD1E19" w:rsidRPr="007C2D2A" w:rsidRDefault="00FD1E19" w:rsidP="00FD1E19">
      <w:pPr>
        <w:pStyle w:val="FootnoteText"/>
        <w:pBdr>
          <w:top w:val="nil"/>
          <w:left w:val="nil"/>
          <w:bottom w:val="nil"/>
          <w:right w:val="nil"/>
          <w:between w:val="nil"/>
          <w:bar w:val="nil"/>
        </w:pBdr>
        <w:jc w:val="both"/>
        <w:rPr>
          <w:rFonts w:ascii="Arial" w:hAnsi="Arial" w:cs="Arial"/>
          <w:sz w:val="16"/>
          <w:szCs w:val="16"/>
          <w:bdr w:val="nil"/>
        </w:rPr>
      </w:pPr>
      <w:r w:rsidRPr="00BF0BF1">
        <w:rPr>
          <w:rStyle w:val="FootnoteReference"/>
          <w:rFonts w:ascii="Arial" w:hAnsi="Arial" w:cs="Arial"/>
          <w:sz w:val="14"/>
          <w:szCs w:val="14"/>
          <w:bdr w:val="nil"/>
        </w:rPr>
        <w:footnoteRef/>
      </w:r>
      <w:r w:rsidRPr="007C2D2A">
        <w:rPr>
          <w:rFonts w:ascii="Arial" w:hAnsi="Arial" w:cs="Arial"/>
          <w:sz w:val="16"/>
          <w:szCs w:val="16"/>
        </w:rPr>
        <w:t xml:space="preserve"> </w:t>
      </w:r>
      <w:r w:rsidRPr="00BF0BF1">
        <w:rPr>
          <w:rFonts w:ascii="Arial" w:eastAsia="Calibri" w:hAnsi="Arial" w:cs="Arial"/>
          <w:color w:val="000000"/>
          <w:sz w:val="14"/>
          <w:szCs w:val="14"/>
          <w:bdr w:val="none" w:sz="0" w:space="0" w:color="auto" w:frame="1"/>
          <w:lang w:eastAsia="en-US"/>
        </w:rPr>
        <w:t>Settlement risk is defined as the risk of potential losses due to transactions which remain unsettled after their due delivery date and/or due to transactions that are settled later than the applicable market standard. Due to the nature of the Facilty’s operations, the most relevant instruments affected by settlement risk are those derivatives entered into by the Bank which imply an exchange of foreign currencies. Settlement risk management is covered in the Financial Risk Guidelines.</w:t>
      </w:r>
    </w:p>
  </w:footnote>
  <w:footnote w:id="23">
    <w:p w14:paraId="6AD36A82" w14:textId="77777777" w:rsidR="00FD1E19" w:rsidRDefault="00FD1E19" w:rsidP="00FD1E19">
      <w:pPr>
        <w:pStyle w:val="FootnoteText"/>
        <w:pBdr>
          <w:top w:val="nil"/>
          <w:left w:val="nil"/>
          <w:bottom w:val="nil"/>
          <w:right w:val="nil"/>
          <w:between w:val="nil"/>
          <w:bar w:val="nil"/>
        </w:pBdr>
        <w:rPr>
          <w:bdr w:val="nil"/>
        </w:rPr>
      </w:pPr>
      <w:r>
        <w:rPr>
          <w:rStyle w:val="FootnoteReference"/>
          <w:bdr w:val="nil"/>
        </w:rPr>
        <w:footnoteRef/>
      </w:r>
      <w:r>
        <w:t xml:space="preserve"> </w:t>
      </w:r>
      <w:r w:rsidRPr="00087F0A">
        <w:rPr>
          <w:rFonts w:ascii="Arial" w:hAnsi="Arial" w:cs="Arial"/>
          <w:sz w:val="14"/>
          <w:szCs w:val="14"/>
        </w:rPr>
        <w:t>EBA/RTS/2022/10.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A3540" w14:textId="77777777" w:rsidR="00EE4C2D" w:rsidRPr="00EE4C2D" w:rsidRDefault="00EE4C2D" w:rsidP="00EE4C2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EBD49" w14:textId="77777777" w:rsidR="00EE4C2D" w:rsidRPr="00EE4C2D" w:rsidRDefault="00EE4C2D" w:rsidP="00EE4C2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804BD" w14:textId="77777777" w:rsidR="00EE4C2D" w:rsidRPr="00EE4C2D" w:rsidRDefault="00EE4C2D" w:rsidP="00EE4C2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9B68A" w14:textId="77777777" w:rsidR="00FD1E19" w:rsidRDefault="00FD1E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AE899"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209A0888" w14:textId="77777777" w:rsidR="00FD1E19" w:rsidRPr="004817FD" w:rsidRDefault="00FD1E19" w:rsidP="004817FD">
    <w:pPr>
      <w:pStyle w:val="Header"/>
      <w:tabs>
        <w:tab w:val="center" w:pos="4819"/>
        <w:tab w:val="right" w:pos="9638"/>
      </w:tabs>
      <w:jc w:val="center"/>
      <w:rPr>
        <w:rFonts w:ascii="Verdana" w:hAnsi="Verdana"/>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079C7" w14:textId="4119A88A" w:rsidR="00FD1E19" w:rsidRDefault="00FD1E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F6391"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47BBA31E" w14:textId="77777777" w:rsidR="00FD1E19" w:rsidRPr="004817FD" w:rsidRDefault="00FD1E19" w:rsidP="004817FD">
    <w:pPr>
      <w:pStyle w:val="Header"/>
      <w:tabs>
        <w:tab w:val="center" w:pos="4819"/>
        <w:tab w:val="right" w:pos="9638"/>
      </w:tabs>
      <w:jc w:val="center"/>
      <w:rPr>
        <w:rFonts w:ascii="Verdana" w:hAnsi="Verdana"/>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CDC41"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49DA8C12" w14:textId="77777777" w:rsidR="00FD1E19" w:rsidRPr="004817FD" w:rsidRDefault="00FD1E19" w:rsidP="004817FD">
    <w:pPr>
      <w:pStyle w:val="Header"/>
      <w:tabs>
        <w:tab w:val="center" w:pos="4819"/>
        <w:tab w:val="right" w:pos="9638"/>
      </w:tabs>
      <w:jc w:val="center"/>
      <w:rPr>
        <w:rFonts w:ascii="Verdana" w:hAnsi="Verdana"/>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87014"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70708B33" w14:textId="77777777" w:rsidR="00FD1E19" w:rsidRPr="004817FD" w:rsidRDefault="00FD1E19" w:rsidP="004817FD">
    <w:pPr>
      <w:pStyle w:val="Header"/>
      <w:tabs>
        <w:tab w:val="center" w:pos="4819"/>
        <w:tab w:val="right" w:pos="9638"/>
      </w:tabs>
      <w:jc w:val="center"/>
      <w:rPr>
        <w:rFonts w:ascii="Verdana" w:hAnsi="Verdana"/>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7E4848"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2BA7E15A" w14:textId="77777777" w:rsidR="00FD1E19" w:rsidRPr="004817FD" w:rsidRDefault="00FD1E19" w:rsidP="004817FD">
    <w:pPr>
      <w:pStyle w:val="Header"/>
      <w:tabs>
        <w:tab w:val="center" w:pos="4819"/>
        <w:tab w:val="right" w:pos="9638"/>
      </w:tabs>
      <w:jc w:val="center"/>
      <w:rPr>
        <w:rFonts w:ascii="Verdana" w:hAnsi="Verdana"/>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76D9E"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6964FA8C" w14:textId="77777777" w:rsidR="00FD1E19" w:rsidRPr="004817FD" w:rsidRDefault="00FD1E19" w:rsidP="004817FD">
    <w:pPr>
      <w:pStyle w:val="Header"/>
      <w:tabs>
        <w:tab w:val="center" w:pos="4819"/>
        <w:tab w:val="right" w:pos="9638"/>
      </w:tabs>
      <w:jc w:val="center"/>
      <w:rPr>
        <w:rFonts w:ascii="Verdana" w:hAnsi="Verdana"/>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E117"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4384FE7B" w14:textId="77777777" w:rsidR="00FD1E19" w:rsidRPr="004817FD" w:rsidRDefault="00FD1E19" w:rsidP="004817FD">
    <w:pPr>
      <w:pStyle w:val="Header"/>
      <w:tabs>
        <w:tab w:val="center" w:pos="4819"/>
        <w:tab w:val="right" w:pos="9638"/>
      </w:tabs>
      <w:jc w:val="center"/>
      <w:rPr>
        <w:rFonts w:ascii="Verdana" w:hAnsi="Verdana"/>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EDB82"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4C67D814" w14:textId="77777777" w:rsidR="00FD1E19" w:rsidRPr="004817FD" w:rsidRDefault="00FD1E19" w:rsidP="004817FD">
    <w:pPr>
      <w:pStyle w:val="Header"/>
      <w:tabs>
        <w:tab w:val="center" w:pos="4819"/>
        <w:tab w:val="right" w:pos="9638"/>
      </w:tabs>
      <w:jc w:val="center"/>
      <w:rPr>
        <w:rFonts w:ascii="Verdana" w:hAnsi="Verdana"/>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B0E2F"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42ABCB55" w14:textId="77777777" w:rsidR="00FD1E19" w:rsidRPr="004817FD" w:rsidRDefault="00FD1E19" w:rsidP="004817FD">
    <w:pPr>
      <w:pStyle w:val="Header"/>
      <w:tabs>
        <w:tab w:val="center" w:pos="4819"/>
        <w:tab w:val="right" w:pos="9638"/>
      </w:tabs>
      <w:jc w:val="center"/>
      <w:rPr>
        <w:rFonts w:ascii="Verdana" w:hAnsi="Verdana"/>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80A6F" w14:textId="77777777" w:rsidR="00FD1E19" w:rsidRDefault="00FD1E1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F76EA"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6731F5CD" w14:textId="77777777" w:rsidR="00FD1E19" w:rsidRPr="00FD6F84" w:rsidRDefault="00FD1E19" w:rsidP="00FD6F8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79DF5" w14:textId="77777777" w:rsidR="00FD1E19" w:rsidRDefault="00FD1E19">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D52AF"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04D9C6DD" w14:textId="77777777" w:rsidR="00FD1E19" w:rsidRPr="00FD6F84" w:rsidRDefault="00FD1E19" w:rsidP="00FD6F8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4BB3F"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78804304" w14:textId="77777777" w:rsidR="00FD1E19" w:rsidRPr="00FD6F84" w:rsidRDefault="00FD1E19" w:rsidP="00FD6F8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A6F4F"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0A9D148D" w14:textId="77777777" w:rsidR="00FD1E19" w:rsidRPr="00FD6F84" w:rsidRDefault="00FD1E19" w:rsidP="00FD6F84">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24325" w14:textId="77777777" w:rsidR="00FD1E19" w:rsidRDefault="00FD1E1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839F2D"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4A7E8033" w14:textId="77777777" w:rsidR="00FD1E19" w:rsidRPr="004817FD" w:rsidRDefault="00FD1E19" w:rsidP="004817FD">
    <w:pPr>
      <w:pStyle w:val="Header"/>
      <w:tabs>
        <w:tab w:val="center" w:pos="4819"/>
        <w:tab w:val="right" w:pos="9638"/>
      </w:tabs>
      <w:jc w:val="center"/>
      <w:rPr>
        <w:rFonts w:ascii="Verdana" w:hAnsi="Verdana"/>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6D3C3" w14:textId="77777777" w:rsidR="00FD1E19" w:rsidRDefault="00FD1E1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E15C9"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1BC6ABEB" w14:textId="77777777" w:rsidR="00FD1E19" w:rsidRPr="004817FD" w:rsidRDefault="00FD1E19" w:rsidP="004817FD">
    <w:pPr>
      <w:pStyle w:val="Header"/>
      <w:tabs>
        <w:tab w:val="center" w:pos="4819"/>
        <w:tab w:val="right" w:pos="9638"/>
      </w:tabs>
      <w:jc w:val="center"/>
      <w:rPr>
        <w:rFonts w:ascii="Verdana" w:hAnsi="Verdana"/>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77AEC"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08B37D10" w14:textId="77777777" w:rsidR="00FD1E19" w:rsidRPr="004817FD" w:rsidRDefault="00FD1E19" w:rsidP="004817FD">
    <w:pPr>
      <w:pStyle w:val="Header"/>
      <w:tabs>
        <w:tab w:val="center" w:pos="4819"/>
        <w:tab w:val="right" w:pos="9638"/>
      </w:tabs>
      <w:jc w:val="center"/>
      <w:rPr>
        <w:rFonts w:ascii="Verdana" w:hAnsi="Verdana"/>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5054E"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1F8969A3" w14:textId="77777777" w:rsidR="00FD1E19" w:rsidRPr="004817FD" w:rsidRDefault="00FD1E19" w:rsidP="004817FD">
    <w:pPr>
      <w:pStyle w:val="Header"/>
      <w:tabs>
        <w:tab w:val="center" w:pos="4819"/>
        <w:tab w:val="right" w:pos="9638"/>
      </w:tabs>
      <w:jc w:val="center"/>
      <w:rPr>
        <w:rFonts w:ascii="Verdana" w:hAnsi="Verdana"/>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5D104B"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7B46D4F3" w14:textId="77777777" w:rsidR="00FD1E19" w:rsidRPr="004817FD" w:rsidRDefault="00FD1E19" w:rsidP="004817FD">
    <w:pPr>
      <w:pStyle w:val="Header"/>
      <w:tabs>
        <w:tab w:val="center" w:pos="4819"/>
        <w:tab w:val="right" w:pos="9638"/>
      </w:tabs>
      <w:jc w:val="center"/>
      <w:rPr>
        <w:rFonts w:ascii="Verdana" w:hAnsi="Verdana"/>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F74D1"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41716E30" w14:textId="77777777" w:rsidR="00FD1E19" w:rsidRPr="004817FD" w:rsidRDefault="00FD1E19" w:rsidP="004817FD">
    <w:pPr>
      <w:pStyle w:val="Header"/>
      <w:tabs>
        <w:tab w:val="center" w:pos="4819"/>
        <w:tab w:val="right" w:pos="9638"/>
      </w:tabs>
      <w:jc w:val="center"/>
      <w:rPr>
        <w:rFonts w:ascii="Verdana" w:hAnsi="Verdana"/>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A336A"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17236D89" w14:textId="77777777" w:rsidR="00FD1E19" w:rsidRPr="004817FD" w:rsidRDefault="00FD1E19" w:rsidP="004817FD">
    <w:pPr>
      <w:pStyle w:val="Header"/>
      <w:tabs>
        <w:tab w:val="center" w:pos="4819"/>
        <w:tab w:val="right" w:pos="9638"/>
      </w:tabs>
      <w:jc w:val="center"/>
      <w:rPr>
        <w:rFonts w:ascii="Verdana" w:hAnsi="Verdana"/>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BFF6BA"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1768F16C" w14:textId="77777777" w:rsidR="00FD1E19" w:rsidRPr="004817FD" w:rsidRDefault="00FD1E19" w:rsidP="004817FD">
    <w:pPr>
      <w:pStyle w:val="Header"/>
      <w:tabs>
        <w:tab w:val="center" w:pos="4819"/>
        <w:tab w:val="right" w:pos="9638"/>
      </w:tabs>
      <w:jc w:val="center"/>
      <w:rPr>
        <w:rFonts w:ascii="Verdana" w:hAnsi="Verdana"/>
      </w:rP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E0DA72"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4F624"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6873883C" w14:textId="77777777" w:rsidR="00FD1E19" w:rsidRPr="004817FD" w:rsidRDefault="00FD1E19" w:rsidP="004817FD">
    <w:pPr>
      <w:pStyle w:val="Header"/>
      <w:tabs>
        <w:tab w:val="center" w:pos="4819"/>
        <w:tab w:val="right" w:pos="9638"/>
      </w:tabs>
      <w:jc w:val="center"/>
      <w:rPr>
        <w:rFonts w:ascii="Verdana" w:hAnsi="Verdana"/>
      </w:rP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7006F"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1CA4BB" w14:textId="77777777" w:rsidR="00FD1E19" w:rsidRDefault="00FD1E1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4AC3C"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75D41" w14:textId="77777777" w:rsidR="00FD1E19" w:rsidRDefault="00FD1E1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AB66F"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180A4" w14:textId="77777777" w:rsidR="00FD1E19" w:rsidRDefault="00FD1E19">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EFBE1"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76B1A6E0" w14:textId="77777777" w:rsidR="00FD1E19" w:rsidRPr="00FD6F84" w:rsidRDefault="00FD1E19" w:rsidP="00FD6F84">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DF2CD" w14:textId="77777777" w:rsidR="00FD1E19" w:rsidRDefault="00FD1E1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7F291"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4D32D7"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58A416EE" w14:textId="77777777" w:rsidR="00FD1E19" w:rsidRPr="00FD6F84" w:rsidRDefault="00FD1E19" w:rsidP="00FD6F84">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9163F" w14:textId="77777777" w:rsidR="00FD1E19" w:rsidRDefault="00FD1E19" w:rsidP="00FD6F8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p w14:paraId="61C7377E" w14:textId="77777777" w:rsidR="00FD1E19" w:rsidRPr="00FD6F84" w:rsidRDefault="00FD1E19" w:rsidP="00FD6F84">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52E5A" w14:textId="77777777" w:rsidR="00FD1E19" w:rsidRDefault="00FD1E19">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F9227"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F4AAA" w14:textId="77777777" w:rsidR="00FD1E19" w:rsidRDefault="00FD1E1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BE0ABE" w14:textId="77777777" w:rsidR="00FD1E19" w:rsidRDefault="00FD1E19">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04F80"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19440" w14:textId="77777777" w:rsidR="00FD1E19" w:rsidRDefault="00FD1E1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2CB75B"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8B2B1" w14:textId="77777777" w:rsidR="00FD1E19" w:rsidRDefault="00FD1E1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0B45E"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C57D8" w14:textId="77777777" w:rsidR="00FD1E19" w:rsidRDefault="00FD1E19">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D1A06" w14:textId="77777777" w:rsidR="00FD1E19" w:rsidRDefault="00FD1E1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31AF47"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781340" w14:textId="77777777" w:rsidR="00FD1E19" w:rsidRDefault="00FD1E19">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77A49B"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0012B"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7120B"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477DC4"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E28C5"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A3561"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DC63D"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D1619"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A187D"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04D5C"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BA060E" w14:textId="77777777" w:rsidR="00FD1E19" w:rsidRPr="00FA061A" w:rsidRDefault="00FD1E19" w:rsidP="00FA061A">
    <w:pPr>
      <w:tabs>
        <w:tab w:val="center" w:pos="4819"/>
        <w:tab w:val="right" w:pos="9638"/>
      </w:tabs>
      <w:autoSpaceDE w:val="0"/>
      <w:autoSpaceDN w:val="0"/>
      <w:adjustRightInd w:val="0"/>
      <w:jc w:val="center"/>
      <w:rPr>
        <w:rFonts w:ascii="Verdana" w:hAnsi="Verdana" w:cs="Verdana"/>
        <w:i/>
        <w:iCs/>
        <w:color w:val="016794"/>
        <w:sz w:val="16"/>
        <w:szCs w:val="16"/>
      </w:rP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EB2B4"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r>
      <w:rPr>
        <w:rFonts w:ascii="Arial" w:eastAsia="Calibri" w:hAnsi="Arial" w:cs="Arial"/>
        <w:b/>
        <w:sz w:val="20"/>
        <w:szCs w:val="20"/>
        <w:lang w:val="fr-CH"/>
      </w:rPr>
      <w:t>INVESTMENT FACILITY</w:t>
    </w:r>
  </w:p>
  <w:p w14:paraId="1E8A8879"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C7ACC"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3B805" w14:textId="77777777" w:rsidR="00FD1E19" w:rsidRDefault="00FD1E19">
    <w:pPr>
      <w:pBdr>
        <w:top w:val="nil"/>
        <w:left w:val="nil"/>
        <w:bottom w:val="nil"/>
        <w:right w:val="nil"/>
        <w:between w:val="nil"/>
        <w:bar w:val="nil"/>
      </w:pBdr>
      <w:rPr>
        <w:bdr w:val="nil"/>
      </w:rP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0CE791"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r>
      <w:rPr>
        <w:rFonts w:ascii="Arial" w:eastAsia="Calibri" w:hAnsi="Arial" w:cs="Arial"/>
        <w:b/>
        <w:sz w:val="20"/>
        <w:szCs w:val="20"/>
        <w:lang w:val="fr-CH"/>
      </w:rPr>
      <w:t>INVESTMENT FACILITY</w:t>
    </w:r>
  </w:p>
  <w:p w14:paraId="281C8583"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636C5"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8EDB4" w14:textId="77777777" w:rsidR="00FD1E19" w:rsidRDefault="00FD1E19">
    <w:pPr>
      <w:pBdr>
        <w:top w:val="nil"/>
        <w:left w:val="nil"/>
        <w:bottom w:val="nil"/>
        <w:right w:val="nil"/>
        <w:between w:val="nil"/>
        <w:bar w:val="nil"/>
      </w:pBdr>
      <w:rPr>
        <w:bdr w:val="nil"/>
      </w:rP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41471"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r>
      <w:rPr>
        <w:rFonts w:ascii="Arial" w:eastAsia="Calibri" w:hAnsi="Arial" w:cs="Arial"/>
        <w:b/>
        <w:sz w:val="20"/>
        <w:szCs w:val="20"/>
        <w:lang w:val="fr-CH"/>
      </w:rPr>
      <w:t>INVESTMENT FACILITY</w:t>
    </w:r>
  </w:p>
  <w:p w14:paraId="4E410027"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5AE7B"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E9FD2" w14:textId="77777777" w:rsidR="00FD1E19" w:rsidRDefault="00FD1E19">
    <w:pPr>
      <w:pBdr>
        <w:top w:val="nil"/>
        <w:left w:val="nil"/>
        <w:bottom w:val="nil"/>
        <w:right w:val="nil"/>
        <w:between w:val="nil"/>
        <w:bar w:val="nil"/>
      </w:pBdr>
      <w:rPr>
        <w:bdr w:val="nil"/>
      </w:rP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77E4D"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r>
      <w:rPr>
        <w:rFonts w:ascii="Arial" w:eastAsia="Calibri" w:hAnsi="Arial" w:cs="Arial"/>
        <w:b/>
        <w:sz w:val="20"/>
        <w:szCs w:val="20"/>
        <w:lang w:val="fr-CH"/>
      </w:rPr>
      <w:t>INVESTMENT FACILITY</w:t>
    </w:r>
  </w:p>
  <w:p w14:paraId="06550DCB"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E23E14"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336825" w14:textId="77777777" w:rsidR="00FD1E19" w:rsidRDefault="00FD1E19">
    <w:pPr>
      <w:pBdr>
        <w:top w:val="nil"/>
        <w:left w:val="nil"/>
        <w:bottom w:val="nil"/>
        <w:right w:val="nil"/>
        <w:between w:val="nil"/>
        <w:bar w:val="nil"/>
      </w:pBdr>
      <w:rPr>
        <w:bdr w:val="nil"/>
      </w:rP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C6DC5"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r>
      <w:rPr>
        <w:rFonts w:ascii="Arial" w:eastAsia="Calibri" w:hAnsi="Arial" w:cs="Arial"/>
        <w:b/>
        <w:sz w:val="20"/>
        <w:szCs w:val="20"/>
        <w:lang w:val="fr-CH"/>
      </w:rPr>
      <w:t>INVESTMENT FACILITY</w:t>
    </w:r>
  </w:p>
  <w:p w14:paraId="28CBCFF2"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00193"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0E2B9C" w14:textId="77777777" w:rsidR="00FD1E19" w:rsidRDefault="00FD1E19">
    <w:pPr>
      <w:pBdr>
        <w:top w:val="nil"/>
        <w:left w:val="nil"/>
        <w:bottom w:val="nil"/>
        <w:right w:val="nil"/>
        <w:between w:val="nil"/>
        <w:bar w:val="nil"/>
      </w:pBdr>
      <w:spacing w:before="120" w:after="120"/>
      <w:ind w:left="431" w:hanging="431"/>
      <w:jc w:val="both"/>
      <w:rPr>
        <w:rFonts w:ascii="Calibri" w:eastAsia="Calibri" w:hAnsi="Calibri" w:cs="Arial"/>
        <w:bdr w:val="nil"/>
        <w:lang w:val="en-US"/>
      </w:rP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F18D7"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r>
      <w:rPr>
        <w:rFonts w:ascii="Arial" w:eastAsia="Calibri" w:hAnsi="Arial" w:cs="Arial"/>
        <w:b/>
        <w:sz w:val="20"/>
        <w:szCs w:val="20"/>
        <w:lang w:val="fr-CH"/>
      </w:rPr>
      <w:t>INVESTMENT FACILITY</w:t>
    </w:r>
  </w:p>
  <w:p w14:paraId="5C48E704" w14:textId="77777777" w:rsidR="00FD1E19" w:rsidRDefault="00FD1E19" w:rsidP="005A683A">
    <w:pPr>
      <w:pStyle w:val="Header"/>
      <w:pBdr>
        <w:top w:val="nil"/>
        <w:left w:val="nil"/>
        <w:bottom w:val="nil"/>
        <w:right w:val="nil"/>
        <w:between w:val="nil"/>
        <w:bar w:val="nil"/>
      </w:pBdr>
      <w:jc w:val="center"/>
      <w:rPr>
        <w:rFonts w:ascii="Arial" w:eastAsia="Calibri" w:hAnsi="Arial" w:cs="Arial"/>
        <w:b/>
        <w:sz w:val="20"/>
        <w:szCs w:val="20"/>
        <w:bdr w:val="nil"/>
        <w:lang w:val="fr-CH"/>
      </w:rP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C2355" w14:textId="77777777" w:rsidR="00FD1E19" w:rsidRDefault="00FD1E19" w:rsidP="001205E4">
    <w:pPr>
      <w:tabs>
        <w:tab w:val="center" w:pos="4819"/>
        <w:tab w:val="right" w:pos="9638"/>
      </w:tabs>
      <w:autoSpaceDE w:val="0"/>
      <w:autoSpaceDN w:val="0"/>
      <w:adjustRightInd w:val="0"/>
      <w:jc w:val="center"/>
    </w:pPr>
    <w:r>
      <w:rPr>
        <w:rFonts w:ascii="Verdana" w:hAnsi="Verdana"/>
        <w:i/>
        <w:color w:val="016794"/>
        <w:sz w:val="16"/>
        <w:szCs w:val="14"/>
      </w:rPr>
      <w:t>Annual</w:t>
    </w:r>
    <w:r>
      <w:rPr>
        <w:rFonts w:ascii="Verdana" w:hAnsi="Verdana" w:cs="Verdana"/>
        <w:i/>
        <w:iCs/>
        <w:color w:val="016794"/>
        <w:sz w:val="16"/>
        <w:szCs w:val="16"/>
      </w:rPr>
      <w:t xml:space="preserve"> accounts of the European Development Fund 2025</w:t>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5F8A9" w14:textId="77777777" w:rsidR="00FD1E19" w:rsidRDefault="00FD1E19">
    <w:pPr>
      <w:pBdr>
        <w:top w:val="nil"/>
        <w:left w:val="nil"/>
        <w:bottom w:val="nil"/>
        <w:right w:val="nil"/>
        <w:between w:val="nil"/>
        <w:bar w:val="nil"/>
      </w:pBdr>
      <w:rPr>
        <w:bdr w:val="ni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677EDC18"/>
    <w:lvl w:ilvl="0">
      <w:start w:val="1"/>
      <w:numFmt w:val="decimal"/>
      <w:pStyle w:val="HEADER1Part3"/>
      <w:lvlText w:val="%1."/>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1">
      <w:start w:val="1"/>
      <w:numFmt w:val="decimal"/>
      <w:lvlText w:val="%1.%2."/>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07" w:hanging="907"/>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3">
      <w:start w:val="1"/>
      <w:numFmt w:val="decimal"/>
      <w:lvlText w:val="%1.%2.%3.%4."/>
      <w:lvlJc w:val="left"/>
      <w:pPr>
        <w:ind w:left="907" w:hanging="90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907" w:hanging="907"/>
      </w:pPr>
      <w:rPr>
        <w:rFonts w:hint="default"/>
      </w:rPr>
    </w:lvl>
    <w:lvl w:ilvl="5">
      <w:start w:val="1"/>
      <w:numFmt w:val="lowerRoman"/>
      <w:lvlText w:val="(%6)"/>
      <w:lvlJc w:val="left"/>
      <w:pPr>
        <w:ind w:left="907" w:hanging="907"/>
      </w:pPr>
      <w:rPr>
        <w:rFonts w:hint="default"/>
      </w:rPr>
    </w:lvl>
    <w:lvl w:ilvl="6">
      <w:start w:val="1"/>
      <w:numFmt w:val="decimal"/>
      <w:lvlText w:val="%7."/>
      <w:lvlJc w:val="left"/>
      <w:pPr>
        <w:ind w:left="907" w:hanging="907"/>
      </w:pPr>
      <w:rPr>
        <w:rFonts w:hint="default"/>
      </w:rPr>
    </w:lvl>
    <w:lvl w:ilvl="7">
      <w:start w:val="1"/>
      <w:numFmt w:val="lowerLetter"/>
      <w:lvlText w:val="%8."/>
      <w:lvlJc w:val="left"/>
      <w:pPr>
        <w:ind w:left="907" w:hanging="907"/>
      </w:pPr>
      <w:rPr>
        <w:rFonts w:hint="default"/>
      </w:rPr>
    </w:lvl>
    <w:lvl w:ilvl="8">
      <w:start w:val="1"/>
      <w:numFmt w:val="lowerRoman"/>
      <w:lvlText w:val="%9."/>
      <w:lvlJc w:val="left"/>
      <w:pPr>
        <w:ind w:left="907" w:hanging="907"/>
      </w:pPr>
      <w:rPr>
        <w:rFonts w:hint="default"/>
      </w:rPr>
    </w:lvl>
  </w:abstractNum>
  <w:abstractNum w:abstractNumId="1" w15:restartNumberingAfterBreak="0">
    <w:nsid w:val="00000002"/>
    <w:multiLevelType w:val="hybridMultilevel"/>
    <w:tmpl w:val="675ED66A"/>
    <w:lvl w:ilvl="0" w:tplc="ABD0CC12">
      <w:start w:val="1"/>
      <w:numFmt w:val="lowerLetter"/>
      <w:pStyle w:val="Textstand-alonenumberingLetters"/>
      <w:lvlText w:val="%1)"/>
      <w:lvlJc w:val="left"/>
      <w:pPr>
        <w:ind w:left="720" w:hanging="360"/>
      </w:pPr>
      <w:rPr>
        <w:rFonts w:hint="default"/>
      </w:rPr>
    </w:lvl>
    <w:lvl w:ilvl="1" w:tplc="5D90F792" w:tentative="1">
      <w:start w:val="1"/>
      <w:numFmt w:val="lowerLetter"/>
      <w:lvlText w:val="%2."/>
      <w:lvlJc w:val="left"/>
      <w:pPr>
        <w:ind w:left="1440" w:hanging="360"/>
      </w:pPr>
    </w:lvl>
    <w:lvl w:ilvl="2" w:tplc="55040974" w:tentative="1">
      <w:start w:val="1"/>
      <w:numFmt w:val="lowerRoman"/>
      <w:lvlText w:val="%3."/>
      <w:lvlJc w:val="right"/>
      <w:pPr>
        <w:ind w:left="2160" w:hanging="180"/>
      </w:pPr>
    </w:lvl>
    <w:lvl w:ilvl="3" w:tplc="E604E8C4" w:tentative="1">
      <w:start w:val="1"/>
      <w:numFmt w:val="decimal"/>
      <w:lvlText w:val="%4."/>
      <w:lvlJc w:val="left"/>
      <w:pPr>
        <w:ind w:left="2880" w:hanging="360"/>
      </w:pPr>
    </w:lvl>
    <w:lvl w:ilvl="4" w:tplc="4210E938" w:tentative="1">
      <w:start w:val="1"/>
      <w:numFmt w:val="lowerLetter"/>
      <w:lvlText w:val="%5."/>
      <w:lvlJc w:val="left"/>
      <w:pPr>
        <w:ind w:left="3600" w:hanging="360"/>
      </w:pPr>
    </w:lvl>
    <w:lvl w:ilvl="5" w:tplc="A54853C0" w:tentative="1">
      <w:start w:val="1"/>
      <w:numFmt w:val="lowerRoman"/>
      <w:lvlText w:val="%6."/>
      <w:lvlJc w:val="right"/>
      <w:pPr>
        <w:ind w:left="4320" w:hanging="180"/>
      </w:pPr>
    </w:lvl>
    <w:lvl w:ilvl="6" w:tplc="69AC8CBC" w:tentative="1">
      <w:start w:val="1"/>
      <w:numFmt w:val="decimal"/>
      <w:lvlText w:val="%7."/>
      <w:lvlJc w:val="left"/>
      <w:pPr>
        <w:ind w:left="5040" w:hanging="360"/>
      </w:pPr>
    </w:lvl>
    <w:lvl w:ilvl="7" w:tplc="728E40F6" w:tentative="1">
      <w:start w:val="1"/>
      <w:numFmt w:val="lowerLetter"/>
      <w:lvlText w:val="%8."/>
      <w:lvlJc w:val="left"/>
      <w:pPr>
        <w:ind w:left="5760" w:hanging="360"/>
      </w:pPr>
    </w:lvl>
    <w:lvl w:ilvl="8" w:tplc="B232AD8A" w:tentative="1">
      <w:start w:val="1"/>
      <w:numFmt w:val="lowerRoman"/>
      <w:lvlText w:val="%9."/>
      <w:lvlJc w:val="right"/>
      <w:pPr>
        <w:ind w:left="6480" w:hanging="180"/>
      </w:pPr>
    </w:lvl>
  </w:abstractNum>
  <w:abstractNum w:abstractNumId="2" w15:restartNumberingAfterBreak="0">
    <w:nsid w:val="00000003"/>
    <w:multiLevelType w:val="hybridMultilevel"/>
    <w:tmpl w:val="937694E8"/>
    <w:lvl w:ilvl="0" w:tplc="0222137E">
      <w:start w:val="1"/>
      <w:numFmt w:val="bullet"/>
      <w:lvlText w:val="-"/>
      <w:lvlJc w:val="left"/>
      <w:pPr>
        <w:ind w:left="1080" w:hanging="360"/>
      </w:pPr>
      <w:rPr>
        <w:rFonts w:ascii="Verdana" w:hAnsi="Verdana" w:hint="default"/>
      </w:rPr>
    </w:lvl>
    <w:lvl w:ilvl="1" w:tplc="1ED072DA" w:tentative="1">
      <w:start w:val="1"/>
      <w:numFmt w:val="bullet"/>
      <w:lvlText w:val="o"/>
      <w:lvlJc w:val="left"/>
      <w:pPr>
        <w:ind w:left="1800" w:hanging="360"/>
      </w:pPr>
      <w:rPr>
        <w:rFonts w:ascii="Courier New" w:hAnsi="Courier New" w:cs="Courier New" w:hint="default"/>
      </w:rPr>
    </w:lvl>
    <w:lvl w:ilvl="2" w:tplc="93967742" w:tentative="1">
      <w:start w:val="1"/>
      <w:numFmt w:val="bullet"/>
      <w:lvlText w:val=""/>
      <w:lvlJc w:val="left"/>
      <w:pPr>
        <w:ind w:left="2520" w:hanging="360"/>
      </w:pPr>
      <w:rPr>
        <w:rFonts w:ascii="Wingdings" w:hAnsi="Wingdings" w:hint="default"/>
      </w:rPr>
    </w:lvl>
    <w:lvl w:ilvl="3" w:tplc="8FA64B32" w:tentative="1">
      <w:start w:val="1"/>
      <w:numFmt w:val="bullet"/>
      <w:lvlText w:val=""/>
      <w:lvlJc w:val="left"/>
      <w:pPr>
        <w:ind w:left="3240" w:hanging="360"/>
      </w:pPr>
      <w:rPr>
        <w:rFonts w:ascii="Symbol" w:hAnsi="Symbol" w:hint="default"/>
      </w:rPr>
    </w:lvl>
    <w:lvl w:ilvl="4" w:tplc="342A98DC" w:tentative="1">
      <w:start w:val="1"/>
      <w:numFmt w:val="bullet"/>
      <w:lvlText w:val="o"/>
      <w:lvlJc w:val="left"/>
      <w:pPr>
        <w:ind w:left="3960" w:hanging="360"/>
      </w:pPr>
      <w:rPr>
        <w:rFonts w:ascii="Courier New" w:hAnsi="Courier New" w:cs="Courier New" w:hint="default"/>
      </w:rPr>
    </w:lvl>
    <w:lvl w:ilvl="5" w:tplc="A816E942" w:tentative="1">
      <w:start w:val="1"/>
      <w:numFmt w:val="bullet"/>
      <w:lvlText w:val=""/>
      <w:lvlJc w:val="left"/>
      <w:pPr>
        <w:ind w:left="4680" w:hanging="360"/>
      </w:pPr>
      <w:rPr>
        <w:rFonts w:ascii="Wingdings" w:hAnsi="Wingdings" w:hint="default"/>
      </w:rPr>
    </w:lvl>
    <w:lvl w:ilvl="6" w:tplc="2EC0CEC0" w:tentative="1">
      <w:start w:val="1"/>
      <w:numFmt w:val="bullet"/>
      <w:lvlText w:val=""/>
      <w:lvlJc w:val="left"/>
      <w:pPr>
        <w:ind w:left="5400" w:hanging="360"/>
      </w:pPr>
      <w:rPr>
        <w:rFonts w:ascii="Symbol" w:hAnsi="Symbol" w:hint="default"/>
      </w:rPr>
    </w:lvl>
    <w:lvl w:ilvl="7" w:tplc="3856C5C8" w:tentative="1">
      <w:start w:val="1"/>
      <w:numFmt w:val="bullet"/>
      <w:lvlText w:val="o"/>
      <w:lvlJc w:val="left"/>
      <w:pPr>
        <w:ind w:left="6120" w:hanging="360"/>
      </w:pPr>
      <w:rPr>
        <w:rFonts w:ascii="Courier New" w:hAnsi="Courier New" w:cs="Courier New" w:hint="default"/>
      </w:rPr>
    </w:lvl>
    <w:lvl w:ilvl="8" w:tplc="0B145010"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7CB6E1C4"/>
    <w:lvl w:ilvl="0" w:tplc="9D7400A0">
      <w:start w:val="1"/>
      <w:numFmt w:val="decimal"/>
      <w:pStyle w:val="DGTextstand-alonenumbering"/>
      <w:lvlText w:val="(%1)"/>
      <w:lvlJc w:val="left"/>
      <w:pPr>
        <w:ind w:left="720" w:hanging="360"/>
      </w:pPr>
      <w:rPr>
        <w:rFonts w:hint="default"/>
      </w:rPr>
    </w:lvl>
    <w:lvl w:ilvl="1" w:tplc="7D127E50" w:tentative="1">
      <w:start w:val="1"/>
      <w:numFmt w:val="lowerLetter"/>
      <w:lvlText w:val="%2."/>
      <w:lvlJc w:val="left"/>
      <w:pPr>
        <w:ind w:left="1440" w:hanging="360"/>
      </w:pPr>
    </w:lvl>
    <w:lvl w:ilvl="2" w:tplc="569AAAA2" w:tentative="1">
      <w:start w:val="1"/>
      <w:numFmt w:val="lowerRoman"/>
      <w:lvlText w:val="%3."/>
      <w:lvlJc w:val="right"/>
      <w:pPr>
        <w:ind w:left="2160" w:hanging="180"/>
      </w:pPr>
    </w:lvl>
    <w:lvl w:ilvl="3" w:tplc="99889D32" w:tentative="1">
      <w:start w:val="1"/>
      <w:numFmt w:val="decimal"/>
      <w:lvlText w:val="%4."/>
      <w:lvlJc w:val="left"/>
      <w:pPr>
        <w:ind w:left="2880" w:hanging="360"/>
      </w:pPr>
    </w:lvl>
    <w:lvl w:ilvl="4" w:tplc="016624F0" w:tentative="1">
      <w:start w:val="1"/>
      <w:numFmt w:val="lowerLetter"/>
      <w:lvlText w:val="%5."/>
      <w:lvlJc w:val="left"/>
      <w:pPr>
        <w:ind w:left="3600" w:hanging="360"/>
      </w:pPr>
    </w:lvl>
    <w:lvl w:ilvl="5" w:tplc="59DE2144" w:tentative="1">
      <w:start w:val="1"/>
      <w:numFmt w:val="lowerRoman"/>
      <w:lvlText w:val="%6."/>
      <w:lvlJc w:val="right"/>
      <w:pPr>
        <w:ind w:left="4320" w:hanging="180"/>
      </w:pPr>
    </w:lvl>
    <w:lvl w:ilvl="6" w:tplc="7E18020C" w:tentative="1">
      <w:start w:val="1"/>
      <w:numFmt w:val="decimal"/>
      <w:lvlText w:val="%7."/>
      <w:lvlJc w:val="left"/>
      <w:pPr>
        <w:ind w:left="5040" w:hanging="360"/>
      </w:pPr>
    </w:lvl>
    <w:lvl w:ilvl="7" w:tplc="E25A3116" w:tentative="1">
      <w:start w:val="1"/>
      <w:numFmt w:val="lowerLetter"/>
      <w:lvlText w:val="%8."/>
      <w:lvlJc w:val="left"/>
      <w:pPr>
        <w:ind w:left="5760" w:hanging="360"/>
      </w:pPr>
    </w:lvl>
    <w:lvl w:ilvl="8" w:tplc="6E202664" w:tentative="1">
      <w:start w:val="1"/>
      <w:numFmt w:val="lowerRoman"/>
      <w:lvlText w:val="%9."/>
      <w:lvlJc w:val="right"/>
      <w:pPr>
        <w:ind w:left="6480" w:hanging="180"/>
      </w:pPr>
    </w:lvl>
  </w:abstractNum>
  <w:abstractNum w:abstractNumId="4" w15:restartNumberingAfterBreak="0">
    <w:nsid w:val="00000005"/>
    <w:multiLevelType w:val="multilevel"/>
    <w:tmpl w:val="EA926228"/>
    <w:name w:val="WW8Num5"/>
    <w:lvl w:ilvl="0">
      <w:start w:val="1"/>
      <w:numFmt w:val="decimal"/>
      <w:pStyle w:val="Notes"/>
      <w:lvlText w:val="%1"/>
      <w:lvlJc w:val="left"/>
      <w:pPr>
        <w:tabs>
          <w:tab w:val="num" w:pos="432"/>
        </w:tabs>
        <w:ind w:left="432" w:hanging="432"/>
      </w:pPr>
      <w:rPr>
        <w:rFonts w:hint="default"/>
        <w:lang w:val="en-GB"/>
      </w:rPr>
    </w:lvl>
    <w:lvl w:ilvl="1">
      <w:start w:val="1"/>
      <w:numFmt w:val="decimal"/>
      <w:pStyle w:val="Title11"/>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0000006"/>
    <w:multiLevelType w:val="hybridMultilevel"/>
    <w:tmpl w:val="42FC2B20"/>
    <w:lvl w:ilvl="0" w:tplc="51EC5E02">
      <w:start w:val="1"/>
      <w:numFmt w:val="lowerRoman"/>
      <w:pStyle w:val="TextSubtitlenumberingRCItalic"/>
      <w:lvlText w:val="(%1)"/>
      <w:lvlJc w:val="left"/>
      <w:pPr>
        <w:ind w:left="720" w:hanging="360"/>
      </w:pPr>
      <w:rPr>
        <w:rFonts w:hint="default"/>
      </w:rPr>
    </w:lvl>
    <w:lvl w:ilvl="1" w:tplc="E56E3208" w:tentative="1">
      <w:start w:val="1"/>
      <w:numFmt w:val="lowerLetter"/>
      <w:lvlText w:val="%2."/>
      <w:lvlJc w:val="left"/>
      <w:pPr>
        <w:ind w:left="1440" w:hanging="360"/>
      </w:pPr>
    </w:lvl>
    <w:lvl w:ilvl="2" w:tplc="D9400F76" w:tentative="1">
      <w:start w:val="1"/>
      <w:numFmt w:val="lowerRoman"/>
      <w:lvlText w:val="%3."/>
      <w:lvlJc w:val="right"/>
      <w:pPr>
        <w:ind w:left="2160" w:hanging="180"/>
      </w:pPr>
    </w:lvl>
    <w:lvl w:ilvl="3" w:tplc="A37C782C" w:tentative="1">
      <w:start w:val="1"/>
      <w:numFmt w:val="decimal"/>
      <w:lvlText w:val="%4."/>
      <w:lvlJc w:val="left"/>
      <w:pPr>
        <w:ind w:left="2880" w:hanging="360"/>
      </w:pPr>
    </w:lvl>
    <w:lvl w:ilvl="4" w:tplc="8B74538A" w:tentative="1">
      <w:start w:val="1"/>
      <w:numFmt w:val="lowerLetter"/>
      <w:lvlText w:val="%5."/>
      <w:lvlJc w:val="left"/>
      <w:pPr>
        <w:ind w:left="3600" w:hanging="360"/>
      </w:pPr>
    </w:lvl>
    <w:lvl w:ilvl="5" w:tplc="3706526C" w:tentative="1">
      <w:start w:val="1"/>
      <w:numFmt w:val="lowerRoman"/>
      <w:lvlText w:val="%6."/>
      <w:lvlJc w:val="right"/>
      <w:pPr>
        <w:ind w:left="4320" w:hanging="180"/>
      </w:pPr>
    </w:lvl>
    <w:lvl w:ilvl="6" w:tplc="5BBA6DE8" w:tentative="1">
      <w:start w:val="1"/>
      <w:numFmt w:val="decimal"/>
      <w:lvlText w:val="%7."/>
      <w:lvlJc w:val="left"/>
      <w:pPr>
        <w:ind w:left="5040" w:hanging="360"/>
      </w:pPr>
    </w:lvl>
    <w:lvl w:ilvl="7" w:tplc="E888334C" w:tentative="1">
      <w:start w:val="1"/>
      <w:numFmt w:val="lowerLetter"/>
      <w:lvlText w:val="%8."/>
      <w:lvlJc w:val="left"/>
      <w:pPr>
        <w:ind w:left="5760" w:hanging="360"/>
      </w:pPr>
    </w:lvl>
    <w:lvl w:ilvl="8" w:tplc="757A4E92" w:tentative="1">
      <w:start w:val="1"/>
      <w:numFmt w:val="lowerRoman"/>
      <w:lvlText w:val="%9."/>
      <w:lvlJc w:val="right"/>
      <w:pPr>
        <w:ind w:left="6480" w:hanging="180"/>
      </w:pPr>
    </w:lvl>
  </w:abstractNum>
  <w:abstractNum w:abstractNumId="6" w15:restartNumberingAfterBreak="0">
    <w:nsid w:val="00000007"/>
    <w:multiLevelType w:val="hybridMultilevel"/>
    <w:tmpl w:val="5DD0517A"/>
    <w:lvl w:ilvl="0" w:tplc="C67C346E">
      <w:start w:val="1"/>
      <w:numFmt w:val="lowerRoman"/>
      <w:pStyle w:val="TextstandalonenumberingRCJustified"/>
      <w:lvlText w:val="(%1)"/>
      <w:lvlJc w:val="left"/>
      <w:pPr>
        <w:tabs>
          <w:tab w:val="num" w:pos="0"/>
        </w:tabs>
        <w:ind w:left="1077"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highlight w:val="none"/>
        <w:u w:val="none"/>
        <w:effect w:val="none"/>
        <w:vertAlign w:val="baseline"/>
        <w:rtl w:val="0"/>
        <w:cs w:val="0"/>
        <w:specVanish w:val="0"/>
      </w:rPr>
    </w:lvl>
    <w:lvl w:ilvl="1" w:tplc="A7A4D56E" w:tentative="1">
      <w:start w:val="1"/>
      <w:numFmt w:val="lowerLetter"/>
      <w:lvlText w:val="%2."/>
      <w:lvlJc w:val="left"/>
      <w:pPr>
        <w:ind w:left="1797" w:hanging="360"/>
      </w:pPr>
    </w:lvl>
    <w:lvl w:ilvl="2" w:tplc="9ED49A18" w:tentative="1">
      <w:start w:val="1"/>
      <w:numFmt w:val="lowerRoman"/>
      <w:lvlText w:val="%3."/>
      <w:lvlJc w:val="right"/>
      <w:pPr>
        <w:ind w:left="2517" w:hanging="180"/>
      </w:pPr>
    </w:lvl>
    <w:lvl w:ilvl="3" w:tplc="05DC08B0" w:tentative="1">
      <w:start w:val="1"/>
      <w:numFmt w:val="decimal"/>
      <w:lvlText w:val="%4."/>
      <w:lvlJc w:val="left"/>
      <w:pPr>
        <w:ind w:left="3237" w:hanging="360"/>
      </w:pPr>
    </w:lvl>
    <w:lvl w:ilvl="4" w:tplc="898899BA" w:tentative="1">
      <w:start w:val="1"/>
      <w:numFmt w:val="lowerLetter"/>
      <w:lvlText w:val="%5."/>
      <w:lvlJc w:val="left"/>
      <w:pPr>
        <w:ind w:left="3957" w:hanging="360"/>
      </w:pPr>
    </w:lvl>
    <w:lvl w:ilvl="5" w:tplc="1E9EF91E" w:tentative="1">
      <w:start w:val="1"/>
      <w:numFmt w:val="lowerRoman"/>
      <w:lvlText w:val="%6."/>
      <w:lvlJc w:val="right"/>
      <w:pPr>
        <w:ind w:left="4677" w:hanging="180"/>
      </w:pPr>
    </w:lvl>
    <w:lvl w:ilvl="6" w:tplc="A0880E32" w:tentative="1">
      <w:start w:val="1"/>
      <w:numFmt w:val="decimal"/>
      <w:lvlText w:val="%7."/>
      <w:lvlJc w:val="left"/>
      <w:pPr>
        <w:ind w:left="5397" w:hanging="360"/>
      </w:pPr>
    </w:lvl>
    <w:lvl w:ilvl="7" w:tplc="D2DCED0A" w:tentative="1">
      <w:start w:val="1"/>
      <w:numFmt w:val="lowerLetter"/>
      <w:lvlText w:val="%8."/>
      <w:lvlJc w:val="left"/>
      <w:pPr>
        <w:ind w:left="6117" w:hanging="360"/>
      </w:pPr>
    </w:lvl>
    <w:lvl w:ilvl="8" w:tplc="55CCFEDE" w:tentative="1">
      <w:start w:val="1"/>
      <w:numFmt w:val="lowerRoman"/>
      <w:lvlText w:val="%9."/>
      <w:lvlJc w:val="right"/>
      <w:pPr>
        <w:ind w:left="6837" w:hanging="180"/>
      </w:pPr>
    </w:lvl>
  </w:abstractNum>
  <w:abstractNum w:abstractNumId="7" w15:restartNumberingAfterBreak="0">
    <w:nsid w:val="00000008"/>
    <w:multiLevelType w:val="multilevel"/>
    <w:tmpl w:val="B91604A0"/>
    <w:lvl w:ilvl="0">
      <w:start w:val="1"/>
      <w:numFmt w:val="lowerLetter"/>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00000009"/>
    <w:multiLevelType w:val="hybridMultilevel"/>
    <w:tmpl w:val="87262ED8"/>
    <w:lvl w:ilvl="0" w:tplc="B3F66082">
      <w:start w:val="293"/>
      <w:numFmt w:val="bullet"/>
      <w:lvlText w:val="-"/>
      <w:lvlJc w:val="left"/>
      <w:pPr>
        <w:tabs>
          <w:tab w:val="num" w:pos="720"/>
        </w:tabs>
        <w:ind w:left="720" w:hanging="360"/>
      </w:pPr>
      <w:rPr>
        <w:rFonts w:ascii="Arial" w:hAnsi="Arial" w:cs="Arial" w:hint="default"/>
        <w:b/>
      </w:rPr>
    </w:lvl>
    <w:lvl w:ilvl="1" w:tplc="BF6ACA7A">
      <w:start w:val="1"/>
      <w:numFmt w:val="bullet"/>
      <w:lvlText w:val="o"/>
      <w:lvlJc w:val="left"/>
      <w:pPr>
        <w:tabs>
          <w:tab w:val="num" w:pos="1440"/>
        </w:tabs>
        <w:ind w:left="1440" w:hanging="360"/>
      </w:pPr>
      <w:rPr>
        <w:rFonts w:ascii="Courier New" w:hAnsi="Courier New" w:cs="Courier New" w:hint="default"/>
      </w:rPr>
    </w:lvl>
    <w:lvl w:ilvl="2" w:tplc="1F1E46FE">
      <w:start w:val="1"/>
      <w:numFmt w:val="bullet"/>
      <w:lvlText w:val=""/>
      <w:lvlJc w:val="left"/>
      <w:pPr>
        <w:tabs>
          <w:tab w:val="num" w:pos="2160"/>
        </w:tabs>
        <w:ind w:left="2160" w:hanging="360"/>
      </w:pPr>
      <w:rPr>
        <w:rFonts w:ascii="Wingdings" w:hAnsi="Wingdings" w:hint="default"/>
      </w:rPr>
    </w:lvl>
    <w:lvl w:ilvl="3" w:tplc="08A4E5BC">
      <w:start w:val="1"/>
      <w:numFmt w:val="bullet"/>
      <w:lvlText w:val=""/>
      <w:lvlJc w:val="left"/>
      <w:pPr>
        <w:tabs>
          <w:tab w:val="num" w:pos="2880"/>
        </w:tabs>
        <w:ind w:left="2880" w:hanging="360"/>
      </w:pPr>
      <w:rPr>
        <w:rFonts w:ascii="Symbol" w:hAnsi="Symbol" w:hint="default"/>
      </w:rPr>
    </w:lvl>
    <w:lvl w:ilvl="4" w:tplc="DEAC317C">
      <w:start w:val="1"/>
      <w:numFmt w:val="bullet"/>
      <w:lvlText w:val="o"/>
      <w:lvlJc w:val="left"/>
      <w:pPr>
        <w:tabs>
          <w:tab w:val="num" w:pos="3600"/>
        </w:tabs>
        <w:ind w:left="3600" w:hanging="360"/>
      </w:pPr>
      <w:rPr>
        <w:rFonts w:ascii="Courier New" w:hAnsi="Courier New" w:cs="Courier New" w:hint="default"/>
      </w:rPr>
    </w:lvl>
    <w:lvl w:ilvl="5" w:tplc="AFCEED06">
      <w:start w:val="1"/>
      <w:numFmt w:val="bullet"/>
      <w:lvlText w:val=""/>
      <w:lvlJc w:val="left"/>
      <w:pPr>
        <w:tabs>
          <w:tab w:val="num" w:pos="4320"/>
        </w:tabs>
        <w:ind w:left="4320" w:hanging="360"/>
      </w:pPr>
      <w:rPr>
        <w:rFonts w:ascii="Wingdings" w:hAnsi="Wingdings" w:hint="default"/>
      </w:rPr>
    </w:lvl>
    <w:lvl w:ilvl="6" w:tplc="94C821C8">
      <w:start w:val="1"/>
      <w:numFmt w:val="bullet"/>
      <w:lvlText w:val=""/>
      <w:lvlJc w:val="left"/>
      <w:pPr>
        <w:tabs>
          <w:tab w:val="num" w:pos="5040"/>
        </w:tabs>
        <w:ind w:left="5040" w:hanging="360"/>
      </w:pPr>
      <w:rPr>
        <w:rFonts w:ascii="Symbol" w:hAnsi="Symbol" w:hint="default"/>
      </w:rPr>
    </w:lvl>
    <w:lvl w:ilvl="7" w:tplc="3E0E3020">
      <w:start w:val="1"/>
      <w:numFmt w:val="bullet"/>
      <w:lvlText w:val="o"/>
      <w:lvlJc w:val="left"/>
      <w:pPr>
        <w:tabs>
          <w:tab w:val="num" w:pos="5760"/>
        </w:tabs>
        <w:ind w:left="5760" w:hanging="360"/>
      </w:pPr>
      <w:rPr>
        <w:rFonts w:ascii="Courier New" w:hAnsi="Courier New" w:cs="Courier New" w:hint="default"/>
      </w:rPr>
    </w:lvl>
    <w:lvl w:ilvl="8" w:tplc="A470FD26">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0000010"/>
    <w:multiLevelType w:val="hybridMultilevel"/>
    <w:tmpl w:val="35C41564"/>
    <w:lvl w:ilvl="0" w:tplc="8F900644">
      <w:start w:val="293"/>
      <w:numFmt w:val="bullet"/>
      <w:lvlText w:val="-"/>
      <w:lvlJc w:val="left"/>
      <w:pPr>
        <w:ind w:left="720" w:hanging="360"/>
      </w:pPr>
      <w:rPr>
        <w:rFonts w:ascii="Arial" w:hAnsi="Arial" w:cs="Arial" w:hint="default"/>
      </w:rPr>
    </w:lvl>
    <w:lvl w:ilvl="1" w:tplc="C498881E">
      <w:start w:val="1"/>
      <w:numFmt w:val="bullet"/>
      <w:lvlText w:val="o"/>
      <w:lvlJc w:val="left"/>
      <w:pPr>
        <w:ind w:left="1440" w:hanging="360"/>
      </w:pPr>
      <w:rPr>
        <w:rFonts w:ascii="Courier New" w:hAnsi="Courier New" w:cs="Courier New" w:hint="default"/>
      </w:rPr>
    </w:lvl>
    <w:lvl w:ilvl="2" w:tplc="5FE41506">
      <w:start w:val="1"/>
      <w:numFmt w:val="bullet"/>
      <w:lvlText w:val=""/>
      <w:lvlJc w:val="left"/>
      <w:pPr>
        <w:ind w:left="2160" w:hanging="360"/>
      </w:pPr>
      <w:rPr>
        <w:rFonts w:ascii="Wingdings" w:hAnsi="Wingdings" w:hint="default"/>
      </w:rPr>
    </w:lvl>
    <w:lvl w:ilvl="3" w:tplc="0CCC6128">
      <w:start w:val="1"/>
      <w:numFmt w:val="bullet"/>
      <w:lvlText w:val=""/>
      <w:lvlJc w:val="left"/>
      <w:pPr>
        <w:ind w:left="2880" w:hanging="360"/>
      </w:pPr>
      <w:rPr>
        <w:rFonts w:ascii="Symbol" w:hAnsi="Symbol" w:hint="default"/>
      </w:rPr>
    </w:lvl>
    <w:lvl w:ilvl="4" w:tplc="D63C7704">
      <w:start w:val="1"/>
      <w:numFmt w:val="bullet"/>
      <w:lvlText w:val="o"/>
      <w:lvlJc w:val="left"/>
      <w:pPr>
        <w:ind w:left="3600" w:hanging="360"/>
      </w:pPr>
      <w:rPr>
        <w:rFonts w:ascii="Courier New" w:hAnsi="Courier New" w:cs="Courier New" w:hint="default"/>
      </w:rPr>
    </w:lvl>
    <w:lvl w:ilvl="5" w:tplc="557877E0">
      <w:start w:val="1"/>
      <w:numFmt w:val="bullet"/>
      <w:lvlText w:val=""/>
      <w:lvlJc w:val="left"/>
      <w:pPr>
        <w:ind w:left="4320" w:hanging="360"/>
      </w:pPr>
      <w:rPr>
        <w:rFonts w:ascii="Wingdings" w:hAnsi="Wingdings" w:hint="default"/>
      </w:rPr>
    </w:lvl>
    <w:lvl w:ilvl="6" w:tplc="63B81ADA">
      <w:start w:val="1"/>
      <w:numFmt w:val="bullet"/>
      <w:lvlText w:val=""/>
      <w:lvlJc w:val="left"/>
      <w:pPr>
        <w:ind w:left="5040" w:hanging="360"/>
      </w:pPr>
      <w:rPr>
        <w:rFonts w:ascii="Symbol" w:hAnsi="Symbol" w:hint="default"/>
      </w:rPr>
    </w:lvl>
    <w:lvl w:ilvl="7" w:tplc="6E7636AA">
      <w:start w:val="1"/>
      <w:numFmt w:val="bullet"/>
      <w:lvlText w:val="o"/>
      <w:lvlJc w:val="left"/>
      <w:pPr>
        <w:ind w:left="5760" w:hanging="360"/>
      </w:pPr>
      <w:rPr>
        <w:rFonts w:ascii="Courier New" w:hAnsi="Courier New" w:cs="Courier New" w:hint="default"/>
      </w:rPr>
    </w:lvl>
    <w:lvl w:ilvl="8" w:tplc="62247098">
      <w:start w:val="1"/>
      <w:numFmt w:val="bullet"/>
      <w:lvlText w:val=""/>
      <w:lvlJc w:val="left"/>
      <w:pPr>
        <w:ind w:left="6480" w:hanging="360"/>
      </w:pPr>
      <w:rPr>
        <w:rFonts w:ascii="Wingdings" w:hAnsi="Wingdings" w:hint="default"/>
      </w:rPr>
    </w:lvl>
  </w:abstractNum>
  <w:abstractNum w:abstractNumId="10" w15:restartNumberingAfterBreak="0">
    <w:nsid w:val="0000001B"/>
    <w:multiLevelType w:val="multilevel"/>
    <w:tmpl w:val="060C4874"/>
    <w:lvl w:ilvl="0">
      <w:start w:val="3"/>
      <w:numFmt w:val="decimal"/>
      <w:lvlText w:val="%1"/>
      <w:lvlJc w:val="left"/>
      <w:pPr>
        <w:tabs>
          <w:tab w:val="num" w:pos="795"/>
        </w:tabs>
        <w:ind w:left="795" w:hanging="795"/>
      </w:pPr>
    </w:lvl>
    <w:lvl w:ilvl="1">
      <w:start w:val="2"/>
      <w:numFmt w:val="decimal"/>
      <w:lvlText w:val="%1.%2"/>
      <w:lvlJc w:val="left"/>
      <w:pPr>
        <w:tabs>
          <w:tab w:val="num" w:pos="795"/>
        </w:tabs>
        <w:ind w:left="795" w:hanging="795"/>
      </w:pPr>
    </w:lvl>
    <w:lvl w:ilvl="2">
      <w:start w:val="3"/>
      <w:numFmt w:val="decimal"/>
      <w:lvlText w:val="%1.%2.%3"/>
      <w:lvlJc w:val="left"/>
      <w:pPr>
        <w:tabs>
          <w:tab w:val="num" w:pos="795"/>
        </w:tabs>
        <w:ind w:left="795" w:hanging="795"/>
      </w:pPr>
    </w:lvl>
    <w:lvl w:ilvl="3">
      <w:start w:val="1"/>
      <w:numFmt w:val="decimal"/>
      <w:lvlText w:val="%1.%2.%3.5"/>
      <w:lvlJc w:val="left"/>
      <w:pPr>
        <w:tabs>
          <w:tab w:val="num" w:pos="795"/>
        </w:tabs>
        <w:ind w:left="795" w:hanging="795"/>
      </w:pPr>
      <w:rPr>
        <w:b/>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00000023"/>
    <w:multiLevelType w:val="multilevel"/>
    <w:tmpl w:val="060C4874"/>
    <w:lvl w:ilvl="0">
      <w:start w:val="3"/>
      <w:numFmt w:val="decimal"/>
      <w:lvlText w:val="%1"/>
      <w:lvlJc w:val="left"/>
      <w:pPr>
        <w:tabs>
          <w:tab w:val="num" w:pos="795"/>
        </w:tabs>
        <w:ind w:left="795" w:hanging="795"/>
      </w:pPr>
    </w:lvl>
    <w:lvl w:ilvl="1">
      <w:start w:val="2"/>
      <w:numFmt w:val="decimal"/>
      <w:lvlText w:val="%1.%2"/>
      <w:lvlJc w:val="left"/>
      <w:pPr>
        <w:tabs>
          <w:tab w:val="num" w:pos="795"/>
        </w:tabs>
        <w:ind w:left="795" w:hanging="795"/>
      </w:pPr>
    </w:lvl>
    <w:lvl w:ilvl="2">
      <w:start w:val="3"/>
      <w:numFmt w:val="decimal"/>
      <w:lvlText w:val="%1.%2.%3"/>
      <w:lvlJc w:val="left"/>
      <w:pPr>
        <w:tabs>
          <w:tab w:val="num" w:pos="795"/>
        </w:tabs>
        <w:ind w:left="795" w:hanging="795"/>
      </w:pPr>
    </w:lvl>
    <w:lvl w:ilvl="3">
      <w:start w:val="1"/>
      <w:numFmt w:val="decimal"/>
      <w:lvlText w:val="%1.%2.%3.5"/>
      <w:lvlJc w:val="left"/>
      <w:pPr>
        <w:tabs>
          <w:tab w:val="num" w:pos="795"/>
        </w:tabs>
        <w:ind w:left="795" w:hanging="795"/>
      </w:pPr>
      <w:rPr>
        <w:b/>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000002D"/>
    <w:multiLevelType w:val="multilevel"/>
    <w:tmpl w:val="EA926228"/>
    <w:lvl w:ilvl="0">
      <w:start w:val="1"/>
      <w:numFmt w:val="decimal"/>
      <w:pStyle w:val="Notes160"/>
      <w:lvlText w:val="%1"/>
      <w:lvlJc w:val="left"/>
      <w:pPr>
        <w:tabs>
          <w:tab w:val="num" w:pos="432"/>
        </w:tabs>
        <w:ind w:left="432" w:hanging="432"/>
      </w:pPr>
      <w:rPr>
        <w:lang w:val="en-GB"/>
      </w:rPr>
    </w:lvl>
    <w:lvl w:ilvl="1">
      <w:start w:val="1"/>
      <w:numFmt w:val="decimal"/>
      <w:lvlText w:val="%1.%2"/>
      <w:lvlJc w:val="left"/>
      <w:pPr>
        <w:tabs>
          <w:tab w:val="num" w:pos="431"/>
        </w:tabs>
        <w:ind w:left="431" w:hanging="43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008D3E42"/>
    <w:multiLevelType w:val="multilevel"/>
    <w:tmpl w:val="DE90D416"/>
    <w:lvl w:ilvl="0">
      <w:start w:val="3"/>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2757792"/>
    <w:multiLevelType w:val="multilevel"/>
    <w:tmpl w:val="FAF4229A"/>
    <w:lvl w:ilvl="0">
      <w:start w:val="1"/>
      <w:numFmt w:val="decimal"/>
      <w:pStyle w:val="HEADER1Part1"/>
      <w:isLgl/>
      <w:lvlText w:val="%1."/>
      <w:lvlJc w:val="left"/>
      <w:pPr>
        <w:ind w:left="907" w:hanging="907"/>
      </w:pPr>
      <w:rPr>
        <w:rFonts w:hint="default"/>
        <w:b/>
        <w:i w:val="0"/>
        <w:color w:val="016794"/>
        <w:sz w:val="32"/>
        <w:szCs w:val="28"/>
      </w:rPr>
    </w:lvl>
    <w:lvl w:ilvl="1">
      <w:start w:val="1"/>
      <w:numFmt w:val="decimal"/>
      <w:isLgl/>
      <w:lvlText w:val="%1.%2."/>
      <w:lvlJc w:val="left"/>
      <w:pPr>
        <w:ind w:left="907" w:hanging="907"/>
      </w:pPr>
      <w:rPr>
        <w:rFonts w:hint="default"/>
      </w:rPr>
    </w:lvl>
    <w:lvl w:ilvl="2">
      <w:start w:val="1"/>
      <w:numFmt w:val="decimal"/>
      <w:isLgl/>
      <w:lvlText w:val="%1.%2.%3."/>
      <w:lvlJc w:val="left"/>
      <w:pPr>
        <w:ind w:left="907" w:hanging="907"/>
      </w:pPr>
      <w:rPr>
        <w:rFonts w:hint="default"/>
      </w:rPr>
    </w:lvl>
    <w:lvl w:ilvl="3">
      <w:start w:val="1"/>
      <w:numFmt w:val="decimal"/>
      <w:isLgl/>
      <w:lvlText w:val="%1.%2.%3.%4."/>
      <w:lvlJc w:val="left"/>
      <w:pPr>
        <w:ind w:left="907" w:hanging="90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0AE89FD5"/>
    <w:multiLevelType w:val="multilevel"/>
    <w:tmpl w:val="33CEF73E"/>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2"/>
      <w:numFmt w:val="decimal"/>
      <w:lvlText w:val="3.%2.%3."/>
      <w:lvlJc w:val="left"/>
      <w:pPr>
        <w:tabs>
          <w:tab w:val="num" w:pos="567"/>
        </w:tabs>
        <w:ind w:left="567" w:hanging="567"/>
      </w:pPr>
      <w:rPr>
        <w:rFonts w:hint="default"/>
      </w:rPr>
    </w:lvl>
    <w:lvl w:ilvl="3">
      <w:start w:val="2"/>
      <w:numFmt w:val="decimal"/>
      <w:lvlText w:val="%1.%2.%3.%4."/>
      <w:lvlJc w:val="left"/>
      <w:pPr>
        <w:tabs>
          <w:tab w:val="num" w:pos="431"/>
        </w:tabs>
        <w:ind w:left="454" w:hanging="454"/>
      </w:pPr>
      <w:rPr>
        <w:rFonts w:hint="default"/>
      </w:rPr>
    </w:lvl>
    <w:lvl w:ilvl="4">
      <w:start w:val="3"/>
      <w:numFmt w:val="decimal"/>
      <w:lvlText w:val="%1.%2.%3.%4.%5"/>
      <w:lvlJc w:val="left"/>
      <w:pPr>
        <w:tabs>
          <w:tab w:val="num" w:pos="1021"/>
        </w:tabs>
        <w:ind w:left="1021" w:hanging="1021"/>
      </w:pPr>
      <w:rPr>
        <w:rFonts w:hint="default"/>
        <w:b/>
        <w:lang w:val="en-G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10FF3492"/>
    <w:multiLevelType w:val="multilevel"/>
    <w:tmpl w:val="DC346434"/>
    <w:lvl w:ilvl="0">
      <w:start w:val="3"/>
      <w:numFmt w:val="decimal"/>
      <w:lvlText w:val="%1."/>
      <w:lvlJc w:val="left"/>
      <w:pPr>
        <w:ind w:left="643" w:hanging="360"/>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rPr>
    </w:lvl>
    <w:lvl w:ilvl="1">
      <w:start w:val="1"/>
      <w:numFmt w:val="decimal"/>
      <w:lvlText w:val="%1.%2."/>
      <w:lvlJc w:val="left"/>
      <w:pPr>
        <w:ind w:left="643" w:hanging="360"/>
      </w:pPr>
      <w:rPr>
        <w:rFonts w:hint="default"/>
      </w:rPr>
    </w:lvl>
    <w:lvl w:ilvl="2">
      <w:start w:val="1"/>
      <w:numFmt w:val="decimal"/>
      <w:lvlText w:val="%1.%2.%3."/>
      <w:lvlJc w:val="right"/>
      <w:pPr>
        <w:ind w:left="463" w:hanging="180"/>
      </w:pPr>
      <w:rPr>
        <w:rFonts w:hint="default"/>
      </w:rPr>
    </w:lvl>
    <w:lvl w:ilvl="3">
      <w:start w:val="1"/>
      <w:numFmt w:val="decimal"/>
      <w:lvlText w:val="%1.%2.%3.%4."/>
      <w:lvlJc w:val="left"/>
      <w:pPr>
        <w:ind w:left="643" w:hanging="36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il"/>
        <w:shd w:val="clear" w:color="000000" w:fill="000000"/>
        <w:vertAlign w:val="baseline"/>
        <w:lang w:val="x-none" w:eastAsia="x-none" w:bidi="x-none"/>
        <w:specVanish w:val="0"/>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17" w15:restartNumberingAfterBreak="0">
    <w:nsid w:val="139979AC"/>
    <w:multiLevelType w:val="multilevel"/>
    <w:tmpl w:val="57FE05E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8" w15:restartNumberingAfterBreak="0">
    <w:nsid w:val="13B534D6"/>
    <w:multiLevelType w:val="multilevel"/>
    <w:tmpl w:val="8CCE3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E31F3D"/>
    <w:multiLevelType w:val="multilevel"/>
    <w:tmpl w:val="5A9C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52D1022"/>
    <w:multiLevelType w:val="multilevel"/>
    <w:tmpl w:val="01F8C758"/>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5"/>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15564B79"/>
    <w:multiLevelType w:val="multilevel"/>
    <w:tmpl w:val="F2BE24A8"/>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6"/>
      <w:numFmt w:val="decimal"/>
      <w:lvlText w:val="%1.%2.%3"/>
      <w:lvlJc w:val="left"/>
      <w:pPr>
        <w:ind w:left="360" w:hanging="360"/>
      </w:pPr>
      <w:rPr>
        <w:rFonts w:hint="default"/>
      </w:rPr>
    </w:lvl>
    <w:lvl w:ilvl="3">
      <w:start w:val="1"/>
      <w:numFmt w:val="decimal"/>
      <w:lvlText w:val="%1.%2.%3"/>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15E5342F"/>
    <w:multiLevelType w:val="multilevel"/>
    <w:tmpl w:val="729E8410"/>
    <w:lvl w:ilvl="0">
      <w:start w:val="4"/>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758C049"/>
    <w:multiLevelType w:val="multilevel"/>
    <w:tmpl w:val="C0E22700"/>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6"/>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18C20344"/>
    <w:multiLevelType w:val="multilevel"/>
    <w:tmpl w:val="64AC76C0"/>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360" w:hanging="36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5" w15:restartNumberingAfterBreak="0">
    <w:nsid w:val="199F1DAA"/>
    <w:multiLevelType w:val="hybridMultilevel"/>
    <w:tmpl w:val="1248AB5A"/>
    <w:lvl w:ilvl="0" w:tplc="FAECD350">
      <w:start w:val="1"/>
      <w:numFmt w:val="decimal"/>
      <w:pStyle w:val="Textstand-alonenumberingJustified"/>
      <w:lvlText w:val="(%1)"/>
      <w:lvlJc w:val="left"/>
      <w:pPr>
        <w:ind w:left="720" w:hanging="360"/>
      </w:pPr>
      <w:rPr>
        <w:rFonts w:ascii="Verdana" w:hAnsi="Verdana" w:hint="default"/>
        <w:b w:val="0"/>
        <w:i w:val="0"/>
        <w:sz w:val="18"/>
      </w:rPr>
    </w:lvl>
    <w:lvl w:ilvl="1" w:tplc="5686D122" w:tentative="1">
      <w:start w:val="1"/>
      <w:numFmt w:val="lowerLetter"/>
      <w:lvlText w:val="%2."/>
      <w:lvlJc w:val="left"/>
      <w:pPr>
        <w:ind w:left="1440" w:hanging="360"/>
      </w:pPr>
    </w:lvl>
    <w:lvl w:ilvl="2" w:tplc="B590DBD4" w:tentative="1">
      <w:start w:val="1"/>
      <w:numFmt w:val="lowerRoman"/>
      <w:lvlText w:val="%3."/>
      <w:lvlJc w:val="right"/>
      <w:pPr>
        <w:ind w:left="2160" w:hanging="180"/>
      </w:pPr>
    </w:lvl>
    <w:lvl w:ilvl="3" w:tplc="E9C82D36" w:tentative="1">
      <w:start w:val="1"/>
      <w:numFmt w:val="decimal"/>
      <w:lvlText w:val="%4."/>
      <w:lvlJc w:val="left"/>
      <w:pPr>
        <w:ind w:left="2880" w:hanging="360"/>
      </w:pPr>
    </w:lvl>
    <w:lvl w:ilvl="4" w:tplc="BCD26B20" w:tentative="1">
      <w:start w:val="1"/>
      <w:numFmt w:val="lowerLetter"/>
      <w:lvlText w:val="%5."/>
      <w:lvlJc w:val="left"/>
      <w:pPr>
        <w:ind w:left="3600" w:hanging="360"/>
      </w:pPr>
    </w:lvl>
    <w:lvl w:ilvl="5" w:tplc="1932E480" w:tentative="1">
      <w:start w:val="1"/>
      <w:numFmt w:val="lowerRoman"/>
      <w:lvlText w:val="%6."/>
      <w:lvlJc w:val="right"/>
      <w:pPr>
        <w:ind w:left="4320" w:hanging="180"/>
      </w:pPr>
    </w:lvl>
    <w:lvl w:ilvl="6" w:tplc="BF4EC716" w:tentative="1">
      <w:start w:val="1"/>
      <w:numFmt w:val="decimal"/>
      <w:lvlText w:val="%7."/>
      <w:lvlJc w:val="left"/>
      <w:pPr>
        <w:ind w:left="5040" w:hanging="360"/>
      </w:pPr>
    </w:lvl>
    <w:lvl w:ilvl="7" w:tplc="27428A42" w:tentative="1">
      <w:start w:val="1"/>
      <w:numFmt w:val="lowerLetter"/>
      <w:lvlText w:val="%8."/>
      <w:lvlJc w:val="left"/>
      <w:pPr>
        <w:ind w:left="5760" w:hanging="360"/>
      </w:pPr>
    </w:lvl>
    <w:lvl w:ilvl="8" w:tplc="ACD05B58" w:tentative="1">
      <w:start w:val="1"/>
      <w:numFmt w:val="lowerRoman"/>
      <w:lvlText w:val="%9."/>
      <w:lvlJc w:val="right"/>
      <w:pPr>
        <w:ind w:left="6480" w:hanging="180"/>
      </w:pPr>
    </w:lvl>
  </w:abstractNum>
  <w:abstractNum w:abstractNumId="26" w15:restartNumberingAfterBreak="0">
    <w:nsid w:val="1A34706D"/>
    <w:multiLevelType w:val="multilevel"/>
    <w:tmpl w:val="253020C6"/>
    <w:name w:val="WW8Num5332"/>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2"/>
      <w:numFmt w:val="decimal"/>
      <w:lvlText w:val="3.%2.%3."/>
      <w:lvlJc w:val="left"/>
      <w:pPr>
        <w:tabs>
          <w:tab w:val="num" w:pos="567"/>
        </w:tabs>
        <w:ind w:left="567" w:hanging="567"/>
      </w:pPr>
      <w:rPr>
        <w:rFonts w:hint="default"/>
      </w:rPr>
    </w:lvl>
    <w:lvl w:ilvl="3">
      <w:start w:val="2"/>
      <w:numFmt w:val="decimal"/>
      <w:lvlText w:val="%1.%2.%3.%4."/>
      <w:lvlJc w:val="left"/>
      <w:pPr>
        <w:tabs>
          <w:tab w:val="num" w:pos="431"/>
        </w:tabs>
        <w:ind w:left="454" w:hanging="454"/>
      </w:pPr>
      <w:rPr>
        <w:rFonts w:hint="default"/>
      </w:rPr>
    </w:lvl>
    <w:lvl w:ilvl="4">
      <w:start w:val="1"/>
      <w:numFmt w:val="decimal"/>
      <w:lvlText w:val="%1.%2.%3.%4.%5."/>
      <w:lvlJc w:val="left"/>
      <w:pPr>
        <w:tabs>
          <w:tab w:val="num" w:pos="1021"/>
        </w:tabs>
        <w:ind w:left="1021" w:hanging="1021"/>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1DA749A2"/>
    <w:multiLevelType w:val="multilevel"/>
    <w:tmpl w:val="FC1C745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3"/>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1E31790A"/>
    <w:multiLevelType w:val="multilevel"/>
    <w:tmpl w:val="B91604A0"/>
    <w:lvl w:ilvl="0">
      <w:start w:val="1"/>
      <w:numFmt w:val="lowerLetter"/>
      <w:lvlText w:val="(%1)"/>
      <w:lvlJc w:val="left"/>
      <w:pPr>
        <w:ind w:left="0" w:firstLine="0"/>
      </w:pPr>
      <w:rPr>
        <w:rFonts w:ascii="Verdana" w:hAnsi="Verdana" w:hint="default"/>
        <w:b w:val="0"/>
        <w:i w:val="0"/>
        <w:iCs w:val="0"/>
        <w:caps w:val="0"/>
        <w:smallCaps w:val="0"/>
        <w:strike w:val="0"/>
        <w:dstrike w:val="0"/>
        <w:noProof w:val="0"/>
        <w:vanish w:val="0"/>
        <w:color w:val="auto"/>
        <w:spacing w:val="0"/>
        <w:position w:val="0"/>
        <w:sz w:val="18"/>
        <w:u w:val="none"/>
        <w:effect w:val="none"/>
        <w:vertAlign w:val="baseline"/>
        <w:specVanish w:val="0"/>
      </w:rPr>
    </w:lvl>
    <w:lvl w:ilvl="1">
      <w:start w:val="1"/>
      <w:numFmt w:val="decimal"/>
      <w:lvlText w:val="%1.%2"/>
      <w:lvlJc w:val="left"/>
      <w:pPr>
        <w:ind w:left="1440" w:hanging="1440"/>
      </w:pPr>
      <w:rPr>
        <w:rFonts w:cs="Times New Roman" w:hint="default"/>
        <w:i w:val="0"/>
        <w:iCs w:val="0"/>
        <w:caps w:val="0"/>
        <w:smallCaps w:val="0"/>
        <w:strike w:val="0"/>
        <w:dstrike w:val="0"/>
        <w:noProof w:val="0"/>
        <w:vanish w:val="0"/>
        <w:color w:val="016794"/>
        <w:spacing w:val="0"/>
        <w:position w:val="0"/>
        <w:u w:val="none"/>
        <w:effect w:val="none"/>
        <w:vertAlign w:val="baseline"/>
        <w:specVanish w:val="0"/>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specVanish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21212A6E"/>
    <w:multiLevelType w:val="multilevel"/>
    <w:tmpl w:val="5784BBA6"/>
    <w:lvl w:ilvl="0">
      <w:start w:val="4"/>
      <w:numFmt w:val="decimal"/>
      <w:lvlText w:val="%1"/>
      <w:lvlJc w:val="left"/>
      <w:pPr>
        <w:tabs>
          <w:tab w:val="num" w:pos="432"/>
        </w:tabs>
        <w:ind w:left="432" w:hanging="432"/>
      </w:pPr>
      <w:rPr>
        <w:rFonts w:hint="default"/>
        <w:lang w:val="en-GB"/>
      </w:rPr>
    </w:lvl>
    <w:lvl w:ilvl="1">
      <w:start w:val="2"/>
      <w:numFmt w:val="decimal"/>
      <w:lvlText w:val="%1.%2"/>
      <w:lvlJc w:val="left"/>
      <w:pPr>
        <w:tabs>
          <w:tab w:val="num" w:pos="431"/>
        </w:tabs>
        <w:ind w:left="431" w:hanging="431"/>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220D03E7"/>
    <w:multiLevelType w:val="multilevel"/>
    <w:tmpl w:val="D3A88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5060513"/>
    <w:multiLevelType w:val="hybridMultilevel"/>
    <w:tmpl w:val="8DCE8CBC"/>
    <w:lvl w:ilvl="0" w:tplc="23F0FB7A">
      <w:start w:val="1"/>
      <w:numFmt w:val="lowerRoman"/>
      <w:lvlText w:val="%1)"/>
      <w:lvlJc w:val="left"/>
      <w:pPr>
        <w:ind w:left="1080" w:hanging="720"/>
      </w:pPr>
      <w:rPr>
        <w:rFonts w:hint="default"/>
      </w:rPr>
    </w:lvl>
    <w:lvl w:ilvl="1" w:tplc="1990300C" w:tentative="1">
      <w:start w:val="1"/>
      <w:numFmt w:val="lowerLetter"/>
      <w:lvlText w:val="%2."/>
      <w:lvlJc w:val="left"/>
      <w:pPr>
        <w:ind w:left="1440" w:hanging="360"/>
      </w:pPr>
    </w:lvl>
    <w:lvl w:ilvl="2" w:tplc="8B2A64D0" w:tentative="1">
      <w:start w:val="1"/>
      <w:numFmt w:val="lowerRoman"/>
      <w:lvlText w:val="%3."/>
      <w:lvlJc w:val="right"/>
      <w:pPr>
        <w:ind w:left="2160" w:hanging="180"/>
      </w:pPr>
    </w:lvl>
    <w:lvl w:ilvl="3" w:tplc="E60E5DCC" w:tentative="1">
      <w:start w:val="1"/>
      <w:numFmt w:val="decimal"/>
      <w:lvlText w:val="%4."/>
      <w:lvlJc w:val="left"/>
      <w:pPr>
        <w:ind w:left="2880" w:hanging="360"/>
      </w:pPr>
    </w:lvl>
    <w:lvl w:ilvl="4" w:tplc="B9D81F0A" w:tentative="1">
      <w:start w:val="1"/>
      <w:numFmt w:val="lowerLetter"/>
      <w:lvlText w:val="%5."/>
      <w:lvlJc w:val="left"/>
      <w:pPr>
        <w:ind w:left="3600" w:hanging="360"/>
      </w:pPr>
    </w:lvl>
    <w:lvl w:ilvl="5" w:tplc="48680B6C" w:tentative="1">
      <w:start w:val="1"/>
      <w:numFmt w:val="lowerRoman"/>
      <w:lvlText w:val="%6."/>
      <w:lvlJc w:val="right"/>
      <w:pPr>
        <w:ind w:left="4320" w:hanging="180"/>
      </w:pPr>
    </w:lvl>
    <w:lvl w:ilvl="6" w:tplc="81B8FE62" w:tentative="1">
      <w:start w:val="1"/>
      <w:numFmt w:val="decimal"/>
      <w:lvlText w:val="%7."/>
      <w:lvlJc w:val="left"/>
      <w:pPr>
        <w:ind w:left="5040" w:hanging="360"/>
      </w:pPr>
    </w:lvl>
    <w:lvl w:ilvl="7" w:tplc="BDD65ED0" w:tentative="1">
      <w:start w:val="1"/>
      <w:numFmt w:val="lowerLetter"/>
      <w:lvlText w:val="%8."/>
      <w:lvlJc w:val="left"/>
      <w:pPr>
        <w:ind w:left="5760" w:hanging="360"/>
      </w:pPr>
    </w:lvl>
    <w:lvl w:ilvl="8" w:tplc="CC7896F4" w:tentative="1">
      <w:start w:val="1"/>
      <w:numFmt w:val="lowerRoman"/>
      <w:lvlText w:val="%9."/>
      <w:lvlJc w:val="right"/>
      <w:pPr>
        <w:ind w:left="6480" w:hanging="180"/>
      </w:pPr>
    </w:lvl>
  </w:abstractNum>
  <w:abstractNum w:abstractNumId="32" w15:restartNumberingAfterBreak="0">
    <w:nsid w:val="26217053"/>
    <w:multiLevelType w:val="multilevel"/>
    <w:tmpl w:val="BCCEE5DA"/>
    <w:lvl w:ilvl="0">
      <w:start w:val="1"/>
      <w:numFmt w:val="lowerLetter"/>
      <w:pStyle w:val="TextSubtitleItalicnumberinglettera"/>
      <w:lvlText w:val="(%1)"/>
      <w:lvlJc w:val="left"/>
      <w:pPr>
        <w:ind w:left="0" w:firstLine="0"/>
      </w:pPr>
      <w:rPr>
        <w:rFonts w:ascii="Verdana" w:hAnsi="Verdana" w:hint="default"/>
        <w:b w:val="0"/>
        <w:i w:val="0"/>
        <w:iCs w:val="0"/>
        <w:caps w:val="0"/>
        <w:smallCaps w:val="0"/>
        <w:strike w:val="0"/>
        <w:dstrike w:val="0"/>
        <w:vanish w:val="0"/>
        <w:color w:val="auto"/>
        <w:spacing w:val="0"/>
        <w:position w:val="0"/>
        <w:sz w:val="18"/>
        <w:u w:val="none"/>
        <w:effect w:val="none"/>
        <w:vertAlign w:val="baseline"/>
      </w:rPr>
    </w:lvl>
    <w:lvl w:ilvl="1">
      <w:start w:val="1"/>
      <w:numFmt w:val="decimal"/>
      <w:lvlText w:val="%1.%2"/>
      <w:lvlJc w:val="left"/>
      <w:pPr>
        <w:ind w:left="1440" w:hanging="1440"/>
      </w:pPr>
      <w:rPr>
        <w:rFonts w:cs="Times New Roman" w:hint="default"/>
        <w:i w:val="0"/>
        <w:iCs w:val="0"/>
        <w:caps w:val="0"/>
        <w:smallCaps w:val="0"/>
        <w:strike w:val="0"/>
        <w:dstrike w:val="0"/>
        <w:vanish w:val="0"/>
        <w:color w:val="016794"/>
        <w:spacing w:val="0"/>
        <w:position w:val="0"/>
        <w:u w:val="none"/>
        <w:effect w:val="none"/>
        <w:vertAlign w:val="baseline"/>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263169F2"/>
    <w:multiLevelType w:val="multilevel"/>
    <w:tmpl w:val="888E5924"/>
    <w:lvl w:ilvl="0">
      <w:start w:val="1"/>
      <w:numFmt w:val="decimal"/>
      <w:pStyle w:val="HEADER1Part2"/>
      <w:lvlText w:val="%1."/>
      <w:lvlJc w:val="left"/>
      <w:pPr>
        <w:ind w:left="907" w:hanging="907"/>
      </w:pPr>
      <w:rPr>
        <w:rFonts w:hint="default"/>
      </w:rPr>
    </w:lvl>
    <w:lvl w:ilvl="1">
      <w:start w:val="1"/>
      <w:numFmt w:val="decimal"/>
      <w:pStyle w:val="HEADER2Part2"/>
      <w:lvlText w:val="%1.%2."/>
      <w:lvlJc w:val="left"/>
      <w:pPr>
        <w:ind w:left="3459" w:hanging="907"/>
      </w:pPr>
      <w:rPr>
        <w:rFonts w:hint="default"/>
      </w:rPr>
    </w:lvl>
    <w:lvl w:ilvl="2">
      <w:start w:val="1"/>
      <w:numFmt w:val="decimal"/>
      <w:pStyle w:val="HEADER3Part2"/>
      <w:lvlText w:val="%1.%2.%3."/>
      <w:lvlJc w:val="left"/>
      <w:pPr>
        <w:ind w:left="907" w:hanging="907"/>
      </w:pPr>
      <w:rPr>
        <w:rFonts w:hint="default"/>
      </w:rPr>
    </w:lvl>
    <w:lvl w:ilvl="3">
      <w:start w:val="1"/>
      <w:numFmt w:val="decimal"/>
      <w:pStyle w:val="HEADER4Part2"/>
      <w:lvlText w:val="%1.%2.%3.%4."/>
      <w:lvlJc w:val="left"/>
      <w:pPr>
        <w:ind w:left="907" w:hanging="907"/>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34" w15:restartNumberingAfterBreak="0">
    <w:nsid w:val="28348F0B"/>
    <w:multiLevelType w:val="multilevel"/>
    <w:tmpl w:val="85A4563E"/>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2"/>
      <w:numFmt w:val="decimal"/>
      <w:lvlText w:val="%1.%2.%3.%4"/>
      <w:lvlJc w:val="left"/>
      <w:pPr>
        <w:tabs>
          <w:tab w:val="num" w:pos="795"/>
        </w:tabs>
        <w:ind w:left="795" w:hanging="795"/>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29A554D1"/>
    <w:multiLevelType w:val="multilevel"/>
    <w:tmpl w:val="E85495D4"/>
    <w:name w:val="WW8Num53"/>
    <w:lvl w:ilvl="0">
      <w:start w:val="2"/>
      <w:numFmt w:val="decimal"/>
      <w:lvlText w:val="%1"/>
      <w:lvlJc w:val="left"/>
      <w:pPr>
        <w:tabs>
          <w:tab w:val="num" w:pos="567"/>
        </w:tabs>
        <w:ind w:left="567" w:hanging="567"/>
      </w:pPr>
      <w:rPr>
        <w:rFonts w:hint="default"/>
      </w:rPr>
    </w:lvl>
    <w:lvl w:ilvl="1">
      <w:start w:val="4"/>
      <w:numFmt w:val="decimal"/>
      <w:lvlText w:val="%1.%2"/>
      <w:lvlJc w:val="left"/>
      <w:pPr>
        <w:tabs>
          <w:tab w:val="num" w:pos="576"/>
        </w:tabs>
        <w:ind w:left="576" w:hanging="576"/>
      </w:pPr>
      <w:rPr>
        <w:rFonts w:hint="default"/>
      </w:rPr>
    </w:lvl>
    <w:lvl w:ilvl="2">
      <w:start w:val="1"/>
      <w:numFmt w:val="decimal"/>
      <w:pStyle w:val="Title111"/>
      <w:lvlText w:val="%1.%2.%3"/>
      <w:lvlJc w:val="left"/>
      <w:pPr>
        <w:tabs>
          <w:tab w:val="num" w:pos="680"/>
        </w:tabs>
        <w:ind w:left="680" w:hanging="6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B7C5E48"/>
    <w:multiLevelType w:val="hybridMultilevel"/>
    <w:tmpl w:val="DF8A2D88"/>
    <w:lvl w:ilvl="0" w:tplc="48A0965E">
      <w:numFmt w:val="bullet"/>
      <w:lvlText w:val="-"/>
      <w:lvlJc w:val="left"/>
      <w:pPr>
        <w:ind w:left="720" w:hanging="360"/>
      </w:pPr>
      <w:rPr>
        <w:rFonts w:ascii="Arial" w:eastAsiaTheme="minorHAnsi" w:hAnsi="Arial" w:cs="Arial" w:hint="default"/>
      </w:rPr>
    </w:lvl>
    <w:lvl w:ilvl="1" w:tplc="3A18FFE4" w:tentative="1">
      <w:start w:val="1"/>
      <w:numFmt w:val="bullet"/>
      <w:lvlText w:val="o"/>
      <w:lvlJc w:val="left"/>
      <w:pPr>
        <w:ind w:left="1440" w:hanging="360"/>
      </w:pPr>
      <w:rPr>
        <w:rFonts w:ascii="Courier New" w:hAnsi="Courier New" w:cs="Courier New" w:hint="default"/>
      </w:rPr>
    </w:lvl>
    <w:lvl w:ilvl="2" w:tplc="7BFABC1C" w:tentative="1">
      <w:start w:val="1"/>
      <w:numFmt w:val="bullet"/>
      <w:lvlText w:val=""/>
      <w:lvlJc w:val="left"/>
      <w:pPr>
        <w:ind w:left="2160" w:hanging="360"/>
      </w:pPr>
      <w:rPr>
        <w:rFonts w:ascii="Wingdings" w:hAnsi="Wingdings" w:hint="default"/>
      </w:rPr>
    </w:lvl>
    <w:lvl w:ilvl="3" w:tplc="2B96872C" w:tentative="1">
      <w:start w:val="1"/>
      <w:numFmt w:val="bullet"/>
      <w:lvlText w:val=""/>
      <w:lvlJc w:val="left"/>
      <w:pPr>
        <w:ind w:left="2880" w:hanging="360"/>
      </w:pPr>
      <w:rPr>
        <w:rFonts w:ascii="Symbol" w:hAnsi="Symbol" w:hint="default"/>
      </w:rPr>
    </w:lvl>
    <w:lvl w:ilvl="4" w:tplc="194E1D00" w:tentative="1">
      <w:start w:val="1"/>
      <w:numFmt w:val="bullet"/>
      <w:lvlText w:val="o"/>
      <w:lvlJc w:val="left"/>
      <w:pPr>
        <w:ind w:left="3600" w:hanging="360"/>
      </w:pPr>
      <w:rPr>
        <w:rFonts w:ascii="Courier New" w:hAnsi="Courier New" w:cs="Courier New" w:hint="default"/>
      </w:rPr>
    </w:lvl>
    <w:lvl w:ilvl="5" w:tplc="FC92F7D6" w:tentative="1">
      <w:start w:val="1"/>
      <w:numFmt w:val="bullet"/>
      <w:lvlText w:val=""/>
      <w:lvlJc w:val="left"/>
      <w:pPr>
        <w:ind w:left="4320" w:hanging="360"/>
      </w:pPr>
      <w:rPr>
        <w:rFonts w:ascii="Wingdings" w:hAnsi="Wingdings" w:hint="default"/>
      </w:rPr>
    </w:lvl>
    <w:lvl w:ilvl="6" w:tplc="988A7AA0" w:tentative="1">
      <w:start w:val="1"/>
      <w:numFmt w:val="bullet"/>
      <w:lvlText w:val=""/>
      <w:lvlJc w:val="left"/>
      <w:pPr>
        <w:ind w:left="5040" w:hanging="360"/>
      </w:pPr>
      <w:rPr>
        <w:rFonts w:ascii="Symbol" w:hAnsi="Symbol" w:hint="default"/>
      </w:rPr>
    </w:lvl>
    <w:lvl w:ilvl="7" w:tplc="B76C4EDC" w:tentative="1">
      <w:start w:val="1"/>
      <w:numFmt w:val="bullet"/>
      <w:lvlText w:val="o"/>
      <w:lvlJc w:val="left"/>
      <w:pPr>
        <w:ind w:left="5760" w:hanging="360"/>
      </w:pPr>
      <w:rPr>
        <w:rFonts w:ascii="Courier New" w:hAnsi="Courier New" w:cs="Courier New" w:hint="default"/>
      </w:rPr>
    </w:lvl>
    <w:lvl w:ilvl="8" w:tplc="CCDA75A4" w:tentative="1">
      <w:start w:val="1"/>
      <w:numFmt w:val="bullet"/>
      <w:lvlText w:val=""/>
      <w:lvlJc w:val="left"/>
      <w:pPr>
        <w:ind w:left="6480" w:hanging="360"/>
      </w:pPr>
      <w:rPr>
        <w:rFonts w:ascii="Wingdings" w:hAnsi="Wingdings" w:hint="default"/>
      </w:rPr>
    </w:lvl>
  </w:abstractNum>
  <w:abstractNum w:abstractNumId="37" w15:restartNumberingAfterBreak="0">
    <w:nsid w:val="31D31BBD"/>
    <w:multiLevelType w:val="hybridMultilevel"/>
    <w:tmpl w:val="AB545582"/>
    <w:lvl w:ilvl="0" w:tplc="597C51B0">
      <w:start w:val="1"/>
      <w:numFmt w:val="bullet"/>
      <w:pStyle w:val="Textstand-alonebulletpointJustified"/>
      <w:lvlText w:val=""/>
      <w:lvlJc w:val="left"/>
      <w:pPr>
        <w:ind w:left="1080" w:hanging="360"/>
      </w:pPr>
      <w:rPr>
        <w:rFonts w:ascii="Verdana" w:hAnsi="Verdana" w:hint="default"/>
      </w:rPr>
    </w:lvl>
    <w:lvl w:ilvl="1" w:tplc="63C61E1C" w:tentative="1">
      <w:start w:val="1"/>
      <w:numFmt w:val="bullet"/>
      <w:lvlText w:val="o"/>
      <w:lvlJc w:val="left"/>
      <w:pPr>
        <w:ind w:left="1800" w:hanging="360"/>
      </w:pPr>
      <w:rPr>
        <w:rFonts w:ascii="Courier New" w:hAnsi="Courier New" w:cs="Courier New" w:hint="default"/>
      </w:rPr>
    </w:lvl>
    <w:lvl w:ilvl="2" w:tplc="6DB68100" w:tentative="1">
      <w:start w:val="1"/>
      <w:numFmt w:val="bullet"/>
      <w:lvlText w:val=""/>
      <w:lvlJc w:val="left"/>
      <w:pPr>
        <w:ind w:left="2520" w:hanging="360"/>
      </w:pPr>
      <w:rPr>
        <w:rFonts w:ascii="Wingdings" w:hAnsi="Wingdings" w:hint="default"/>
      </w:rPr>
    </w:lvl>
    <w:lvl w:ilvl="3" w:tplc="6BF06EB6" w:tentative="1">
      <w:start w:val="1"/>
      <w:numFmt w:val="bullet"/>
      <w:lvlText w:val=""/>
      <w:lvlJc w:val="left"/>
      <w:pPr>
        <w:ind w:left="3240" w:hanging="360"/>
      </w:pPr>
      <w:rPr>
        <w:rFonts w:ascii="Symbol" w:hAnsi="Symbol" w:hint="default"/>
      </w:rPr>
    </w:lvl>
    <w:lvl w:ilvl="4" w:tplc="D0A624F4" w:tentative="1">
      <w:start w:val="1"/>
      <w:numFmt w:val="bullet"/>
      <w:lvlText w:val="o"/>
      <w:lvlJc w:val="left"/>
      <w:pPr>
        <w:ind w:left="3960" w:hanging="360"/>
      </w:pPr>
      <w:rPr>
        <w:rFonts w:ascii="Courier New" w:hAnsi="Courier New" w:cs="Courier New" w:hint="default"/>
      </w:rPr>
    </w:lvl>
    <w:lvl w:ilvl="5" w:tplc="03D8ACCE" w:tentative="1">
      <w:start w:val="1"/>
      <w:numFmt w:val="bullet"/>
      <w:lvlText w:val=""/>
      <w:lvlJc w:val="left"/>
      <w:pPr>
        <w:ind w:left="4680" w:hanging="360"/>
      </w:pPr>
      <w:rPr>
        <w:rFonts w:ascii="Wingdings" w:hAnsi="Wingdings" w:hint="default"/>
      </w:rPr>
    </w:lvl>
    <w:lvl w:ilvl="6" w:tplc="CA5E16DC" w:tentative="1">
      <w:start w:val="1"/>
      <w:numFmt w:val="bullet"/>
      <w:lvlText w:val=""/>
      <w:lvlJc w:val="left"/>
      <w:pPr>
        <w:ind w:left="5400" w:hanging="360"/>
      </w:pPr>
      <w:rPr>
        <w:rFonts w:ascii="Symbol" w:hAnsi="Symbol" w:hint="default"/>
      </w:rPr>
    </w:lvl>
    <w:lvl w:ilvl="7" w:tplc="7396C832" w:tentative="1">
      <w:start w:val="1"/>
      <w:numFmt w:val="bullet"/>
      <w:lvlText w:val="o"/>
      <w:lvlJc w:val="left"/>
      <w:pPr>
        <w:ind w:left="6120" w:hanging="360"/>
      </w:pPr>
      <w:rPr>
        <w:rFonts w:ascii="Courier New" w:hAnsi="Courier New" w:cs="Courier New" w:hint="default"/>
      </w:rPr>
    </w:lvl>
    <w:lvl w:ilvl="8" w:tplc="A3CE8824" w:tentative="1">
      <w:start w:val="1"/>
      <w:numFmt w:val="bullet"/>
      <w:lvlText w:val=""/>
      <w:lvlJc w:val="left"/>
      <w:pPr>
        <w:ind w:left="6840" w:hanging="360"/>
      </w:pPr>
      <w:rPr>
        <w:rFonts w:ascii="Wingdings" w:hAnsi="Wingdings" w:hint="default"/>
      </w:rPr>
    </w:lvl>
  </w:abstractNum>
  <w:abstractNum w:abstractNumId="38" w15:restartNumberingAfterBreak="0">
    <w:nsid w:val="34764FBD"/>
    <w:multiLevelType w:val="multilevel"/>
    <w:tmpl w:val="C3CAB6C6"/>
    <w:lvl w:ilvl="0">
      <w:start w:val="1"/>
      <w:numFmt w:val="lowerLetter"/>
      <w:lvlText w:val="(%1)"/>
      <w:lvlJc w:val="left"/>
      <w:pPr>
        <w:ind w:left="0" w:firstLine="0"/>
      </w:pPr>
      <w:rPr>
        <w:rFonts w:ascii="Verdana" w:hAnsi="Verdana" w:hint="default"/>
        <w:b w:val="0"/>
        <w:i w:val="0"/>
        <w:iCs w:val="0"/>
        <w:caps w:val="0"/>
        <w:smallCaps w:val="0"/>
        <w:strike w:val="0"/>
        <w:dstrike w:val="0"/>
        <w:vanish w:val="0"/>
        <w:color w:val="auto"/>
        <w:spacing w:val="0"/>
        <w:position w:val="0"/>
        <w:sz w:val="18"/>
        <w:u w:val="none"/>
        <w:effect w:val="none"/>
        <w:vertAlign w:val="baseline"/>
      </w:rPr>
    </w:lvl>
    <w:lvl w:ilvl="1">
      <w:start w:val="1"/>
      <w:numFmt w:val="decimal"/>
      <w:lvlText w:val="%1.%2"/>
      <w:lvlJc w:val="left"/>
      <w:pPr>
        <w:ind w:left="1440" w:hanging="1440"/>
      </w:pPr>
      <w:rPr>
        <w:rFonts w:cs="Times New Roman" w:hint="default"/>
        <w:i w:val="0"/>
        <w:iCs w:val="0"/>
        <w:caps w:val="0"/>
        <w:smallCaps w:val="0"/>
        <w:strike w:val="0"/>
        <w:dstrike w:val="0"/>
        <w:vanish w:val="0"/>
        <w:color w:val="016794"/>
        <w:spacing w:val="0"/>
        <w:position w:val="0"/>
        <w:u w:val="none"/>
        <w:effect w:val="none"/>
        <w:vertAlign w:val="baseline"/>
      </w:rPr>
    </w:lvl>
    <w:lvl w:ilvl="2">
      <w:start w:val="1"/>
      <w:numFmt w:val="decimal"/>
      <w:lvlText w:val="%1.%2.%3."/>
      <w:lvlJc w:val="left"/>
      <w:pPr>
        <w:ind w:left="992" w:hanging="992"/>
      </w:pPr>
      <w:rPr>
        <w:rFonts w:cs="Times New Roman" w:hint="default"/>
        <w:b w:val="0"/>
        <w:bCs w:val="0"/>
        <w:i w:val="0"/>
        <w:iCs w:val="0"/>
        <w:caps w:val="0"/>
        <w:smallCaps w:val="0"/>
        <w:strike w:val="0"/>
        <w:dstrike w:val="0"/>
        <w:vanish w:val="0"/>
        <w:spacing w:val="0"/>
        <w:kern w:val="0"/>
        <w:position w:val="0"/>
        <w:u w:val="none"/>
        <w:effect w:val="none"/>
        <w:vertAlign w:val="baseli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9" w15:restartNumberingAfterBreak="0">
    <w:nsid w:val="35B81930"/>
    <w:multiLevelType w:val="multilevel"/>
    <w:tmpl w:val="6B946920"/>
    <w:lvl w:ilvl="0">
      <w:start w:val="2"/>
      <w:numFmt w:val="decimal"/>
      <w:lvlText w:val="%1"/>
      <w:lvlJc w:val="left"/>
      <w:pPr>
        <w:ind w:left="360" w:hanging="360"/>
      </w:pPr>
      <w:rPr>
        <w:rFonts w:hint="default"/>
      </w:rPr>
    </w:lvl>
    <w:lvl w:ilvl="1">
      <w:start w:val="2"/>
      <w:numFmt w:val="decimal"/>
      <w:lvlText w:val="%1.1"/>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9BD44A5"/>
    <w:multiLevelType w:val="hybridMultilevel"/>
    <w:tmpl w:val="6040F0EC"/>
    <w:name w:val="WW8Num82"/>
    <w:lvl w:ilvl="0" w:tplc="442A58CA">
      <w:start w:val="293"/>
      <w:numFmt w:val="bullet"/>
      <w:lvlText w:val="-"/>
      <w:lvlJc w:val="left"/>
      <w:pPr>
        <w:tabs>
          <w:tab w:val="num" w:pos="720"/>
        </w:tabs>
        <w:ind w:left="720" w:hanging="360"/>
      </w:pPr>
      <w:rPr>
        <w:rFonts w:ascii="Arial" w:hAnsi="Arial" w:cs="Arial" w:hint="default"/>
      </w:rPr>
    </w:lvl>
    <w:lvl w:ilvl="1" w:tplc="B7E8B382" w:tentative="1">
      <w:start w:val="1"/>
      <w:numFmt w:val="bullet"/>
      <w:lvlText w:val="o"/>
      <w:lvlJc w:val="left"/>
      <w:pPr>
        <w:tabs>
          <w:tab w:val="num" w:pos="1440"/>
        </w:tabs>
        <w:ind w:left="1440" w:hanging="360"/>
      </w:pPr>
      <w:rPr>
        <w:rFonts w:ascii="Courier New" w:hAnsi="Courier New" w:cs="Courier New" w:hint="default"/>
      </w:rPr>
    </w:lvl>
    <w:lvl w:ilvl="2" w:tplc="1442757A" w:tentative="1">
      <w:start w:val="1"/>
      <w:numFmt w:val="bullet"/>
      <w:lvlText w:val=""/>
      <w:lvlJc w:val="left"/>
      <w:pPr>
        <w:tabs>
          <w:tab w:val="num" w:pos="2160"/>
        </w:tabs>
        <w:ind w:left="2160" w:hanging="360"/>
      </w:pPr>
      <w:rPr>
        <w:rFonts w:ascii="Wingdings" w:hAnsi="Wingdings" w:hint="default"/>
      </w:rPr>
    </w:lvl>
    <w:lvl w:ilvl="3" w:tplc="631EDD06" w:tentative="1">
      <w:start w:val="1"/>
      <w:numFmt w:val="bullet"/>
      <w:lvlText w:val=""/>
      <w:lvlJc w:val="left"/>
      <w:pPr>
        <w:tabs>
          <w:tab w:val="num" w:pos="2880"/>
        </w:tabs>
        <w:ind w:left="2880" w:hanging="360"/>
      </w:pPr>
      <w:rPr>
        <w:rFonts w:ascii="Symbol" w:hAnsi="Symbol" w:hint="default"/>
      </w:rPr>
    </w:lvl>
    <w:lvl w:ilvl="4" w:tplc="F1F4B002" w:tentative="1">
      <w:start w:val="1"/>
      <w:numFmt w:val="bullet"/>
      <w:lvlText w:val="o"/>
      <w:lvlJc w:val="left"/>
      <w:pPr>
        <w:tabs>
          <w:tab w:val="num" w:pos="3600"/>
        </w:tabs>
        <w:ind w:left="3600" w:hanging="360"/>
      </w:pPr>
      <w:rPr>
        <w:rFonts w:ascii="Courier New" w:hAnsi="Courier New" w:cs="Courier New" w:hint="default"/>
      </w:rPr>
    </w:lvl>
    <w:lvl w:ilvl="5" w:tplc="AD949F94" w:tentative="1">
      <w:start w:val="1"/>
      <w:numFmt w:val="bullet"/>
      <w:lvlText w:val=""/>
      <w:lvlJc w:val="left"/>
      <w:pPr>
        <w:tabs>
          <w:tab w:val="num" w:pos="4320"/>
        </w:tabs>
        <w:ind w:left="4320" w:hanging="360"/>
      </w:pPr>
      <w:rPr>
        <w:rFonts w:ascii="Wingdings" w:hAnsi="Wingdings" w:hint="default"/>
      </w:rPr>
    </w:lvl>
    <w:lvl w:ilvl="6" w:tplc="92D6BA08" w:tentative="1">
      <w:start w:val="1"/>
      <w:numFmt w:val="bullet"/>
      <w:lvlText w:val=""/>
      <w:lvlJc w:val="left"/>
      <w:pPr>
        <w:tabs>
          <w:tab w:val="num" w:pos="5040"/>
        </w:tabs>
        <w:ind w:left="5040" w:hanging="360"/>
      </w:pPr>
      <w:rPr>
        <w:rFonts w:ascii="Symbol" w:hAnsi="Symbol" w:hint="default"/>
      </w:rPr>
    </w:lvl>
    <w:lvl w:ilvl="7" w:tplc="5BF643B4" w:tentative="1">
      <w:start w:val="1"/>
      <w:numFmt w:val="bullet"/>
      <w:lvlText w:val="o"/>
      <w:lvlJc w:val="left"/>
      <w:pPr>
        <w:tabs>
          <w:tab w:val="num" w:pos="5760"/>
        </w:tabs>
        <w:ind w:left="5760" w:hanging="360"/>
      </w:pPr>
      <w:rPr>
        <w:rFonts w:ascii="Courier New" w:hAnsi="Courier New" w:cs="Courier New" w:hint="default"/>
      </w:rPr>
    </w:lvl>
    <w:lvl w:ilvl="8" w:tplc="E766EA8E"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A50485A"/>
    <w:multiLevelType w:val="multilevel"/>
    <w:tmpl w:val="E07C77F4"/>
    <w:lvl w:ilvl="0">
      <w:start w:val="3"/>
      <w:numFmt w:val="decimal"/>
      <w:lvlText w:val="%1"/>
      <w:lvlJc w:val="left"/>
      <w:pPr>
        <w:tabs>
          <w:tab w:val="num" w:pos="1170"/>
        </w:tabs>
        <w:ind w:left="1170" w:hanging="1170"/>
      </w:pPr>
      <w:rPr>
        <w:rFonts w:hint="default"/>
      </w:rPr>
    </w:lvl>
    <w:lvl w:ilvl="1">
      <w:start w:val="2"/>
      <w:numFmt w:val="decimal"/>
      <w:lvlText w:val="%1.%2"/>
      <w:lvlJc w:val="left"/>
      <w:pPr>
        <w:tabs>
          <w:tab w:val="num" w:pos="1170"/>
        </w:tabs>
        <w:ind w:left="1170" w:hanging="1170"/>
      </w:pPr>
      <w:rPr>
        <w:rFonts w:hint="default"/>
      </w:rPr>
    </w:lvl>
    <w:lvl w:ilvl="2">
      <w:start w:val="3"/>
      <w:numFmt w:val="decimal"/>
      <w:lvlText w:val="%1.%2.%3"/>
      <w:lvlJc w:val="left"/>
      <w:pPr>
        <w:tabs>
          <w:tab w:val="num" w:pos="1170"/>
        </w:tabs>
        <w:ind w:left="1170" w:hanging="1170"/>
      </w:pPr>
      <w:rPr>
        <w:rFonts w:hint="default"/>
      </w:rPr>
    </w:lvl>
    <w:lvl w:ilvl="3">
      <w:start w:val="4"/>
      <w:numFmt w:val="decimal"/>
      <w:lvlText w:val="%1.%2.%3.%4"/>
      <w:lvlJc w:val="left"/>
      <w:pPr>
        <w:tabs>
          <w:tab w:val="num" w:pos="1170"/>
        </w:tabs>
        <w:ind w:left="1170" w:hanging="1170"/>
      </w:pPr>
      <w:rPr>
        <w:rFonts w:hint="default"/>
      </w:rPr>
    </w:lvl>
    <w:lvl w:ilvl="4">
      <w:start w:val="2"/>
      <w:numFmt w:val="decimal"/>
      <w:lvlText w:val="%1.%2.%3.%4.%5"/>
      <w:lvlJc w:val="left"/>
      <w:pPr>
        <w:tabs>
          <w:tab w:val="num" w:pos="1170"/>
        </w:tabs>
        <w:ind w:left="1170" w:hanging="1170"/>
      </w:pPr>
      <w:rPr>
        <w:rFonts w:hint="default"/>
      </w:rPr>
    </w:lvl>
    <w:lvl w:ilvl="5">
      <w:start w:val="1"/>
      <w:numFmt w:val="decimal"/>
      <w:lvlText w:val="%1.%2.%3.%4.%5.%6"/>
      <w:lvlJc w:val="left"/>
      <w:pPr>
        <w:tabs>
          <w:tab w:val="num" w:pos="1170"/>
        </w:tabs>
        <w:ind w:left="1170" w:hanging="117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3B684BFD"/>
    <w:multiLevelType w:val="multilevel"/>
    <w:tmpl w:val="DC5083E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32E10B5"/>
    <w:multiLevelType w:val="hybridMultilevel"/>
    <w:tmpl w:val="5A920DF4"/>
    <w:lvl w:ilvl="0" w:tplc="11044110">
      <w:numFmt w:val="bullet"/>
      <w:lvlText w:val="-"/>
      <w:lvlJc w:val="left"/>
      <w:pPr>
        <w:ind w:left="720" w:hanging="360"/>
      </w:pPr>
      <w:rPr>
        <w:rFonts w:ascii="Futura Lt BT" w:hAnsi="Futura Lt BT" w:cs="Times New Roman" w:hint="default"/>
      </w:rPr>
    </w:lvl>
    <w:lvl w:ilvl="1" w:tplc="5672B548" w:tentative="1">
      <w:start w:val="1"/>
      <w:numFmt w:val="bullet"/>
      <w:lvlText w:val="o"/>
      <w:lvlJc w:val="left"/>
      <w:pPr>
        <w:ind w:left="1440" w:hanging="360"/>
      </w:pPr>
      <w:rPr>
        <w:rFonts w:ascii="Courier New" w:hAnsi="Courier New" w:cs="Courier New" w:hint="default"/>
      </w:rPr>
    </w:lvl>
    <w:lvl w:ilvl="2" w:tplc="2A0C8608" w:tentative="1">
      <w:start w:val="1"/>
      <w:numFmt w:val="bullet"/>
      <w:lvlText w:val=""/>
      <w:lvlJc w:val="left"/>
      <w:pPr>
        <w:ind w:left="2160" w:hanging="360"/>
      </w:pPr>
      <w:rPr>
        <w:rFonts w:ascii="Wingdings" w:hAnsi="Wingdings" w:hint="default"/>
      </w:rPr>
    </w:lvl>
    <w:lvl w:ilvl="3" w:tplc="6C5C780E" w:tentative="1">
      <w:start w:val="1"/>
      <w:numFmt w:val="bullet"/>
      <w:lvlText w:val=""/>
      <w:lvlJc w:val="left"/>
      <w:pPr>
        <w:ind w:left="2880" w:hanging="360"/>
      </w:pPr>
      <w:rPr>
        <w:rFonts w:ascii="Symbol" w:hAnsi="Symbol" w:hint="default"/>
      </w:rPr>
    </w:lvl>
    <w:lvl w:ilvl="4" w:tplc="4742106C" w:tentative="1">
      <w:start w:val="1"/>
      <w:numFmt w:val="bullet"/>
      <w:lvlText w:val="o"/>
      <w:lvlJc w:val="left"/>
      <w:pPr>
        <w:ind w:left="3600" w:hanging="360"/>
      </w:pPr>
      <w:rPr>
        <w:rFonts w:ascii="Courier New" w:hAnsi="Courier New" w:cs="Courier New" w:hint="default"/>
      </w:rPr>
    </w:lvl>
    <w:lvl w:ilvl="5" w:tplc="4E24462A" w:tentative="1">
      <w:start w:val="1"/>
      <w:numFmt w:val="bullet"/>
      <w:lvlText w:val=""/>
      <w:lvlJc w:val="left"/>
      <w:pPr>
        <w:ind w:left="4320" w:hanging="360"/>
      </w:pPr>
      <w:rPr>
        <w:rFonts w:ascii="Wingdings" w:hAnsi="Wingdings" w:hint="default"/>
      </w:rPr>
    </w:lvl>
    <w:lvl w:ilvl="6" w:tplc="2272DC18" w:tentative="1">
      <w:start w:val="1"/>
      <w:numFmt w:val="bullet"/>
      <w:lvlText w:val=""/>
      <w:lvlJc w:val="left"/>
      <w:pPr>
        <w:ind w:left="5040" w:hanging="360"/>
      </w:pPr>
      <w:rPr>
        <w:rFonts w:ascii="Symbol" w:hAnsi="Symbol" w:hint="default"/>
      </w:rPr>
    </w:lvl>
    <w:lvl w:ilvl="7" w:tplc="48DEEEA0" w:tentative="1">
      <w:start w:val="1"/>
      <w:numFmt w:val="bullet"/>
      <w:lvlText w:val="o"/>
      <w:lvlJc w:val="left"/>
      <w:pPr>
        <w:ind w:left="5760" w:hanging="360"/>
      </w:pPr>
      <w:rPr>
        <w:rFonts w:ascii="Courier New" w:hAnsi="Courier New" w:cs="Courier New" w:hint="default"/>
      </w:rPr>
    </w:lvl>
    <w:lvl w:ilvl="8" w:tplc="0E8432C4" w:tentative="1">
      <w:start w:val="1"/>
      <w:numFmt w:val="bullet"/>
      <w:lvlText w:val=""/>
      <w:lvlJc w:val="left"/>
      <w:pPr>
        <w:ind w:left="6480" w:hanging="360"/>
      </w:pPr>
      <w:rPr>
        <w:rFonts w:ascii="Wingdings" w:hAnsi="Wingdings" w:hint="default"/>
      </w:rPr>
    </w:lvl>
  </w:abstractNum>
  <w:abstractNum w:abstractNumId="44" w15:restartNumberingAfterBreak="0">
    <w:nsid w:val="46E63858"/>
    <w:multiLevelType w:val="multilevel"/>
    <w:tmpl w:val="FDE8646A"/>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5" w15:restartNumberingAfterBreak="0">
    <w:nsid w:val="47E44528"/>
    <w:multiLevelType w:val="multilevel"/>
    <w:tmpl w:val="A674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48610443"/>
    <w:multiLevelType w:val="multilevel"/>
    <w:tmpl w:val="4B488448"/>
    <w:lvl w:ilvl="0">
      <w:start w:val="1"/>
      <w:numFmt w:val="bullet"/>
      <w:lvlText w:val=""/>
      <w:lvlJc w:val="left"/>
      <w:pPr>
        <w:tabs>
          <w:tab w:val="num" w:pos="431"/>
        </w:tabs>
        <w:ind w:left="431" w:hanging="431"/>
      </w:pPr>
      <w:rPr>
        <w:rFonts w:ascii="Wingdings" w:hAnsi="Wingdings" w:hint="default"/>
      </w:rPr>
    </w:lvl>
    <w:lvl w:ilvl="1">
      <w:start w:val="1"/>
      <w:numFmt w:val="decimal"/>
      <w:lvlText w:val="%2."/>
      <w:lvlJc w:val="left"/>
      <w:pPr>
        <w:tabs>
          <w:tab w:val="num" w:pos="1800"/>
        </w:tabs>
        <w:ind w:left="1800" w:hanging="360"/>
      </w:pPr>
    </w:lvl>
    <w:lvl w:ilvl="2">
      <w:start w:val="1"/>
      <w:numFmt w:val="lowerLetter"/>
      <w:lvlText w:val="%3."/>
      <w:lvlJc w:val="left"/>
      <w:pPr>
        <w:tabs>
          <w:tab w:val="num" w:pos="2520"/>
        </w:tabs>
        <w:ind w:left="2520" w:hanging="360"/>
      </w:pPr>
    </w:lvl>
    <w:lvl w:ilvl="3">
      <w:start w:val="1"/>
      <w:numFmt w:val="bullet"/>
      <w:lvlText w:val=""/>
      <w:lvlJc w:val="left"/>
      <w:pPr>
        <w:tabs>
          <w:tab w:val="num" w:pos="3240"/>
        </w:tabs>
        <w:ind w:left="3240" w:hanging="360"/>
      </w:pPr>
      <w:rPr>
        <w:rFonts w:ascii="Symbol" w:hAnsi="Symbol"/>
      </w:rPr>
    </w:lvl>
    <w:lvl w:ilvl="4">
      <w:start w:val="1"/>
      <w:numFmt w:val="bullet"/>
      <w:lvlText w:val="o"/>
      <w:lvlJc w:val="left"/>
      <w:pPr>
        <w:tabs>
          <w:tab w:val="num" w:pos="3960"/>
        </w:tabs>
        <w:ind w:left="3960" w:hanging="360"/>
      </w:pPr>
      <w:rPr>
        <w:rFonts w:ascii="Courier New" w:hAnsi="Courier New"/>
      </w:rPr>
    </w:lvl>
    <w:lvl w:ilvl="5">
      <w:start w:val="1"/>
      <w:numFmt w:val="bullet"/>
      <w:lvlText w:val=""/>
      <w:lvlJc w:val="left"/>
      <w:pPr>
        <w:tabs>
          <w:tab w:val="num" w:pos="4680"/>
        </w:tabs>
        <w:ind w:left="4680" w:hanging="360"/>
      </w:pPr>
      <w:rPr>
        <w:rFonts w:ascii="Wingdings" w:hAnsi="Wingdings"/>
      </w:rPr>
    </w:lvl>
    <w:lvl w:ilvl="6">
      <w:start w:val="1"/>
      <w:numFmt w:val="bullet"/>
      <w:lvlText w:val=""/>
      <w:lvlJc w:val="left"/>
      <w:pPr>
        <w:tabs>
          <w:tab w:val="num" w:pos="5400"/>
        </w:tabs>
        <w:ind w:left="5400" w:hanging="360"/>
      </w:pPr>
      <w:rPr>
        <w:rFonts w:ascii="Symbol" w:hAnsi="Symbol"/>
      </w:rPr>
    </w:lvl>
    <w:lvl w:ilvl="7">
      <w:start w:val="1"/>
      <w:numFmt w:val="bullet"/>
      <w:lvlText w:val="o"/>
      <w:lvlJc w:val="left"/>
      <w:pPr>
        <w:tabs>
          <w:tab w:val="num" w:pos="6120"/>
        </w:tabs>
        <w:ind w:left="6120" w:hanging="360"/>
      </w:pPr>
      <w:rPr>
        <w:rFonts w:ascii="Courier New" w:hAnsi="Courier New"/>
      </w:rPr>
    </w:lvl>
    <w:lvl w:ilvl="8">
      <w:start w:val="1"/>
      <w:numFmt w:val="bullet"/>
      <w:lvlText w:val=""/>
      <w:lvlJc w:val="left"/>
      <w:pPr>
        <w:tabs>
          <w:tab w:val="num" w:pos="6840"/>
        </w:tabs>
        <w:ind w:left="6840" w:hanging="360"/>
      </w:pPr>
      <w:rPr>
        <w:rFonts w:ascii="Wingdings" w:hAnsi="Wingdings"/>
      </w:rPr>
    </w:lvl>
  </w:abstractNum>
  <w:abstractNum w:abstractNumId="47" w15:restartNumberingAfterBreak="0">
    <w:nsid w:val="49984D94"/>
    <w:multiLevelType w:val="hybridMultilevel"/>
    <w:tmpl w:val="FA1EE082"/>
    <w:lvl w:ilvl="0" w:tplc="2BF82CDE">
      <w:numFmt w:val="bullet"/>
      <w:lvlText w:val="—"/>
      <w:lvlJc w:val="left"/>
      <w:pPr>
        <w:ind w:left="720" w:hanging="360"/>
      </w:pPr>
      <w:rPr>
        <w:rFonts w:ascii="Times New Roman" w:eastAsiaTheme="minorHAnsi" w:hAnsi="Times New Roman" w:cs="Times New Roman" w:hint="default"/>
      </w:rPr>
    </w:lvl>
    <w:lvl w:ilvl="1" w:tplc="9FCCBCC0" w:tentative="1">
      <w:start w:val="1"/>
      <w:numFmt w:val="bullet"/>
      <w:lvlText w:val="o"/>
      <w:lvlJc w:val="left"/>
      <w:pPr>
        <w:ind w:left="1440" w:hanging="360"/>
      </w:pPr>
      <w:rPr>
        <w:rFonts w:ascii="Courier New" w:hAnsi="Courier New" w:cs="Courier New" w:hint="default"/>
      </w:rPr>
    </w:lvl>
    <w:lvl w:ilvl="2" w:tplc="B0DEE4A8" w:tentative="1">
      <w:start w:val="1"/>
      <w:numFmt w:val="bullet"/>
      <w:lvlText w:val=""/>
      <w:lvlJc w:val="left"/>
      <w:pPr>
        <w:ind w:left="2160" w:hanging="360"/>
      </w:pPr>
      <w:rPr>
        <w:rFonts w:ascii="Wingdings" w:hAnsi="Wingdings" w:hint="default"/>
      </w:rPr>
    </w:lvl>
    <w:lvl w:ilvl="3" w:tplc="870674BE" w:tentative="1">
      <w:start w:val="1"/>
      <w:numFmt w:val="bullet"/>
      <w:lvlText w:val=""/>
      <w:lvlJc w:val="left"/>
      <w:pPr>
        <w:ind w:left="2880" w:hanging="360"/>
      </w:pPr>
      <w:rPr>
        <w:rFonts w:ascii="Symbol" w:hAnsi="Symbol" w:hint="default"/>
      </w:rPr>
    </w:lvl>
    <w:lvl w:ilvl="4" w:tplc="009491A6" w:tentative="1">
      <w:start w:val="1"/>
      <w:numFmt w:val="bullet"/>
      <w:lvlText w:val="o"/>
      <w:lvlJc w:val="left"/>
      <w:pPr>
        <w:ind w:left="3600" w:hanging="360"/>
      </w:pPr>
      <w:rPr>
        <w:rFonts w:ascii="Courier New" w:hAnsi="Courier New" w:cs="Courier New" w:hint="default"/>
      </w:rPr>
    </w:lvl>
    <w:lvl w:ilvl="5" w:tplc="F2C04314" w:tentative="1">
      <w:start w:val="1"/>
      <w:numFmt w:val="bullet"/>
      <w:lvlText w:val=""/>
      <w:lvlJc w:val="left"/>
      <w:pPr>
        <w:ind w:left="4320" w:hanging="360"/>
      </w:pPr>
      <w:rPr>
        <w:rFonts w:ascii="Wingdings" w:hAnsi="Wingdings" w:hint="default"/>
      </w:rPr>
    </w:lvl>
    <w:lvl w:ilvl="6" w:tplc="BF662832" w:tentative="1">
      <w:start w:val="1"/>
      <w:numFmt w:val="bullet"/>
      <w:lvlText w:val=""/>
      <w:lvlJc w:val="left"/>
      <w:pPr>
        <w:ind w:left="5040" w:hanging="360"/>
      </w:pPr>
      <w:rPr>
        <w:rFonts w:ascii="Symbol" w:hAnsi="Symbol" w:hint="default"/>
      </w:rPr>
    </w:lvl>
    <w:lvl w:ilvl="7" w:tplc="8F900F32" w:tentative="1">
      <w:start w:val="1"/>
      <w:numFmt w:val="bullet"/>
      <w:lvlText w:val="o"/>
      <w:lvlJc w:val="left"/>
      <w:pPr>
        <w:ind w:left="5760" w:hanging="360"/>
      </w:pPr>
      <w:rPr>
        <w:rFonts w:ascii="Courier New" w:hAnsi="Courier New" w:cs="Courier New" w:hint="default"/>
      </w:rPr>
    </w:lvl>
    <w:lvl w:ilvl="8" w:tplc="3774EBD2" w:tentative="1">
      <w:start w:val="1"/>
      <w:numFmt w:val="bullet"/>
      <w:lvlText w:val=""/>
      <w:lvlJc w:val="left"/>
      <w:pPr>
        <w:ind w:left="6480" w:hanging="360"/>
      </w:pPr>
      <w:rPr>
        <w:rFonts w:ascii="Wingdings" w:hAnsi="Wingdings" w:hint="default"/>
      </w:rPr>
    </w:lvl>
  </w:abstractNum>
  <w:abstractNum w:abstractNumId="48" w15:restartNumberingAfterBreak="0">
    <w:nsid w:val="499E7911"/>
    <w:multiLevelType w:val="multilevel"/>
    <w:tmpl w:val="C35055E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1.%2.2"/>
      <w:lvlJc w:val="left"/>
      <w:pPr>
        <w:ind w:left="360" w:hanging="360"/>
      </w:pPr>
      <w:rPr>
        <w:rFonts w:hint="default"/>
      </w:rPr>
    </w:lvl>
    <w:lvl w:ilvl="3">
      <w:start w:val="1"/>
      <w:numFmt w:val="none"/>
      <w:lvlText w:val="3.3.1"/>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4A7E7A88"/>
    <w:multiLevelType w:val="multilevel"/>
    <w:tmpl w:val="03C0349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4BDB52F4"/>
    <w:multiLevelType w:val="multilevel"/>
    <w:tmpl w:val="6DCA4F1A"/>
    <w:name w:val="WW8Num532"/>
    <w:lvl w:ilvl="0">
      <w:start w:val="3"/>
      <w:numFmt w:val="decimal"/>
      <w:lvlText w:val="%1."/>
      <w:lvlJc w:val="left"/>
      <w:pPr>
        <w:tabs>
          <w:tab w:val="num" w:pos="360"/>
        </w:tabs>
        <w:ind w:left="360" w:hanging="360"/>
      </w:pPr>
      <w:rPr>
        <w:rFonts w:hint="default"/>
      </w:rPr>
    </w:lvl>
    <w:lvl w:ilvl="1">
      <w:start w:val="2"/>
      <w:numFmt w:val="decimal"/>
      <w:lvlRestart w:val="0"/>
      <w:lvlText w:val="3.%2."/>
      <w:lvlJc w:val="left"/>
      <w:pPr>
        <w:tabs>
          <w:tab w:val="num" w:pos="431"/>
        </w:tabs>
        <w:ind w:left="431" w:hanging="431"/>
      </w:pPr>
      <w:rPr>
        <w:rFonts w:hint="default"/>
      </w:rPr>
    </w:lvl>
    <w:lvl w:ilvl="2">
      <w:start w:val="2"/>
      <w:numFmt w:val="decimal"/>
      <w:pStyle w:val="Title321"/>
      <w:lvlText w:val="3.%2.%3"/>
      <w:lvlJc w:val="left"/>
      <w:pPr>
        <w:tabs>
          <w:tab w:val="num" w:pos="822"/>
        </w:tabs>
        <w:ind w:left="822" w:hanging="680"/>
      </w:pPr>
      <w:rPr>
        <w:rFonts w:hint="default"/>
        <w:b/>
      </w:rPr>
    </w:lvl>
    <w:lvl w:ilvl="3">
      <w:start w:val="1"/>
      <w:numFmt w:val="decimal"/>
      <w:lvlText w:val="%1.%2.%3.%4."/>
      <w:lvlJc w:val="left"/>
      <w:pPr>
        <w:tabs>
          <w:tab w:val="num" w:pos="431"/>
        </w:tabs>
        <w:ind w:left="454" w:hanging="454"/>
      </w:pPr>
      <w:rPr>
        <w:rFonts w:hint="default"/>
      </w:rPr>
    </w:lvl>
    <w:lvl w:ilvl="4">
      <w:start w:val="1"/>
      <w:numFmt w:val="decimal"/>
      <w:lvlText w:val="%1.%2.%3.%4.%5."/>
      <w:lvlJc w:val="left"/>
      <w:pPr>
        <w:tabs>
          <w:tab w:val="num" w:pos="737"/>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4E2F1D8A"/>
    <w:multiLevelType w:val="hybridMultilevel"/>
    <w:tmpl w:val="E23C9EFE"/>
    <w:lvl w:ilvl="0" w:tplc="F63E36F8">
      <w:numFmt w:val="bullet"/>
      <w:lvlText w:val="-"/>
      <w:lvlJc w:val="left"/>
      <w:pPr>
        <w:tabs>
          <w:tab w:val="num" w:pos="720"/>
        </w:tabs>
        <w:ind w:left="720" w:hanging="360"/>
      </w:pPr>
      <w:rPr>
        <w:rFonts w:ascii="Futura Lt BT" w:hAnsi="Futura Lt BT" w:cs="Times New Roman" w:hint="default"/>
      </w:rPr>
    </w:lvl>
    <w:lvl w:ilvl="1" w:tplc="1A66FE78" w:tentative="1">
      <w:start w:val="1"/>
      <w:numFmt w:val="bullet"/>
      <w:lvlText w:val="o"/>
      <w:lvlJc w:val="left"/>
      <w:pPr>
        <w:tabs>
          <w:tab w:val="num" w:pos="1440"/>
        </w:tabs>
        <w:ind w:left="1440" w:hanging="360"/>
      </w:pPr>
      <w:rPr>
        <w:rFonts w:ascii="Courier New" w:hAnsi="Courier New" w:cs="Courier New" w:hint="default"/>
      </w:rPr>
    </w:lvl>
    <w:lvl w:ilvl="2" w:tplc="FBA8FF50" w:tentative="1">
      <w:start w:val="1"/>
      <w:numFmt w:val="bullet"/>
      <w:lvlText w:val=""/>
      <w:lvlJc w:val="left"/>
      <w:pPr>
        <w:tabs>
          <w:tab w:val="num" w:pos="2160"/>
        </w:tabs>
        <w:ind w:left="2160" w:hanging="360"/>
      </w:pPr>
      <w:rPr>
        <w:rFonts w:ascii="Wingdings" w:hAnsi="Wingdings" w:hint="default"/>
      </w:rPr>
    </w:lvl>
    <w:lvl w:ilvl="3" w:tplc="3F46E07C" w:tentative="1">
      <w:start w:val="1"/>
      <w:numFmt w:val="bullet"/>
      <w:lvlText w:val=""/>
      <w:lvlJc w:val="left"/>
      <w:pPr>
        <w:tabs>
          <w:tab w:val="num" w:pos="2880"/>
        </w:tabs>
        <w:ind w:left="2880" w:hanging="360"/>
      </w:pPr>
      <w:rPr>
        <w:rFonts w:ascii="Symbol" w:hAnsi="Symbol" w:hint="default"/>
      </w:rPr>
    </w:lvl>
    <w:lvl w:ilvl="4" w:tplc="9732FB78" w:tentative="1">
      <w:start w:val="1"/>
      <w:numFmt w:val="bullet"/>
      <w:lvlText w:val="o"/>
      <w:lvlJc w:val="left"/>
      <w:pPr>
        <w:tabs>
          <w:tab w:val="num" w:pos="3600"/>
        </w:tabs>
        <w:ind w:left="3600" w:hanging="360"/>
      </w:pPr>
      <w:rPr>
        <w:rFonts w:ascii="Courier New" w:hAnsi="Courier New" w:cs="Courier New" w:hint="default"/>
      </w:rPr>
    </w:lvl>
    <w:lvl w:ilvl="5" w:tplc="E9F0449E" w:tentative="1">
      <w:start w:val="1"/>
      <w:numFmt w:val="bullet"/>
      <w:lvlText w:val=""/>
      <w:lvlJc w:val="left"/>
      <w:pPr>
        <w:tabs>
          <w:tab w:val="num" w:pos="4320"/>
        </w:tabs>
        <w:ind w:left="4320" w:hanging="360"/>
      </w:pPr>
      <w:rPr>
        <w:rFonts w:ascii="Wingdings" w:hAnsi="Wingdings" w:hint="default"/>
      </w:rPr>
    </w:lvl>
    <w:lvl w:ilvl="6" w:tplc="EC68D3A4" w:tentative="1">
      <w:start w:val="1"/>
      <w:numFmt w:val="bullet"/>
      <w:lvlText w:val=""/>
      <w:lvlJc w:val="left"/>
      <w:pPr>
        <w:tabs>
          <w:tab w:val="num" w:pos="5040"/>
        </w:tabs>
        <w:ind w:left="5040" w:hanging="360"/>
      </w:pPr>
      <w:rPr>
        <w:rFonts w:ascii="Symbol" w:hAnsi="Symbol" w:hint="default"/>
      </w:rPr>
    </w:lvl>
    <w:lvl w:ilvl="7" w:tplc="FA1C940C" w:tentative="1">
      <w:start w:val="1"/>
      <w:numFmt w:val="bullet"/>
      <w:lvlText w:val="o"/>
      <w:lvlJc w:val="left"/>
      <w:pPr>
        <w:tabs>
          <w:tab w:val="num" w:pos="5760"/>
        </w:tabs>
        <w:ind w:left="5760" w:hanging="360"/>
      </w:pPr>
      <w:rPr>
        <w:rFonts w:ascii="Courier New" w:hAnsi="Courier New" w:cs="Courier New" w:hint="default"/>
      </w:rPr>
    </w:lvl>
    <w:lvl w:ilvl="8" w:tplc="1B98EBDA"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1D24757"/>
    <w:multiLevelType w:val="hybridMultilevel"/>
    <w:tmpl w:val="FA1EE082"/>
    <w:lvl w:ilvl="0" w:tplc="7D709030">
      <w:numFmt w:val="bullet"/>
      <w:lvlText w:val="—"/>
      <w:lvlJc w:val="left"/>
      <w:pPr>
        <w:ind w:left="720" w:hanging="360"/>
      </w:pPr>
      <w:rPr>
        <w:rFonts w:ascii="Times New Roman" w:eastAsiaTheme="minorHAnsi" w:hAnsi="Times New Roman" w:cs="Times New Roman" w:hint="default"/>
      </w:rPr>
    </w:lvl>
    <w:lvl w:ilvl="1" w:tplc="F28CADC2" w:tentative="1">
      <w:start w:val="1"/>
      <w:numFmt w:val="bullet"/>
      <w:lvlText w:val="o"/>
      <w:lvlJc w:val="left"/>
      <w:pPr>
        <w:ind w:left="1440" w:hanging="360"/>
      </w:pPr>
      <w:rPr>
        <w:rFonts w:ascii="Courier New" w:hAnsi="Courier New" w:cs="Courier New" w:hint="default"/>
      </w:rPr>
    </w:lvl>
    <w:lvl w:ilvl="2" w:tplc="80EE8828" w:tentative="1">
      <w:start w:val="1"/>
      <w:numFmt w:val="bullet"/>
      <w:lvlText w:val=""/>
      <w:lvlJc w:val="left"/>
      <w:pPr>
        <w:ind w:left="2160" w:hanging="360"/>
      </w:pPr>
      <w:rPr>
        <w:rFonts w:ascii="Wingdings" w:hAnsi="Wingdings" w:hint="default"/>
      </w:rPr>
    </w:lvl>
    <w:lvl w:ilvl="3" w:tplc="E574298E" w:tentative="1">
      <w:start w:val="1"/>
      <w:numFmt w:val="bullet"/>
      <w:lvlText w:val=""/>
      <w:lvlJc w:val="left"/>
      <w:pPr>
        <w:ind w:left="2880" w:hanging="360"/>
      </w:pPr>
      <w:rPr>
        <w:rFonts w:ascii="Symbol" w:hAnsi="Symbol" w:hint="default"/>
      </w:rPr>
    </w:lvl>
    <w:lvl w:ilvl="4" w:tplc="71900422" w:tentative="1">
      <w:start w:val="1"/>
      <w:numFmt w:val="bullet"/>
      <w:lvlText w:val="o"/>
      <w:lvlJc w:val="left"/>
      <w:pPr>
        <w:ind w:left="3600" w:hanging="360"/>
      </w:pPr>
      <w:rPr>
        <w:rFonts w:ascii="Courier New" w:hAnsi="Courier New" w:cs="Courier New" w:hint="default"/>
      </w:rPr>
    </w:lvl>
    <w:lvl w:ilvl="5" w:tplc="00BA4E6C" w:tentative="1">
      <w:start w:val="1"/>
      <w:numFmt w:val="bullet"/>
      <w:lvlText w:val=""/>
      <w:lvlJc w:val="left"/>
      <w:pPr>
        <w:ind w:left="4320" w:hanging="360"/>
      </w:pPr>
      <w:rPr>
        <w:rFonts w:ascii="Wingdings" w:hAnsi="Wingdings" w:hint="default"/>
      </w:rPr>
    </w:lvl>
    <w:lvl w:ilvl="6" w:tplc="EF4E41E2" w:tentative="1">
      <w:start w:val="1"/>
      <w:numFmt w:val="bullet"/>
      <w:lvlText w:val=""/>
      <w:lvlJc w:val="left"/>
      <w:pPr>
        <w:ind w:left="5040" w:hanging="360"/>
      </w:pPr>
      <w:rPr>
        <w:rFonts w:ascii="Symbol" w:hAnsi="Symbol" w:hint="default"/>
      </w:rPr>
    </w:lvl>
    <w:lvl w:ilvl="7" w:tplc="E1DAE234" w:tentative="1">
      <w:start w:val="1"/>
      <w:numFmt w:val="bullet"/>
      <w:lvlText w:val="o"/>
      <w:lvlJc w:val="left"/>
      <w:pPr>
        <w:ind w:left="5760" w:hanging="360"/>
      </w:pPr>
      <w:rPr>
        <w:rFonts w:ascii="Courier New" w:hAnsi="Courier New" w:cs="Courier New" w:hint="default"/>
      </w:rPr>
    </w:lvl>
    <w:lvl w:ilvl="8" w:tplc="7FAC4F52" w:tentative="1">
      <w:start w:val="1"/>
      <w:numFmt w:val="bullet"/>
      <w:lvlText w:val=""/>
      <w:lvlJc w:val="left"/>
      <w:pPr>
        <w:ind w:left="6480" w:hanging="360"/>
      </w:pPr>
      <w:rPr>
        <w:rFonts w:ascii="Wingdings" w:hAnsi="Wingdings" w:hint="default"/>
      </w:rPr>
    </w:lvl>
  </w:abstractNum>
  <w:abstractNum w:abstractNumId="53" w15:restartNumberingAfterBreak="0">
    <w:nsid w:val="56466A74"/>
    <w:multiLevelType w:val="multilevel"/>
    <w:tmpl w:val="AAF651C0"/>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4"/>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59597763"/>
    <w:multiLevelType w:val="multilevel"/>
    <w:tmpl w:val="6B9469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5A350CCF"/>
    <w:multiLevelType w:val="multilevel"/>
    <w:tmpl w:val="C2ACEBCA"/>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3"/>
      <w:numFmt w:val="decimal"/>
      <w:lvlText w:val="%1.%2.%3.%4"/>
      <w:lvlJc w:val="left"/>
      <w:pPr>
        <w:tabs>
          <w:tab w:val="num" w:pos="795"/>
        </w:tabs>
        <w:ind w:left="795" w:hanging="795"/>
      </w:pPr>
      <w:rPr>
        <w:rFonts w:hint="default"/>
        <w:b/>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5D000CDE"/>
    <w:multiLevelType w:val="multilevel"/>
    <w:tmpl w:val="C15A4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EA07653"/>
    <w:multiLevelType w:val="hybridMultilevel"/>
    <w:tmpl w:val="549C48F2"/>
    <w:lvl w:ilvl="0" w:tplc="2110D2FA">
      <w:start w:val="1"/>
      <w:numFmt w:val="bullet"/>
      <w:pStyle w:val="Textstand-aloneBulletpoint"/>
      <w:lvlText w:val="-"/>
      <w:lvlJc w:val="left"/>
      <w:pPr>
        <w:ind w:left="1080" w:hanging="360"/>
      </w:pPr>
      <w:rPr>
        <w:rFonts w:ascii="Verdana" w:hAnsi="Verdana" w:hint="default"/>
      </w:rPr>
    </w:lvl>
    <w:lvl w:ilvl="1" w:tplc="4E78EB20" w:tentative="1">
      <w:start w:val="1"/>
      <w:numFmt w:val="bullet"/>
      <w:lvlText w:val="o"/>
      <w:lvlJc w:val="left"/>
      <w:pPr>
        <w:ind w:left="1800" w:hanging="360"/>
      </w:pPr>
      <w:rPr>
        <w:rFonts w:ascii="Courier New" w:hAnsi="Courier New" w:cs="Courier New" w:hint="default"/>
      </w:rPr>
    </w:lvl>
    <w:lvl w:ilvl="2" w:tplc="E6C84B0C" w:tentative="1">
      <w:start w:val="1"/>
      <w:numFmt w:val="bullet"/>
      <w:lvlText w:val=""/>
      <w:lvlJc w:val="left"/>
      <w:pPr>
        <w:ind w:left="2520" w:hanging="360"/>
      </w:pPr>
      <w:rPr>
        <w:rFonts w:ascii="Wingdings" w:hAnsi="Wingdings" w:hint="default"/>
      </w:rPr>
    </w:lvl>
    <w:lvl w:ilvl="3" w:tplc="75EC7EB8" w:tentative="1">
      <w:start w:val="1"/>
      <w:numFmt w:val="bullet"/>
      <w:lvlText w:val=""/>
      <w:lvlJc w:val="left"/>
      <w:pPr>
        <w:ind w:left="3240" w:hanging="360"/>
      </w:pPr>
      <w:rPr>
        <w:rFonts w:ascii="Symbol" w:hAnsi="Symbol" w:hint="default"/>
      </w:rPr>
    </w:lvl>
    <w:lvl w:ilvl="4" w:tplc="E8E09994" w:tentative="1">
      <w:start w:val="1"/>
      <w:numFmt w:val="bullet"/>
      <w:lvlText w:val="o"/>
      <w:lvlJc w:val="left"/>
      <w:pPr>
        <w:ind w:left="3960" w:hanging="360"/>
      </w:pPr>
      <w:rPr>
        <w:rFonts w:ascii="Courier New" w:hAnsi="Courier New" w:cs="Courier New" w:hint="default"/>
      </w:rPr>
    </w:lvl>
    <w:lvl w:ilvl="5" w:tplc="5E708744" w:tentative="1">
      <w:start w:val="1"/>
      <w:numFmt w:val="bullet"/>
      <w:lvlText w:val=""/>
      <w:lvlJc w:val="left"/>
      <w:pPr>
        <w:ind w:left="4680" w:hanging="360"/>
      </w:pPr>
      <w:rPr>
        <w:rFonts w:ascii="Wingdings" w:hAnsi="Wingdings" w:hint="default"/>
      </w:rPr>
    </w:lvl>
    <w:lvl w:ilvl="6" w:tplc="D058648C" w:tentative="1">
      <w:start w:val="1"/>
      <w:numFmt w:val="bullet"/>
      <w:lvlText w:val=""/>
      <w:lvlJc w:val="left"/>
      <w:pPr>
        <w:ind w:left="5400" w:hanging="360"/>
      </w:pPr>
      <w:rPr>
        <w:rFonts w:ascii="Symbol" w:hAnsi="Symbol" w:hint="default"/>
      </w:rPr>
    </w:lvl>
    <w:lvl w:ilvl="7" w:tplc="D9FAE3C6" w:tentative="1">
      <w:start w:val="1"/>
      <w:numFmt w:val="bullet"/>
      <w:lvlText w:val="o"/>
      <w:lvlJc w:val="left"/>
      <w:pPr>
        <w:ind w:left="6120" w:hanging="360"/>
      </w:pPr>
      <w:rPr>
        <w:rFonts w:ascii="Courier New" w:hAnsi="Courier New" w:cs="Courier New" w:hint="default"/>
      </w:rPr>
    </w:lvl>
    <w:lvl w:ilvl="8" w:tplc="AFC23756" w:tentative="1">
      <w:start w:val="1"/>
      <w:numFmt w:val="bullet"/>
      <w:lvlText w:val=""/>
      <w:lvlJc w:val="left"/>
      <w:pPr>
        <w:ind w:left="6840" w:hanging="360"/>
      </w:pPr>
      <w:rPr>
        <w:rFonts w:ascii="Wingdings" w:hAnsi="Wingdings" w:hint="default"/>
      </w:rPr>
    </w:lvl>
  </w:abstractNum>
  <w:abstractNum w:abstractNumId="58" w15:restartNumberingAfterBreak="0">
    <w:nsid w:val="5FF9160A"/>
    <w:multiLevelType w:val="multilevel"/>
    <w:tmpl w:val="6B94692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45E5957"/>
    <w:multiLevelType w:val="multilevel"/>
    <w:tmpl w:val="D92028A0"/>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4"/>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0" w15:restartNumberingAfterBreak="0">
    <w:nsid w:val="654BA0F8"/>
    <w:multiLevelType w:val="hybridMultilevel"/>
    <w:tmpl w:val="FA1EE082"/>
    <w:lvl w:ilvl="0" w:tplc="C21E9A00">
      <w:numFmt w:val="bullet"/>
      <w:lvlText w:val="—"/>
      <w:lvlJc w:val="left"/>
      <w:pPr>
        <w:ind w:left="720" w:hanging="360"/>
      </w:pPr>
      <w:rPr>
        <w:rFonts w:ascii="Times New Roman" w:eastAsiaTheme="minorHAnsi" w:hAnsi="Times New Roman" w:cs="Times New Roman" w:hint="default"/>
      </w:rPr>
    </w:lvl>
    <w:lvl w:ilvl="1" w:tplc="98EC32DE" w:tentative="1">
      <w:start w:val="1"/>
      <w:numFmt w:val="bullet"/>
      <w:lvlText w:val="o"/>
      <w:lvlJc w:val="left"/>
      <w:pPr>
        <w:ind w:left="1440" w:hanging="360"/>
      </w:pPr>
      <w:rPr>
        <w:rFonts w:ascii="Courier New" w:hAnsi="Courier New" w:cs="Courier New" w:hint="default"/>
      </w:rPr>
    </w:lvl>
    <w:lvl w:ilvl="2" w:tplc="BD6E9EAC" w:tentative="1">
      <w:start w:val="1"/>
      <w:numFmt w:val="bullet"/>
      <w:lvlText w:val=""/>
      <w:lvlJc w:val="left"/>
      <w:pPr>
        <w:ind w:left="2160" w:hanging="360"/>
      </w:pPr>
      <w:rPr>
        <w:rFonts w:ascii="Wingdings" w:hAnsi="Wingdings" w:hint="default"/>
      </w:rPr>
    </w:lvl>
    <w:lvl w:ilvl="3" w:tplc="D9506292" w:tentative="1">
      <w:start w:val="1"/>
      <w:numFmt w:val="bullet"/>
      <w:lvlText w:val=""/>
      <w:lvlJc w:val="left"/>
      <w:pPr>
        <w:ind w:left="2880" w:hanging="360"/>
      </w:pPr>
      <w:rPr>
        <w:rFonts w:ascii="Symbol" w:hAnsi="Symbol" w:hint="default"/>
      </w:rPr>
    </w:lvl>
    <w:lvl w:ilvl="4" w:tplc="114878A2" w:tentative="1">
      <w:start w:val="1"/>
      <w:numFmt w:val="bullet"/>
      <w:lvlText w:val="o"/>
      <w:lvlJc w:val="left"/>
      <w:pPr>
        <w:ind w:left="3600" w:hanging="360"/>
      </w:pPr>
      <w:rPr>
        <w:rFonts w:ascii="Courier New" w:hAnsi="Courier New" w:cs="Courier New" w:hint="default"/>
      </w:rPr>
    </w:lvl>
    <w:lvl w:ilvl="5" w:tplc="66F2E72E" w:tentative="1">
      <w:start w:val="1"/>
      <w:numFmt w:val="bullet"/>
      <w:lvlText w:val=""/>
      <w:lvlJc w:val="left"/>
      <w:pPr>
        <w:ind w:left="4320" w:hanging="360"/>
      </w:pPr>
      <w:rPr>
        <w:rFonts w:ascii="Wingdings" w:hAnsi="Wingdings" w:hint="default"/>
      </w:rPr>
    </w:lvl>
    <w:lvl w:ilvl="6" w:tplc="5E206CF0" w:tentative="1">
      <w:start w:val="1"/>
      <w:numFmt w:val="bullet"/>
      <w:lvlText w:val=""/>
      <w:lvlJc w:val="left"/>
      <w:pPr>
        <w:ind w:left="5040" w:hanging="360"/>
      </w:pPr>
      <w:rPr>
        <w:rFonts w:ascii="Symbol" w:hAnsi="Symbol" w:hint="default"/>
      </w:rPr>
    </w:lvl>
    <w:lvl w:ilvl="7" w:tplc="C1E62C9E" w:tentative="1">
      <w:start w:val="1"/>
      <w:numFmt w:val="bullet"/>
      <w:lvlText w:val="o"/>
      <w:lvlJc w:val="left"/>
      <w:pPr>
        <w:ind w:left="5760" w:hanging="360"/>
      </w:pPr>
      <w:rPr>
        <w:rFonts w:ascii="Courier New" w:hAnsi="Courier New" w:cs="Courier New" w:hint="default"/>
      </w:rPr>
    </w:lvl>
    <w:lvl w:ilvl="8" w:tplc="2FB0D382" w:tentative="1">
      <w:start w:val="1"/>
      <w:numFmt w:val="bullet"/>
      <w:lvlText w:val=""/>
      <w:lvlJc w:val="left"/>
      <w:pPr>
        <w:ind w:left="6480" w:hanging="360"/>
      </w:pPr>
      <w:rPr>
        <w:rFonts w:ascii="Wingdings" w:hAnsi="Wingdings" w:hint="default"/>
      </w:rPr>
    </w:lvl>
  </w:abstractNum>
  <w:abstractNum w:abstractNumId="61" w15:restartNumberingAfterBreak="0">
    <w:nsid w:val="65F23A0D"/>
    <w:multiLevelType w:val="hybridMultilevel"/>
    <w:tmpl w:val="36C6AE94"/>
    <w:lvl w:ilvl="0" w:tplc="14F43C2C">
      <w:start w:val="1"/>
      <w:numFmt w:val="lowerRoman"/>
      <w:pStyle w:val="Listi"/>
      <w:lvlText w:val="%1)"/>
      <w:lvlJc w:val="left"/>
      <w:pPr>
        <w:tabs>
          <w:tab w:val="num" w:pos="1080"/>
        </w:tabs>
        <w:ind w:left="1080" w:hanging="720"/>
      </w:pPr>
      <w:rPr>
        <w:rFonts w:cs="Times New Roman" w:hint="default"/>
      </w:rPr>
    </w:lvl>
    <w:lvl w:ilvl="1" w:tplc="DE2CD0D0">
      <w:start w:val="1"/>
      <w:numFmt w:val="lowerLetter"/>
      <w:lvlText w:val="%2."/>
      <w:lvlJc w:val="left"/>
      <w:pPr>
        <w:tabs>
          <w:tab w:val="num" w:pos="1440"/>
        </w:tabs>
        <w:ind w:left="1440" w:hanging="360"/>
      </w:pPr>
      <w:rPr>
        <w:rFonts w:cs="Times New Roman"/>
      </w:rPr>
    </w:lvl>
    <w:lvl w:ilvl="2" w:tplc="6C9C335C">
      <w:start w:val="1"/>
      <w:numFmt w:val="lowerRoman"/>
      <w:lvlText w:val="%3."/>
      <w:lvlJc w:val="right"/>
      <w:pPr>
        <w:tabs>
          <w:tab w:val="num" w:pos="2160"/>
        </w:tabs>
        <w:ind w:left="2160" w:hanging="180"/>
      </w:pPr>
      <w:rPr>
        <w:rFonts w:cs="Times New Roman"/>
      </w:rPr>
    </w:lvl>
    <w:lvl w:ilvl="3" w:tplc="96000D0E">
      <w:start w:val="1"/>
      <w:numFmt w:val="decimal"/>
      <w:lvlText w:val="%4."/>
      <w:lvlJc w:val="left"/>
      <w:pPr>
        <w:tabs>
          <w:tab w:val="num" w:pos="2880"/>
        </w:tabs>
        <w:ind w:left="2880" w:hanging="360"/>
      </w:pPr>
      <w:rPr>
        <w:rFonts w:cs="Times New Roman"/>
      </w:rPr>
    </w:lvl>
    <w:lvl w:ilvl="4" w:tplc="4E628694">
      <w:start w:val="1"/>
      <w:numFmt w:val="lowerLetter"/>
      <w:lvlText w:val="%5."/>
      <w:lvlJc w:val="left"/>
      <w:pPr>
        <w:tabs>
          <w:tab w:val="num" w:pos="3600"/>
        </w:tabs>
        <w:ind w:left="3600" w:hanging="360"/>
      </w:pPr>
      <w:rPr>
        <w:rFonts w:cs="Times New Roman"/>
      </w:rPr>
    </w:lvl>
    <w:lvl w:ilvl="5" w:tplc="6710376A">
      <w:start w:val="1"/>
      <w:numFmt w:val="lowerRoman"/>
      <w:lvlText w:val="%6."/>
      <w:lvlJc w:val="right"/>
      <w:pPr>
        <w:tabs>
          <w:tab w:val="num" w:pos="4320"/>
        </w:tabs>
        <w:ind w:left="4320" w:hanging="180"/>
      </w:pPr>
      <w:rPr>
        <w:rFonts w:cs="Times New Roman"/>
      </w:rPr>
    </w:lvl>
    <w:lvl w:ilvl="6" w:tplc="3D425BC8">
      <w:start w:val="1"/>
      <w:numFmt w:val="decimal"/>
      <w:lvlText w:val="%7."/>
      <w:lvlJc w:val="left"/>
      <w:pPr>
        <w:tabs>
          <w:tab w:val="num" w:pos="5040"/>
        </w:tabs>
        <w:ind w:left="5040" w:hanging="360"/>
      </w:pPr>
      <w:rPr>
        <w:rFonts w:cs="Times New Roman"/>
      </w:rPr>
    </w:lvl>
    <w:lvl w:ilvl="7" w:tplc="661EE806">
      <w:start w:val="1"/>
      <w:numFmt w:val="lowerLetter"/>
      <w:lvlText w:val="%8."/>
      <w:lvlJc w:val="left"/>
      <w:pPr>
        <w:tabs>
          <w:tab w:val="num" w:pos="5760"/>
        </w:tabs>
        <w:ind w:left="5760" w:hanging="360"/>
      </w:pPr>
      <w:rPr>
        <w:rFonts w:cs="Times New Roman"/>
      </w:rPr>
    </w:lvl>
    <w:lvl w:ilvl="8" w:tplc="ED740A40">
      <w:start w:val="1"/>
      <w:numFmt w:val="lowerRoman"/>
      <w:lvlText w:val="%9."/>
      <w:lvlJc w:val="right"/>
      <w:pPr>
        <w:tabs>
          <w:tab w:val="num" w:pos="6480"/>
        </w:tabs>
        <w:ind w:left="6480" w:hanging="180"/>
      </w:pPr>
      <w:rPr>
        <w:rFonts w:cs="Times New Roman"/>
      </w:rPr>
    </w:lvl>
  </w:abstractNum>
  <w:abstractNum w:abstractNumId="62" w15:restartNumberingAfterBreak="0">
    <w:nsid w:val="66005E5A"/>
    <w:multiLevelType w:val="hybridMultilevel"/>
    <w:tmpl w:val="C7242F70"/>
    <w:lvl w:ilvl="0" w:tplc="0DA82C82">
      <w:numFmt w:val="bullet"/>
      <w:lvlText w:val="-"/>
      <w:lvlJc w:val="left"/>
      <w:pPr>
        <w:tabs>
          <w:tab w:val="num" w:pos="720"/>
        </w:tabs>
        <w:ind w:left="720" w:hanging="363"/>
      </w:pPr>
      <w:rPr>
        <w:rFonts w:ascii="Futura Lt BT" w:hAnsi="Futura Lt BT" w:cs="Times New Roman" w:hint="default"/>
      </w:rPr>
    </w:lvl>
    <w:lvl w:ilvl="1" w:tplc="E4423644" w:tentative="1">
      <w:start w:val="1"/>
      <w:numFmt w:val="bullet"/>
      <w:lvlText w:val="o"/>
      <w:lvlJc w:val="left"/>
      <w:pPr>
        <w:tabs>
          <w:tab w:val="num" w:pos="1440"/>
        </w:tabs>
        <w:ind w:left="1440" w:hanging="360"/>
      </w:pPr>
      <w:rPr>
        <w:rFonts w:ascii="Courier New" w:hAnsi="Courier New" w:cs="Courier New" w:hint="default"/>
      </w:rPr>
    </w:lvl>
    <w:lvl w:ilvl="2" w:tplc="22CA0E66" w:tentative="1">
      <w:start w:val="1"/>
      <w:numFmt w:val="bullet"/>
      <w:lvlText w:val=""/>
      <w:lvlJc w:val="left"/>
      <w:pPr>
        <w:tabs>
          <w:tab w:val="num" w:pos="2160"/>
        </w:tabs>
        <w:ind w:left="2160" w:hanging="360"/>
      </w:pPr>
      <w:rPr>
        <w:rFonts w:ascii="Wingdings" w:hAnsi="Wingdings" w:hint="default"/>
      </w:rPr>
    </w:lvl>
    <w:lvl w:ilvl="3" w:tplc="B8A2A690" w:tentative="1">
      <w:start w:val="1"/>
      <w:numFmt w:val="bullet"/>
      <w:lvlText w:val=""/>
      <w:lvlJc w:val="left"/>
      <w:pPr>
        <w:tabs>
          <w:tab w:val="num" w:pos="2880"/>
        </w:tabs>
        <w:ind w:left="2880" w:hanging="360"/>
      </w:pPr>
      <w:rPr>
        <w:rFonts w:ascii="Symbol" w:hAnsi="Symbol" w:hint="default"/>
      </w:rPr>
    </w:lvl>
    <w:lvl w:ilvl="4" w:tplc="7AC8A942" w:tentative="1">
      <w:start w:val="1"/>
      <w:numFmt w:val="bullet"/>
      <w:lvlText w:val="o"/>
      <w:lvlJc w:val="left"/>
      <w:pPr>
        <w:tabs>
          <w:tab w:val="num" w:pos="3600"/>
        </w:tabs>
        <w:ind w:left="3600" w:hanging="360"/>
      </w:pPr>
      <w:rPr>
        <w:rFonts w:ascii="Courier New" w:hAnsi="Courier New" w:cs="Courier New" w:hint="default"/>
      </w:rPr>
    </w:lvl>
    <w:lvl w:ilvl="5" w:tplc="B45E21BC" w:tentative="1">
      <w:start w:val="1"/>
      <w:numFmt w:val="bullet"/>
      <w:lvlText w:val=""/>
      <w:lvlJc w:val="left"/>
      <w:pPr>
        <w:tabs>
          <w:tab w:val="num" w:pos="4320"/>
        </w:tabs>
        <w:ind w:left="4320" w:hanging="360"/>
      </w:pPr>
      <w:rPr>
        <w:rFonts w:ascii="Wingdings" w:hAnsi="Wingdings" w:hint="default"/>
      </w:rPr>
    </w:lvl>
    <w:lvl w:ilvl="6" w:tplc="9C74821A" w:tentative="1">
      <w:start w:val="1"/>
      <w:numFmt w:val="bullet"/>
      <w:lvlText w:val=""/>
      <w:lvlJc w:val="left"/>
      <w:pPr>
        <w:tabs>
          <w:tab w:val="num" w:pos="5040"/>
        </w:tabs>
        <w:ind w:left="5040" w:hanging="360"/>
      </w:pPr>
      <w:rPr>
        <w:rFonts w:ascii="Symbol" w:hAnsi="Symbol" w:hint="default"/>
      </w:rPr>
    </w:lvl>
    <w:lvl w:ilvl="7" w:tplc="A776004C" w:tentative="1">
      <w:start w:val="1"/>
      <w:numFmt w:val="bullet"/>
      <w:lvlText w:val="o"/>
      <w:lvlJc w:val="left"/>
      <w:pPr>
        <w:tabs>
          <w:tab w:val="num" w:pos="5760"/>
        </w:tabs>
        <w:ind w:left="5760" w:hanging="360"/>
      </w:pPr>
      <w:rPr>
        <w:rFonts w:ascii="Courier New" w:hAnsi="Courier New" w:cs="Courier New" w:hint="default"/>
      </w:rPr>
    </w:lvl>
    <w:lvl w:ilvl="8" w:tplc="AECEC9B6"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7447488"/>
    <w:multiLevelType w:val="hybridMultilevel"/>
    <w:tmpl w:val="8E40C3CA"/>
    <w:lvl w:ilvl="0" w:tplc="865271D8">
      <w:numFmt w:val="bullet"/>
      <w:lvlText w:val="-"/>
      <w:lvlJc w:val="left"/>
      <w:pPr>
        <w:ind w:left="720" w:hanging="360"/>
      </w:pPr>
      <w:rPr>
        <w:rFonts w:ascii="Futura Lt BT" w:hAnsi="Futura Lt BT" w:cs="Times New Roman" w:hint="default"/>
      </w:rPr>
    </w:lvl>
    <w:lvl w:ilvl="1" w:tplc="CE620A24" w:tentative="1">
      <w:start w:val="1"/>
      <w:numFmt w:val="bullet"/>
      <w:lvlText w:val="o"/>
      <w:lvlJc w:val="left"/>
      <w:pPr>
        <w:ind w:left="1440" w:hanging="360"/>
      </w:pPr>
      <w:rPr>
        <w:rFonts w:ascii="Courier New" w:hAnsi="Courier New" w:cs="Courier New" w:hint="default"/>
      </w:rPr>
    </w:lvl>
    <w:lvl w:ilvl="2" w:tplc="79B814DC" w:tentative="1">
      <w:start w:val="1"/>
      <w:numFmt w:val="bullet"/>
      <w:lvlText w:val=""/>
      <w:lvlJc w:val="left"/>
      <w:pPr>
        <w:ind w:left="2160" w:hanging="360"/>
      </w:pPr>
      <w:rPr>
        <w:rFonts w:ascii="Wingdings" w:hAnsi="Wingdings" w:hint="default"/>
      </w:rPr>
    </w:lvl>
    <w:lvl w:ilvl="3" w:tplc="B8981E62" w:tentative="1">
      <w:start w:val="1"/>
      <w:numFmt w:val="bullet"/>
      <w:lvlText w:val=""/>
      <w:lvlJc w:val="left"/>
      <w:pPr>
        <w:ind w:left="2880" w:hanging="360"/>
      </w:pPr>
      <w:rPr>
        <w:rFonts w:ascii="Symbol" w:hAnsi="Symbol" w:hint="default"/>
      </w:rPr>
    </w:lvl>
    <w:lvl w:ilvl="4" w:tplc="095AFEEA" w:tentative="1">
      <w:start w:val="1"/>
      <w:numFmt w:val="bullet"/>
      <w:lvlText w:val="o"/>
      <w:lvlJc w:val="left"/>
      <w:pPr>
        <w:ind w:left="3600" w:hanging="360"/>
      </w:pPr>
      <w:rPr>
        <w:rFonts w:ascii="Courier New" w:hAnsi="Courier New" w:cs="Courier New" w:hint="default"/>
      </w:rPr>
    </w:lvl>
    <w:lvl w:ilvl="5" w:tplc="E34ECA24" w:tentative="1">
      <w:start w:val="1"/>
      <w:numFmt w:val="bullet"/>
      <w:lvlText w:val=""/>
      <w:lvlJc w:val="left"/>
      <w:pPr>
        <w:ind w:left="4320" w:hanging="360"/>
      </w:pPr>
      <w:rPr>
        <w:rFonts w:ascii="Wingdings" w:hAnsi="Wingdings" w:hint="default"/>
      </w:rPr>
    </w:lvl>
    <w:lvl w:ilvl="6" w:tplc="71206F14" w:tentative="1">
      <w:start w:val="1"/>
      <w:numFmt w:val="bullet"/>
      <w:lvlText w:val=""/>
      <w:lvlJc w:val="left"/>
      <w:pPr>
        <w:ind w:left="5040" w:hanging="360"/>
      </w:pPr>
      <w:rPr>
        <w:rFonts w:ascii="Symbol" w:hAnsi="Symbol" w:hint="default"/>
      </w:rPr>
    </w:lvl>
    <w:lvl w:ilvl="7" w:tplc="E454247A" w:tentative="1">
      <w:start w:val="1"/>
      <w:numFmt w:val="bullet"/>
      <w:lvlText w:val="o"/>
      <w:lvlJc w:val="left"/>
      <w:pPr>
        <w:ind w:left="5760" w:hanging="360"/>
      </w:pPr>
      <w:rPr>
        <w:rFonts w:ascii="Courier New" w:hAnsi="Courier New" w:cs="Courier New" w:hint="default"/>
      </w:rPr>
    </w:lvl>
    <w:lvl w:ilvl="8" w:tplc="DBBC508A" w:tentative="1">
      <w:start w:val="1"/>
      <w:numFmt w:val="bullet"/>
      <w:lvlText w:val=""/>
      <w:lvlJc w:val="left"/>
      <w:pPr>
        <w:ind w:left="6480" w:hanging="360"/>
      </w:pPr>
      <w:rPr>
        <w:rFonts w:ascii="Wingdings" w:hAnsi="Wingdings" w:hint="default"/>
      </w:rPr>
    </w:lvl>
  </w:abstractNum>
  <w:abstractNum w:abstractNumId="64" w15:restartNumberingAfterBreak="0">
    <w:nsid w:val="679E6226"/>
    <w:multiLevelType w:val="hybridMultilevel"/>
    <w:tmpl w:val="204A3842"/>
    <w:lvl w:ilvl="0" w:tplc="6C8809D4">
      <w:numFmt w:val="bullet"/>
      <w:lvlText w:val="-"/>
      <w:lvlJc w:val="left"/>
      <w:pPr>
        <w:ind w:left="720" w:hanging="360"/>
      </w:pPr>
      <w:rPr>
        <w:rFonts w:ascii="Futura Lt BT" w:hAnsi="Futura Lt BT" w:cs="Times New Roman" w:hint="default"/>
      </w:rPr>
    </w:lvl>
    <w:lvl w:ilvl="1" w:tplc="5984B864" w:tentative="1">
      <w:start w:val="1"/>
      <w:numFmt w:val="bullet"/>
      <w:lvlText w:val="o"/>
      <w:lvlJc w:val="left"/>
      <w:pPr>
        <w:ind w:left="1440" w:hanging="360"/>
      </w:pPr>
      <w:rPr>
        <w:rFonts w:ascii="Courier New" w:hAnsi="Courier New" w:cs="Courier New" w:hint="default"/>
      </w:rPr>
    </w:lvl>
    <w:lvl w:ilvl="2" w:tplc="73B6A1E6" w:tentative="1">
      <w:start w:val="1"/>
      <w:numFmt w:val="bullet"/>
      <w:lvlText w:val=""/>
      <w:lvlJc w:val="left"/>
      <w:pPr>
        <w:ind w:left="2160" w:hanging="360"/>
      </w:pPr>
      <w:rPr>
        <w:rFonts w:ascii="Wingdings" w:hAnsi="Wingdings" w:hint="default"/>
      </w:rPr>
    </w:lvl>
    <w:lvl w:ilvl="3" w:tplc="7512C7BC" w:tentative="1">
      <w:start w:val="1"/>
      <w:numFmt w:val="bullet"/>
      <w:lvlText w:val=""/>
      <w:lvlJc w:val="left"/>
      <w:pPr>
        <w:ind w:left="2880" w:hanging="360"/>
      </w:pPr>
      <w:rPr>
        <w:rFonts w:ascii="Symbol" w:hAnsi="Symbol" w:hint="default"/>
      </w:rPr>
    </w:lvl>
    <w:lvl w:ilvl="4" w:tplc="04EAC532" w:tentative="1">
      <w:start w:val="1"/>
      <w:numFmt w:val="bullet"/>
      <w:lvlText w:val="o"/>
      <w:lvlJc w:val="left"/>
      <w:pPr>
        <w:ind w:left="3600" w:hanging="360"/>
      </w:pPr>
      <w:rPr>
        <w:rFonts w:ascii="Courier New" w:hAnsi="Courier New" w:cs="Courier New" w:hint="default"/>
      </w:rPr>
    </w:lvl>
    <w:lvl w:ilvl="5" w:tplc="A7F28586" w:tentative="1">
      <w:start w:val="1"/>
      <w:numFmt w:val="bullet"/>
      <w:lvlText w:val=""/>
      <w:lvlJc w:val="left"/>
      <w:pPr>
        <w:ind w:left="4320" w:hanging="360"/>
      </w:pPr>
      <w:rPr>
        <w:rFonts w:ascii="Wingdings" w:hAnsi="Wingdings" w:hint="default"/>
      </w:rPr>
    </w:lvl>
    <w:lvl w:ilvl="6" w:tplc="D426688A" w:tentative="1">
      <w:start w:val="1"/>
      <w:numFmt w:val="bullet"/>
      <w:lvlText w:val=""/>
      <w:lvlJc w:val="left"/>
      <w:pPr>
        <w:ind w:left="5040" w:hanging="360"/>
      </w:pPr>
      <w:rPr>
        <w:rFonts w:ascii="Symbol" w:hAnsi="Symbol" w:hint="default"/>
      </w:rPr>
    </w:lvl>
    <w:lvl w:ilvl="7" w:tplc="EF94AD5C" w:tentative="1">
      <w:start w:val="1"/>
      <w:numFmt w:val="bullet"/>
      <w:lvlText w:val="o"/>
      <w:lvlJc w:val="left"/>
      <w:pPr>
        <w:ind w:left="5760" w:hanging="360"/>
      </w:pPr>
      <w:rPr>
        <w:rFonts w:ascii="Courier New" w:hAnsi="Courier New" w:cs="Courier New" w:hint="default"/>
      </w:rPr>
    </w:lvl>
    <w:lvl w:ilvl="8" w:tplc="11809DE8" w:tentative="1">
      <w:start w:val="1"/>
      <w:numFmt w:val="bullet"/>
      <w:lvlText w:val=""/>
      <w:lvlJc w:val="left"/>
      <w:pPr>
        <w:ind w:left="6480" w:hanging="360"/>
      </w:pPr>
      <w:rPr>
        <w:rFonts w:ascii="Wingdings" w:hAnsi="Wingdings" w:hint="default"/>
      </w:rPr>
    </w:lvl>
  </w:abstractNum>
  <w:abstractNum w:abstractNumId="65" w15:restartNumberingAfterBreak="0">
    <w:nsid w:val="6BD64ED0"/>
    <w:multiLevelType w:val="hybridMultilevel"/>
    <w:tmpl w:val="FA1EE082"/>
    <w:lvl w:ilvl="0" w:tplc="ADEEFE02">
      <w:numFmt w:val="bullet"/>
      <w:pStyle w:val="DGTextstand-alonedashesjustified"/>
      <w:lvlText w:val="—"/>
      <w:lvlJc w:val="left"/>
      <w:pPr>
        <w:ind w:left="720" w:hanging="360"/>
      </w:pPr>
      <w:rPr>
        <w:rFonts w:ascii="Times New Roman" w:eastAsiaTheme="minorHAnsi" w:hAnsi="Times New Roman" w:cs="Times New Roman" w:hint="default"/>
      </w:rPr>
    </w:lvl>
    <w:lvl w:ilvl="1" w:tplc="2536F58A" w:tentative="1">
      <w:start w:val="1"/>
      <w:numFmt w:val="bullet"/>
      <w:lvlText w:val="o"/>
      <w:lvlJc w:val="left"/>
      <w:pPr>
        <w:ind w:left="1440" w:hanging="360"/>
      </w:pPr>
      <w:rPr>
        <w:rFonts w:ascii="Courier New" w:hAnsi="Courier New" w:cs="Courier New" w:hint="default"/>
      </w:rPr>
    </w:lvl>
    <w:lvl w:ilvl="2" w:tplc="44000A78" w:tentative="1">
      <w:start w:val="1"/>
      <w:numFmt w:val="bullet"/>
      <w:lvlText w:val=""/>
      <w:lvlJc w:val="left"/>
      <w:pPr>
        <w:ind w:left="2160" w:hanging="360"/>
      </w:pPr>
      <w:rPr>
        <w:rFonts w:ascii="Wingdings" w:hAnsi="Wingdings" w:hint="default"/>
      </w:rPr>
    </w:lvl>
    <w:lvl w:ilvl="3" w:tplc="F52E6D34" w:tentative="1">
      <w:start w:val="1"/>
      <w:numFmt w:val="bullet"/>
      <w:lvlText w:val=""/>
      <w:lvlJc w:val="left"/>
      <w:pPr>
        <w:ind w:left="2880" w:hanging="360"/>
      </w:pPr>
      <w:rPr>
        <w:rFonts w:ascii="Symbol" w:hAnsi="Symbol" w:hint="default"/>
      </w:rPr>
    </w:lvl>
    <w:lvl w:ilvl="4" w:tplc="D6AAE6FE" w:tentative="1">
      <w:start w:val="1"/>
      <w:numFmt w:val="bullet"/>
      <w:lvlText w:val="o"/>
      <w:lvlJc w:val="left"/>
      <w:pPr>
        <w:ind w:left="3600" w:hanging="360"/>
      </w:pPr>
      <w:rPr>
        <w:rFonts w:ascii="Courier New" w:hAnsi="Courier New" w:cs="Courier New" w:hint="default"/>
      </w:rPr>
    </w:lvl>
    <w:lvl w:ilvl="5" w:tplc="258E4366" w:tentative="1">
      <w:start w:val="1"/>
      <w:numFmt w:val="bullet"/>
      <w:lvlText w:val=""/>
      <w:lvlJc w:val="left"/>
      <w:pPr>
        <w:ind w:left="4320" w:hanging="360"/>
      </w:pPr>
      <w:rPr>
        <w:rFonts w:ascii="Wingdings" w:hAnsi="Wingdings" w:hint="default"/>
      </w:rPr>
    </w:lvl>
    <w:lvl w:ilvl="6" w:tplc="1A72EC42" w:tentative="1">
      <w:start w:val="1"/>
      <w:numFmt w:val="bullet"/>
      <w:lvlText w:val=""/>
      <w:lvlJc w:val="left"/>
      <w:pPr>
        <w:ind w:left="5040" w:hanging="360"/>
      </w:pPr>
      <w:rPr>
        <w:rFonts w:ascii="Symbol" w:hAnsi="Symbol" w:hint="default"/>
      </w:rPr>
    </w:lvl>
    <w:lvl w:ilvl="7" w:tplc="5D308C18" w:tentative="1">
      <w:start w:val="1"/>
      <w:numFmt w:val="bullet"/>
      <w:lvlText w:val="o"/>
      <w:lvlJc w:val="left"/>
      <w:pPr>
        <w:ind w:left="5760" w:hanging="360"/>
      </w:pPr>
      <w:rPr>
        <w:rFonts w:ascii="Courier New" w:hAnsi="Courier New" w:cs="Courier New" w:hint="default"/>
      </w:rPr>
    </w:lvl>
    <w:lvl w:ilvl="8" w:tplc="FC88B052" w:tentative="1">
      <w:start w:val="1"/>
      <w:numFmt w:val="bullet"/>
      <w:lvlText w:val=""/>
      <w:lvlJc w:val="left"/>
      <w:pPr>
        <w:ind w:left="6480" w:hanging="360"/>
      </w:pPr>
      <w:rPr>
        <w:rFonts w:ascii="Wingdings" w:hAnsi="Wingdings" w:hint="default"/>
      </w:rPr>
    </w:lvl>
  </w:abstractNum>
  <w:abstractNum w:abstractNumId="66" w15:restartNumberingAfterBreak="0">
    <w:nsid w:val="6D6E6BA7"/>
    <w:multiLevelType w:val="hybridMultilevel"/>
    <w:tmpl w:val="74E0135A"/>
    <w:lvl w:ilvl="0" w:tplc="6A825C1A">
      <w:numFmt w:val="bullet"/>
      <w:lvlText w:val="-"/>
      <w:lvlJc w:val="left"/>
      <w:pPr>
        <w:ind w:left="720" w:hanging="360"/>
      </w:pPr>
      <w:rPr>
        <w:rFonts w:ascii="Futura Lt BT" w:hAnsi="Futura Lt BT" w:cs="Times New Roman" w:hint="default"/>
      </w:rPr>
    </w:lvl>
    <w:lvl w:ilvl="1" w:tplc="ABC06406" w:tentative="1">
      <w:start w:val="1"/>
      <w:numFmt w:val="bullet"/>
      <w:lvlText w:val="o"/>
      <w:lvlJc w:val="left"/>
      <w:pPr>
        <w:ind w:left="1440" w:hanging="360"/>
      </w:pPr>
      <w:rPr>
        <w:rFonts w:ascii="Courier New" w:hAnsi="Courier New" w:cs="Courier New" w:hint="default"/>
      </w:rPr>
    </w:lvl>
    <w:lvl w:ilvl="2" w:tplc="B980F33E" w:tentative="1">
      <w:start w:val="1"/>
      <w:numFmt w:val="bullet"/>
      <w:lvlText w:val=""/>
      <w:lvlJc w:val="left"/>
      <w:pPr>
        <w:ind w:left="2160" w:hanging="360"/>
      </w:pPr>
      <w:rPr>
        <w:rFonts w:ascii="Wingdings" w:hAnsi="Wingdings" w:hint="default"/>
      </w:rPr>
    </w:lvl>
    <w:lvl w:ilvl="3" w:tplc="3FEEE6F2" w:tentative="1">
      <w:start w:val="1"/>
      <w:numFmt w:val="bullet"/>
      <w:lvlText w:val=""/>
      <w:lvlJc w:val="left"/>
      <w:pPr>
        <w:ind w:left="2880" w:hanging="360"/>
      </w:pPr>
      <w:rPr>
        <w:rFonts w:ascii="Symbol" w:hAnsi="Symbol" w:hint="default"/>
      </w:rPr>
    </w:lvl>
    <w:lvl w:ilvl="4" w:tplc="5210BF3A" w:tentative="1">
      <w:start w:val="1"/>
      <w:numFmt w:val="bullet"/>
      <w:lvlText w:val="o"/>
      <w:lvlJc w:val="left"/>
      <w:pPr>
        <w:ind w:left="3600" w:hanging="360"/>
      </w:pPr>
      <w:rPr>
        <w:rFonts w:ascii="Courier New" w:hAnsi="Courier New" w:cs="Courier New" w:hint="default"/>
      </w:rPr>
    </w:lvl>
    <w:lvl w:ilvl="5" w:tplc="BCDCE998" w:tentative="1">
      <w:start w:val="1"/>
      <w:numFmt w:val="bullet"/>
      <w:lvlText w:val=""/>
      <w:lvlJc w:val="left"/>
      <w:pPr>
        <w:ind w:left="4320" w:hanging="360"/>
      </w:pPr>
      <w:rPr>
        <w:rFonts w:ascii="Wingdings" w:hAnsi="Wingdings" w:hint="default"/>
      </w:rPr>
    </w:lvl>
    <w:lvl w:ilvl="6" w:tplc="F7FC2776" w:tentative="1">
      <w:start w:val="1"/>
      <w:numFmt w:val="bullet"/>
      <w:lvlText w:val=""/>
      <w:lvlJc w:val="left"/>
      <w:pPr>
        <w:ind w:left="5040" w:hanging="360"/>
      </w:pPr>
      <w:rPr>
        <w:rFonts w:ascii="Symbol" w:hAnsi="Symbol" w:hint="default"/>
      </w:rPr>
    </w:lvl>
    <w:lvl w:ilvl="7" w:tplc="5270E6C2" w:tentative="1">
      <w:start w:val="1"/>
      <w:numFmt w:val="bullet"/>
      <w:lvlText w:val="o"/>
      <w:lvlJc w:val="left"/>
      <w:pPr>
        <w:ind w:left="5760" w:hanging="360"/>
      </w:pPr>
      <w:rPr>
        <w:rFonts w:ascii="Courier New" w:hAnsi="Courier New" w:cs="Courier New" w:hint="default"/>
      </w:rPr>
    </w:lvl>
    <w:lvl w:ilvl="8" w:tplc="30601FFA" w:tentative="1">
      <w:start w:val="1"/>
      <w:numFmt w:val="bullet"/>
      <w:lvlText w:val=""/>
      <w:lvlJc w:val="left"/>
      <w:pPr>
        <w:ind w:left="6480" w:hanging="360"/>
      </w:pPr>
      <w:rPr>
        <w:rFonts w:ascii="Wingdings" w:hAnsi="Wingdings" w:hint="default"/>
      </w:rPr>
    </w:lvl>
  </w:abstractNum>
  <w:abstractNum w:abstractNumId="67" w15:restartNumberingAfterBreak="0">
    <w:nsid w:val="6F351A53"/>
    <w:multiLevelType w:val="hybridMultilevel"/>
    <w:tmpl w:val="A22E4046"/>
    <w:lvl w:ilvl="0" w:tplc="1996085E">
      <w:start w:val="1"/>
      <w:numFmt w:val="lowerRoman"/>
      <w:pStyle w:val="Textstand-alonenumberingRCIndentJustified"/>
      <w:lvlText w:val="(%1)"/>
      <w:lvlJc w:val="left"/>
      <w:pPr>
        <w:ind w:left="720" w:hanging="360"/>
      </w:pPr>
      <w:rPr>
        <w:rFonts w:hint="default"/>
      </w:rPr>
    </w:lvl>
    <w:lvl w:ilvl="1" w:tplc="39CEE912" w:tentative="1">
      <w:start w:val="1"/>
      <w:numFmt w:val="lowerLetter"/>
      <w:lvlText w:val="%2."/>
      <w:lvlJc w:val="left"/>
      <w:pPr>
        <w:ind w:left="1440" w:hanging="360"/>
      </w:pPr>
    </w:lvl>
    <w:lvl w:ilvl="2" w:tplc="F5905FC2" w:tentative="1">
      <w:start w:val="1"/>
      <w:numFmt w:val="lowerRoman"/>
      <w:lvlText w:val="%3."/>
      <w:lvlJc w:val="right"/>
      <w:pPr>
        <w:ind w:left="2160" w:hanging="180"/>
      </w:pPr>
    </w:lvl>
    <w:lvl w:ilvl="3" w:tplc="EEF245D0" w:tentative="1">
      <w:start w:val="1"/>
      <w:numFmt w:val="decimal"/>
      <w:lvlText w:val="%4."/>
      <w:lvlJc w:val="left"/>
      <w:pPr>
        <w:ind w:left="2880" w:hanging="360"/>
      </w:pPr>
    </w:lvl>
    <w:lvl w:ilvl="4" w:tplc="C7326EFA" w:tentative="1">
      <w:start w:val="1"/>
      <w:numFmt w:val="lowerLetter"/>
      <w:lvlText w:val="%5."/>
      <w:lvlJc w:val="left"/>
      <w:pPr>
        <w:ind w:left="3600" w:hanging="360"/>
      </w:pPr>
    </w:lvl>
    <w:lvl w:ilvl="5" w:tplc="08FE4FB8" w:tentative="1">
      <w:start w:val="1"/>
      <w:numFmt w:val="lowerRoman"/>
      <w:lvlText w:val="%6."/>
      <w:lvlJc w:val="right"/>
      <w:pPr>
        <w:ind w:left="4320" w:hanging="180"/>
      </w:pPr>
    </w:lvl>
    <w:lvl w:ilvl="6" w:tplc="C76C0F9C" w:tentative="1">
      <w:start w:val="1"/>
      <w:numFmt w:val="decimal"/>
      <w:lvlText w:val="%7."/>
      <w:lvlJc w:val="left"/>
      <w:pPr>
        <w:ind w:left="5040" w:hanging="360"/>
      </w:pPr>
    </w:lvl>
    <w:lvl w:ilvl="7" w:tplc="3A0412A2" w:tentative="1">
      <w:start w:val="1"/>
      <w:numFmt w:val="lowerLetter"/>
      <w:lvlText w:val="%8."/>
      <w:lvlJc w:val="left"/>
      <w:pPr>
        <w:ind w:left="5760" w:hanging="360"/>
      </w:pPr>
    </w:lvl>
    <w:lvl w:ilvl="8" w:tplc="1930BFAA" w:tentative="1">
      <w:start w:val="1"/>
      <w:numFmt w:val="lowerRoman"/>
      <w:lvlText w:val="%9."/>
      <w:lvlJc w:val="right"/>
      <w:pPr>
        <w:ind w:left="6480" w:hanging="180"/>
      </w:pPr>
    </w:lvl>
  </w:abstractNum>
  <w:abstractNum w:abstractNumId="68" w15:restartNumberingAfterBreak="0">
    <w:nsid w:val="6F351A55"/>
    <w:multiLevelType w:val="hybridMultilevel"/>
    <w:tmpl w:val="EF80B480"/>
    <w:lvl w:ilvl="0" w:tplc="89BC9388">
      <w:start w:val="1"/>
      <w:numFmt w:val="lowerRoman"/>
      <w:lvlText w:val="(%1)"/>
      <w:lvlJc w:val="left"/>
      <w:pPr>
        <w:tabs>
          <w:tab w:val="num" w:pos="0"/>
        </w:tabs>
        <w:ind w:left="1077" w:hanging="360"/>
      </w:pPr>
      <w:rPr>
        <w:rFonts w:ascii="Verdana" w:eastAsia="Times New Roman" w:hAnsi="Verdana" w:cs="Times New Roman" w:hint="default"/>
        <w:b w:val="0"/>
        <w:bCs w:val="0"/>
        <w:i w:val="0"/>
        <w:iCs w:val="0"/>
        <w:caps w:val="0"/>
        <w:smallCaps w:val="0"/>
        <w:strike w:val="0"/>
        <w:dstrike w:val="0"/>
        <w:noProof w:val="0"/>
        <w:vanish w:val="0"/>
        <w:color w:val="auto"/>
        <w:spacing w:val="0"/>
        <w:w w:val="100"/>
        <w:kern w:val="0"/>
        <w:position w:val="0"/>
        <w:sz w:val="18"/>
        <w:szCs w:val="18"/>
        <w:highlight w:val="none"/>
        <w:u w:val="none"/>
        <w:effect w:val="none"/>
        <w:bdr w:val="nil"/>
        <w:shd w:val="clear" w:color="auto" w:fill="auto"/>
        <w:rtl w:val="0"/>
        <w:cs w:val="0"/>
      </w:rPr>
    </w:lvl>
    <w:lvl w:ilvl="1" w:tplc="6B6C93DA" w:tentative="1">
      <w:start w:val="1"/>
      <w:numFmt w:val="lowerLetter"/>
      <w:lvlText w:val="%2."/>
      <w:lvlJc w:val="left"/>
      <w:pPr>
        <w:ind w:left="1797" w:hanging="360"/>
      </w:pPr>
    </w:lvl>
    <w:lvl w:ilvl="2" w:tplc="A6245824" w:tentative="1">
      <w:start w:val="1"/>
      <w:numFmt w:val="lowerRoman"/>
      <w:lvlText w:val="%3."/>
      <w:lvlJc w:val="right"/>
      <w:pPr>
        <w:ind w:left="2517" w:hanging="180"/>
      </w:pPr>
    </w:lvl>
    <w:lvl w:ilvl="3" w:tplc="C9B816C8" w:tentative="1">
      <w:start w:val="1"/>
      <w:numFmt w:val="decimal"/>
      <w:lvlText w:val="%4."/>
      <w:lvlJc w:val="left"/>
      <w:pPr>
        <w:ind w:left="3237" w:hanging="360"/>
      </w:pPr>
    </w:lvl>
    <w:lvl w:ilvl="4" w:tplc="6A34EE7C" w:tentative="1">
      <w:start w:val="1"/>
      <w:numFmt w:val="lowerLetter"/>
      <w:lvlText w:val="%5."/>
      <w:lvlJc w:val="left"/>
      <w:pPr>
        <w:ind w:left="3957" w:hanging="360"/>
      </w:pPr>
    </w:lvl>
    <w:lvl w:ilvl="5" w:tplc="8D36EAFE" w:tentative="1">
      <w:start w:val="1"/>
      <w:numFmt w:val="lowerRoman"/>
      <w:lvlText w:val="%6."/>
      <w:lvlJc w:val="right"/>
      <w:pPr>
        <w:ind w:left="4677" w:hanging="180"/>
      </w:pPr>
    </w:lvl>
    <w:lvl w:ilvl="6" w:tplc="C096AACC" w:tentative="1">
      <w:start w:val="1"/>
      <w:numFmt w:val="decimal"/>
      <w:lvlText w:val="%7."/>
      <w:lvlJc w:val="left"/>
      <w:pPr>
        <w:ind w:left="5397" w:hanging="360"/>
      </w:pPr>
    </w:lvl>
    <w:lvl w:ilvl="7" w:tplc="D9ECE7C2" w:tentative="1">
      <w:start w:val="1"/>
      <w:numFmt w:val="lowerLetter"/>
      <w:lvlText w:val="%8."/>
      <w:lvlJc w:val="left"/>
      <w:pPr>
        <w:ind w:left="6117" w:hanging="360"/>
      </w:pPr>
    </w:lvl>
    <w:lvl w:ilvl="8" w:tplc="AAAAF188" w:tentative="1">
      <w:start w:val="1"/>
      <w:numFmt w:val="lowerRoman"/>
      <w:lvlText w:val="%9."/>
      <w:lvlJc w:val="right"/>
      <w:pPr>
        <w:ind w:left="6837" w:hanging="180"/>
      </w:pPr>
    </w:lvl>
  </w:abstractNum>
  <w:abstractNum w:abstractNumId="69" w15:restartNumberingAfterBreak="0">
    <w:nsid w:val="6F351A56"/>
    <w:multiLevelType w:val="hybridMultilevel"/>
    <w:tmpl w:val="EF80B480"/>
    <w:lvl w:ilvl="0" w:tplc="37ECAD58">
      <w:start w:val="1"/>
      <w:numFmt w:val="lowerRoman"/>
      <w:lvlText w:val="(%1)"/>
      <w:lvlJc w:val="left"/>
      <w:pPr>
        <w:tabs>
          <w:tab w:val="num" w:pos="418"/>
        </w:tabs>
        <w:ind w:left="1495" w:hanging="360"/>
      </w:pPr>
      <w:rPr>
        <w:rFonts w:ascii="Verdana" w:eastAsia="Times New Roman" w:hAnsi="Verdana" w:cs="Times New Roman" w:hint="default"/>
        <w:b w:val="0"/>
        <w:bCs w:val="0"/>
        <w:i w:val="0"/>
        <w:iCs w:val="0"/>
        <w:caps w:val="0"/>
        <w:smallCaps w:val="0"/>
        <w:strike w:val="0"/>
        <w:dstrike w:val="0"/>
        <w:noProof w:val="0"/>
        <w:vanish w:val="0"/>
        <w:color w:val="auto"/>
        <w:spacing w:val="0"/>
        <w:w w:val="100"/>
        <w:kern w:val="0"/>
        <w:position w:val="0"/>
        <w:sz w:val="18"/>
        <w:szCs w:val="18"/>
        <w:highlight w:val="none"/>
        <w:u w:val="none"/>
        <w:effect w:val="none"/>
        <w:bdr w:val="nil"/>
        <w:shd w:val="clear" w:color="auto" w:fill="auto"/>
        <w:rtl w:val="0"/>
        <w:cs w:val="0"/>
      </w:rPr>
    </w:lvl>
    <w:lvl w:ilvl="1" w:tplc="B56A47FE" w:tentative="1">
      <w:start w:val="1"/>
      <w:numFmt w:val="lowerLetter"/>
      <w:lvlText w:val="%2."/>
      <w:lvlJc w:val="left"/>
      <w:pPr>
        <w:ind w:left="2215" w:hanging="360"/>
      </w:pPr>
    </w:lvl>
    <w:lvl w:ilvl="2" w:tplc="54B4EDD2" w:tentative="1">
      <w:start w:val="1"/>
      <w:numFmt w:val="lowerRoman"/>
      <w:lvlText w:val="%3."/>
      <w:lvlJc w:val="right"/>
      <w:pPr>
        <w:ind w:left="2935" w:hanging="180"/>
      </w:pPr>
    </w:lvl>
    <w:lvl w:ilvl="3" w:tplc="3E26A08E" w:tentative="1">
      <w:start w:val="1"/>
      <w:numFmt w:val="decimal"/>
      <w:lvlText w:val="%4."/>
      <w:lvlJc w:val="left"/>
      <w:pPr>
        <w:ind w:left="3655" w:hanging="360"/>
      </w:pPr>
    </w:lvl>
    <w:lvl w:ilvl="4" w:tplc="FD229E1A" w:tentative="1">
      <w:start w:val="1"/>
      <w:numFmt w:val="lowerLetter"/>
      <w:lvlText w:val="%5."/>
      <w:lvlJc w:val="left"/>
      <w:pPr>
        <w:ind w:left="4375" w:hanging="360"/>
      </w:pPr>
    </w:lvl>
    <w:lvl w:ilvl="5" w:tplc="C9F435C0" w:tentative="1">
      <w:start w:val="1"/>
      <w:numFmt w:val="lowerRoman"/>
      <w:lvlText w:val="%6."/>
      <w:lvlJc w:val="right"/>
      <w:pPr>
        <w:ind w:left="5095" w:hanging="180"/>
      </w:pPr>
    </w:lvl>
    <w:lvl w:ilvl="6" w:tplc="5FA4A6CC" w:tentative="1">
      <w:start w:val="1"/>
      <w:numFmt w:val="decimal"/>
      <w:lvlText w:val="%7."/>
      <w:lvlJc w:val="left"/>
      <w:pPr>
        <w:ind w:left="5815" w:hanging="360"/>
      </w:pPr>
    </w:lvl>
    <w:lvl w:ilvl="7" w:tplc="7472D052" w:tentative="1">
      <w:start w:val="1"/>
      <w:numFmt w:val="lowerLetter"/>
      <w:lvlText w:val="%8."/>
      <w:lvlJc w:val="left"/>
      <w:pPr>
        <w:ind w:left="6535" w:hanging="360"/>
      </w:pPr>
    </w:lvl>
    <w:lvl w:ilvl="8" w:tplc="94945D2E" w:tentative="1">
      <w:start w:val="1"/>
      <w:numFmt w:val="lowerRoman"/>
      <w:lvlText w:val="%9."/>
      <w:lvlJc w:val="right"/>
      <w:pPr>
        <w:ind w:left="7255" w:hanging="180"/>
      </w:pPr>
    </w:lvl>
  </w:abstractNum>
  <w:abstractNum w:abstractNumId="70" w15:restartNumberingAfterBreak="0">
    <w:nsid w:val="6FF58F70"/>
    <w:multiLevelType w:val="multilevel"/>
    <w:tmpl w:val="252EBC46"/>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8"/>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1" w15:restartNumberingAfterBreak="0">
    <w:nsid w:val="715222C4"/>
    <w:multiLevelType w:val="multilevel"/>
    <w:tmpl w:val="D2BE84DE"/>
    <w:lvl w:ilvl="0">
      <w:start w:val="3"/>
      <w:numFmt w:val="decimal"/>
      <w:lvlText w:val="%1"/>
      <w:lvlJc w:val="left"/>
      <w:pPr>
        <w:tabs>
          <w:tab w:val="num" w:pos="795"/>
        </w:tabs>
        <w:ind w:left="795" w:hanging="795"/>
      </w:pPr>
      <w:rPr>
        <w:rFonts w:hint="default"/>
      </w:rPr>
    </w:lvl>
    <w:lvl w:ilvl="1">
      <w:start w:val="2"/>
      <w:numFmt w:val="decimal"/>
      <w:lvlText w:val="%1.%2"/>
      <w:lvlJc w:val="left"/>
      <w:pPr>
        <w:tabs>
          <w:tab w:val="num" w:pos="795"/>
        </w:tabs>
        <w:ind w:left="795" w:hanging="795"/>
      </w:pPr>
      <w:rPr>
        <w:rFonts w:hint="default"/>
      </w:rPr>
    </w:lvl>
    <w:lvl w:ilvl="2">
      <w:start w:val="3"/>
      <w:numFmt w:val="decimal"/>
      <w:lvlText w:val="%1.%2.%3"/>
      <w:lvlJc w:val="left"/>
      <w:pPr>
        <w:tabs>
          <w:tab w:val="num" w:pos="795"/>
        </w:tabs>
        <w:ind w:left="795" w:hanging="795"/>
      </w:pPr>
      <w:rPr>
        <w:rFonts w:hint="default"/>
      </w:rPr>
    </w:lvl>
    <w:lvl w:ilvl="3">
      <w:start w:val="1"/>
      <w:numFmt w:val="decimal"/>
      <w:lvlText w:val="%1.%2.%3.%4"/>
      <w:lvlJc w:val="left"/>
      <w:pPr>
        <w:tabs>
          <w:tab w:val="num" w:pos="795"/>
        </w:tabs>
        <w:ind w:left="795" w:hanging="79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15:restartNumberingAfterBreak="0">
    <w:nsid w:val="72230A23"/>
    <w:multiLevelType w:val="multilevel"/>
    <w:tmpl w:val="40FA0C9A"/>
    <w:name w:val="WW8Num533"/>
    <w:lvl w:ilvl="0">
      <w:start w:val="3"/>
      <w:numFmt w:val="decimal"/>
      <w:lvlText w:val="%1."/>
      <w:lvlJc w:val="left"/>
      <w:pPr>
        <w:tabs>
          <w:tab w:val="num" w:pos="360"/>
        </w:tabs>
        <w:ind w:left="360" w:hanging="360"/>
      </w:pPr>
      <w:rPr>
        <w:rFonts w:hint="default"/>
      </w:rPr>
    </w:lvl>
    <w:lvl w:ilvl="1">
      <w:start w:val="4"/>
      <w:numFmt w:val="decimal"/>
      <w:lvlRestart w:val="0"/>
      <w:lvlText w:val="3.%2."/>
      <w:lvlJc w:val="left"/>
      <w:pPr>
        <w:tabs>
          <w:tab w:val="num" w:pos="431"/>
        </w:tabs>
        <w:ind w:left="431" w:hanging="431"/>
      </w:pPr>
      <w:rPr>
        <w:rFonts w:hint="default"/>
      </w:rPr>
    </w:lvl>
    <w:lvl w:ilvl="2">
      <w:start w:val="3"/>
      <w:numFmt w:val="decimal"/>
      <w:lvlText w:val="3.%2.%3"/>
      <w:lvlJc w:val="left"/>
      <w:pPr>
        <w:tabs>
          <w:tab w:val="num" w:pos="680"/>
        </w:tabs>
        <w:ind w:left="680" w:hanging="680"/>
      </w:pPr>
      <w:rPr>
        <w:rFonts w:hint="default"/>
      </w:rPr>
    </w:lvl>
    <w:lvl w:ilvl="3">
      <w:start w:val="1"/>
      <w:numFmt w:val="decimal"/>
      <w:lvlText w:val="%1.%2.%3.%4."/>
      <w:lvlJc w:val="left"/>
      <w:pPr>
        <w:tabs>
          <w:tab w:val="num" w:pos="431"/>
        </w:tabs>
        <w:ind w:left="454" w:hanging="454"/>
      </w:pPr>
      <w:rPr>
        <w:rFonts w:hint="default"/>
      </w:rPr>
    </w:lvl>
    <w:lvl w:ilvl="4">
      <w:start w:val="1"/>
      <w:numFmt w:val="decimal"/>
      <w:lvlText w:val="%1.%2.%3.%4.%5."/>
      <w:lvlJc w:val="left"/>
      <w:pPr>
        <w:tabs>
          <w:tab w:val="num" w:pos="737"/>
        </w:tabs>
        <w:ind w:left="851" w:hanging="85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3" w15:restartNumberingAfterBreak="0">
    <w:nsid w:val="72230A27"/>
    <w:multiLevelType w:val="multilevel"/>
    <w:tmpl w:val="CC101C62"/>
    <w:lvl w:ilvl="0">
      <w:start w:val="2"/>
      <w:numFmt w:val="decimal"/>
      <w:pStyle w:val="Notes1"/>
      <w:lvlText w:val="%1"/>
      <w:lvlJc w:val="left"/>
      <w:pPr>
        <w:tabs>
          <w:tab w:val="num" w:pos="432"/>
        </w:tabs>
        <w:ind w:left="432" w:hanging="432"/>
      </w:pPr>
      <w:rPr>
        <w:lang w:val="en-GB"/>
      </w:rPr>
    </w:lvl>
    <w:lvl w:ilvl="1">
      <w:start w:val="1"/>
      <w:numFmt w:val="decimal"/>
      <w:lvlText w:val="%1.%2"/>
      <w:lvlJc w:val="left"/>
      <w:pPr>
        <w:tabs>
          <w:tab w:val="num" w:pos="431"/>
        </w:tabs>
        <w:ind w:left="431" w:hanging="431"/>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4" w15:restartNumberingAfterBreak="0">
    <w:nsid w:val="74F811B3"/>
    <w:multiLevelType w:val="multilevel"/>
    <w:tmpl w:val="421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75324463"/>
    <w:multiLevelType w:val="hybridMultilevel"/>
    <w:tmpl w:val="A61ACEF2"/>
    <w:lvl w:ilvl="0" w:tplc="381C10C4">
      <w:numFmt w:val="bullet"/>
      <w:lvlText w:val="-"/>
      <w:lvlJc w:val="left"/>
      <w:pPr>
        <w:tabs>
          <w:tab w:val="num" w:pos="720"/>
        </w:tabs>
        <w:ind w:left="720" w:hanging="360"/>
      </w:pPr>
      <w:rPr>
        <w:rFonts w:ascii="Futura Lt BT" w:hAnsi="Futura Lt BT" w:cs="Times New Roman" w:hint="default"/>
      </w:rPr>
    </w:lvl>
    <w:lvl w:ilvl="1" w:tplc="A012710E">
      <w:start w:val="1"/>
      <w:numFmt w:val="bullet"/>
      <w:lvlText w:val="o"/>
      <w:lvlJc w:val="left"/>
      <w:pPr>
        <w:tabs>
          <w:tab w:val="num" w:pos="1440"/>
        </w:tabs>
        <w:ind w:left="1440" w:hanging="360"/>
      </w:pPr>
      <w:rPr>
        <w:rFonts w:ascii="Courier New" w:hAnsi="Courier New" w:cs="Courier New" w:hint="default"/>
      </w:rPr>
    </w:lvl>
    <w:lvl w:ilvl="2" w:tplc="A53C61AC" w:tentative="1">
      <w:start w:val="1"/>
      <w:numFmt w:val="bullet"/>
      <w:lvlText w:val=""/>
      <w:lvlJc w:val="left"/>
      <w:pPr>
        <w:tabs>
          <w:tab w:val="num" w:pos="2160"/>
        </w:tabs>
        <w:ind w:left="2160" w:hanging="360"/>
      </w:pPr>
      <w:rPr>
        <w:rFonts w:ascii="Wingdings" w:hAnsi="Wingdings" w:hint="default"/>
      </w:rPr>
    </w:lvl>
    <w:lvl w:ilvl="3" w:tplc="64E4E492" w:tentative="1">
      <w:start w:val="1"/>
      <w:numFmt w:val="bullet"/>
      <w:lvlText w:val=""/>
      <w:lvlJc w:val="left"/>
      <w:pPr>
        <w:tabs>
          <w:tab w:val="num" w:pos="2880"/>
        </w:tabs>
        <w:ind w:left="2880" w:hanging="360"/>
      </w:pPr>
      <w:rPr>
        <w:rFonts w:ascii="Symbol" w:hAnsi="Symbol" w:hint="default"/>
      </w:rPr>
    </w:lvl>
    <w:lvl w:ilvl="4" w:tplc="5C386278" w:tentative="1">
      <w:start w:val="1"/>
      <w:numFmt w:val="bullet"/>
      <w:lvlText w:val="o"/>
      <w:lvlJc w:val="left"/>
      <w:pPr>
        <w:tabs>
          <w:tab w:val="num" w:pos="3600"/>
        </w:tabs>
        <w:ind w:left="3600" w:hanging="360"/>
      </w:pPr>
      <w:rPr>
        <w:rFonts w:ascii="Courier New" w:hAnsi="Courier New" w:cs="Courier New" w:hint="default"/>
      </w:rPr>
    </w:lvl>
    <w:lvl w:ilvl="5" w:tplc="3424B9D2" w:tentative="1">
      <w:start w:val="1"/>
      <w:numFmt w:val="bullet"/>
      <w:lvlText w:val=""/>
      <w:lvlJc w:val="left"/>
      <w:pPr>
        <w:tabs>
          <w:tab w:val="num" w:pos="4320"/>
        </w:tabs>
        <w:ind w:left="4320" w:hanging="360"/>
      </w:pPr>
      <w:rPr>
        <w:rFonts w:ascii="Wingdings" w:hAnsi="Wingdings" w:hint="default"/>
      </w:rPr>
    </w:lvl>
    <w:lvl w:ilvl="6" w:tplc="36CCBFA2" w:tentative="1">
      <w:start w:val="1"/>
      <w:numFmt w:val="bullet"/>
      <w:lvlText w:val=""/>
      <w:lvlJc w:val="left"/>
      <w:pPr>
        <w:tabs>
          <w:tab w:val="num" w:pos="5040"/>
        </w:tabs>
        <w:ind w:left="5040" w:hanging="360"/>
      </w:pPr>
      <w:rPr>
        <w:rFonts w:ascii="Symbol" w:hAnsi="Symbol" w:hint="default"/>
      </w:rPr>
    </w:lvl>
    <w:lvl w:ilvl="7" w:tplc="3FDC6E12" w:tentative="1">
      <w:start w:val="1"/>
      <w:numFmt w:val="bullet"/>
      <w:lvlText w:val="o"/>
      <w:lvlJc w:val="left"/>
      <w:pPr>
        <w:tabs>
          <w:tab w:val="num" w:pos="5760"/>
        </w:tabs>
        <w:ind w:left="5760" w:hanging="360"/>
      </w:pPr>
      <w:rPr>
        <w:rFonts w:ascii="Courier New" w:hAnsi="Courier New" w:cs="Courier New" w:hint="default"/>
      </w:rPr>
    </w:lvl>
    <w:lvl w:ilvl="8" w:tplc="44609764"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A207422"/>
    <w:multiLevelType w:val="multilevel"/>
    <w:tmpl w:val="0736EBDE"/>
    <w:lvl w:ilvl="0">
      <w:numFmt w:val="bullet"/>
      <w:lvlText w:val="-"/>
      <w:lvlJc w:val="left"/>
      <w:pPr>
        <w:tabs>
          <w:tab w:val="num" w:pos="720"/>
        </w:tabs>
        <w:ind w:left="720" w:hanging="363"/>
      </w:pPr>
      <w:rPr>
        <w:rFonts w:ascii="Futura Lt BT" w:hAnsi="Futura Lt BT" w:cs="Times New Roman" w:hint="default"/>
      </w:rPr>
    </w:lvl>
    <w:lvl w:ilvl="1">
      <w:start w:val="1"/>
      <w:numFmt w:val="bullet"/>
      <w:lvlText w:val="◦"/>
      <w:lvlJc w:val="left"/>
      <w:pPr>
        <w:tabs>
          <w:tab w:val="num" w:pos="1512"/>
        </w:tabs>
        <w:ind w:left="1512" w:hanging="360"/>
      </w:pPr>
      <w:rPr>
        <w:rFonts w:ascii="OpenSymbol" w:hAnsi="OpenSymbol" w:cs="OpenSymbol"/>
      </w:rPr>
    </w:lvl>
    <w:lvl w:ilvl="2">
      <w:start w:val="1"/>
      <w:numFmt w:val="bullet"/>
      <w:lvlText w:val="▪"/>
      <w:lvlJc w:val="left"/>
      <w:pPr>
        <w:tabs>
          <w:tab w:val="num" w:pos="1872"/>
        </w:tabs>
        <w:ind w:left="1872" w:hanging="360"/>
      </w:pPr>
      <w:rPr>
        <w:rFonts w:ascii="OpenSymbol" w:hAnsi="OpenSymbol" w:cs="OpenSymbol"/>
      </w:rPr>
    </w:lvl>
    <w:lvl w:ilvl="3">
      <w:start w:val="1"/>
      <w:numFmt w:val="bullet"/>
      <w:lvlText w:val=""/>
      <w:lvlJc w:val="left"/>
      <w:pPr>
        <w:tabs>
          <w:tab w:val="num" w:pos="2232"/>
        </w:tabs>
        <w:ind w:left="2232" w:hanging="360"/>
      </w:pPr>
      <w:rPr>
        <w:rFonts w:ascii="Symbol" w:hAnsi="Symbol" w:cs="OpenSymbol"/>
      </w:rPr>
    </w:lvl>
    <w:lvl w:ilvl="4">
      <w:start w:val="1"/>
      <w:numFmt w:val="bullet"/>
      <w:lvlText w:val="◦"/>
      <w:lvlJc w:val="left"/>
      <w:pPr>
        <w:tabs>
          <w:tab w:val="num" w:pos="2592"/>
        </w:tabs>
        <w:ind w:left="2592" w:hanging="360"/>
      </w:pPr>
      <w:rPr>
        <w:rFonts w:ascii="OpenSymbol" w:hAnsi="OpenSymbol" w:cs="OpenSymbol"/>
      </w:rPr>
    </w:lvl>
    <w:lvl w:ilvl="5">
      <w:start w:val="1"/>
      <w:numFmt w:val="bullet"/>
      <w:lvlText w:val="▪"/>
      <w:lvlJc w:val="left"/>
      <w:pPr>
        <w:tabs>
          <w:tab w:val="num" w:pos="2952"/>
        </w:tabs>
        <w:ind w:left="2952" w:hanging="360"/>
      </w:pPr>
      <w:rPr>
        <w:rFonts w:ascii="OpenSymbol" w:hAnsi="OpenSymbol" w:cs="OpenSymbol"/>
      </w:rPr>
    </w:lvl>
    <w:lvl w:ilvl="6">
      <w:start w:val="1"/>
      <w:numFmt w:val="bullet"/>
      <w:lvlText w:val=""/>
      <w:lvlJc w:val="left"/>
      <w:pPr>
        <w:tabs>
          <w:tab w:val="num" w:pos="3312"/>
        </w:tabs>
        <w:ind w:left="3312" w:hanging="360"/>
      </w:pPr>
      <w:rPr>
        <w:rFonts w:ascii="Symbol" w:hAnsi="Symbol" w:cs="OpenSymbol"/>
      </w:rPr>
    </w:lvl>
    <w:lvl w:ilvl="7">
      <w:start w:val="1"/>
      <w:numFmt w:val="bullet"/>
      <w:lvlText w:val="◦"/>
      <w:lvlJc w:val="left"/>
      <w:pPr>
        <w:tabs>
          <w:tab w:val="num" w:pos="3672"/>
        </w:tabs>
        <w:ind w:left="3672" w:hanging="360"/>
      </w:pPr>
      <w:rPr>
        <w:rFonts w:ascii="OpenSymbol" w:hAnsi="OpenSymbol" w:cs="OpenSymbol"/>
      </w:rPr>
    </w:lvl>
    <w:lvl w:ilvl="8">
      <w:start w:val="1"/>
      <w:numFmt w:val="bullet"/>
      <w:lvlText w:val="▪"/>
      <w:lvlJc w:val="left"/>
      <w:pPr>
        <w:tabs>
          <w:tab w:val="num" w:pos="4032"/>
        </w:tabs>
        <w:ind w:left="4032" w:hanging="360"/>
      </w:pPr>
      <w:rPr>
        <w:rFonts w:ascii="OpenSymbol" w:hAnsi="OpenSymbol" w:cs="OpenSymbol"/>
      </w:rPr>
    </w:lvl>
  </w:abstractNum>
  <w:abstractNum w:abstractNumId="77" w15:restartNumberingAfterBreak="0">
    <w:nsid w:val="7B956459"/>
    <w:multiLevelType w:val="multilevel"/>
    <w:tmpl w:val="17C411F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3%1.%2.2"/>
      <w:lvlJc w:val="left"/>
      <w:pPr>
        <w:ind w:left="360" w:hanging="360"/>
      </w:pPr>
      <w:rPr>
        <w:rFonts w:hint="default"/>
      </w:rPr>
    </w:lvl>
    <w:lvl w:ilvl="3">
      <w:start w:val="1"/>
      <w:numFmt w:val="none"/>
      <w:lvlText w:val="3.3.2"/>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8" w15:restartNumberingAfterBreak="0">
    <w:nsid w:val="7ED95B5E"/>
    <w:multiLevelType w:val="multilevel"/>
    <w:tmpl w:val="2E62EAD8"/>
    <w:lvl w:ilvl="0">
      <w:start w:val="3"/>
      <w:numFmt w:val="decimal"/>
      <w:lvlText w:val="%1"/>
      <w:lvlJc w:val="left"/>
      <w:pPr>
        <w:tabs>
          <w:tab w:val="num" w:pos="432"/>
        </w:tabs>
        <w:ind w:left="432" w:hanging="432"/>
      </w:pPr>
      <w:rPr>
        <w:rFonts w:hint="default"/>
      </w:rPr>
    </w:lvl>
    <w:lvl w:ilvl="1">
      <w:start w:val="4"/>
      <w:numFmt w:val="decimal"/>
      <w:lvlText w:val="%1.%2"/>
      <w:lvlJc w:val="left"/>
      <w:pPr>
        <w:tabs>
          <w:tab w:val="num" w:pos="431"/>
        </w:tabs>
        <w:ind w:left="431" w:hanging="431"/>
      </w:pPr>
      <w:rPr>
        <w:rFonts w:hint="default"/>
      </w:rPr>
    </w:lvl>
    <w:lvl w:ilvl="2">
      <w:start w:val="2"/>
      <w:numFmt w:val="decimal"/>
      <w:lvlText w:val="%1.%2.%3"/>
      <w:lvlJc w:val="left"/>
      <w:pPr>
        <w:tabs>
          <w:tab w:val="num" w:pos="720"/>
        </w:tabs>
        <w:ind w:left="720" w:hanging="720"/>
      </w:pPr>
      <w:rPr>
        <w:rFonts w:hint="default"/>
      </w:rPr>
    </w:lvl>
    <w:lvl w:ilvl="3">
      <w:start w:val="3"/>
      <w:numFmt w:val="decimal"/>
      <w:lvlText w:val="%1.%2.%3.%4"/>
      <w:lvlJc w:val="left"/>
      <w:pPr>
        <w:tabs>
          <w:tab w:val="num" w:pos="794"/>
        </w:tabs>
        <w:ind w:left="794" w:hanging="794"/>
      </w:pPr>
      <w:rPr>
        <w:rFonts w:hint="default"/>
      </w:rPr>
    </w:lvl>
    <w:lvl w:ilvl="4">
      <w:start w:val="1"/>
      <w:numFmt w:val="decimal"/>
      <w:lvlRestart w:val="0"/>
      <w:lvlText w:val="%1.%2.%3..%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5"/>
  </w:num>
  <w:num w:numId="2">
    <w:abstractNumId w:val="5"/>
  </w:num>
  <w:num w:numId="3">
    <w:abstractNumId w:val="1"/>
  </w:num>
  <w:num w:numId="4">
    <w:abstractNumId w:val="14"/>
  </w:num>
  <w:num w:numId="5">
    <w:abstractNumId w:val="25"/>
  </w:num>
  <w:num w:numId="6">
    <w:abstractNumId w:val="37"/>
  </w:num>
  <w:num w:numId="7">
    <w:abstractNumId w:val="6"/>
  </w:num>
  <w:num w:numId="8">
    <w:abstractNumId w:val="57"/>
  </w:num>
  <w:num w:numId="9">
    <w:abstractNumId w:val="67"/>
  </w:num>
  <w:num w:numId="10">
    <w:abstractNumId w:val="3"/>
  </w:num>
  <w:num w:numId="11">
    <w:abstractNumId w:val="0"/>
  </w:num>
  <w:num w:numId="12">
    <w:abstractNumId w:val="33"/>
  </w:num>
  <w:num w:numId="13">
    <w:abstractNumId w:val="2"/>
  </w:num>
  <w:num w:numId="14">
    <w:abstractNumId w:val="68"/>
  </w:num>
  <w:num w:numId="15">
    <w:abstractNumId w:val="69"/>
  </w:num>
  <w:num w:numId="16">
    <w:abstractNumId w:val="47"/>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2"/>
  </w:num>
  <w:num w:numId="20">
    <w:abstractNumId w:val="60"/>
  </w:num>
  <w:num w:numId="21">
    <w:abstractNumId w:val="16"/>
  </w:num>
  <w:num w:numId="22">
    <w:abstractNumId w:val="4"/>
  </w:num>
  <w:num w:numId="23">
    <w:abstractNumId w:val="39"/>
  </w:num>
  <w:num w:numId="24">
    <w:abstractNumId w:val="58"/>
    <w:lvlOverride w:ilvl="0">
      <w:lvl w:ilvl="0">
        <w:start w:val="2"/>
        <w:numFmt w:val="decimal"/>
        <w:lvlText w:val="%1"/>
        <w:lvlJc w:val="left"/>
        <w:pPr>
          <w:ind w:left="360" w:hanging="360"/>
        </w:pPr>
        <w:rPr>
          <w:rFonts w:hint="default"/>
        </w:rPr>
      </w:lvl>
    </w:lvlOverride>
    <w:lvlOverride w:ilvl="1">
      <w:lvl w:ilvl="1">
        <w:start w:val="2"/>
        <w:numFmt w:val="decimal"/>
        <w:lvlText w:val="%1.1"/>
        <w:lvlJc w:val="left"/>
        <w:pPr>
          <w:ind w:left="360" w:hanging="360"/>
        </w:pPr>
        <w:rPr>
          <w:rFonts w:hint="default"/>
          <w:b/>
        </w:rPr>
      </w:lvl>
    </w:lvlOverride>
    <w:lvlOverride w:ilvl="2">
      <w:lvl w:ilvl="2">
        <w:start w:val="1"/>
        <w:numFmt w:val="decimal"/>
        <w:lvlText w:val="%1.%2.%3"/>
        <w:lvlJc w:val="left"/>
        <w:pPr>
          <w:ind w:left="360" w:hanging="36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720" w:hanging="72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080" w:hanging="1080"/>
        </w:pPr>
        <w:rPr>
          <w:rFonts w:hint="default"/>
        </w:rPr>
      </w:lvl>
    </w:lvlOverride>
    <w:lvlOverride w:ilvl="7">
      <w:lvl w:ilvl="7">
        <w:start w:val="1"/>
        <w:numFmt w:val="decimal"/>
        <w:lvlText w:val="%1.%2.%3.%4.%5.%6.%7.%8"/>
        <w:lvlJc w:val="left"/>
        <w:pPr>
          <w:ind w:left="1080" w:hanging="1080"/>
        </w:pPr>
        <w:rPr>
          <w:rFonts w:hint="default"/>
        </w:rPr>
      </w:lvl>
    </w:lvlOverride>
    <w:lvlOverride w:ilvl="8">
      <w:lvl w:ilvl="8">
        <w:start w:val="1"/>
        <w:numFmt w:val="decimal"/>
        <w:lvlText w:val="%1.%2.%3.%4.%5.%6.%7.%8.%9"/>
        <w:lvlJc w:val="left"/>
        <w:pPr>
          <w:ind w:left="1440" w:hanging="1440"/>
        </w:pPr>
        <w:rPr>
          <w:rFonts w:hint="default"/>
        </w:rPr>
      </w:lvl>
    </w:lvlOverride>
  </w:num>
  <w:num w:numId="25">
    <w:abstractNumId w:val="54"/>
  </w:num>
  <w:num w:numId="26">
    <w:abstractNumId w:val="46"/>
  </w:num>
  <w:num w:numId="27">
    <w:abstractNumId w:val="40"/>
  </w:num>
  <w:num w:numId="28">
    <w:abstractNumId w:val="30"/>
  </w:num>
  <w:num w:numId="29">
    <w:abstractNumId w:val="45"/>
  </w:num>
  <w:num w:numId="30">
    <w:abstractNumId w:val="56"/>
  </w:num>
  <w:num w:numId="31">
    <w:abstractNumId w:val="19"/>
  </w:num>
  <w:num w:numId="32">
    <w:abstractNumId w:val="18"/>
  </w:num>
  <w:num w:numId="33">
    <w:abstractNumId w:val="74"/>
  </w:num>
  <w:num w:numId="34">
    <w:abstractNumId w:val="35"/>
  </w:num>
  <w:num w:numId="35">
    <w:abstractNumId w:val="66"/>
  </w:num>
  <w:num w:numId="36">
    <w:abstractNumId w:val="63"/>
  </w:num>
  <w:num w:numId="37">
    <w:abstractNumId w:val="9"/>
  </w:num>
  <w:num w:numId="38">
    <w:abstractNumId w:val="7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num>
  <w:num w:numId="40">
    <w:abstractNumId w:val="64"/>
  </w:num>
  <w:num w:numId="41">
    <w:abstractNumId w:val="8"/>
  </w:num>
  <w:num w:numId="42">
    <w:abstractNumId w:val="62"/>
  </w:num>
  <w:num w:numId="43">
    <w:abstractNumId w:val="76"/>
  </w:num>
  <w:num w:numId="44">
    <w:abstractNumId w:val="42"/>
  </w:num>
  <w:num w:numId="45">
    <w:abstractNumId w:val="13"/>
    <w:lvlOverride w:ilvl="0">
      <w:lvl w:ilvl="0">
        <w:start w:val="3"/>
        <w:numFmt w:val="decimal"/>
        <w:lvlText w:val="%1"/>
        <w:lvlJc w:val="left"/>
        <w:pPr>
          <w:tabs>
            <w:tab w:val="num" w:pos="432"/>
          </w:tabs>
          <w:ind w:left="432" w:hanging="432"/>
        </w:pPr>
        <w:rPr>
          <w:rFonts w:hint="default"/>
          <w:lang w:val="en-GB"/>
        </w:rPr>
      </w:lvl>
    </w:lvlOverride>
    <w:lvlOverride w:ilvl="1">
      <w:lvl w:ilvl="1">
        <w:start w:val="2"/>
        <w:numFmt w:val="decimal"/>
        <w:lvlText w:val="%1.%2"/>
        <w:lvlJc w:val="left"/>
        <w:pPr>
          <w:tabs>
            <w:tab w:val="num" w:pos="431"/>
          </w:tabs>
          <w:ind w:left="431" w:hanging="431"/>
        </w:pPr>
        <w:rPr>
          <w:rFonts w:hint="default"/>
        </w:rPr>
      </w:lvl>
    </w:lvlOverride>
    <w:lvlOverride w:ilvl="2">
      <w:lvl w:ilvl="2">
        <w:start w:val="1"/>
        <w:numFmt w:val="decimal"/>
        <w:lvlText w:val="%1.%2.%3"/>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46">
    <w:abstractNumId w:val="50"/>
  </w:num>
  <w:num w:numId="47">
    <w:abstractNumId w:val="71"/>
  </w:num>
  <w:num w:numId="48">
    <w:abstractNumId w:val="51"/>
  </w:num>
  <w:num w:numId="49">
    <w:abstractNumId w:val="61"/>
  </w:num>
  <w:num w:numId="50">
    <w:abstractNumId w:val="31"/>
  </w:num>
  <w:num w:numId="51">
    <w:abstractNumId w:val="34"/>
  </w:num>
  <w:num w:numId="52">
    <w:abstractNumId w:val="55"/>
  </w:num>
  <w:num w:numId="53">
    <w:abstractNumId w:val="53"/>
  </w:num>
  <w:num w:numId="54">
    <w:abstractNumId w:val="41"/>
  </w:num>
  <w:num w:numId="55">
    <w:abstractNumId w:val="10"/>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1"/>
    <w:lvlOverride w:ilvl="0">
      <w:startOverride w:val="3"/>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3"/>
  </w:num>
  <w:num w:numId="58">
    <w:abstractNumId w:val="70"/>
  </w:num>
  <w:num w:numId="59">
    <w:abstractNumId w:val="20"/>
  </w:num>
  <w:num w:numId="60">
    <w:abstractNumId w:val="21"/>
  </w:num>
  <w:num w:numId="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num>
  <w:num w:numId="63">
    <w:abstractNumId w:val="77"/>
  </w:num>
  <w:num w:numId="64">
    <w:abstractNumId w:val="27"/>
  </w:num>
  <w:num w:numId="65">
    <w:abstractNumId w:val="49"/>
  </w:num>
  <w:num w:numId="66">
    <w:abstractNumId w:val="44"/>
  </w:num>
  <w:num w:numId="67">
    <w:abstractNumId w:val="26"/>
  </w:num>
  <w:num w:numId="68">
    <w:abstractNumId w:val="15"/>
  </w:num>
  <w:num w:numId="69">
    <w:abstractNumId w:val="78"/>
  </w:num>
  <w:num w:numId="70">
    <w:abstractNumId w:val="59"/>
  </w:num>
  <w:num w:numId="71">
    <w:abstractNumId w:val="72"/>
  </w:num>
  <w:num w:numId="72">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29"/>
    <w:lvlOverride w:ilvl="0">
      <w:lvl w:ilvl="0">
        <w:start w:val="4"/>
        <w:numFmt w:val="decimal"/>
        <w:lvlText w:val="%1"/>
        <w:lvlJc w:val="left"/>
        <w:pPr>
          <w:tabs>
            <w:tab w:val="num" w:pos="432"/>
          </w:tabs>
          <w:ind w:left="432" w:hanging="432"/>
        </w:pPr>
        <w:rPr>
          <w:rFonts w:hint="default"/>
        </w:rPr>
      </w:lvl>
    </w:lvlOverride>
    <w:lvlOverride w:ilvl="1">
      <w:lvl w:ilvl="1">
        <w:start w:val="2"/>
        <w:numFmt w:val="decimal"/>
        <w:lvlText w:val="%1.%2"/>
        <w:lvlJc w:val="left"/>
        <w:pPr>
          <w:tabs>
            <w:tab w:val="num" w:pos="431"/>
          </w:tabs>
          <w:ind w:left="431" w:hanging="431"/>
        </w:pPr>
        <w:rPr>
          <w:rFonts w:hint="default"/>
          <w:b/>
          <w:sz w:val="16"/>
          <w:szCs w:val="16"/>
        </w:rPr>
      </w:lvl>
    </w:lvlOverride>
    <w:lvlOverride w:ilvl="2">
      <w:lvl w:ilvl="2">
        <w:start w:val="1"/>
        <w:numFmt w:val="decimal"/>
        <w:lvlText w:val="%1.%2.1"/>
        <w:lvlJc w:val="left"/>
        <w:pPr>
          <w:tabs>
            <w:tab w:val="num" w:pos="720"/>
          </w:tabs>
          <w:ind w:left="720" w:hanging="720"/>
        </w:pPr>
        <w:rPr>
          <w:rFonts w:hint="default"/>
        </w:rPr>
      </w:lvl>
    </w:lvlOverride>
    <w:lvlOverride w:ilvl="3">
      <w:lvl w:ilvl="3">
        <w:start w:val="1"/>
        <w:numFmt w:val="decimal"/>
        <w:lvlText w:val="%1.%2.%3.%4"/>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5">
    <w:abstractNumId w:val="75"/>
  </w:num>
  <w:num w:numId="76">
    <w:abstractNumId w:val="22"/>
    <w:lvlOverride w:ilvl="0">
      <w:lvl w:ilvl="0">
        <w:start w:val="4"/>
        <w:numFmt w:val="decimal"/>
        <w:lvlText w:val="%1"/>
        <w:lvlJc w:val="left"/>
        <w:pPr>
          <w:tabs>
            <w:tab w:val="num" w:pos="432"/>
          </w:tabs>
          <w:ind w:left="432" w:hanging="432"/>
        </w:pPr>
        <w:rPr>
          <w:rFonts w:hint="default"/>
        </w:rPr>
      </w:lvl>
    </w:lvlOverride>
    <w:lvlOverride w:ilvl="1">
      <w:lvl w:ilvl="1">
        <w:start w:val="2"/>
        <w:numFmt w:val="decimal"/>
        <w:lvlText w:val="%1.%2"/>
        <w:lvlJc w:val="left"/>
        <w:pPr>
          <w:tabs>
            <w:tab w:val="num" w:pos="431"/>
          </w:tabs>
          <w:ind w:left="431" w:hanging="431"/>
        </w:pPr>
        <w:rPr>
          <w:rFonts w:hint="default"/>
        </w:rPr>
      </w:lvl>
    </w:lvlOverride>
    <w:lvlOverride w:ilvl="2">
      <w:lvl w:ilvl="2">
        <w:start w:val="2"/>
        <w:numFmt w:val="decimal"/>
        <w:lvlText w:val="%1.%2.%3"/>
        <w:lvlJc w:val="left"/>
        <w:pPr>
          <w:tabs>
            <w:tab w:val="num" w:pos="720"/>
          </w:tabs>
          <w:ind w:left="720" w:hanging="720"/>
        </w:pPr>
        <w:rPr>
          <w:rFonts w:hint="default"/>
          <w:b/>
        </w:rPr>
      </w:lvl>
    </w:lvlOverride>
    <w:lvlOverride w:ilvl="3">
      <w:lvl w:ilvl="3">
        <w:start w:val="1"/>
        <w:numFmt w:val="decimal"/>
        <w:lvlText w:val="%1.%2.%3"/>
        <w:lvlJc w:val="left"/>
        <w:pPr>
          <w:tabs>
            <w:tab w:val="num" w:pos="864"/>
          </w:tabs>
          <w:ind w:left="864" w:hanging="864"/>
        </w:pPr>
        <w:rPr>
          <w:rFonts w:hint="default"/>
        </w:rPr>
      </w:lvl>
    </w:lvlOverride>
    <w:lvlOverride w:ilvl="4">
      <w:lvl w:ilvl="4">
        <w:start w:val="1"/>
        <w:numFmt w:val="decimal"/>
        <w:lvlText w:val="%1.%2.%3.%4.%5"/>
        <w:lvlJc w:val="left"/>
        <w:pPr>
          <w:tabs>
            <w:tab w:val="num" w:pos="1008"/>
          </w:tabs>
          <w:ind w:left="1008" w:hanging="1008"/>
        </w:pPr>
        <w:rPr>
          <w:rFonts w:hint="default"/>
        </w:rPr>
      </w:lvl>
    </w:lvlOverride>
    <w:lvlOverride w:ilvl="5">
      <w:lvl w:ilvl="5">
        <w:start w:val="1"/>
        <w:numFmt w:val="decimal"/>
        <w:lvlText w:val="%1.%2.%3.%4.%5.%6"/>
        <w:lvlJc w:val="left"/>
        <w:pPr>
          <w:tabs>
            <w:tab w:val="num" w:pos="1152"/>
          </w:tabs>
          <w:ind w:left="1152" w:hanging="1152"/>
        </w:pPr>
        <w:rPr>
          <w:rFonts w:hint="default"/>
        </w:rPr>
      </w:lvl>
    </w:lvlOverride>
    <w:lvlOverride w:ilvl="6">
      <w:lvl w:ilvl="6">
        <w:start w:val="1"/>
        <w:numFmt w:val="decimal"/>
        <w:lvlText w:val="%1.%2.%3.%4.%5.%6.%7"/>
        <w:lvlJc w:val="left"/>
        <w:pPr>
          <w:tabs>
            <w:tab w:val="num" w:pos="1296"/>
          </w:tabs>
          <w:ind w:left="1296" w:hanging="1296"/>
        </w:pPr>
        <w:rPr>
          <w:rFonts w:hint="default"/>
        </w:rPr>
      </w:lvl>
    </w:lvlOverride>
    <w:lvlOverride w:ilvl="7">
      <w:lvl w:ilvl="7">
        <w:start w:val="1"/>
        <w:numFmt w:val="decimal"/>
        <w:lvlText w:val="%1.%2.%3.%4.%5.%6.%7.%8"/>
        <w:lvlJc w:val="left"/>
        <w:pPr>
          <w:tabs>
            <w:tab w:val="num" w:pos="1440"/>
          </w:tabs>
          <w:ind w:left="1440" w:hanging="1440"/>
        </w:pPr>
        <w:rPr>
          <w:rFonts w:hint="default"/>
        </w:rPr>
      </w:lvl>
    </w:lvlOverride>
    <w:lvlOverride w:ilvl="8">
      <w:lvl w:ilvl="8">
        <w:start w:val="1"/>
        <w:numFmt w:val="decimal"/>
        <w:lvlText w:val="%1.%2.%3.%4.%5.%6.%7.%8.%9"/>
        <w:lvlJc w:val="left"/>
        <w:pPr>
          <w:tabs>
            <w:tab w:val="num" w:pos="1584"/>
          </w:tabs>
          <w:ind w:left="1584" w:hanging="1584"/>
        </w:pPr>
        <w:rPr>
          <w:rFonts w:hint="default"/>
        </w:rPr>
      </w:lvl>
    </w:lvlOverride>
  </w:num>
  <w:num w:numId="77">
    <w:abstractNumId w:val="36"/>
  </w:num>
  <w:num w:numId="78">
    <w:abstractNumId w:val="32"/>
  </w:num>
  <w:num w:numId="79">
    <w:abstractNumId w:val="38"/>
  </w:num>
  <w:num w:numId="80">
    <w:abstractNumId w:val="28"/>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103"/>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docVars>
    <w:docVar w:name="DocStatus" w:val="Green"/>
    <w:docVar w:name="LW_CORRIGENDUM" w:val="&lt;UNUSED&gt;"/>
    <w:docVar w:name="LW_COVERPAGE_EXISTS" w:val="True"/>
    <w:docVar w:name="LW_COVERPAGE_GUID" w:val="BE0AEDE8-8E9D-4158-A16A-3820E57362A1"/>
    <w:docVar w:name="LW_COVERPAGE_TYPE" w:val="1"/>
    <w:docVar w:name="LW_CROSSREFERENCE" w:val="&lt;UNUSED&gt;"/>
    <w:docVar w:name="LW_DocType" w:val="NORMAL"/>
    <w:docVar w:name="LW_EMISSION" w:val="22.6.2026"/>
    <w:docVar w:name="LW_EMISSION_ISODATE" w:val="2026-06-22"/>
    <w:docVar w:name="LW_EMISSION_LOCATION" w:val="BRX"/>
    <w:docVar w:name="LW_EMISSION_PREFIX" w:val="Brussels, "/>
    <w:docVar w:name="LW_EMISSION_SUFFIX" w:val=" "/>
    <w:docVar w:name="LW_ID_DOCTYPE_NONLW" w:val="CP-009"/>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NNUAL ACCOUNTS OF THE EUROPEAN DEVELOPMENT FUND FOR THE FINANCIAL YEAR 2025"/>
    <w:docVar w:name="LW_TYPE.DOC.CP" w:val="COMMUNICATION FROM THE COMMISSION"/>
    <w:docVar w:name="LW_TYPE.DOC.CP.USERTEXT" w:val="TO THE EUROPEAN PARLIAMENT, THE COUNCIL AND THE COURT OF AUDITORS"/>
    <w:docVar w:name="LwApiVersions" w:val="LW4CoDe 1.24.5.0; LW 9.2, Build 20251112"/>
  </w:docVars>
  <w:rsids>
    <w:rsidRoot w:val="00FD1E19"/>
    <w:rsid w:val="0001073B"/>
    <w:rsid w:val="00024E4F"/>
    <w:rsid w:val="00065E6B"/>
    <w:rsid w:val="000A4F66"/>
    <w:rsid w:val="000F3D75"/>
    <w:rsid w:val="000F674F"/>
    <w:rsid w:val="0010413D"/>
    <w:rsid w:val="00112DC5"/>
    <w:rsid w:val="00145A1D"/>
    <w:rsid w:val="00145A22"/>
    <w:rsid w:val="00156E81"/>
    <w:rsid w:val="00161887"/>
    <w:rsid w:val="00187A6C"/>
    <w:rsid w:val="001945A3"/>
    <w:rsid w:val="001D4886"/>
    <w:rsid w:val="0022586F"/>
    <w:rsid w:val="00243591"/>
    <w:rsid w:val="00243AB9"/>
    <w:rsid w:val="00272C9D"/>
    <w:rsid w:val="00277CE9"/>
    <w:rsid w:val="0029321B"/>
    <w:rsid w:val="002A31EB"/>
    <w:rsid w:val="002C1D76"/>
    <w:rsid w:val="002C330C"/>
    <w:rsid w:val="002C541C"/>
    <w:rsid w:val="002C5C03"/>
    <w:rsid w:val="003449BE"/>
    <w:rsid w:val="00370020"/>
    <w:rsid w:val="003806B8"/>
    <w:rsid w:val="003903F2"/>
    <w:rsid w:val="003B18DC"/>
    <w:rsid w:val="003B1BAC"/>
    <w:rsid w:val="003C37AD"/>
    <w:rsid w:val="003C6B27"/>
    <w:rsid w:val="003E50F8"/>
    <w:rsid w:val="003F3946"/>
    <w:rsid w:val="003F63B4"/>
    <w:rsid w:val="004014B6"/>
    <w:rsid w:val="004160AF"/>
    <w:rsid w:val="004203BE"/>
    <w:rsid w:val="00435057"/>
    <w:rsid w:val="00443944"/>
    <w:rsid w:val="00453924"/>
    <w:rsid w:val="004565E7"/>
    <w:rsid w:val="00494074"/>
    <w:rsid w:val="00495550"/>
    <w:rsid w:val="004B007D"/>
    <w:rsid w:val="004B7B9A"/>
    <w:rsid w:val="004C3468"/>
    <w:rsid w:val="004D77CF"/>
    <w:rsid w:val="004E31C2"/>
    <w:rsid w:val="004F269A"/>
    <w:rsid w:val="004F7B33"/>
    <w:rsid w:val="00503025"/>
    <w:rsid w:val="0055540C"/>
    <w:rsid w:val="0056397B"/>
    <w:rsid w:val="00572856"/>
    <w:rsid w:val="005A4840"/>
    <w:rsid w:val="005C0DCA"/>
    <w:rsid w:val="00606BEE"/>
    <w:rsid w:val="00646B60"/>
    <w:rsid w:val="00652BD1"/>
    <w:rsid w:val="00662AE4"/>
    <w:rsid w:val="006852E3"/>
    <w:rsid w:val="006A199B"/>
    <w:rsid w:val="006C0FC4"/>
    <w:rsid w:val="006D28BD"/>
    <w:rsid w:val="006F49DD"/>
    <w:rsid w:val="00743B9B"/>
    <w:rsid w:val="00747276"/>
    <w:rsid w:val="00777393"/>
    <w:rsid w:val="007B4618"/>
    <w:rsid w:val="007C09D7"/>
    <w:rsid w:val="007C4BFE"/>
    <w:rsid w:val="007F4D57"/>
    <w:rsid w:val="00803A46"/>
    <w:rsid w:val="0085052A"/>
    <w:rsid w:val="008575FF"/>
    <w:rsid w:val="00861DA0"/>
    <w:rsid w:val="00866F85"/>
    <w:rsid w:val="00893048"/>
    <w:rsid w:val="008B4E40"/>
    <w:rsid w:val="008B4E5F"/>
    <w:rsid w:val="008B656C"/>
    <w:rsid w:val="008B72B8"/>
    <w:rsid w:val="008E5A4B"/>
    <w:rsid w:val="00926F6D"/>
    <w:rsid w:val="00931E9C"/>
    <w:rsid w:val="009440AC"/>
    <w:rsid w:val="00947634"/>
    <w:rsid w:val="009908EC"/>
    <w:rsid w:val="009B12C0"/>
    <w:rsid w:val="009B5ACC"/>
    <w:rsid w:val="009F0A1A"/>
    <w:rsid w:val="009F2847"/>
    <w:rsid w:val="00A43854"/>
    <w:rsid w:val="00A564FB"/>
    <w:rsid w:val="00A63FFC"/>
    <w:rsid w:val="00AB5F1A"/>
    <w:rsid w:val="00AC7795"/>
    <w:rsid w:val="00B03249"/>
    <w:rsid w:val="00B04E0B"/>
    <w:rsid w:val="00B05510"/>
    <w:rsid w:val="00B05D74"/>
    <w:rsid w:val="00B214B3"/>
    <w:rsid w:val="00B21502"/>
    <w:rsid w:val="00B233D6"/>
    <w:rsid w:val="00B30692"/>
    <w:rsid w:val="00B33A24"/>
    <w:rsid w:val="00B85F0D"/>
    <w:rsid w:val="00B9614F"/>
    <w:rsid w:val="00BE1A2A"/>
    <w:rsid w:val="00BE2975"/>
    <w:rsid w:val="00C2425B"/>
    <w:rsid w:val="00C36C90"/>
    <w:rsid w:val="00C50DA9"/>
    <w:rsid w:val="00C57FF5"/>
    <w:rsid w:val="00CB40A0"/>
    <w:rsid w:val="00CB48C1"/>
    <w:rsid w:val="00CC3117"/>
    <w:rsid w:val="00CD4E69"/>
    <w:rsid w:val="00D12AE7"/>
    <w:rsid w:val="00D44F08"/>
    <w:rsid w:val="00D52CE0"/>
    <w:rsid w:val="00D823B1"/>
    <w:rsid w:val="00D944D5"/>
    <w:rsid w:val="00DA1964"/>
    <w:rsid w:val="00DA22B8"/>
    <w:rsid w:val="00DA27F0"/>
    <w:rsid w:val="00DB2D93"/>
    <w:rsid w:val="00DC5C67"/>
    <w:rsid w:val="00DE1572"/>
    <w:rsid w:val="00DF67C9"/>
    <w:rsid w:val="00E258A0"/>
    <w:rsid w:val="00E31332"/>
    <w:rsid w:val="00E54092"/>
    <w:rsid w:val="00E76A00"/>
    <w:rsid w:val="00E80A2F"/>
    <w:rsid w:val="00E81294"/>
    <w:rsid w:val="00EB5FCD"/>
    <w:rsid w:val="00EC1B91"/>
    <w:rsid w:val="00EE4C2D"/>
    <w:rsid w:val="00F3387E"/>
    <w:rsid w:val="00F77A89"/>
    <w:rsid w:val="00F83544"/>
    <w:rsid w:val="00FA5E63"/>
    <w:rsid w:val="00FC4073"/>
    <w:rsid w:val="00FD1E19"/>
    <w:rsid w:val="00FE1B7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103"/>
    <o:shapelayout v:ext="edit">
      <o:idmap v:ext="edit" data="1"/>
    </o:shapelayout>
  </w:shapeDefaults>
  <w:decimalSymbol w:val=","/>
  <w:listSeparator w:val=";"/>
  <w14:docId w14:val="0B51FF8E"/>
  <w15:chartTrackingRefBased/>
  <w15:docId w15:val="{C293D340-D5A5-4B26-A823-6A10A43A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FD1E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E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E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E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E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E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E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E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E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GTextstand-alonedashesjustified">
    <w:name w:val="DG_Text_stand-alone dashes justified"/>
    <w:uiPriority w:val="99"/>
    <w:qFormat/>
    <w:rsid w:val="002C330C"/>
    <w:pPr>
      <w:numPr>
        <w:numId w:val="1"/>
      </w:numPr>
      <w:spacing w:before="120" w:after="120" w:line="240" w:lineRule="auto"/>
      <w:jc w:val="both"/>
    </w:pPr>
    <w:rPr>
      <w:rFonts w:ascii="Verdana" w:eastAsia="Calibri" w:hAnsi="Verdana" w:cs="Times New Roman"/>
      <w:noProof/>
      <w:kern w:val="0"/>
      <w:sz w:val="18"/>
      <w:szCs w:val="18"/>
      <w:bdr w:val="nil"/>
      <w:lang w:val="en-GB"/>
    </w:rPr>
  </w:style>
  <w:style w:type="character" w:customStyle="1" w:styleId="Heading1Char">
    <w:name w:val="Heading 1 Char"/>
    <w:basedOn w:val="DefaultParagraphFont"/>
    <w:link w:val="Heading1"/>
    <w:rsid w:val="00FD1E19"/>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FD1E19"/>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FD1E19"/>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FD1E19"/>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FD1E19"/>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FD1E19"/>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D1E19"/>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FD1E19"/>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D1E19"/>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FD1E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E19"/>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D1E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E19"/>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D1E19"/>
    <w:pPr>
      <w:spacing w:before="160"/>
      <w:jc w:val="center"/>
    </w:pPr>
    <w:rPr>
      <w:i/>
      <w:iCs/>
      <w:color w:val="404040" w:themeColor="text1" w:themeTint="BF"/>
    </w:rPr>
  </w:style>
  <w:style w:type="character" w:customStyle="1" w:styleId="QuoteChar">
    <w:name w:val="Quote Char"/>
    <w:basedOn w:val="DefaultParagraphFont"/>
    <w:link w:val="Quote"/>
    <w:uiPriority w:val="29"/>
    <w:rsid w:val="00FD1E19"/>
    <w:rPr>
      <w:i/>
      <w:iCs/>
      <w:color w:val="404040" w:themeColor="text1" w:themeTint="BF"/>
      <w:lang w:val="en-GB"/>
    </w:rPr>
  </w:style>
  <w:style w:type="paragraph" w:styleId="ListParagraph">
    <w:name w:val="List Paragraph"/>
    <w:basedOn w:val="Normal"/>
    <w:uiPriority w:val="34"/>
    <w:qFormat/>
    <w:rsid w:val="00FD1E19"/>
    <w:pPr>
      <w:ind w:left="720"/>
      <w:contextualSpacing/>
    </w:pPr>
  </w:style>
  <w:style w:type="character" w:styleId="IntenseEmphasis">
    <w:name w:val="Intense Emphasis"/>
    <w:basedOn w:val="DefaultParagraphFont"/>
    <w:uiPriority w:val="21"/>
    <w:qFormat/>
    <w:rsid w:val="00FD1E19"/>
    <w:rPr>
      <w:i/>
      <w:iCs/>
      <w:color w:val="0F4761" w:themeColor="accent1" w:themeShade="BF"/>
    </w:rPr>
  </w:style>
  <w:style w:type="paragraph" w:styleId="IntenseQuote">
    <w:name w:val="Intense Quote"/>
    <w:basedOn w:val="Normal"/>
    <w:next w:val="Normal"/>
    <w:link w:val="IntenseQuoteChar"/>
    <w:uiPriority w:val="30"/>
    <w:qFormat/>
    <w:rsid w:val="00FD1E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E19"/>
    <w:rPr>
      <w:i/>
      <w:iCs/>
      <w:color w:val="0F4761" w:themeColor="accent1" w:themeShade="BF"/>
      <w:lang w:val="en-GB"/>
    </w:rPr>
  </w:style>
  <w:style w:type="character" w:styleId="IntenseReference">
    <w:name w:val="Intense Reference"/>
    <w:basedOn w:val="DefaultParagraphFont"/>
    <w:uiPriority w:val="32"/>
    <w:qFormat/>
    <w:rsid w:val="00FD1E19"/>
    <w:rPr>
      <w:b/>
      <w:bCs/>
      <w:smallCaps/>
      <w:color w:val="0F4761" w:themeColor="accent1" w:themeShade="BF"/>
      <w:spacing w:val="5"/>
    </w:rPr>
  </w:style>
  <w:style w:type="character" w:customStyle="1" w:styleId="Marker">
    <w:name w:val="Marker"/>
    <w:basedOn w:val="DefaultParagraphFont"/>
    <w:rsid w:val="00FD1E19"/>
    <w:rPr>
      <w:color w:val="0000FF"/>
      <w:shd w:val="clear" w:color="auto" w:fill="auto"/>
    </w:rPr>
  </w:style>
  <w:style w:type="paragraph" w:styleId="Header">
    <w:name w:val="header"/>
    <w:basedOn w:val="Normal"/>
    <w:link w:val="HeaderChar"/>
    <w:uiPriority w:val="99"/>
    <w:unhideWhenUsed/>
    <w:rsid w:val="00FD1E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E19"/>
    <w:rPr>
      <w:lang w:val="en-GB"/>
    </w:rPr>
  </w:style>
  <w:style w:type="paragraph" w:styleId="Footer">
    <w:name w:val="footer"/>
    <w:basedOn w:val="Normal"/>
    <w:link w:val="FooterChar"/>
    <w:uiPriority w:val="99"/>
    <w:unhideWhenUsed/>
    <w:rsid w:val="00FD1E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E19"/>
    <w:rPr>
      <w:lang w:val="en-GB"/>
    </w:rPr>
  </w:style>
  <w:style w:type="paragraph" w:customStyle="1" w:styleId="Pagedecouverture">
    <w:name w:val="Page de couverture"/>
    <w:basedOn w:val="Normal"/>
    <w:next w:val="Normal"/>
    <w:link w:val="PagedecouvertureChar"/>
    <w:rsid w:val="00FD1E19"/>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FD1E19"/>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FD1E19"/>
    <w:rPr>
      <w:rFonts w:ascii="Times New Roman" w:hAnsi="Times New Roman" w:cs="Times New Roman"/>
      <w:sz w:val="24"/>
      <w:lang w:val="en-GB"/>
    </w:rPr>
  </w:style>
  <w:style w:type="paragraph" w:customStyle="1" w:styleId="FooterSensitivity">
    <w:name w:val="Footer Sensitivity"/>
    <w:basedOn w:val="Normal"/>
    <w:link w:val="FooterSensitivityChar"/>
    <w:rsid w:val="00FD1E1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D1E19"/>
    <w:rPr>
      <w:rFonts w:ascii="Times New Roman" w:hAnsi="Times New Roman" w:cs="Times New Roman"/>
      <w:b/>
      <w:sz w:val="32"/>
      <w:lang w:val="en-GB"/>
    </w:rPr>
  </w:style>
  <w:style w:type="paragraph" w:customStyle="1" w:styleId="HeaderCoverPage">
    <w:name w:val="Header Cover Page"/>
    <w:basedOn w:val="Normal"/>
    <w:link w:val="HeaderCoverPageChar"/>
    <w:rsid w:val="00FD1E19"/>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FD1E19"/>
    <w:rPr>
      <w:rFonts w:ascii="Times New Roman" w:hAnsi="Times New Roman" w:cs="Times New Roman"/>
      <w:sz w:val="24"/>
      <w:lang w:val="en-GB"/>
    </w:rPr>
  </w:style>
  <w:style w:type="paragraph" w:customStyle="1" w:styleId="HeaderSensitivity">
    <w:name w:val="Header Sensitivity"/>
    <w:basedOn w:val="Normal"/>
    <w:link w:val="HeaderSensitivityChar"/>
    <w:rsid w:val="00FD1E1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D1E19"/>
    <w:rPr>
      <w:rFonts w:ascii="Times New Roman" w:hAnsi="Times New Roman" w:cs="Times New Roman"/>
      <w:b/>
      <w:sz w:val="32"/>
      <w:lang w:val="en-GB"/>
    </w:rPr>
  </w:style>
  <w:style w:type="paragraph" w:customStyle="1" w:styleId="HeaderSensitivityRight">
    <w:name w:val="Header Sensitivity Right"/>
    <w:basedOn w:val="Normal"/>
    <w:link w:val="HeaderSensitivityRightChar"/>
    <w:rsid w:val="00FD1E1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D1E19"/>
    <w:rPr>
      <w:rFonts w:ascii="Times New Roman" w:hAnsi="Times New Roman" w:cs="Times New Roman"/>
      <w:sz w:val="28"/>
      <w:lang w:val="en-GB"/>
    </w:rPr>
  </w:style>
  <w:style w:type="paragraph" w:customStyle="1" w:styleId="CoverPage">
    <w:name w:val="CoverPage"/>
    <w:basedOn w:val="Normal"/>
    <w:uiPriority w:val="99"/>
    <w:qFormat/>
    <w:rsid w:val="00FD1E19"/>
    <w:pPr>
      <w:spacing w:before="240" w:after="720" w:line="360" w:lineRule="auto"/>
      <w:ind w:left="2268"/>
    </w:pPr>
    <w:rPr>
      <w:rFonts w:ascii="Verdana" w:eastAsia="Times New Roman" w:hAnsi="Verdana" w:cs="Times New Roman"/>
      <w:color w:val="016794"/>
      <w:kern w:val="0"/>
      <w:sz w:val="52"/>
      <w:szCs w:val="52"/>
      <w:lang w:eastAsia="en-GB"/>
    </w:rPr>
  </w:style>
  <w:style w:type="paragraph" w:customStyle="1" w:styleId="FIRSTCHAPTERPAGE">
    <w:name w:val="FIRST_CHAPTER_PAGE"/>
    <w:basedOn w:val="Normal"/>
    <w:uiPriority w:val="99"/>
    <w:qFormat/>
    <w:rsid w:val="00FD1E19"/>
    <w:pPr>
      <w:spacing w:before="240" w:after="720" w:line="240" w:lineRule="auto"/>
    </w:pPr>
    <w:rPr>
      <w:rFonts w:ascii="Verdana" w:eastAsia="Times New Roman" w:hAnsi="Verdana" w:cs="Times New Roman"/>
      <w:b/>
      <w:color w:val="016794"/>
      <w:kern w:val="0"/>
      <w:sz w:val="40"/>
      <w:szCs w:val="40"/>
      <w:lang w:eastAsia="en-GB"/>
    </w:rPr>
  </w:style>
  <w:style w:type="paragraph" w:styleId="BalloonText">
    <w:name w:val="Balloon Text"/>
    <w:basedOn w:val="Normal"/>
    <w:link w:val="BalloonTextChar"/>
    <w:uiPriority w:val="99"/>
    <w:rsid w:val="00FD1E19"/>
    <w:pPr>
      <w:spacing w:after="0" w:line="240" w:lineRule="auto"/>
    </w:pPr>
    <w:rPr>
      <w:rFonts w:ascii="Tahoma" w:eastAsia="Times New Roman" w:hAnsi="Tahoma" w:cs="Tahoma"/>
      <w:kern w:val="0"/>
      <w:sz w:val="16"/>
      <w:szCs w:val="16"/>
      <w:lang w:eastAsia="en-GB"/>
    </w:rPr>
  </w:style>
  <w:style w:type="character" w:customStyle="1" w:styleId="BalloonTextChar">
    <w:name w:val="Balloon Text Char"/>
    <w:basedOn w:val="DefaultParagraphFont"/>
    <w:link w:val="BalloonText"/>
    <w:uiPriority w:val="99"/>
    <w:rsid w:val="00FD1E19"/>
    <w:rPr>
      <w:rFonts w:ascii="Tahoma" w:eastAsia="Times New Roman" w:hAnsi="Tahoma" w:cs="Tahoma"/>
      <w:kern w:val="0"/>
      <w:sz w:val="16"/>
      <w:szCs w:val="16"/>
      <w:lang w:val="en-GB" w:eastAsia="en-GB"/>
    </w:rPr>
  </w:style>
  <w:style w:type="paragraph" w:customStyle="1" w:styleId="FinancialYear">
    <w:name w:val="Financial_Year"/>
    <w:basedOn w:val="Normal"/>
    <w:uiPriority w:val="99"/>
    <w:qFormat/>
    <w:rsid w:val="00FD1E19"/>
    <w:pPr>
      <w:spacing w:after="0" w:line="240" w:lineRule="auto"/>
      <w:jc w:val="right"/>
    </w:pPr>
    <w:rPr>
      <w:rFonts w:ascii="Verdana" w:eastAsia="Times New Roman" w:hAnsi="Verdana" w:cs="Times New Roman"/>
      <w:color w:val="016794"/>
      <w:kern w:val="0"/>
      <w:lang w:eastAsia="en-GB"/>
    </w:rPr>
  </w:style>
  <w:style w:type="paragraph" w:customStyle="1" w:styleId="TOPHEADERNOTE">
    <w:name w:val="TOPHEADER_NOTE"/>
    <w:basedOn w:val="Normal"/>
    <w:uiPriority w:val="99"/>
    <w:qFormat/>
    <w:rsid w:val="00FD1E19"/>
    <w:pPr>
      <w:spacing w:after="0" w:line="240" w:lineRule="auto"/>
    </w:pPr>
    <w:rPr>
      <w:rFonts w:ascii="Verdana" w:eastAsia="Times New Roman" w:hAnsi="Verdana" w:cs="Times New Roman"/>
      <w:i/>
      <w:color w:val="016794"/>
      <w:kern w:val="0"/>
      <w:sz w:val="18"/>
      <w:szCs w:val="24"/>
      <w:lang w:eastAsia="en-GB"/>
    </w:rPr>
  </w:style>
  <w:style w:type="paragraph" w:customStyle="1" w:styleId="HEADERTABLE">
    <w:name w:val="HEADER_TABLE"/>
    <w:basedOn w:val="Normal"/>
    <w:uiPriority w:val="99"/>
    <w:qFormat/>
    <w:rsid w:val="00FD1E19"/>
    <w:pPr>
      <w:spacing w:after="240" w:line="240" w:lineRule="auto"/>
    </w:pPr>
    <w:rPr>
      <w:rFonts w:ascii="Verdana" w:eastAsia="Times New Roman" w:hAnsi="Verdana" w:cs="Times New Roman"/>
      <w:b/>
      <w:color w:val="016794"/>
      <w:kern w:val="0"/>
      <w:sz w:val="28"/>
      <w:szCs w:val="28"/>
      <w:lang w:eastAsia="en-GB"/>
    </w:rPr>
  </w:style>
  <w:style w:type="paragraph" w:customStyle="1" w:styleId="Textstand-alonenumberingLetters">
    <w:name w:val="Text_stand-alone_(numbering Letters)"/>
    <w:basedOn w:val="Normal"/>
    <w:uiPriority w:val="99"/>
    <w:qFormat/>
    <w:rsid w:val="00FD1E19"/>
    <w:pPr>
      <w:numPr>
        <w:numId w:val="3"/>
      </w:numPr>
      <w:spacing w:after="240" w:line="240" w:lineRule="auto"/>
      <w:ind w:hanging="720"/>
    </w:pPr>
    <w:rPr>
      <w:rFonts w:ascii="Verdana" w:eastAsia="Times New Roman" w:hAnsi="Verdana" w:cs="Times New Roman"/>
      <w:kern w:val="0"/>
      <w:sz w:val="18"/>
      <w:szCs w:val="18"/>
      <w:lang w:eastAsia="en-GB"/>
    </w:rPr>
  </w:style>
  <w:style w:type="paragraph" w:customStyle="1" w:styleId="SignatureRightItalic">
    <w:name w:val="Signature_Right + Italic"/>
    <w:basedOn w:val="Normal"/>
    <w:uiPriority w:val="99"/>
    <w:qFormat/>
    <w:rsid w:val="00FD1E19"/>
    <w:pPr>
      <w:spacing w:before="240" w:after="0" w:line="240" w:lineRule="auto"/>
      <w:ind w:left="4394" w:right="1128"/>
      <w:jc w:val="center"/>
    </w:pPr>
    <w:rPr>
      <w:rFonts w:ascii="Verdana" w:eastAsia="Times New Roman" w:hAnsi="Verdana" w:cs="Times New Roman"/>
      <w:i/>
      <w:kern w:val="0"/>
      <w:sz w:val="18"/>
      <w:szCs w:val="18"/>
      <w:lang w:eastAsia="en-GB"/>
    </w:rPr>
  </w:style>
  <w:style w:type="paragraph" w:customStyle="1" w:styleId="HEADER3Part1">
    <w:name w:val="HEADER 3_Part 1"/>
    <w:basedOn w:val="Normal"/>
    <w:uiPriority w:val="99"/>
    <w:qFormat/>
    <w:rsid w:val="00FD1E19"/>
    <w:pPr>
      <w:tabs>
        <w:tab w:val="left" w:pos="907"/>
      </w:tabs>
      <w:spacing w:before="360" w:after="360" w:line="240" w:lineRule="auto"/>
    </w:pPr>
    <w:rPr>
      <w:rFonts w:ascii="Verdana" w:eastAsia="Times New Roman" w:hAnsi="Verdana" w:cs="Times New Roman"/>
      <w:color w:val="016794"/>
      <w:kern w:val="0"/>
      <w:sz w:val="20"/>
      <w:szCs w:val="20"/>
      <w:lang w:eastAsia="en-GB"/>
    </w:rPr>
  </w:style>
  <w:style w:type="paragraph" w:customStyle="1" w:styleId="HEADER4Part1">
    <w:name w:val="HEADER 4_Part 1"/>
    <w:basedOn w:val="HEADER3Part1"/>
    <w:uiPriority w:val="99"/>
    <w:qFormat/>
    <w:rsid w:val="00FD1E19"/>
    <w:pPr>
      <w:numPr>
        <w:ilvl w:val="3"/>
      </w:numPr>
    </w:pPr>
    <w:rPr>
      <w:sz w:val="18"/>
      <w:szCs w:val="18"/>
    </w:rPr>
  </w:style>
  <w:style w:type="paragraph" w:customStyle="1" w:styleId="HEADER2Part1">
    <w:name w:val="HEADER 2 _Part 1"/>
    <w:basedOn w:val="Normal"/>
    <w:uiPriority w:val="99"/>
    <w:qFormat/>
    <w:rsid w:val="00FD1E19"/>
    <w:pPr>
      <w:tabs>
        <w:tab w:val="left" w:pos="907"/>
      </w:tabs>
      <w:spacing w:before="360" w:after="360" w:line="240" w:lineRule="auto"/>
    </w:pPr>
    <w:rPr>
      <w:rFonts w:ascii="Verdana" w:eastAsia="Times New Roman" w:hAnsi="Verdana" w:cs="Times New Roman"/>
      <w:b/>
      <w:color w:val="016794"/>
      <w:kern w:val="0"/>
      <w:sz w:val="28"/>
      <w:szCs w:val="24"/>
      <w:lang w:eastAsia="en-GB"/>
    </w:rPr>
  </w:style>
  <w:style w:type="paragraph" w:customStyle="1" w:styleId="Textstand-alonenumberingRCIndentJustified">
    <w:name w:val="Text_stand-alone_numbering RC Indent + Justified"/>
    <w:basedOn w:val="Normal"/>
    <w:uiPriority w:val="99"/>
    <w:qFormat/>
    <w:rsid w:val="00FD1E19"/>
    <w:pPr>
      <w:numPr>
        <w:numId w:val="9"/>
      </w:numPr>
      <w:spacing w:after="0" w:line="240" w:lineRule="auto"/>
      <w:ind w:left="992" w:hanging="635"/>
    </w:pPr>
    <w:rPr>
      <w:rFonts w:ascii="Verdana" w:eastAsia="Times New Roman" w:hAnsi="Verdana" w:cs="Times New Roman"/>
      <w:kern w:val="0"/>
      <w:sz w:val="18"/>
      <w:szCs w:val="18"/>
      <w:lang w:eastAsia="en-GB"/>
    </w:rPr>
  </w:style>
  <w:style w:type="paragraph" w:customStyle="1" w:styleId="HEADER1Part2">
    <w:name w:val="HEADER 1_Part 2"/>
    <w:basedOn w:val="Normal"/>
    <w:uiPriority w:val="99"/>
    <w:qFormat/>
    <w:rsid w:val="00FD1E19"/>
    <w:pPr>
      <w:numPr>
        <w:numId w:val="12"/>
      </w:numPr>
      <w:tabs>
        <w:tab w:val="left" w:pos="907"/>
      </w:tabs>
      <w:spacing w:after="240" w:line="240" w:lineRule="auto"/>
      <w:jc w:val="both"/>
    </w:pPr>
    <w:rPr>
      <w:rFonts w:ascii="Verdana" w:eastAsia="Times New Roman" w:hAnsi="Verdana" w:cs="Times New Roman"/>
      <w:b/>
      <w:color w:val="016794"/>
      <w:kern w:val="0"/>
      <w:sz w:val="32"/>
      <w:szCs w:val="32"/>
      <w:lang w:eastAsia="en-GB"/>
    </w:rPr>
  </w:style>
  <w:style w:type="paragraph" w:customStyle="1" w:styleId="HEADER2Part2">
    <w:name w:val="HEADER 2_Part 2"/>
    <w:basedOn w:val="Normal"/>
    <w:uiPriority w:val="99"/>
    <w:qFormat/>
    <w:rsid w:val="00FD1E19"/>
    <w:pPr>
      <w:numPr>
        <w:ilvl w:val="1"/>
        <w:numId w:val="12"/>
      </w:numPr>
      <w:tabs>
        <w:tab w:val="left" w:pos="907"/>
      </w:tabs>
      <w:spacing w:before="360" w:after="360" w:line="240" w:lineRule="auto"/>
      <w:ind w:left="907"/>
    </w:pPr>
    <w:rPr>
      <w:rFonts w:ascii="Verdana" w:eastAsia="Times New Roman" w:hAnsi="Verdana" w:cs="Times New Roman"/>
      <w:b/>
      <w:color w:val="016794"/>
      <w:kern w:val="0"/>
      <w:sz w:val="28"/>
      <w:szCs w:val="28"/>
      <w:lang w:eastAsia="en-GB"/>
    </w:rPr>
  </w:style>
  <w:style w:type="paragraph" w:customStyle="1" w:styleId="HEADER3Part2">
    <w:name w:val="HEADER 3_Part 2"/>
    <w:basedOn w:val="Normal"/>
    <w:uiPriority w:val="99"/>
    <w:qFormat/>
    <w:rsid w:val="00FD1E19"/>
    <w:pPr>
      <w:numPr>
        <w:ilvl w:val="2"/>
        <w:numId w:val="12"/>
      </w:numPr>
      <w:tabs>
        <w:tab w:val="left" w:pos="907"/>
      </w:tabs>
      <w:spacing w:before="360" w:after="360" w:line="240" w:lineRule="auto"/>
    </w:pPr>
    <w:rPr>
      <w:rFonts w:ascii="Verdana" w:eastAsia="Times New Roman" w:hAnsi="Verdana" w:cs="Times New Roman"/>
      <w:color w:val="016794"/>
      <w:kern w:val="0"/>
      <w:sz w:val="20"/>
      <w:szCs w:val="20"/>
      <w:lang w:eastAsia="en-GB"/>
    </w:rPr>
  </w:style>
  <w:style w:type="paragraph" w:customStyle="1" w:styleId="HEADER4Part2">
    <w:name w:val="HEADER 4_Part 2"/>
    <w:basedOn w:val="Normal"/>
    <w:uiPriority w:val="99"/>
    <w:qFormat/>
    <w:rsid w:val="00FD1E19"/>
    <w:pPr>
      <w:numPr>
        <w:ilvl w:val="3"/>
        <w:numId w:val="12"/>
      </w:numPr>
      <w:tabs>
        <w:tab w:val="left" w:pos="907"/>
      </w:tabs>
      <w:spacing w:before="360" w:after="360" w:line="240" w:lineRule="auto"/>
      <w:jc w:val="both"/>
    </w:pPr>
    <w:rPr>
      <w:rFonts w:ascii="Verdana" w:eastAsia="Times New Roman" w:hAnsi="Verdana" w:cs="Times New Roman"/>
      <w:color w:val="016794"/>
      <w:kern w:val="0"/>
      <w:sz w:val="18"/>
      <w:szCs w:val="18"/>
      <w:lang w:eastAsia="en-GB"/>
    </w:rPr>
  </w:style>
  <w:style w:type="paragraph" w:customStyle="1" w:styleId="HEADER5">
    <w:name w:val="HEADER 5"/>
    <w:basedOn w:val="Normal"/>
    <w:uiPriority w:val="99"/>
    <w:qFormat/>
    <w:rsid w:val="00FD1E19"/>
    <w:pPr>
      <w:spacing w:after="0" w:line="240" w:lineRule="auto"/>
    </w:pPr>
    <w:rPr>
      <w:rFonts w:ascii="Verdana" w:eastAsia="Times New Roman" w:hAnsi="Verdana" w:cs="Times New Roman"/>
      <w:b/>
      <w:color w:val="016794"/>
      <w:kern w:val="0"/>
      <w:sz w:val="18"/>
      <w:szCs w:val="18"/>
      <w:lang w:eastAsia="en-GB"/>
    </w:rPr>
  </w:style>
  <w:style w:type="paragraph" w:customStyle="1" w:styleId="TOCTitle">
    <w:name w:val="TOC_Title"/>
    <w:basedOn w:val="Normal"/>
    <w:uiPriority w:val="99"/>
    <w:qFormat/>
    <w:rsid w:val="00FD1E19"/>
    <w:pPr>
      <w:spacing w:before="360" w:after="120" w:line="240" w:lineRule="auto"/>
    </w:pPr>
    <w:rPr>
      <w:rFonts w:ascii="Verdana" w:eastAsia="Times New Roman" w:hAnsi="Verdana" w:cs="Times New Roman"/>
      <w:b/>
      <w:color w:val="016794"/>
      <w:kern w:val="0"/>
      <w:sz w:val="40"/>
      <w:szCs w:val="40"/>
      <w:lang w:eastAsia="en-GB"/>
    </w:rPr>
  </w:style>
  <w:style w:type="paragraph" w:customStyle="1" w:styleId="SignatureRight">
    <w:name w:val="Signature_Right"/>
    <w:basedOn w:val="SignatureRightItalic"/>
    <w:uiPriority w:val="99"/>
    <w:qFormat/>
    <w:rsid w:val="00FD1E19"/>
    <w:rPr>
      <w:i w:val="0"/>
    </w:rPr>
  </w:style>
  <w:style w:type="paragraph" w:customStyle="1" w:styleId="SignatureRightBold">
    <w:name w:val="Signature_Right Bold"/>
    <w:basedOn w:val="SignatureRight"/>
    <w:uiPriority w:val="99"/>
    <w:qFormat/>
    <w:rsid w:val="00FD1E19"/>
    <w:pPr>
      <w:spacing w:before="120" w:after="120"/>
    </w:pPr>
    <w:rPr>
      <w:b/>
    </w:rPr>
  </w:style>
  <w:style w:type="paragraph" w:customStyle="1" w:styleId="Textstand-alone">
    <w:name w:val="Text_stand-alone"/>
    <w:basedOn w:val="Normal"/>
    <w:uiPriority w:val="99"/>
    <w:qFormat/>
    <w:rsid w:val="00FD1E19"/>
    <w:pPr>
      <w:spacing w:before="240" w:after="240" w:line="240" w:lineRule="auto"/>
      <w:jc w:val="both"/>
    </w:pPr>
    <w:rPr>
      <w:rFonts w:ascii="Verdana" w:eastAsia="Times New Roman" w:hAnsi="Verdana" w:cs="Times New Roman"/>
      <w:noProof/>
      <w:kern w:val="0"/>
      <w:sz w:val="18"/>
      <w:szCs w:val="18"/>
    </w:rPr>
  </w:style>
  <w:style w:type="paragraph" w:customStyle="1" w:styleId="SignatureRightItalic0">
    <w:name w:val="Signature_Right Italic"/>
    <w:basedOn w:val="SignatureRightBold"/>
    <w:uiPriority w:val="99"/>
    <w:qFormat/>
    <w:rsid w:val="00FD1E19"/>
    <w:rPr>
      <w:b w:val="0"/>
      <w:i/>
    </w:rPr>
  </w:style>
  <w:style w:type="paragraph" w:customStyle="1" w:styleId="SubTextIndentJustified">
    <w:name w:val="SubText_Indent_Justified"/>
    <w:basedOn w:val="Normal"/>
    <w:uiPriority w:val="99"/>
    <w:qFormat/>
    <w:rsid w:val="00FD1E19"/>
    <w:pPr>
      <w:spacing w:after="240" w:line="240" w:lineRule="auto"/>
      <w:ind w:left="720"/>
    </w:pPr>
    <w:rPr>
      <w:rFonts w:ascii="Verdana" w:eastAsia="Times New Roman" w:hAnsi="Verdana" w:cs="Times New Roman"/>
      <w:kern w:val="0"/>
      <w:sz w:val="18"/>
      <w:szCs w:val="18"/>
      <w:lang w:eastAsia="en-GB"/>
    </w:rPr>
  </w:style>
  <w:style w:type="character" w:styleId="Hyperlink">
    <w:name w:val="Hyperlink"/>
    <w:uiPriority w:val="99"/>
    <w:rsid w:val="00FD1E19"/>
    <w:rPr>
      <w:color w:val="0000FF"/>
      <w:u w:val="single"/>
    </w:rPr>
  </w:style>
  <w:style w:type="paragraph" w:customStyle="1" w:styleId="HEADER1Part1">
    <w:name w:val="HEADER 1_Part 1"/>
    <w:basedOn w:val="Normal"/>
    <w:uiPriority w:val="99"/>
    <w:qFormat/>
    <w:rsid w:val="00FD1E19"/>
    <w:pPr>
      <w:numPr>
        <w:numId w:val="4"/>
      </w:numPr>
      <w:tabs>
        <w:tab w:val="left" w:pos="907"/>
      </w:tabs>
      <w:spacing w:after="240" w:line="240" w:lineRule="auto"/>
      <w:jc w:val="both"/>
    </w:pPr>
    <w:rPr>
      <w:rFonts w:ascii="Verdana" w:eastAsia="Times New Roman" w:hAnsi="Verdana" w:cs="Times New Roman"/>
      <w:b/>
      <w:color w:val="016794"/>
      <w:kern w:val="0"/>
      <w:sz w:val="32"/>
      <w:szCs w:val="32"/>
      <w:lang w:eastAsia="en-GB"/>
    </w:rPr>
  </w:style>
  <w:style w:type="paragraph" w:customStyle="1" w:styleId="Textstand-alonebulletpointJustified">
    <w:name w:val="Text_stand-alone_bullet point + Justified"/>
    <w:basedOn w:val="Normal"/>
    <w:uiPriority w:val="99"/>
    <w:qFormat/>
    <w:rsid w:val="00FD1E19"/>
    <w:pPr>
      <w:numPr>
        <w:numId w:val="6"/>
      </w:numPr>
      <w:spacing w:after="240" w:line="240" w:lineRule="auto"/>
      <w:ind w:left="720"/>
      <w:contextualSpacing/>
      <w:jc w:val="both"/>
    </w:pPr>
    <w:rPr>
      <w:rFonts w:ascii="Verdana" w:eastAsia="Times New Roman" w:hAnsi="Verdana" w:cs="Times New Roman"/>
      <w:kern w:val="0"/>
      <w:sz w:val="18"/>
      <w:szCs w:val="24"/>
      <w:lang w:eastAsia="en-GB"/>
    </w:rPr>
  </w:style>
  <w:style w:type="paragraph" w:customStyle="1" w:styleId="TextSubtitlenumberingRCItalic">
    <w:name w:val="Text_Subtitle_(numbering RC Italic)"/>
    <w:basedOn w:val="Normal"/>
    <w:uiPriority w:val="99"/>
    <w:qFormat/>
    <w:rsid w:val="00FD1E19"/>
    <w:pPr>
      <w:numPr>
        <w:numId w:val="2"/>
      </w:numPr>
      <w:spacing w:after="0" w:line="240" w:lineRule="auto"/>
    </w:pPr>
    <w:rPr>
      <w:rFonts w:ascii="Verdana" w:eastAsia="Times New Roman" w:hAnsi="Verdana" w:cs="Times New Roman"/>
      <w:i/>
      <w:kern w:val="0"/>
      <w:sz w:val="18"/>
      <w:szCs w:val="18"/>
      <w:lang w:eastAsia="en-GB"/>
    </w:rPr>
  </w:style>
  <w:style w:type="paragraph" w:customStyle="1" w:styleId="TextstandalonenumberingRCJustified">
    <w:name w:val="Text_stand alone_(numbering RC + Justified)"/>
    <w:uiPriority w:val="99"/>
    <w:qFormat/>
    <w:rsid w:val="00FD1E19"/>
    <w:pPr>
      <w:numPr>
        <w:numId w:val="7"/>
      </w:numPr>
      <w:pBdr>
        <w:top w:val="nil"/>
        <w:left w:val="nil"/>
        <w:bottom w:val="nil"/>
        <w:right w:val="nil"/>
        <w:between w:val="nil"/>
        <w:bar w:val="nil"/>
      </w:pBdr>
      <w:tabs>
        <w:tab w:val="clear" w:pos="0"/>
      </w:tabs>
      <w:spacing w:before="240" w:after="0" w:line="240" w:lineRule="auto"/>
      <w:ind w:left="567" w:hanging="567"/>
      <w:jc w:val="both"/>
    </w:pPr>
    <w:rPr>
      <w:rFonts w:ascii="Verdana" w:eastAsia="Calibri" w:hAnsi="Verdana" w:cs="Times New Roman"/>
      <w:noProof/>
      <w:kern w:val="0"/>
      <w:sz w:val="18"/>
      <w:szCs w:val="18"/>
      <w:bdr w:val="nil"/>
      <w:lang w:val="en-GB"/>
    </w:rPr>
  </w:style>
  <w:style w:type="paragraph" w:customStyle="1" w:styleId="Textstand-alonenumberingJustified">
    <w:name w:val="Text_stand-alone_(numbering) + Justified"/>
    <w:basedOn w:val="Normal"/>
    <w:uiPriority w:val="99"/>
    <w:qFormat/>
    <w:rsid w:val="00FD1E19"/>
    <w:pPr>
      <w:numPr>
        <w:numId w:val="5"/>
      </w:numPr>
      <w:spacing w:after="240" w:line="240" w:lineRule="auto"/>
      <w:ind w:left="907" w:hanging="720"/>
      <w:jc w:val="both"/>
    </w:pPr>
    <w:rPr>
      <w:rFonts w:ascii="Verdana" w:eastAsia="Times New Roman" w:hAnsi="Verdana" w:cs="Times New Roman"/>
      <w:kern w:val="0"/>
      <w:sz w:val="18"/>
      <w:szCs w:val="18"/>
      <w:lang w:eastAsia="en-GB"/>
    </w:rPr>
  </w:style>
  <w:style w:type="paragraph" w:customStyle="1" w:styleId="Textstand-aloneBulletpoint">
    <w:name w:val="Text_stand-alone Bullet point"/>
    <w:basedOn w:val="Normal"/>
    <w:uiPriority w:val="99"/>
    <w:qFormat/>
    <w:rsid w:val="00FD1E19"/>
    <w:pPr>
      <w:numPr>
        <w:numId w:val="8"/>
      </w:numPr>
      <w:tabs>
        <w:tab w:val="num" w:pos="0"/>
      </w:tabs>
      <w:spacing w:after="240" w:line="240" w:lineRule="auto"/>
      <w:ind w:left="357" w:hanging="357"/>
      <w:contextualSpacing/>
    </w:pPr>
    <w:rPr>
      <w:rFonts w:ascii="Verdana" w:eastAsia="Times New Roman" w:hAnsi="Verdana" w:cs="Times New Roman"/>
      <w:kern w:val="0"/>
      <w:sz w:val="18"/>
      <w:szCs w:val="18"/>
      <w:lang w:eastAsia="en-GB"/>
    </w:rPr>
  </w:style>
  <w:style w:type="paragraph" w:customStyle="1" w:styleId="TextSubtitleItalicnumberinglettera">
    <w:name w:val="Text_Subtitle Italic numbering letter (a)"/>
    <w:basedOn w:val="Normal"/>
    <w:uiPriority w:val="99"/>
    <w:qFormat/>
    <w:rsid w:val="00FD1E19"/>
    <w:pPr>
      <w:numPr>
        <w:numId w:val="78"/>
      </w:numPr>
      <w:tabs>
        <w:tab w:val="num" w:pos="360"/>
      </w:tabs>
      <w:spacing w:after="0" w:line="240" w:lineRule="auto"/>
    </w:pPr>
    <w:rPr>
      <w:rFonts w:ascii="Verdana" w:eastAsia="Times New Roman" w:hAnsi="Verdana" w:cs="Times New Roman"/>
      <w:i/>
      <w:kern w:val="0"/>
      <w:sz w:val="18"/>
      <w:szCs w:val="18"/>
      <w:lang w:eastAsia="en-GB"/>
    </w:rPr>
  </w:style>
  <w:style w:type="character" w:styleId="CommentReference">
    <w:name w:val="annotation reference"/>
    <w:uiPriority w:val="99"/>
    <w:semiHidden/>
    <w:unhideWhenUsed/>
    <w:rsid w:val="00FD1E19"/>
    <w:rPr>
      <w:sz w:val="16"/>
      <w:szCs w:val="16"/>
    </w:rPr>
  </w:style>
  <w:style w:type="paragraph" w:styleId="CommentText">
    <w:name w:val="annotation text"/>
    <w:basedOn w:val="Normal"/>
    <w:link w:val="CommentTextChar"/>
    <w:uiPriority w:val="99"/>
    <w:unhideWhenUsed/>
    <w:rsid w:val="00FD1E19"/>
    <w:pPr>
      <w:spacing w:after="0" w:line="240" w:lineRule="auto"/>
    </w:pPr>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uiPriority w:val="99"/>
    <w:rsid w:val="00FD1E19"/>
    <w:rPr>
      <w:rFonts w:ascii="Times New Roman" w:eastAsia="Times New Roman" w:hAnsi="Times New Roman" w:cs="Times New Roman"/>
      <w:kern w:val="0"/>
      <w:sz w:val="20"/>
      <w:szCs w:val="20"/>
      <w:lang w:val="en-GB" w:eastAsia="en-GB"/>
    </w:rPr>
  </w:style>
  <w:style w:type="paragraph" w:styleId="CommentSubject">
    <w:name w:val="annotation subject"/>
    <w:basedOn w:val="CommentText"/>
    <w:next w:val="CommentText"/>
    <w:link w:val="CommentSubjectChar"/>
    <w:uiPriority w:val="99"/>
    <w:semiHidden/>
    <w:unhideWhenUsed/>
    <w:rsid w:val="00FD1E19"/>
    <w:rPr>
      <w:b/>
      <w:bCs/>
    </w:rPr>
  </w:style>
  <w:style w:type="character" w:customStyle="1" w:styleId="CommentSubjectChar">
    <w:name w:val="Comment Subject Char"/>
    <w:basedOn w:val="CommentTextChar"/>
    <w:link w:val="CommentSubject"/>
    <w:uiPriority w:val="99"/>
    <w:semiHidden/>
    <w:rsid w:val="00FD1E19"/>
    <w:rPr>
      <w:rFonts w:ascii="Times New Roman" w:eastAsia="Times New Roman" w:hAnsi="Times New Roman" w:cs="Times New Roman"/>
      <w:b/>
      <w:bCs/>
      <w:kern w:val="0"/>
      <w:sz w:val="20"/>
      <w:szCs w:val="20"/>
      <w:lang w:val="en-GB" w:eastAsia="en-GB"/>
    </w:rPr>
  </w:style>
  <w:style w:type="paragraph" w:customStyle="1" w:styleId="DGTextstand-alonenumbering">
    <w:name w:val="DG_Text_stand-alone_(numbering)"/>
    <w:uiPriority w:val="99"/>
    <w:qFormat/>
    <w:rsid w:val="00FD1E19"/>
    <w:pPr>
      <w:numPr>
        <w:numId w:val="10"/>
      </w:numPr>
      <w:spacing w:after="240" w:line="240" w:lineRule="auto"/>
      <w:ind w:hanging="720"/>
    </w:pPr>
    <w:rPr>
      <w:rFonts w:ascii="Verdana" w:eastAsia="Times New Roman" w:hAnsi="Verdana" w:cs="Times New Roman"/>
      <w:noProof/>
      <w:kern w:val="0"/>
      <w:sz w:val="18"/>
      <w:szCs w:val="18"/>
      <w:lang w:val="en-GB"/>
    </w:rPr>
  </w:style>
  <w:style w:type="paragraph" w:customStyle="1" w:styleId="HEADERTITLE">
    <w:name w:val="HEADER_TITLE"/>
    <w:basedOn w:val="Textstand-alone"/>
    <w:uiPriority w:val="99"/>
    <w:qFormat/>
    <w:rsid w:val="00FD1E19"/>
    <w:pPr>
      <w:tabs>
        <w:tab w:val="left" w:pos="907"/>
      </w:tabs>
      <w:spacing w:before="0"/>
      <w:jc w:val="left"/>
    </w:pPr>
    <w:rPr>
      <w:b/>
      <w:color w:val="016794"/>
      <w:sz w:val="28"/>
    </w:rPr>
  </w:style>
  <w:style w:type="paragraph" w:customStyle="1" w:styleId="FIRSTCHAPTERPAGE1">
    <w:name w:val="FIRST CHAPTER_PAGE_1"/>
    <w:basedOn w:val="Textstand-alone"/>
    <w:uiPriority w:val="99"/>
    <w:qFormat/>
    <w:rsid w:val="00FD1E19"/>
    <w:pPr>
      <w:tabs>
        <w:tab w:val="left" w:pos="907"/>
      </w:tabs>
      <w:spacing w:after="720"/>
      <w:jc w:val="left"/>
    </w:pPr>
    <w:rPr>
      <w:b/>
      <w:color w:val="016794"/>
      <w:sz w:val="40"/>
    </w:rPr>
  </w:style>
  <w:style w:type="paragraph" w:customStyle="1" w:styleId="FIRSTCHAPTERPAGE2">
    <w:name w:val="FIRST CHAPTER_PAGE_2"/>
    <w:basedOn w:val="Textstand-alone"/>
    <w:uiPriority w:val="99"/>
    <w:qFormat/>
    <w:rsid w:val="00FD1E19"/>
    <w:pPr>
      <w:tabs>
        <w:tab w:val="left" w:pos="907"/>
      </w:tabs>
      <w:spacing w:after="720"/>
    </w:pPr>
    <w:rPr>
      <w:b/>
      <w:color w:val="016794"/>
      <w:sz w:val="40"/>
    </w:rPr>
  </w:style>
  <w:style w:type="paragraph" w:customStyle="1" w:styleId="HEADERTITLE1">
    <w:name w:val="HEADER_TITLE_1"/>
    <w:basedOn w:val="Textstand-alone"/>
    <w:uiPriority w:val="99"/>
    <w:qFormat/>
    <w:rsid w:val="00FD1E19"/>
    <w:pPr>
      <w:tabs>
        <w:tab w:val="left" w:pos="907"/>
      </w:tabs>
      <w:spacing w:before="0"/>
      <w:jc w:val="left"/>
    </w:pPr>
    <w:rPr>
      <w:b/>
      <w:color w:val="016794"/>
      <w:sz w:val="28"/>
    </w:rPr>
  </w:style>
  <w:style w:type="paragraph" w:styleId="TOCHeading">
    <w:name w:val="TOC Heading"/>
    <w:basedOn w:val="Heading1"/>
    <w:next w:val="Normal"/>
    <w:uiPriority w:val="39"/>
    <w:unhideWhenUsed/>
    <w:qFormat/>
    <w:rsid w:val="00FD1E19"/>
    <w:pPr>
      <w:spacing w:before="480" w:after="0" w:line="276" w:lineRule="auto"/>
      <w:outlineLvl w:val="9"/>
    </w:pPr>
    <w:rPr>
      <w:b/>
      <w:bCs/>
      <w:kern w:val="0"/>
      <w:sz w:val="28"/>
      <w:szCs w:val="28"/>
      <w:lang w:val="en-US" w:eastAsia="ja-JP"/>
    </w:rPr>
  </w:style>
  <w:style w:type="paragraph" w:styleId="TOC1">
    <w:name w:val="toc 1"/>
    <w:basedOn w:val="Normal"/>
    <w:next w:val="Normal"/>
    <w:autoRedefine/>
    <w:uiPriority w:val="39"/>
    <w:unhideWhenUsed/>
    <w:qFormat/>
    <w:rsid w:val="00FD1E19"/>
    <w:pPr>
      <w:spacing w:after="100" w:line="240" w:lineRule="auto"/>
    </w:pPr>
    <w:rPr>
      <w:rFonts w:ascii="Verdana" w:eastAsia="Times New Roman" w:hAnsi="Verdana" w:cs="Times New Roman"/>
      <w:color w:val="0F4761" w:themeColor="accent1" w:themeShade="BF"/>
      <w:kern w:val="0"/>
      <w:szCs w:val="24"/>
      <w:lang w:eastAsia="en-GB"/>
    </w:rPr>
  </w:style>
  <w:style w:type="paragraph" w:styleId="TOC2">
    <w:name w:val="toc 2"/>
    <w:basedOn w:val="Normal"/>
    <w:next w:val="Normal"/>
    <w:autoRedefine/>
    <w:uiPriority w:val="39"/>
    <w:unhideWhenUsed/>
    <w:qFormat/>
    <w:rsid w:val="00FD1E19"/>
    <w:pPr>
      <w:spacing w:after="100" w:line="240" w:lineRule="auto"/>
      <w:ind w:left="240"/>
    </w:pPr>
    <w:rPr>
      <w:rFonts w:ascii="Verdana" w:eastAsia="Times New Roman" w:hAnsi="Verdana" w:cs="Times New Roman"/>
      <w:color w:val="808080" w:themeColor="background1" w:themeShade="80"/>
      <w:kern w:val="0"/>
      <w:sz w:val="20"/>
      <w:szCs w:val="24"/>
      <w:lang w:eastAsia="en-GB"/>
    </w:rPr>
  </w:style>
  <w:style w:type="paragraph" w:customStyle="1" w:styleId="HEADER1PartBUDG">
    <w:name w:val="HEADER 1_Part BUDG"/>
    <w:basedOn w:val="HEADER1Part1"/>
    <w:uiPriority w:val="99"/>
    <w:qFormat/>
    <w:rsid w:val="00FD1E19"/>
    <w:rPr>
      <w:lang w:val="fr-BE"/>
    </w:rPr>
  </w:style>
  <w:style w:type="paragraph" w:customStyle="1" w:styleId="HEADER2PartBUDG">
    <w:name w:val="HEADER 2_Part BUDG"/>
    <w:basedOn w:val="HEADER2Part1"/>
    <w:uiPriority w:val="99"/>
    <w:qFormat/>
    <w:rsid w:val="00FD1E19"/>
    <w:rPr>
      <w:lang w:val="fr-BE"/>
    </w:rPr>
  </w:style>
  <w:style w:type="paragraph" w:customStyle="1" w:styleId="HEADER3PartBUGD">
    <w:name w:val="HEADER 3_Part BUGD"/>
    <w:basedOn w:val="HEADER3Part1"/>
    <w:uiPriority w:val="99"/>
    <w:qFormat/>
    <w:rsid w:val="00FD1E19"/>
    <w:rPr>
      <w:lang w:val="fr-BE"/>
    </w:rPr>
  </w:style>
  <w:style w:type="paragraph" w:customStyle="1" w:styleId="HEADER4PartBUDG">
    <w:name w:val="HEADER 4_Part BUDG"/>
    <w:basedOn w:val="HEADER4Part1"/>
    <w:uiPriority w:val="99"/>
    <w:qFormat/>
    <w:rsid w:val="00FD1E19"/>
    <w:rPr>
      <w:lang w:val="fr-BE"/>
    </w:rPr>
  </w:style>
  <w:style w:type="paragraph" w:styleId="FootnoteText">
    <w:name w:val="footnote text"/>
    <w:basedOn w:val="Normal"/>
    <w:link w:val="FootnoteTextChar"/>
    <w:uiPriority w:val="99"/>
    <w:semiHidden/>
    <w:unhideWhenUsed/>
    <w:rsid w:val="00FD1E19"/>
    <w:pPr>
      <w:spacing w:after="0" w:line="240" w:lineRule="auto"/>
    </w:pPr>
    <w:rPr>
      <w:rFonts w:ascii="Times New Roman" w:eastAsia="Times New Roman" w:hAnsi="Times New Roman" w:cs="Times New Roman"/>
      <w:kern w:val="0"/>
      <w:sz w:val="20"/>
      <w:szCs w:val="20"/>
      <w:lang w:eastAsia="en-GB"/>
    </w:rPr>
  </w:style>
  <w:style w:type="character" w:customStyle="1" w:styleId="FootnoteTextChar">
    <w:name w:val="Footnote Text Char"/>
    <w:basedOn w:val="DefaultParagraphFont"/>
    <w:link w:val="FootnoteText"/>
    <w:uiPriority w:val="99"/>
    <w:semiHidden/>
    <w:rsid w:val="00FD1E19"/>
    <w:rPr>
      <w:rFonts w:ascii="Times New Roman" w:eastAsia="Times New Roman" w:hAnsi="Times New Roman" w:cs="Times New Roman"/>
      <w:kern w:val="0"/>
      <w:sz w:val="20"/>
      <w:szCs w:val="20"/>
      <w:lang w:val="en-GB" w:eastAsia="en-GB"/>
    </w:rPr>
  </w:style>
  <w:style w:type="character" w:styleId="FootnoteReference">
    <w:name w:val="footnote reference"/>
    <w:basedOn w:val="DefaultParagraphFont"/>
    <w:uiPriority w:val="99"/>
    <w:semiHidden/>
    <w:unhideWhenUsed/>
    <w:rsid w:val="00FD1E19"/>
    <w:rPr>
      <w:vertAlign w:val="superscript"/>
    </w:rPr>
  </w:style>
  <w:style w:type="paragraph" w:customStyle="1" w:styleId="HEADER1Part3">
    <w:name w:val="HEADER 1_Part 3"/>
    <w:basedOn w:val="Normal"/>
    <w:uiPriority w:val="99"/>
    <w:qFormat/>
    <w:rsid w:val="00FD1E19"/>
    <w:pPr>
      <w:numPr>
        <w:numId w:val="11"/>
      </w:numPr>
      <w:tabs>
        <w:tab w:val="left" w:pos="907"/>
      </w:tabs>
      <w:spacing w:after="240" w:line="240" w:lineRule="auto"/>
      <w:ind w:left="720" w:hanging="360"/>
    </w:pPr>
    <w:rPr>
      <w:rFonts w:ascii="Verdana" w:eastAsia="Times New Roman" w:hAnsi="Verdana" w:cs="Times New Roman"/>
      <w:b/>
      <w:color w:val="016794"/>
      <w:kern w:val="0"/>
      <w:sz w:val="32"/>
      <w:szCs w:val="32"/>
      <w:lang w:eastAsia="en-GB"/>
    </w:rPr>
  </w:style>
  <w:style w:type="paragraph" w:customStyle="1" w:styleId="DMETW37214BIPAGGBS">
    <w:name w:val="DM_ETW_37214_BIP_AGGBS"/>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14BIPAGGPL">
    <w:name w:val="DM_ETW_37214_BIP_AGGPL"/>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14BIPAGGCF">
    <w:name w:val="DM_ETW_37214_BIP_AGGC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14BIPAGGNA">
    <w:name w:val="DM_ETW_37214_BIP_AGGNA"/>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BSEDF">
    <w:name w:val="DM_ETW_37225_BIP_BSED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PLEDF">
    <w:name w:val="DM_ETW_37225_BIP_PLED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NA9">
    <w:name w:val="DM_ETW_37225_BIP_CNA9"/>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NA10">
    <w:name w:val="DM_ETW_37225_BIP_CNA10"/>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NA11">
    <w:name w:val="DM_ETW_37225_BIP_CNA11"/>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22316BIPCURR">
    <w:name w:val="DM_ETW_22316_BIP_CURR"/>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GTextstand-alone">
    <w:name w:val="DG_Text_stand-alone"/>
    <w:link w:val="DGTextstand-aloneChar"/>
    <w:rsid w:val="00FD1E19"/>
    <w:pPr>
      <w:spacing w:before="240" w:after="240" w:line="240" w:lineRule="auto"/>
      <w:jc w:val="both"/>
    </w:pPr>
    <w:rPr>
      <w:rFonts w:ascii="Verdana" w:eastAsia="Calibri" w:hAnsi="Verdana" w:cs="Times New Roman"/>
      <w:noProof/>
      <w:kern w:val="0"/>
      <w:sz w:val="18"/>
      <w:szCs w:val="18"/>
      <w:bdr w:val="none" w:sz="0" w:space="0" w:color="auto" w:frame="1"/>
      <w:lang w:val="en-US"/>
    </w:rPr>
  </w:style>
  <w:style w:type="character" w:customStyle="1" w:styleId="DGTextstand-aloneChar">
    <w:name w:val="DG_Text_stand-alone Char"/>
    <w:link w:val="DGTextstand-alone"/>
    <w:locked/>
    <w:rsid w:val="00FD1E19"/>
    <w:rPr>
      <w:rFonts w:ascii="Verdana" w:eastAsia="Calibri" w:hAnsi="Verdana" w:cs="Times New Roman"/>
      <w:noProof/>
      <w:kern w:val="0"/>
      <w:sz w:val="18"/>
      <w:szCs w:val="18"/>
      <w:bdr w:val="none" w:sz="0" w:space="0" w:color="auto" w:frame="1"/>
      <w:lang w:val="en-US"/>
    </w:rPr>
  </w:style>
  <w:style w:type="paragraph" w:customStyle="1" w:styleId="DMETW37225BIPFA">
    <w:name w:val="DM_ETW_37225_BIP_FA"/>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PF">
    <w:name w:val="DM_ETW_37225_BIP_P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NCPFBMM">
    <w:name w:val="DM_ETW_37225_BIP_NCPF_BMM"/>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PF">
    <w:name w:val="DM_ETW_37225_BIP_CP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FPBMM">
    <w:name w:val="DM_ETW_37225_BIP_CFP_BMM"/>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GUAR">
    <w:name w:val="DM_ETW_37225_BIP_GUAR"/>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TFCONTR">
    <w:name w:val="DM_ETW_37225_BIP_TFCONTR"/>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ERNER">
    <w:name w:val="DM_ETW_37225_BIP_ERNER"/>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RNET">
    <w:name w:val="DM_ETW_37225_BIP_RNET"/>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RET">
    <w:name w:val="DM_ETW_37225_BIP_RET"/>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ASH">
    <w:name w:val="DM_ETW_37225_BIP_CASH"/>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FL">
    <w:name w:val="DM_ETW_37225_BIP_FL"/>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finliability">
    <w:name w:val="DM_ETW_37225_BIP_finliability"/>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PROV">
    <w:name w:val="DM_ETW_37225_BIP_PROV"/>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othfinliab">
    <w:name w:val="DM_ETW_37225_BIP_othfinliab"/>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PAY">
    <w:name w:val="DM_ETW_37225_BIP_PAY"/>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URPAY">
    <w:name w:val="DM_ETW_37225_BIP_CURPAY"/>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SUNPAY">
    <w:name w:val="DM_ETW_37225_BIP_SUNPAY"/>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OFINPAY">
    <w:name w:val="DM_ETW_37225_BIP_COFINPAY"/>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ACCDEF">
    <w:name w:val="DM_ETW_37225_BIP_ACCDE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LDFCAP">
    <w:name w:val="DM_ETW_37225_BIP_CLDFCAP"/>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LDFCAPMS11">
    <w:name w:val="DM_ETW_37225_BIP_CLDFCAP_MS11"/>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LDFCAPTFTACT">
    <w:name w:val="DM_ETW_37225_BIP_CLDFCAP_TFT_ACT"/>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REV">
    <w:name w:val="DM_ETW_37225_BIP_REV"/>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NEXREV">
    <w:name w:val="DM_ETW_37225_BIP_NEXREV"/>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NEXREVBMM">
    <w:name w:val="DM_ETW_37225_BIP_NEXREV_BMM"/>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EXREV">
    <w:name w:val="DM_ETW_37225_BIP_EXREV"/>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delegatedexp">
    <w:name w:val="DM_ETW_37225_BIP_delegated_exp"/>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OPEAID">
    <w:name w:val="DM_ETW_37225_BIP_OPE_AID"/>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OPECOFI">
    <w:name w:val="DM_ETW_37225_BIP_OPE_COFI"/>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OPEBMM">
    <w:name w:val="DM_ETW_37225_BIP_OPE_BMM"/>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FINCOST">
    <w:name w:val="DM_ETW_37225_BIP_FINCOST"/>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OTHEXP">
    <w:name w:val="DM_ETW_37225_BIP_OTHEXP"/>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ONTGASSTS">
    <w:name w:val="DM_ETW_37225_BIP_CONTGASSTS"/>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ONTGliab">
    <w:name w:val="DM_ETW_37225_BIP_CONTGliab"/>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ONTGliablegal">
    <w:name w:val="DM_ETW_37225_BIP_CONTGliablegal"/>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OCNYE">
    <w:name w:val="DM_ETW_37225_BIP_OCNYE"/>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43BIPCRnew">
    <w:name w:val="DM_ETW_37243_BIP_CR_new"/>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DTRCY">
    <w:name w:val="DM_ETW_37225_BIP_CDTRCY"/>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loans">
    <w:name w:val="DM_ETW_37225_BIP_loans"/>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CECTQ">
    <w:name w:val="DM_ETW_37225_BIP_CECTQ"/>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EXRCTQ">
    <w:name w:val="DM_ETW_37225_BIP_EXRCTQ"/>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Lrnew">
    <w:name w:val="DM_ETW_37225_BIP_Lrnew"/>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25BIPFIFMREC">
    <w:name w:val="DM_ETW_37225_BIP_FIFM_REC"/>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4652BIPBS">
    <w:name w:val="DM_ETW_34652_BIP_BS"/>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4652BIPCF">
    <w:name w:val="DM_ETW_34652_BIP_C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6958BIPBS">
    <w:name w:val="DM_ETW_36958_BIP_BS"/>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6958BIPFP">
    <w:name w:val="DM_ETW_36958_BIP_FP"/>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6958BIPCF">
    <w:name w:val="DM_ETW_36958_BIP_C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34BIPCONSBS">
    <w:name w:val="DM_ETW_37234_BIP_CONSBS"/>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34BIPCONSPL">
    <w:name w:val="DM_ETW_37234_BIP_CONSPL"/>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34BIPCONSCF">
    <w:name w:val="DM_ETW_37234_BIP_CONSCF"/>
    <w:uiPriority w:val="99"/>
    <w:rsid w:val="00FD1E19"/>
    <w:pPr>
      <w:spacing w:after="0" w:line="240" w:lineRule="auto"/>
    </w:pPr>
    <w:rPr>
      <w:rFonts w:ascii="Calibri" w:eastAsia="Calibri" w:hAnsi="Calibri" w:cs="Times New Roman"/>
      <w:kern w:val="0"/>
      <w:sz w:val="20"/>
      <w:szCs w:val="20"/>
      <w:lang w:val="en-GB" w:eastAsia="en-GB"/>
    </w:rPr>
  </w:style>
  <w:style w:type="paragraph" w:customStyle="1" w:styleId="DMETW37234BIPCONSNA">
    <w:name w:val="DM_ETW_37234_BIP_CONSNA"/>
    <w:uiPriority w:val="99"/>
    <w:rsid w:val="00FD1E19"/>
    <w:pPr>
      <w:spacing w:after="0" w:line="240" w:lineRule="auto"/>
    </w:pPr>
    <w:rPr>
      <w:rFonts w:ascii="Calibri" w:eastAsia="Calibri" w:hAnsi="Calibri" w:cs="Times New Roman"/>
      <w:kern w:val="0"/>
      <w:sz w:val="20"/>
      <w:szCs w:val="20"/>
      <w:lang w:val="en-GB" w:eastAsia="en-GB"/>
    </w:rPr>
  </w:style>
  <w:style w:type="table" w:customStyle="1" w:styleId="CDMRange1">
    <w:name w:val="CDM Range 1"/>
    <w:basedOn w:val="TableNormal"/>
    <w:next w:val="TableNormal"/>
    <w:uiPriority w:val="99"/>
    <w:semiHidden/>
    <w:rsid w:val="00FD1E19"/>
    <w:pPr>
      <w:spacing w:after="0" w:line="240" w:lineRule="auto"/>
    </w:pPr>
    <w:rPr>
      <w:rFonts w:ascii="Times New Roman" w:eastAsia="Times New Roman" w:hAnsi="Times New Roman" w:cs="Times New Roman"/>
      <w:kern w:val="0"/>
      <w:sz w:val="20"/>
      <w:szCs w:val="20"/>
      <w:lang w:val="en-US"/>
    </w:rPr>
    <w:tblPr/>
  </w:style>
  <w:style w:type="table" w:customStyle="1" w:styleId="CDMRange2">
    <w:name w:val="CDM Range 2"/>
    <w:basedOn w:val="TableNormal"/>
    <w:next w:val="TableNormal"/>
    <w:uiPriority w:val="99"/>
    <w:semiHidden/>
    <w:rsid w:val="00FD1E19"/>
    <w:pPr>
      <w:spacing w:after="0" w:line="240" w:lineRule="auto"/>
    </w:pPr>
    <w:rPr>
      <w:rFonts w:ascii="Times New Roman" w:eastAsia="Times New Roman" w:hAnsi="Times New Roman" w:cs="Times New Roman"/>
      <w:kern w:val="0"/>
      <w:sz w:val="20"/>
      <w:szCs w:val="20"/>
      <w:lang w:val="en-US"/>
    </w:rPr>
    <w:tblPr/>
  </w:style>
  <w:style w:type="paragraph" w:customStyle="1" w:styleId="Notes">
    <w:name w:val="Notes"/>
    <w:basedOn w:val="Header"/>
    <w:link w:val="NotesChar"/>
    <w:rsid w:val="00FD1E19"/>
    <w:pPr>
      <w:numPr>
        <w:numId w:val="22"/>
      </w:numPr>
      <w:tabs>
        <w:tab w:val="clear" w:pos="4513"/>
        <w:tab w:val="clear" w:pos="9026"/>
        <w:tab w:val="center" w:pos="4320"/>
        <w:tab w:val="right" w:pos="8640"/>
      </w:tabs>
      <w:suppressAutoHyphens/>
      <w:spacing w:before="120" w:after="120"/>
      <w:jc w:val="both"/>
    </w:pPr>
    <w:rPr>
      <w:rFonts w:ascii="Arial" w:eastAsia="Times New Roman" w:hAnsi="Arial" w:cs="Times New Roman"/>
      <w:b/>
      <w:kern w:val="0"/>
      <w:sz w:val="20"/>
      <w:szCs w:val="24"/>
      <w:lang w:val="en-US" w:eastAsia="ar-SA"/>
    </w:rPr>
  </w:style>
  <w:style w:type="paragraph" w:customStyle="1" w:styleId="Title11">
    <w:name w:val="Title 1.1"/>
    <w:basedOn w:val="Notes"/>
    <w:uiPriority w:val="99"/>
    <w:rsid w:val="00FD1E19"/>
    <w:pPr>
      <w:numPr>
        <w:ilvl w:val="1"/>
      </w:numPr>
      <w:tabs>
        <w:tab w:val="clear" w:pos="431"/>
        <w:tab w:val="clear" w:pos="4320"/>
        <w:tab w:val="clear" w:pos="8640"/>
        <w:tab w:val="right" w:pos="-2700"/>
        <w:tab w:val="num" w:pos="360"/>
        <w:tab w:val="right" w:pos="720"/>
      </w:tabs>
      <w:spacing w:before="0" w:after="0"/>
    </w:pPr>
    <w:rPr>
      <w:b w:val="0"/>
      <w:szCs w:val="20"/>
      <w:lang w:val="en-GB"/>
    </w:rPr>
  </w:style>
  <w:style w:type="character" w:customStyle="1" w:styleId="NotesChar">
    <w:name w:val="Notes Char"/>
    <w:link w:val="Notes"/>
    <w:rsid w:val="00FD1E19"/>
    <w:rPr>
      <w:rFonts w:ascii="Arial" w:eastAsia="Times New Roman" w:hAnsi="Arial" w:cs="Times New Roman"/>
      <w:b/>
      <w:kern w:val="0"/>
      <w:sz w:val="20"/>
      <w:szCs w:val="24"/>
      <w:lang w:val="en-US" w:eastAsia="ar-SA"/>
    </w:rPr>
  </w:style>
  <w:style w:type="paragraph" w:customStyle="1" w:styleId="Title1">
    <w:name w:val="Title 1"/>
    <w:basedOn w:val="Notes"/>
    <w:uiPriority w:val="99"/>
    <w:rsid w:val="00FD1E19"/>
    <w:pPr>
      <w:spacing w:before="0" w:after="0"/>
    </w:pPr>
  </w:style>
  <w:style w:type="paragraph" w:customStyle="1" w:styleId="NotesText">
    <w:name w:val="Notes Text"/>
    <w:basedOn w:val="Normal"/>
    <w:uiPriority w:val="99"/>
    <w:rsid w:val="00FD1E19"/>
    <w:pPr>
      <w:suppressAutoHyphens/>
      <w:spacing w:after="60" w:line="180" w:lineRule="atLeast"/>
      <w:jc w:val="both"/>
    </w:pPr>
    <w:rPr>
      <w:rFonts w:ascii="Arial" w:eastAsia="Times New Roman" w:hAnsi="Arial" w:cs="Arial"/>
      <w:kern w:val="0"/>
      <w:sz w:val="15"/>
      <w:szCs w:val="15"/>
      <w:lang w:eastAsia="ar-SA"/>
    </w:rPr>
  </w:style>
  <w:style w:type="paragraph" w:customStyle="1" w:styleId="Normal9">
    <w:name w:val="Normal_9"/>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Title111">
    <w:name w:val="Title 1.1.1"/>
    <w:basedOn w:val="Notes"/>
    <w:link w:val="Title111Char"/>
    <w:rsid w:val="00FD1E19"/>
    <w:pPr>
      <w:numPr>
        <w:ilvl w:val="2"/>
        <w:numId w:val="34"/>
      </w:numPr>
      <w:tabs>
        <w:tab w:val="clear" w:pos="4320"/>
        <w:tab w:val="clear" w:pos="8640"/>
        <w:tab w:val="right" w:pos="-2700"/>
      </w:tabs>
      <w:spacing w:before="0" w:after="0"/>
    </w:pPr>
    <w:rPr>
      <w:b w:val="0"/>
      <w:szCs w:val="20"/>
      <w:lang w:val="en-GB"/>
    </w:rPr>
  </w:style>
  <w:style w:type="character" w:customStyle="1" w:styleId="Title111Char">
    <w:name w:val="Title 1.1.1 Char"/>
    <w:link w:val="Title111"/>
    <w:rsid w:val="00FD1E19"/>
    <w:rPr>
      <w:rFonts w:ascii="Arial" w:eastAsia="Times New Roman" w:hAnsi="Arial" w:cs="Times New Roman"/>
      <w:kern w:val="0"/>
      <w:sz w:val="20"/>
      <w:szCs w:val="20"/>
      <w:lang w:val="en-GB" w:eastAsia="ar-SA"/>
    </w:rPr>
  </w:style>
  <w:style w:type="paragraph" w:customStyle="1" w:styleId="Normal91">
    <w:name w:val="Normal_9_1"/>
    <w:uiPriority w:val="99"/>
    <w:qFormat/>
    <w:rsid w:val="00FD1E19"/>
    <w:pPr>
      <w:spacing w:after="0" w:line="190" w:lineRule="atLeast"/>
      <w:jc w:val="both"/>
    </w:pPr>
    <w:rPr>
      <w:rFonts w:ascii="Arial" w:eastAsia="Times New Roman" w:hAnsi="Arial" w:cs="Times New Roman"/>
      <w:kern w:val="0"/>
      <w:sz w:val="15"/>
      <w:szCs w:val="24"/>
      <w:lang w:val="en-GB" w:eastAsia="en-GB"/>
    </w:rPr>
  </w:style>
  <w:style w:type="paragraph" w:customStyle="1" w:styleId="Normal10">
    <w:name w:val="Normal_10"/>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Normal90">
    <w:name w:val="Normal_9_0"/>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Notes1">
    <w:name w:val="Notes_1"/>
    <w:basedOn w:val="Normal"/>
    <w:link w:val="NotesChar1"/>
    <w:rsid w:val="00FD1E19"/>
    <w:pPr>
      <w:numPr>
        <w:numId w:val="38"/>
      </w:numPr>
      <w:tabs>
        <w:tab w:val="center" w:pos="4320"/>
        <w:tab w:val="right" w:pos="8640"/>
      </w:tabs>
      <w:suppressAutoHyphens/>
      <w:spacing w:before="120" w:after="120" w:line="240" w:lineRule="auto"/>
      <w:jc w:val="both"/>
    </w:pPr>
    <w:rPr>
      <w:rFonts w:ascii="Arial" w:eastAsia="Times New Roman" w:hAnsi="Arial" w:cs="Times New Roman"/>
      <w:b/>
      <w:kern w:val="0"/>
      <w:sz w:val="20"/>
      <w:szCs w:val="24"/>
      <w:lang w:val="en-US" w:eastAsia="ar-SA"/>
    </w:rPr>
  </w:style>
  <w:style w:type="character" w:customStyle="1" w:styleId="NotesChar1">
    <w:name w:val="Notes Char_1"/>
    <w:link w:val="Notes1"/>
    <w:locked/>
    <w:rsid w:val="00FD1E19"/>
    <w:rPr>
      <w:rFonts w:ascii="Arial" w:eastAsia="Times New Roman" w:hAnsi="Arial" w:cs="Times New Roman"/>
      <w:b/>
      <w:kern w:val="0"/>
      <w:sz w:val="20"/>
      <w:szCs w:val="24"/>
      <w:lang w:val="en-US" w:eastAsia="ar-SA"/>
    </w:rPr>
  </w:style>
  <w:style w:type="paragraph" w:customStyle="1" w:styleId="Normal16">
    <w:name w:val="Normal_16"/>
    <w:uiPriority w:val="99"/>
    <w:qFormat/>
    <w:rsid w:val="00FD1E19"/>
    <w:pPr>
      <w:spacing w:after="0" w:line="240" w:lineRule="auto"/>
    </w:pPr>
    <w:rPr>
      <w:rFonts w:ascii="Times New Roman" w:eastAsia="Times New Roman" w:hAnsi="Times New Roman" w:cs="Times New Roman"/>
      <w:kern w:val="0"/>
      <w:sz w:val="24"/>
      <w:szCs w:val="24"/>
      <w:lang w:val="en-GB" w:eastAsia="en-GB"/>
    </w:rPr>
  </w:style>
  <w:style w:type="paragraph" w:customStyle="1" w:styleId="Default">
    <w:name w:val="Default"/>
    <w:uiPriority w:val="99"/>
    <w:rsid w:val="00FD1E19"/>
    <w:pPr>
      <w:autoSpaceDE w:val="0"/>
      <w:autoSpaceDN w:val="0"/>
      <w:adjustRightInd w:val="0"/>
      <w:spacing w:after="0" w:line="240" w:lineRule="auto"/>
    </w:pPr>
    <w:rPr>
      <w:rFonts w:ascii="Arial" w:eastAsia="Calibri" w:hAnsi="Arial" w:cs="Arial"/>
      <w:color w:val="000000"/>
      <w:kern w:val="0"/>
      <w:sz w:val="24"/>
      <w:szCs w:val="24"/>
      <w:lang w:val="en-GB"/>
    </w:rPr>
  </w:style>
  <w:style w:type="paragraph" w:customStyle="1" w:styleId="xx">
    <w:name w:val="xx"/>
    <w:basedOn w:val="Normal"/>
    <w:uiPriority w:val="99"/>
    <w:rsid w:val="00FD1E19"/>
    <w:pPr>
      <w:suppressAutoHyphens/>
      <w:spacing w:after="0" w:line="240" w:lineRule="auto"/>
      <w:jc w:val="both"/>
    </w:pPr>
    <w:rPr>
      <w:rFonts w:ascii="Univers (WN)" w:eastAsia="Times New Roman" w:hAnsi="Univers (WN)" w:cs="Times New Roman"/>
      <w:kern w:val="0"/>
      <w:sz w:val="20"/>
      <w:szCs w:val="20"/>
      <w:lang w:eastAsia="ar-SA"/>
    </w:rPr>
  </w:style>
  <w:style w:type="paragraph" w:customStyle="1" w:styleId="Title321">
    <w:name w:val="Title 3.2.1."/>
    <w:basedOn w:val="Notes"/>
    <w:uiPriority w:val="99"/>
    <w:rsid w:val="00FD1E19"/>
    <w:pPr>
      <w:numPr>
        <w:ilvl w:val="2"/>
        <w:numId w:val="46"/>
      </w:numPr>
      <w:tabs>
        <w:tab w:val="clear" w:pos="822"/>
        <w:tab w:val="clear" w:pos="4320"/>
        <w:tab w:val="clear" w:pos="8640"/>
        <w:tab w:val="right" w:pos="-2700"/>
        <w:tab w:val="num" w:pos="360"/>
      </w:tabs>
      <w:spacing w:before="240"/>
      <w:ind w:left="720" w:hanging="720"/>
    </w:pPr>
    <w:rPr>
      <w:szCs w:val="20"/>
      <w:lang w:val="en-GB"/>
    </w:rPr>
  </w:style>
  <w:style w:type="paragraph" w:customStyle="1" w:styleId="Listi">
    <w:name w:val="List i)"/>
    <w:basedOn w:val="Normal"/>
    <w:next w:val="Normal"/>
    <w:uiPriority w:val="99"/>
    <w:rsid w:val="00FD1E19"/>
    <w:pPr>
      <w:keepNext/>
      <w:numPr>
        <w:numId w:val="49"/>
      </w:numPr>
      <w:tabs>
        <w:tab w:val="clear" w:pos="1080"/>
        <w:tab w:val="num" w:pos="180"/>
        <w:tab w:val="num" w:pos="360"/>
      </w:tabs>
      <w:autoSpaceDE w:val="0"/>
      <w:autoSpaceDN w:val="0"/>
      <w:adjustRightInd w:val="0"/>
      <w:spacing w:after="80" w:line="190" w:lineRule="atLeast"/>
      <w:ind w:left="180" w:hanging="180"/>
      <w:jc w:val="both"/>
    </w:pPr>
    <w:rPr>
      <w:rFonts w:ascii="Arial" w:eastAsia="Times New Roman" w:hAnsi="Arial" w:cs="Times New Roman"/>
      <w:noProof/>
      <w:kern w:val="0"/>
      <w:sz w:val="15"/>
      <w:szCs w:val="20"/>
      <w:lang w:eastAsia="en-GB"/>
    </w:rPr>
  </w:style>
  <w:style w:type="paragraph" w:customStyle="1" w:styleId="Normal14">
    <w:name w:val="Normal_14"/>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Normal85">
    <w:name w:val="Normal_85"/>
    <w:uiPriority w:val="99"/>
    <w:qFormat/>
    <w:rsid w:val="00FD1E19"/>
    <w:pPr>
      <w:spacing w:after="0" w:line="190" w:lineRule="atLeast"/>
      <w:jc w:val="both"/>
    </w:pPr>
    <w:rPr>
      <w:rFonts w:ascii="Arial" w:eastAsia="Times New Roman" w:hAnsi="Arial" w:cs="Times New Roman"/>
      <w:kern w:val="0"/>
      <w:sz w:val="15"/>
      <w:szCs w:val="24"/>
      <w:lang w:val="en-GB" w:eastAsia="en-GB"/>
    </w:rPr>
  </w:style>
  <w:style w:type="paragraph" w:customStyle="1" w:styleId="Notes4">
    <w:name w:val="Notes_4"/>
    <w:basedOn w:val="Normal"/>
    <w:link w:val="NotesChar4"/>
    <w:rsid w:val="00FD1E19"/>
    <w:pPr>
      <w:tabs>
        <w:tab w:val="num" w:pos="720"/>
        <w:tab w:val="center" w:pos="4320"/>
        <w:tab w:val="right" w:pos="8640"/>
      </w:tabs>
      <w:suppressAutoHyphens/>
      <w:spacing w:before="120" w:after="120" w:line="240" w:lineRule="auto"/>
      <w:ind w:left="720" w:hanging="360"/>
      <w:jc w:val="both"/>
    </w:pPr>
    <w:rPr>
      <w:rFonts w:ascii="Arial" w:eastAsia="Times New Roman" w:hAnsi="Arial" w:cs="Arial"/>
      <w:b/>
      <w:kern w:val="0"/>
      <w:sz w:val="20"/>
      <w:szCs w:val="24"/>
      <w:lang w:val="en-US" w:eastAsia="ar-SA"/>
    </w:rPr>
  </w:style>
  <w:style w:type="character" w:customStyle="1" w:styleId="NotesChar4">
    <w:name w:val="Notes Char_4"/>
    <w:link w:val="Notes4"/>
    <w:locked/>
    <w:rsid w:val="00FD1E19"/>
    <w:rPr>
      <w:rFonts w:ascii="Arial" w:eastAsia="Times New Roman" w:hAnsi="Arial" w:cs="Arial"/>
      <w:b/>
      <w:kern w:val="0"/>
      <w:sz w:val="20"/>
      <w:szCs w:val="24"/>
      <w:lang w:val="en-US" w:eastAsia="ar-SA"/>
    </w:rPr>
  </w:style>
  <w:style w:type="paragraph" w:customStyle="1" w:styleId="Notes41">
    <w:name w:val="Notes_4_1"/>
    <w:basedOn w:val="Normal"/>
    <w:link w:val="NotesChar41"/>
    <w:rsid w:val="00FD1E19"/>
    <w:pPr>
      <w:tabs>
        <w:tab w:val="num" w:pos="720"/>
        <w:tab w:val="center" w:pos="4320"/>
        <w:tab w:val="right" w:pos="8640"/>
      </w:tabs>
      <w:suppressAutoHyphens/>
      <w:spacing w:before="120" w:after="120" w:line="240" w:lineRule="auto"/>
      <w:ind w:left="720" w:hanging="360"/>
      <w:jc w:val="both"/>
    </w:pPr>
    <w:rPr>
      <w:rFonts w:ascii="Arial" w:eastAsia="Calibri" w:hAnsi="Arial" w:cs="Arial"/>
      <w:b/>
      <w:kern w:val="0"/>
      <w:szCs w:val="24"/>
      <w:lang w:val="en-US" w:eastAsia="ar-SA"/>
    </w:rPr>
  </w:style>
  <w:style w:type="character" w:customStyle="1" w:styleId="NotesChar41">
    <w:name w:val="Notes Char_4_1"/>
    <w:link w:val="Notes41"/>
    <w:locked/>
    <w:rsid w:val="00FD1E19"/>
    <w:rPr>
      <w:rFonts w:ascii="Arial" w:eastAsia="Calibri" w:hAnsi="Arial" w:cs="Arial"/>
      <w:b/>
      <w:kern w:val="0"/>
      <w:szCs w:val="24"/>
      <w:lang w:val="en-US" w:eastAsia="ar-SA"/>
    </w:rPr>
  </w:style>
  <w:style w:type="paragraph" w:customStyle="1" w:styleId="Notes13">
    <w:name w:val="Notes_13"/>
    <w:basedOn w:val="Normal"/>
    <w:link w:val="NotesChar13"/>
    <w:rsid w:val="00FD1E19"/>
    <w:pPr>
      <w:tabs>
        <w:tab w:val="num" w:pos="720"/>
        <w:tab w:val="center" w:pos="4320"/>
        <w:tab w:val="right" w:pos="8640"/>
      </w:tabs>
      <w:suppressAutoHyphens/>
      <w:spacing w:before="120" w:after="120" w:line="240" w:lineRule="auto"/>
      <w:ind w:left="720" w:hanging="360"/>
      <w:jc w:val="both"/>
    </w:pPr>
    <w:rPr>
      <w:rFonts w:ascii="Arial" w:eastAsia="Times New Roman" w:hAnsi="Arial" w:cs="Arial"/>
      <w:b/>
      <w:kern w:val="0"/>
      <w:sz w:val="20"/>
      <w:szCs w:val="24"/>
      <w:lang w:val="en-US" w:eastAsia="ar-SA"/>
    </w:rPr>
  </w:style>
  <w:style w:type="character" w:customStyle="1" w:styleId="NotesChar13">
    <w:name w:val="Notes Char_13"/>
    <w:link w:val="Notes13"/>
    <w:locked/>
    <w:rsid w:val="00FD1E19"/>
    <w:rPr>
      <w:rFonts w:ascii="Arial" w:eastAsia="Times New Roman" w:hAnsi="Arial" w:cs="Arial"/>
      <w:b/>
      <w:kern w:val="0"/>
      <w:sz w:val="20"/>
      <w:szCs w:val="24"/>
      <w:lang w:val="en-US" w:eastAsia="ar-SA"/>
    </w:rPr>
  </w:style>
  <w:style w:type="paragraph" w:customStyle="1" w:styleId="Notes160">
    <w:name w:val="Notes_16_0"/>
    <w:basedOn w:val="Normal"/>
    <w:link w:val="NotesChar160"/>
    <w:rsid w:val="00FD1E19"/>
    <w:pPr>
      <w:numPr>
        <w:numId w:val="61"/>
      </w:numPr>
      <w:tabs>
        <w:tab w:val="center" w:pos="4320"/>
        <w:tab w:val="right" w:pos="8640"/>
      </w:tabs>
      <w:suppressAutoHyphens/>
      <w:spacing w:before="120" w:after="120" w:line="240" w:lineRule="auto"/>
      <w:jc w:val="both"/>
    </w:pPr>
    <w:rPr>
      <w:rFonts w:ascii="Arial" w:eastAsia="Times New Roman" w:hAnsi="Arial" w:cs="Arial"/>
      <w:b/>
      <w:kern w:val="0"/>
      <w:sz w:val="20"/>
      <w:szCs w:val="24"/>
      <w:lang w:val="en-US" w:eastAsia="ar-SA"/>
    </w:rPr>
  </w:style>
  <w:style w:type="character" w:customStyle="1" w:styleId="NotesChar160">
    <w:name w:val="Notes Char_16_0"/>
    <w:link w:val="Notes160"/>
    <w:locked/>
    <w:rsid w:val="00FD1E19"/>
    <w:rPr>
      <w:rFonts w:ascii="Arial" w:eastAsia="Times New Roman" w:hAnsi="Arial" w:cs="Arial"/>
      <w:b/>
      <w:kern w:val="0"/>
      <w:sz w:val="20"/>
      <w:szCs w:val="24"/>
      <w:lang w:val="en-US" w:eastAsia="ar-SA"/>
    </w:rPr>
  </w:style>
  <w:style w:type="paragraph" w:customStyle="1" w:styleId="Normal18">
    <w:name w:val="Normal_18"/>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Notes21">
    <w:name w:val="Notes_21"/>
    <w:basedOn w:val="Normal"/>
    <w:link w:val="NotesChar21"/>
    <w:rsid w:val="00FD1E19"/>
    <w:pPr>
      <w:tabs>
        <w:tab w:val="num" w:pos="720"/>
        <w:tab w:val="center" w:pos="4320"/>
        <w:tab w:val="right" w:pos="8640"/>
      </w:tabs>
      <w:suppressAutoHyphens/>
      <w:spacing w:before="120" w:after="120" w:line="240" w:lineRule="auto"/>
      <w:ind w:left="720" w:hanging="360"/>
      <w:jc w:val="both"/>
    </w:pPr>
    <w:rPr>
      <w:rFonts w:ascii="Arial" w:eastAsia="Times New Roman" w:hAnsi="Arial" w:cs="Times New Roman"/>
      <w:b/>
      <w:kern w:val="0"/>
      <w:sz w:val="20"/>
      <w:szCs w:val="24"/>
      <w:lang w:eastAsia="ar-SA"/>
    </w:rPr>
  </w:style>
  <w:style w:type="character" w:customStyle="1" w:styleId="NotesChar21">
    <w:name w:val="Notes Char_21"/>
    <w:link w:val="Notes21"/>
    <w:locked/>
    <w:rsid w:val="00FD1E19"/>
    <w:rPr>
      <w:rFonts w:ascii="Arial" w:eastAsia="Times New Roman" w:hAnsi="Arial" w:cs="Times New Roman"/>
      <w:b/>
      <w:kern w:val="0"/>
      <w:sz w:val="20"/>
      <w:szCs w:val="24"/>
      <w:lang w:val="en-GB" w:eastAsia="ar-SA"/>
    </w:rPr>
  </w:style>
  <w:style w:type="paragraph" w:customStyle="1" w:styleId="Normal181">
    <w:name w:val="Normal_18_1"/>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Title115">
    <w:name w:val="Title 1.1_5"/>
    <w:basedOn w:val="Normal"/>
    <w:uiPriority w:val="99"/>
    <w:rsid w:val="00FD1E19"/>
    <w:pPr>
      <w:tabs>
        <w:tab w:val="right" w:pos="-2700"/>
        <w:tab w:val="right" w:pos="720"/>
      </w:tabs>
      <w:suppressAutoHyphens/>
      <w:spacing w:after="0" w:line="240" w:lineRule="auto"/>
      <w:ind w:left="720" w:hanging="360"/>
      <w:jc w:val="both"/>
    </w:pPr>
    <w:rPr>
      <w:rFonts w:ascii="Arial" w:eastAsia="Times New Roman" w:hAnsi="Arial" w:cs="Times New Roman"/>
      <w:kern w:val="0"/>
      <w:sz w:val="20"/>
      <w:szCs w:val="20"/>
      <w:lang w:eastAsia="ar-SA"/>
    </w:rPr>
  </w:style>
  <w:style w:type="paragraph" w:customStyle="1" w:styleId="Normal55">
    <w:name w:val="Normal_55"/>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paragraph" w:customStyle="1" w:styleId="Normal69">
    <w:name w:val="Normal_69"/>
    <w:uiPriority w:val="99"/>
    <w:qFormat/>
    <w:rsid w:val="00FD1E19"/>
    <w:pPr>
      <w:suppressAutoHyphens/>
      <w:spacing w:after="0" w:line="240" w:lineRule="auto"/>
    </w:pPr>
    <w:rPr>
      <w:rFonts w:ascii="Times New Roman" w:eastAsia="Times New Roman" w:hAnsi="Times New Roman" w:cs="Times New Roman"/>
      <w:kern w:val="0"/>
      <w:sz w:val="24"/>
      <w:szCs w:val="24"/>
      <w:lang w:val="en-GB" w:eastAsia="ar-SA"/>
    </w:rPr>
  </w:style>
  <w:style w:type="table" w:styleId="TableGrid">
    <w:name w:val="Table Grid"/>
    <w:basedOn w:val="TableNormal"/>
    <w:uiPriority w:val="59"/>
    <w:rsid w:val="00FD1E19"/>
    <w:pPr>
      <w:spacing w:before="120" w:after="0" w:line="240" w:lineRule="auto"/>
      <w:ind w:left="431" w:hanging="431"/>
      <w:jc w:val="both"/>
    </w:pPr>
    <w:rPr>
      <w:rFonts w:ascii="Calibri" w:eastAsia="Calibri" w:hAnsi="Calibri" w:cs="Arial"/>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uiPriority w:val="99"/>
    <w:rsid w:val="00FD1E19"/>
    <w:pPr>
      <w:spacing w:after="0" w:line="240" w:lineRule="auto"/>
    </w:pPr>
    <w:rPr>
      <w:rFonts w:ascii="Calibri" w:hAnsi="Calibri" w:cs="Calibri"/>
      <w:kern w:val="0"/>
      <w:lang w:val="en-US"/>
    </w:rPr>
  </w:style>
  <w:style w:type="paragraph" w:styleId="Revision">
    <w:name w:val="Revision"/>
    <w:hidden/>
    <w:uiPriority w:val="99"/>
    <w:semiHidden/>
    <w:rsid w:val="00FD1E19"/>
    <w:pPr>
      <w:spacing w:after="0" w:line="240" w:lineRule="auto"/>
    </w:pPr>
    <w:rPr>
      <w:rFonts w:ascii="Times New Roman" w:eastAsia="Times New Roman" w:hAnsi="Times New Roman" w:cs="Times New Roman"/>
      <w:kern w:val="0"/>
      <w:sz w:val="24"/>
      <w:szCs w:val="24"/>
      <w:lang w:val="en-GB" w:eastAsia="en-GB"/>
    </w:rPr>
  </w:style>
  <w:style w:type="paragraph" w:styleId="NormalWeb">
    <w:name w:val="Normal (Web)"/>
    <w:basedOn w:val="Normal"/>
    <w:uiPriority w:val="99"/>
    <w:semiHidden/>
    <w:unhideWhenUsed/>
    <w:rsid w:val="00FD1E19"/>
    <w:pPr>
      <w:spacing w:after="0" w:line="240" w:lineRule="auto"/>
    </w:pPr>
    <w:rPr>
      <w:rFonts w:ascii="Times New Roman" w:eastAsia="Times New Roman" w:hAnsi="Times New Roman" w:cs="Times New Roman"/>
      <w:kern w:val="0"/>
      <w:sz w:val="24"/>
      <w:szCs w:val="24"/>
      <w:lang w:eastAsia="en-GB"/>
    </w:rPr>
  </w:style>
  <w:style w:type="character" w:customStyle="1" w:styleId="PagedecouvertureChar">
    <w:name w:val="Page de couverture Char"/>
    <w:basedOn w:val="DefaultParagraphFont"/>
    <w:link w:val="Pagedecouverture"/>
    <w:rsid w:val="00FD1E19"/>
    <w:rPr>
      <w:rFonts w:ascii="Times New Roman" w:hAnsi="Times New Roman" w:cs="Times New Roman"/>
      <w:kern w:val="0"/>
      <w:sz w:val="24"/>
      <w:lang w:val="en-GB"/>
    </w:rPr>
  </w:style>
  <w:style w:type="character" w:styleId="FollowedHyperlink">
    <w:name w:val="FollowedHyperlink"/>
    <w:basedOn w:val="DefaultParagraphFont"/>
    <w:uiPriority w:val="99"/>
    <w:semiHidden/>
    <w:unhideWhenUsed/>
    <w:rsid w:val="00FD1E19"/>
    <w:rPr>
      <w:color w:val="96607D"/>
      <w:u w:val="single"/>
    </w:rPr>
  </w:style>
  <w:style w:type="paragraph" w:customStyle="1" w:styleId="msonormal0">
    <w:name w:val="msonormal"/>
    <w:basedOn w:val="Normal"/>
    <w:uiPriority w:val="99"/>
    <w:semiHidden/>
    <w:rsid w:val="00FD1E19"/>
    <w:pPr>
      <w:spacing w:before="100" w:beforeAutospacing="1" w:after="100" w:afterAutospacing="1" w:line="240" w:lineRule="auto"/>
    </w:pPr>
    <w:rPr>
      <w:rFonts w:ascii="Times New Roman" w:eastAsia="Times New Roman" w:hAnsi="Times New Roman" w:cs="Times New Roman"/>
      <w:kern w:val="0"/>
      <w:sz w:val="24"/>
      <w:szCs w:val="24"/>
      <w:lang w:val="en-IE" w:eastAsia="en-IE"/>
    </w:rPr>
  </w:style>
  <w:style w:type="paragraph" w:customStyle="1" w:styleId="xl65">
    <w:name w:val="xl65"/>
    <w:basedOn w:val="Normal"/>
    <w:uiPriority w:val="99"/>
    <w:semiHidden/>
    <w:rsid w:val="00FD1E19"/>
    <w:pPr>
      <w:shd w:val="clear" w:color="auto" w:fill="595959"/>
      <w:spacing w:before="100" w:beforeAutospacing="1" w:after="100" w:afterAutospacing="1" w:line="240" w:lineRule="auto"/>
      <w:jc w:val="center"/>
    </w:pPr>
    <w:rPr>
      <w:rFonts w:ascii="Arial" w:eastAsia="Times New Roman" w:hAnsi="Arial" w:cs="Arial"/>
      <w:color w:val="FFFFFF"/>
      <w:kern w:val="0"/>
      <w:sz w:val="18"/>
      <w:szCs w:val="18"/>
      <w:lang w:val="en-IE" w:eastAsia="en-IE"/>
    </w:rPr>
  </w:style>
  <w:style w:type="paragraph" w:customStyle="1" w:styleId="xl66">
    <w:name w:val="xl66"/>
    <w:basedOn w:val="Normal"/>
    <w:uiPriority w:val="99"/>
    <w:semiHidden/>
    <w:rsid w:val="00FD1E19"/>
    <w:pPr>
      <w:pBdr>
        <w:left w:val="single" w:sz="4" w:space="0" w:color="000000"/>
        <w:right w:val="single" w:sz="4" w:space="0" w:color="000000"/>
      </w:pBdr>
      <w:shd w:val="clear" w:color="auto" w:fill="FFFFF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67">
    <w:name w:val="xl67"/>
    <w:basedOn w:val="Normal"/>
    <w:uiPriority w:val="99"/>
    <w:semiHidden/>
    <w:rsid w:val="00FD1E19"/>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68">
    <w:name w:val="xl68"/>
    <w:basedOn w:val="Normal"/>
    <w:uiPriority w:val="99"/>
    <w:semiHidden/>
    <w:rsid w:val="00FD1E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kern w:val="0"/>
      <w:sz w:val="14"/>
      <w:szCs w:val="14"/>
      <w:lang w:val="en-IE" w:eastAsia="en-IE"/>
    </w:rPr>
  </w:style>
  <w:style w:type="paragraph" w:customStyle="1" w:styleId="xl69">
    <w:name w:val="xl69"/>
    <w:basedOn w:val="Normal"/>
    <w:uiPriority w:val="99"/>
    <w:semiHidden/>
    <w:rsid w:val="00FD1E19"/>
    <w:pPr>
      <w:spacing w:before="100" w:beforeAutospacing="1" w:after="100" w:afterAutospacing="1" w:line="240" w:lineRule="auto"/>
    </w:pPr>
    <w:rPr>
      <w:rFonts w:ascii="Arial" w:eastAsia="Times New Roman" w:hAnsi="Arial" w:cs="Arial"/>
      <w:b/>
      <w:bCs/>
      <w:kern w:val="0"/>
      <w:sz w:val="12"/>
      <w:szCs w:val="12"/>
      <w:lang w:val="en-IE" w:eastAsia="en-IE"/>
    </w:rPr>
  </w:style>
  <w:style w:type="paragraph" w:customStyle="1" w:styleId="xl70">
    <w:name w:val="xl70"/>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right"/>
    </w:pPr>
    <w:rPr>
      <w:rFonts w:ascii="Arial" w:eastAsia="Times New Roman" w:hAnsi="Arial" w:cs="Arial"/>
      <w:b/>
      <w:bCs/>
      <w:kern w:val="0"/>
      <w:sz w:val="14"/>
      <w:szCs w:val="14"/>
      <w:lang w:val="en-IE" w:eastAsia="en-IE"/>
    </w:rPr>
  </w:style>
  <w:style w:type="paragraph" w:customStyle="1" w:styleId="xl71">
    <w:name w:val="xl71"/>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w:eastAsia="Times New Roman" w:hAnsi="Arial" w:cs="Arial"/>
      <w:b/>
      <w:bCs/>
      <w:kern w:val="0"/>
      <w:sz w:val="14"/>
      <w:szCs w:val="14"/>
      <w:lang w:val="en-IE" w:eastAsia="en-IE"/>
    </w:rPr>
  </w:style>
  <w:style w:type="paragraph" w:customStyle="1" w:styleId="xl72">
    <w:name w:val="xl72"/>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Arial" w:eastAsia="Times New Roman" w:hAnsi="Arial" w:cs="Arial"/>
      <w:b/>
      <w:bCs/>
      <w:kern w:val="0"/>
      <w:sz w:val="14"/>
      <w:szCs w:val="14"/>
      <w:lang w:val="en-IE" w:eastAsia="en-IE"/>
    </w:rPr>
  </w:style>
  <w:style w:type="paragraph" w:customStyle="1" w:styleId="xl73">
    <w:name w:val="xl73"/>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val="en-IE" w:eastAsia="en-IE"/>
    </w:rPr>
  </w:style>
  <w:style w:type="paragraph" w:customStyle="1" w:styleId="xl74">
    <w:name w:val="xl74"/>
    <w:basedOn w:val="Normal"/>
    <w:uiPriority w:val="99"/>
    <w:semiHidden/>
    <w:rsid w:val="00FD1E19"/>
    <w:pPr>
      <w:pBdr>
        <w:top w:val="single" w:sz="4" w:space="0" w:color="000000"/>
        <w:bottom w:val="single" w:sz="4" w:space="0" w:color="CACAD9"/>
        <w:right w:val="single" w:sz="4" w:space="0" w:color="CACAD9"/>
      </w:pBdr>
      <w:spacing w:before="100" w:beforeAutospacing="1" w:after="100" w:afterAutospacing="1" w:line="240" w:lineRule="auto"/>
    </w:pPr>
    <w:rPr>
      <w:rFonts w:ascii="Arial" w:eastAsia="Times New Roman" w:hAnsi="Arial" w:cs="Arial"/>
      <w:b/>
      <w:bCs/>
      <w:color w:val="FFFFFF"/>
      <w:kern w:val="0"/>
      <w:sz w:val="14"/>
      <w:szCs w:val="14"/>
      <w:lang w:val="en-IE" w:eastAsia="en-IE"/>
    </w:rPr>
  </w:style>
  <w:style w:type="paragraph" w:customStyle="1" w:styleId="xl75">
    <w:name w:val="xl75"/>
    <w:basedOn w:val="Normal"/>
    <w:uiPriority w:val="99"/>
    <w:semiHidden/>
    <w:rsid w:val="00FD1E19"/>
    <w:pPr>
      <w:shd w:val="clear" w:color="auto" w:fill="FFFFFF"/>
      <w:spacing w:before="100" w:beforeAutospacing="1" w:after="100" w:afterAutospacing="1" w:line="240" w:lineRule="auto"/>
    </w:pPr>
    <w:rPr>
      <w:rFonts w:ascii="Arial" w:eastAsia="Times New Roman" w:hAnsi="Arial" w:cs="Arial"/>
      <w:kern w:val="0"/>
      <w:sz w:val="24"/>
      <w:szCs w:val="24"/>
      <w:lang w:val="en-IE" w:eastAsia="en-IE"/>
    </w:rPr>
  </w:style>
  <w:style w:type="paragraph" w:customStyle="1" w:styleId="xl76">
    <w:name w:val="xl76"/>
    <w:basedOn w:val="Normal"/>
    <w:uiPriority w:val="99"/>
    <w:semiHidden/>
    <w:rsid w:val="00FD1E1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kern w:val="0"/>
      <w:sz w:val="14"/>
      <w:szCs w:val="14"/>
      <w:lang w:val="en-IE" w:eastAsia="en-IE"/>
    </w:rPr>
  </w:style>
  <w:style w:type="paragraph" w:customStyle="1" w:styleId="xl77">
    <w:name w:val="xl77"/>
    <w:basedOn w:val="Normal"/>
    <w:uiPriority w:val="99"/>
    <w:semiHidden/>
    <w:rsid w:val="00FD1E19"/>
    <w:pPr>
      <w:pBdr>
        <w:top w:val="single" w:sz="8" w:space="0" w:color="000000"/>
        <w:bottom w:val="single" w:sz="8" w:space="0" w:color="000000"/>
        <w:right w:val="single" w:sz="4" w:space="0" w:color="CAC9D9"/>
      </w:pBdr>
      <w:shd w:val="clear" w:color="auto" w:fill="808080"/>
      <w:spacing w:before="100" w:beforeAutospacing="1" w:after="100" w:afterAutospacing="1" w:line="240" w:lineRule="auto"/>
    </w:pPr>
    <w:rPr>
      <w:rFonts w:ascii="Arial" w:eastAsia="Times New Roman" w:hAnsi="Arial" w:cs="Arial"/>
      <w:b/>
      <w:bCs/>
      <w:color w:val="FFFFFF"/>
      <w:kern w:val="0"/>
      <w:sz w:val="16"/>
      <w:szCs w:val="16"/>
      <w:lang w:val="en-IE" w:eastAsia="en-IE"/>
    </w:rPr>
  </w:style>
  <w:style w:type="paragraph" w:customStyle="1" w:styleId="xl78">
    <w:name w:val="xl78"/>
    <w:basedOn w:val="Normal"/>
    <w:uiPriority w:val="99"/>
    <w:semiHidden/>
    <w:rsid w:val="00FD1E19"/>
    <w:pPr>
      <w:pBdr>
        <w:top w:val="single" w:sz="8" w:space="0" w:color="000000"/>
        <w:left w:val="single" w:sz="8" w:space="0" w:color="000000"/>
        <w:bottom w:val="single" w:sz="8" w:space="0" w:color="000000"/>
        <w:right w:val="single" w:sz="4" w:space="0" w:color="CAC9D9"/>
      </w:pBdr>
      <w:shd w:val="clear" w:color="auto" w:fill="808080"/>
      <w:spacing w:before="100" w:beforeAutospacing="1" w:after="100" w:afterAutospacing="1" w:line="240" w:lineRule="auto"/>
    </w:pPr>
    <w:rPr>
      <w:rFonts w:ascii="Arial" w:eastAsia="Times New Roman" w:hAnsi="Arial" w:cs="Arial"/>
      <w:b/>
      <w:bCs/>
      <w:color w:val="FFFFFF"/>
      <w:kern w:val="0"/>
      <w:sz w:val="16"/>
      <w:szCs w:val="16"/>
      <w:lang w:val="en-IE" w:eastAsia="en-IE"/>
    </w:rPr>
  </w:style>
  <w:style w:type="paragraph" w:customStyle="1" w:styleId="xl79">
    <w:name w:val="xl79"/>
    <w:basedOn w:val="Normal"/>
    <w:uiPriority w:val="99"/>
    <w:semiHidden/>
    <w:rsid w:val="00FD1E19"/>
    <w:pPr>
      <w:pBdr>
        <w:top w:val="single" w:sz="4" w:space="0" w:color="000000"/>
        <w:left w:val="single" w:sz="4" w:space="0" w:color="000000"/>
        <w:bottom w:val="single" w:sz="4" w:space="0" w:color="CACAD9"/>
        <w:right w:val="single" w:sz="4" w:space="0" w:color="CACAD9"/>
      </w:pBdr>
      <w:shd w:val="clear" w:color="auto" w:fill="FFFFF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80">
    <w:name w:val="xl80"/>
    <w:basedOn w:val="Normal"/>
    <w:uiPriority w:val="99"/>
    <w:semiHidden/>
    <w:rsid w:val="00FD1E19"/>
    <w:pPr>
      <w:pBdr>
        <w:top w:val="single" w:sz="4" w:space="0" w:color="000000"/>
        <w:left w:val="single" w:sz="4" w:space="0" w:color="000000"/>
        <w:bottom w:val="single" w:sz="4" w:space="0" w:color="C0C0C0"/>
        <w:right w:val="single" w:sz="4" w:space="0" w:color="000000"/>
      </w:pBdr>
      <w:shd w:val="clear" w:color="auto" w:fill="FFFFFF"/>
      <w:spacing w:before="100" w:beforeAutospacing="1" w:after="100" w:afterAutospacing="1" w:line="240" w:lineRule="auto"/>
      <w:jc w:val="center"/>
    </w:pPr>
    <w:rPr>
      <w:rFonts w:ascii="Arial" w:eastAsia="Times New Roman" w:hAnsi="Arial" w:cs="Arial"/>
      <w:kern w:val="0"/>
      <w:sz w:val="14"/>
      <w:szCs w:val="14"/>
      <w:lang w:val="en-IE" w:eastAsia="en-IE"/>
    </w:rPr>
  </w:style>
  <w:style w:type="paragraph" w:customStyle="1" w:styleId="xl81">
    <w:name w:val="xl81"/>
    <w:basedOn w:val="Normal"/>
    <w:uiPriority w:val="99"/>
    <w:semiHidden/>
    <w:rsid w:val="00FD1E19"/>
    <w:pPr>
      <w:pBdr>
        <w:top w:val="single" w:sz="4" w:space="0" w:color="000000"/>
        <w:left w:val="single" w:sz="4" w:space="0" w:color="000000"/>
        <w:bottom w:val="single" w:sz="4" w:space="0" w:color="C0C0C0"/>
        <w:right w:val="single" w:sz="4" w:space="0" w:color="000000"/>
      </w:pBdr>
      <w:shd w:val="clear" w:color="auto" w:fill="FFFFFF"/>
      <w:spacing w:before="100" w:beforeAutospacing="1" w:after="100" w:afterAutospacing="1" w:line="240" w:lineRule="auto"/>
      <w:jc w:val="center"/>
    </w:pPr>
    <w:rPr>
      <w:rFonts w:ascii="Arial" w:eastAsia="Times New Roman" w:hAnsi="Arial" w:cs="Arial"/>
      <w:kern w:val="0"/>
      <w:sz w:val="14"/>
      <w:szCs w:val="14"/>
      <w:lang w:val="en-IE" w:eastAsia="en-IE"/>
    </w:rPr>
  </w:style>
  <w:style w:type="paragraph" w:customStyle="1" w:styleId="xl82">
    <w:name w:val="xl82"/>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83">
    <w:name w:val="xl83"/>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84">
    <w:name w:val="xl84"/>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85">
    <w:name w:val="xl85"/>
    <w:basedOn w:val="Normal"/>
    <w:uiPriority w:val="99"/>
    <w:semiHidden/>
    <w:rsid w:val="00FD1E19"/>
    <w:pPr>
      <w:pBdr>
        <w:top w:val="single" w:sz="4" w:space="0" w:color="000000"/>
        <w:left w:val="single" w:sz="4" w:space="0" w:color="000000"/>
        <w:bottom w:val="single" w:sz="4" w:space="0" w:color="CACAD9"/>
        <w:right w:val="single" w:sz="4" w:space="0" w:color="CACAD9"/>
      </w:pBdr>
      <w:shd w:val="clear" w:color="auto" w:fill="BFBFB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86">
    <w:name w:val="xl86"/>
    <w:basedOn w:val="Normal"/>
    <w:uiPriority w:val="99"/>
    <w:semiHidden/>
    <w:rsid w:val="00FD1E19"/>
    <w:pPr>
      <w:pBdr>
        <w:top w:val="single" w:sz="4" w:space="0" w:color="000000"/>
        <w:left w:val="single" w:sz="4" w:space="0" w:color="000000"/>
        <w:bottom w:val="single" w:sz="4" w:space="0" w:color="C0C0C0"/>
        <w:right w:val="single" w:sz="4" w:space="0" w:color="000000"/>
      </w:pBdr>
      <w:shd w:val="clear" w:color="auto" w:fill="BFBFBF"/>
      <w:spacing w:before="100" w:beforeAutospacing="1" w:after="100" w:afterAutospacing="1" w:line="240" w:lineRule="auto"/>
      <w:jc w:val="center"/>
    </w:pPr>
    <w:rPr>
      <w:rFonts w:ascii="Arial" w:eastAsia="Times New Roman" w:hAnsi="Arial" w:cs="Arial"/>
      <w:kern w:val="0"/>
      <w:sz w:val="14"/>
      <w:szCs w:val="14"/>
      <w:lang w:val="en-IE" w:eastAsia="en-IE"/>
    </w:rPr>
  </w:style>
  <w:style w:type="paragraph" w:customStyle="1" w:styleId="xl87">
    <w:name w:val="xl87"/>
    <w:basedOn w:val="Normal"/>
    <w:uiPriority w:val="99"/>
    <w:semiHidden/>
    <w:rsid w:val="00FD1E19"/>
    <w:pPr>
      <w:pBdr>
        <w:top w:val="single" w:sz="4" w:space="0" w:color="000000"/>
        <w:left w:val="single" w:sz="4" w:space="0" w:color="000000"/>
        <w:bottom w:val="single" w:sz="4" w:space="0" w:color="C0C0C0"/>
        <w:right w:val="single" w:sz="4" w:space="0" w:color="000000"/>
      </w:pBdr>
      <w:shd w:val="clear" w:color="auto" w:fill="BFBFBF"/>
      <w:spacing w:before="100" w:beforeAutospacing="1" w:after="100" w:afterAutospacing="1" w:line="240" w:lineRule="auto"/>
      <w:jc w:val="center"/>
    </w:pPr>
    <w:rPr>
      <w:rFonts w:ascii="Arial" w:eastAsia="Times New Roman" w:hAnsi="Arial" w:cs="Arial"/>
      <w:kern w:val="0"/>
      <w:sz w:val="14"/>
      <w:szCs w:val="14"/>
      <w:lang w:val="en-IE" w:eastAsia="en-IE"/>
    </w:rPr>
  </w:style>
  <w:style w:type="paragraph" w:customStyle="1" w:styleId="xl88">
    <w:name w:val="xl88"/>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val="en-IE" w:eastAsia="en-IE"/>
    </w:rPr>
  </w:style>
  <w:style w:type="paragraph" w:customStyle="1" w:styleId="xl89">
    <w:name w:val="xl89"/>
    <w:basedOn w:val="Normal"/>
    <w:uiPriority w:val="99"/>
    <w:semiHidden/>
    <w:rsid w:val="00FD1E19"/>
    <w:pPr>
      <w:pBdr>
        <w:top w:val="single" w:sz="4" w:space="0" w:color="000000"/>
        <w:left w:val="single" w:sz="4" w:space="0" w:color="000000"/>
        <w:bottom w:val="single" w:sz="4" w:space="0" w:color="000000"/>
        <w:right w:val="single" w:sz="4" w:space="0" w:color="000000"/>
      </w:pBdr>
      <w:shd w:val="clear" w:color="auto" w:fill="808080"/>
      <w:spacing w:before="100" w:beforeAutospacing="1" w:after="100" w:afterAutospacing="1" w:line="240" w:lineRule="auto"/>
      <w:jc w:val="right"/>
    </w:pPr>
    <w:rPr>
      <w:rFonts w:ascii="Arial" w:eastAsia="Times New Roman" w:hAnsi="Arial" w:cs="Arial"/>
      <w:b/>
      <w:bCs/>
      <w:color w:val="FFFFFF"/>
      <w:kern w:val="0"/>
      <w:sz w:val="14"/>
      <w:szCs w:val="14"/>
      <w:lang w:val="en-IE" w:eastAsia="en-IE"/>
    </w:rPr>
  </w:style>
  <w:style w:type="paragraph" w:customStyle="1" w:styleId="xl90">
    <w:name w:val="xl90"/>
    <w:basedOn w:val="Normal"/>
    <w:uiPriority w:val="99"/>
    <w:semiHidden/>
    <w:rsid w:val="00FD1E19"/>
    <w:pPr>
      <w:shd w:val="clear" w:color="auto" w:fill="FFFFFF"/>
      <w:spacing w:before="100" w:beforeAutospacing="1" w:after="100" w:afterAutospacing="1" w:line="240" w:lineRule="auto"/>
      <w:jc w:val="center"/>
    </w:pPr>
    <w:rPr>
      <w:rFonts w:ascii="Arial" w:eastAsia="Times New Roman" w:hAnsi="Arial" w:cs="Arial"/>
      <w:kern w:val="0"/>
      <w:sz w:val="24"/>
      <w:szCs w:val="24"/>
      <w:lang w:val="en-IE" w:eastAsia="en-IE"/>
    </w:rPr>
  </w:style>
  <w:style w:type="paragraph" w:customStyle="1" w:styleId="xl91">
    <w:name w:val="xl91"/>
    <w:basedOn w:val="Normal"/>
    <w:uiPriority w:val="99"/>
    <w:semiHidden/>
    <w:rsid w:val="00FD1E19"/>
    <w:pPr>
      <w:shd w:val="clear" w:color="auto" w:fill="FFFFFF"/>
      <w:spacing w:before="100" w:beforeAutospacing="1" w:after="100" w:afterAutospacing="1" w:line="240" w:lineRule="auto"/>
      <w:jc w:val="center"/>
    </w:pPr>
    <w:rPr>
      <w:rFonts w:ascii="Arial" w:eastAsia="Times New Roman" w:hAnsi="Arial" w:cs="Arial"/>
      <w:kern w:val="0"/>
      <w:sz w:val="24"/>
      <w:szCs w:val="24"/>
      <w:lang w:val="en-IE" w:eastAsia="en-IE"/>
    </w:rPr>
  </w:style>
  <w:style w:type="paragraph" w:customStyle="1" w:styleId="xl92">
    <w:name w:val="xl92"/>
    <w:basedOn w:val="Normal"/>
    <w:uiPriority w:val="99"/>
    <w:semiHidden/>
    <w:rsid w:val="00FD1E19"/>
    <w:pPr>
      <w:spacing w:before="100" w:beforeAutospacing="1" w:after="100" w:afterAutospacing="1" w:line="240" w:lineRule="auto"/>
      <w:jc w:val="center"/>
    </w:pPr>
    <w:rPr>
      <w:rFonts w:ascii="Times New Roman" w:eastAsia="Times New Roman" w:hAnsi="Times New Roman" w:cs="Times New Roman"/>
      <w:kern w:val="0"/>
      <w:sz w:val="24"/>
      <w:szCs w:val="24"/>
      <w:lang w:val="en-IE" w:eastAsia="en-IE"/>
    </w:rPr>
  </w:style>
  <w:style w:type="paragraph" w:customStyle="1" w:styleId="xl93">
    <w:name w:val="xl93"/>
    <w:basedOn w:val="Normal"/>
    <w:uiPriority w:val="99"/>
    <w:semiHidden/>
    <w:rsid w:val="00FD1E1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94">
    <w:name w:val="xl94"/>
    <w:basedOn w:val="Normal"/>
    <w:uiPriority w:val="99"/>
    <w:semiHidden/>
    <w:rsid w:val="00FD1E19"/>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95">
    <w:name w:val="xl95"/>
    <w:basedOn w:val="Normal"/>
    <w:uiPriority w:val="99"/>
    <w:semiHidden/>
    <w:rsid w:val="00FD1E19"/>
    <w:pPr>
      <w:pBdr>
        <w:top w:val="single" w:sz="4" w:space="0" w:color="auto"/>
        <w:bottom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96">
    <w:name w:val="xl96"/>
    <w:basedOn w:val="Normal"/>
    <w:uiPriority w:val="99"/>
    <w:semiHidden/>
    <w:rsid w:val="00FD1E19"/>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Arial" w:eastAsia="Times New Roman" w:hAnsi="Arial" w:cs="Arial"/>
      <w:b/>
      <w:bCs/>
      <w:kern w:val="0"/>
      <w:sz w:val="14"/>
      <w:szCs w:val="14"/>
      <w:lang w:val="en-IE" w:eastAsia="en-IE"/>
    </w:rPr>
  </w:style>
  <w:style w:type="paragraph" w:customStyle="1" w:styleId="xl97">
    <w:name w:val="xl97"/>
    <w:basedOn w:val="Normal"/>
    <w:uiPriority w:val="99"/>
    <w:semiHidden/>
    <w:rsid w:val="00FD1E19"/>
    <w:pPr>
      <w:pBdr>
        <w:top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val="en-IE" w:eastAsia="en-IE"/>
    </w:rPr>
  </w:style>
  <w:style w:type="paragraph" w:customStyle="1" w:styleId="xl98">
    <w:name w:val="xl98"/>
    <w:basedOn w:val="Normal"/>
    <w:uiPriority w:val="99"/>
    <w:semiHidden/>
    <w:rsid w:val="00FD1E19"/>
    <w:pPr>
      <w:pBdr>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val="en-IE" w:eastAsia="en-IE"/>
    </w:rPr>
  </w:style>
  <w:style w:type="paragraph" w:customStyle="1" w:styleId="xl99">
    <w:name w:val="xl99"/>
    <w:basedOn w:val="Normal"/>
    <w:uiPriority w:val="99"/>
    <w:semiHidden/>
    <w:rsid w:val="00FD1E19"/>
    <w:pPr>
      <w:pBdr>
        <w:bottom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val="en-IE" w:eastAsia="en-IE"/>
    </w:rPr>
  </w:style>
  <w:style w:type="paragraph" w:customStyle="1" w:styleId="xl100">
    <w:name w:val="xl100"/>
    <w:basedOn w:val="Normal"/>
    <w:uiPriority w:val="99"/>
    <w:semiHidden/>
    <w:rsid w:val="00FD1E19"/>
    <w:pPr>
      <w:pBdr>
        <w:top w:val="single" w:sz="4" w:space="0" w:color="000000"/>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val="en-IE" w:eastAsia="en-IE"/>
    </w:rPr>
  </w:style>
  <w:style w:type="paragraph" w:customStyle="1" w:styleId="xl101">
    <w:name w:val="xl101"/>
    <w:basedOn w:val="Normal"/>
    <w:uiPriority w:val="99"/>
    <w:semiHidden/>
    <w:rsid w:val="00FD1E19"/>
    <w:pPr>
      <w:pBdr>
        <w:right w:val="single" w:sz="4" w:space="0" w:color="000000"/>
      </w:pBdr>
      <w:shd w:val="clear" w:color="auto" w:fill="808080"/>
      <w:spacing w:before="100" w:beforeAutospacing="1" w:after="100" w:afterAutospacing="1" w:line="240" w:lineRule="auto"/>
      <w:jc w:val="center"/>
    </w:pPr>
    <w:rPr>
      <w:rFonts w:ascii="Arial" w:eastAsia="Times New Roman" w:hAnsi="Arial" w:cs="Arial"/>
      <w:b/>
      <w:bCs/>
      <w:color w:val="FFFFFF"/>
      <w:kern w:val="0"/>
      <w:sz w:val="14"/>
      <w:szCs w:val="14"/>
      <w:lang w:val="en-IE" w:eastAsia="en-IE"/>
    </w:rPr>
  </w:style>
  <w:style w:type="numbering" w:customStyle="1" w:styleId="NoList1">
    <w:name w:val="No List1"/>
    <w:next w:val="NoList"/>
    <w:uiPriority w:val="99"/>
    <w:semiHidden/>
    <w:unhideWhenUsed/>
    <w:rsid w:val="00747276"/>
  </w:style>
  <w:style w:type="table" w:customStyle="1" w:styleId="CDMRange11">
    <w:name w:val="CDM Range 11"/>
    <w:basedOn w:val="TableNormal"/>
    <w:next w:val="TableNormal"/>
    <w:uiPriority w:val="99"/>
    <w:semiHidden/>
    <w:rsid w:val="00747276"/>
    <w:pPr>
      <w:spacing w:after="0" w:line="240" w:lineRule="auto"/>
    </w:pPr>
    <w:rPr>
      <w:rFonts w:ascii="Times New Roman" w:eastAsia="Times New Roman" w:hAnsi="Times New Roman" w:cs="Times New Roman"/>
      <w:kern w:val="0"/>
      <w:sz w:val="20"/>
      <w:szCs w:val="20"/>
      <w:lang w:val="en-US"/>
    </w:rPr>
    <w:tblPr/>
  </w:style>
  <w:style w:type="table" w:customStyle="1" w:styleId="CDMRange21">
    <w:name w:val="CDM Range 21"/>
    <w:basedOn w:val="TableNormal"/>
    <w:next w:val="TableNormal"/>
    <w:uiPriority w:val="99"/>
    <w:semiHidden/>
    <w:rsid w:val="00747276"/>
    <w:pPr>
      <w:spacing w:after="0" w:line="240" w:lineRule="auto"/>
    </w:pPr>
    <w:rPr>
      <w:rFonts w:ascii="Times New Roman" w:eastAsia="Times New Roman" w:hAnsi="Times New Roman" w:cs="Times New Roman"/>
      <w:kern w:val="0"/>
      <w:sz w:val="20"/>
      <w:szCs w:val="20"/>
      <w:lang w:val="en-US"/>
    </w:rPr>
    <w:tblPr/>
  </w:style>
  <w:style w:type="table" w:customStyle="1" w:styleId="TableGrid1">
    <w:name w:val="Table Grid1"/>
    <w:basedOn w:val="TableNormal"/>
    <w:next w:val="TableGrid"/>
    <w:uiPriority w:val="59"/>
    <w:rsid w:val="00747276"/>
    <w:pPr>
      <w:spacing w:before="120" w:after="0" w:line="240" w:lineRule="auto"/>
      <w:ind w:left="431" w:hanging="431"/>
      <w:jc w:val="both"/>
    </w:pPr>
    <w:rPr>
      <w:rFonts w:ascii="Calibri" w:eastAsia="Calibri" w:hAnsi="Calibri" w:cs="Arial"/>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117" Type="http://schemas.openxmlformats.org/officeDocument/2006/relationships/footer" Target="footer51.xml"/><Relationship Id="rId21" Type="http://schemas.openxmlformats.org/officeDocument/2006/relationships/header" Target="header6.xml"/><Relationship Id="rId42" Type="http://schemas.openxmlformats.org/officeDocument/2006/relationships/footer" Target="footer15.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header" Target="header29.xml"/><Relationship Id="rId84" Type="http://schemas.openxmlformats.org/officeDocument/2006/relationships/footer" Target="footer34.xml"/><Relationship Id="rId89" Type="http://schemas.openxmlformats.org/officeDocument/2006/relationships/footer" Target="footer37.xml"/><Relationship Id="rId112" Type="http://schemas.openxmlformats.org/officeDocument/2006/relationships/header" Target="header53.xml"/><Relationship Id="rId133" Type="http://schemas.openxmlformats.org/officeDocument/2006/relationships/footer" Target="footer59.xml"/><Relationship Id="rId138" Type="http://schemas.openxmlformats.org/officeDocument/2006/relationships/chart" Target="charts/chart2.xml"/><Relationship Id="rId154" Type="http://schemas.openxmlformats.org/officeDocument/2006/relationships/footer" Target="footer66.xml"/><Relationship Id="rId159" Type="http://schemas.openxmlformats.org/officeDocument/2006/relationships/footer" Target="footer68.xml"/><Relationship Id="rId175" Type="http://schemas.openxmlformats.org/officeDocument/2006/relationships/header" Target="header85.xml"/><Relationship Id="rId170" Type="http://schemas.openxmlformats.org/officeDocument/2006/relationships/header" Target="header82.xml"/><Relationship Id="rId16" Type="http://schemas.openxmlformats.org/officeDocument/2006/relationships/footer" Target="footer3.xml"/><Relationship Id="rId107" Type="http://schemas.openxmlformats.org/officeDocument/2006/relationships/footer" Target="footer46.xml"/><Relationship Id="rId11" Type="http://schemas.openxmlformats.org/officeDocument/2006/relationships/header" Target="header1.xml"/><Relationship Id="rId32" Type="http://schemas.openxmlformats.org/officeDocument/2006/relationships/header" Target="header11.xml"/><Relationship Id="rId37" Type="http://schemas.openxmlformats.org/officeDocument/2006/relationships/footer" Target="footer13.xml"/><Relationship Id="rId53" Type="http://schemas.openxmlformats.org/officeDocument/2006/relationships/header" Target="header22.xml"/><Relationship Id="rId58" Type="http://schemas.openxmlformats.org/officeDocument/2006/relationships/header" Target="header24.xml"/><Relationship Id="rId74" Type="http://schemas.openxmlformats.org/officeDocument/2006/relationships/header" Target="header32.xml"/><Relationship Id="rId79" Type="http://schemas.openxmlformats.org/officeDocument/2006/relationships/header" Target="header36.xml"/><Relationship Id="rId102" Type="http://schemas.openxmlformats.org/officeDocument/2006/relationships/footer" Target="footer43.xml"/><Relationship Id="rId123" Type="http://schemas.openxmlformats.org/officeDocument/2006/relationships/footer" Target="footer54.xml"/><Relationship Id="rId128" Type="http://schemas.openxmlformats.org/officeDocument/2006/relationships/header" Target="header61.xml"/><Relationship Id="rId144" Type="http://schemas.openxmlformats.org/officeDocument/2006/relationships/footer" Target="footer62.xml"/><Relationship Id="rId149" Type="http://schemas.openxmlformats.org/officeDocument/2006/relationships/footer" Target="footer64.xml"/><Relationship Id="rId5" Type="http://schemas.openxmlformats.org/officeDocument/2006/relationships/styles" Target="styles.xml"/><Relationship Id="rId90" Type="http://schemas.openxmlformats.org/officeDocument/2006/relationships/header" Target="header42.xml"/><Relationship Id="rId95" Type="http://schemas.openxmlformats.org/officeDocument/2006/relationships/header" Target="header45.xml"/><Relationship Id="rId160" Type="http://schemas.openxmlformats.org/officeDocument/2006/relationships/header" Target="header76.xml"/><Relationship Id="rId165" Type="http://schemas.openxmlformats.org/officeDocument/2006/relationships/header" Target="header79.xml"/><Relationship Id="rId22" Type="http://schemas.openxmlformats.org/officeDocument/2006/relationships/footer" Target="footer6.xml"/><Relationship Id="rId27" Type="http://schemas.openxmlformats.org/officeDocument/2006/relationships/footer" Target="footer8.xml"/><Relationship Id="rId43" Type="http://schemas.openxmlformats.org/officeDocument/2006/relationships/footer" Target="footer16.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49.xml"/><Relationship Id="rId118" Type="http://schemas.openxmlformats.org/officeDocument/2006/relationships/header" Target="header56.xml"/><Relationship Id="rId134" Type="http://schemas.openxmlformats.org/officeDocument/2006/relationships/header" Target="header64.xml"/><Relationship Id="rId139" Type="http://schemas.openxmlformats.org/officeDocument/2006/relationships/chart" Target="charts/chart3.xml"/><Relationship Id="rId80" Type="http://schemas.openxmlformats.org/officeDocument/2006/relationships/footer" Target="footer33.xml"/><Relationship Id="rId85" Type="http://schemas.openxmlformats.org/officeDocument/2006/relationships/footer" Target="footer35.xml"/><Relationship Id="rId150" Type="http://schemas.openxmlformats.org/officeDocument/2006/relationships/header" Target="header70.xml"/><Relationship Id="rId155" Type="http://schemas.openxmlformats.org/officeDocument/2006/relationships/header" Target="header73.xml"/><Relationship Id="rId171" Type="http://schemas.openxmlformats.org/officeDocument/2006/relationships/footer" Target="footer73.xml"/><Relationship Id="rId176" Type="http://schemas.openxmlformats.org/officeDocument/2006/relationships/footer" Target="footer75.xml"/><Relationship Id="rId12" Type="http://schemas.openxmlformats.org/officeDocument/2006/relationships/header" Target="header2.xml"/><Relationship Id="rId17" Type="http://schemas.openxmlformats.org/officeDocument/2006/relationships/header" Target="header4.xml"/><Relationship Id="rId33" Type="http://schemas.openxmlformats.org/officeDocument/2006/relationships/footer" Target="footer11.xml"/><Relationship Id="rId38" Type="http://schemas.openxmlformats.org/officeDocument/2006/relationships/header" Target="header14.xml"/><Relationship Id="rId59" Type="http://schemas.openxmlformats.org/officeDocument/2006/relationships/footer" Target="footer24.xml"/><Relationship Id="rId103" Type="http://schemas.openxmlformats.org/officeDocument/2006/relationships/footer" Target="footer44.xml"/><Relationship Id="rId108" Type="http://schemas.openxmlformats.org/officeDocument/2006/relationships/header" Target="header51.xml"/><Relationship Id="rId124" Type="http://schemas.openxmlformats.org/officeDocument/2006/relationships/header" Target="header59.xml"/><Relationship Id="rId129" Type="http://schemas.openxmlformats.org/officeDocument/2006/relationships/footer" Target="footer57.xml"/><Relationship Id="rId54" Type="http://schemas.openxmlformats.org/officeDocument/2006/relationships/footer" Target="footer21.xml"/><Relationship Id="rId70" Type="http://schemas.openxmlformats.org/officeDocument/2006/relationships/header" Target="header30.xml"/><Relationship Id="rId75" Type="http://schemas.openxmlformats.org/officeDocument/2006/relationships/header" Target="header33.xml"/><Relationship Id="rId91" Type="http://schemas.openxmlformats.org/officeDocument/2006/relationships/footer" Target="footer38.xml"/><Relationship Id="rId96" Type="http://schemas.openxmlformats.org/officeDocument/2006/relationships/footer" Target="footer40.xml"/><Relationship Id="rId140" Type="http://schemas.openxmlformats.org/officeDocument/2006/relationships/chart" Target="charts/chart4.xml"/><Relationship Id="rId145" Type="http://schemas.openxmlformats.org/officeDocument/2006/relationships/header" Target="header67.xml"/><Relationship Id="rId161" Type="http://schemas.openxmlformats.org/officeDocument/2006/relationships/footer" Target="footer69.xml"/><Relationship Id="rId166" Type="http://schemas.openxmlformats.org/officeDocument/2006/relationships/footer" Target="footer71.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eader" Target="header7.xml"/><Relationship Id="rId28" Type="http://schemas.openxmlformats.org/officeDocument/2006/relationships/header" Target="header9.xml"/><Relationship Id="rId49" Type="http://schemas.openxmlformats.org/officeDocument/2006/relationships/footer" Target="footer19.xml"/><Relationship Id="rId114" Type="http://schemas.openxmlformats.org/officeDocument/2006/relationships/header" Target="header54.xml"/><Relationship Id="rId119" Type="http://schemas.openxmlformats.org/officeDocument/2006/relationships/footer" Target="footer52.xml"/><Relationship Id="rId10" Type="http://schemas.openxmlformats.org/officeDocument/2006/relationships/image" Target="media/image1.emf"/><Relationship Id="rId31" Type="http://schemas.openxmlformats.org/officeDocument/2006/relationships/footer" Target="footer10.xml"/><Relationship Id="rId44" Type="http://schemas.openxmlformats.org/officeDocument/2006/relationships/header" Target="header17.xml"/><Relationship Id="rId52" Type="http://schemas.openxmlformats.org/officeDocument/2006/relationships/header" Target="header21.xml"/><Relationship Id="rId60" Type="http://schemas.openxmlformats.org/officeDocument/2006/relationships/header" Target="header25.xml"/><Relationship Id="rId65" Type="http://schemas.openxmlformats.org/officeDocument/2006/relationships/footer" Target="footer27.xml"/><Relationship Id="rId73" Type="http://schemas.openxmlformats.org/officeDocument/2006/relationships/footer" Target="footer31.xml"/><Relationship Id="rId78" Type="http://schemas.openxmlformats.org/officeDocument/2006/relationships/footer" Target="footer32.xml"/><Relationship Id="rId81" Type="http://schemas.openxmlformats.org/officeDocument/2006/relationships/header" Target="header37.xml"/><Relationship Id="rId86" Type="http://schemas.openxmlformats.org/officeDocument/2006/relationships/header" Target="header40.xml"/><Relationship Id="rId94" Type="http://schemas.openxmlformats.org/officeDocument/2006/relationships/header" Target="header44.xml"/><Relationship Id="rId99" Type="http://schemas.openxmlformats.org/officeDocument/2006/relationships/footer" Target="footer42.xml"/><Relationship Id="rId101" Type="http://schemas.openxmlformats.org/officeDocument/2006/relationships/header" Target="header48.xml"/><Relationship Id="rId122" Type="http://schemas.openxmlformats.org/officeDocument/2006/relationships/header" Target="header58.xml"/><Relationship Id="rId130" Type="http://schemas.openxmlformats.org/officeDocument/2006/relationships/header" Target="header62.xml"/><Relationship Id="rId135" Type="http://schemas.openxmlformats.org/officeDocument/2006/relationships/footer" Target="footer60.xml"/><Relationship Id="rId143" Type="http://schemas.openxmlformats.org/officeDocument/2006/relationships/header" Target="header66.xml"/><Relationship Id="rId148" Type="http://schemas.openxmlformats.org/officeDocument/2006/relationships/header" Target="header69.xml"/><Relationship Id="rId151" Type="http://schemas.openxmlformats.org/officeDocument/2006/relationships/footer" Target="footer65.xml"/><Relationship Id="rId156" Type="http://schemas.openxmlformats.org/officeDocument/2006/relationships/footer" Target="footer67.xml"/><Relationship Id="rId164" Type="http://schemas.openxmlformats.org/officeDocument/2006/relationships/footer" Target="footer70.xml"/><Relationship Id="rId169" Type="http://schemas.openxmlformats.org/officeDocument/2006/relationships/footer" Target="footer72.xml"/><Relationship Id="rId177"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72" Type="http://schemas.openxmlformats.org/officeDocument/2006/relationships/header" Target="header83.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footer" Target="footer14.xml"/><Relationship Id="rId109" Type="http://schemas.openxmlformats.org/officeDocument/2006/relationships/header" Target="header52.xml"/><Relationship Id="rId34" Type="http://schemas.openxmlformats.org/officeDocument/2006/relationships/header" Target="header12.xml"/><Relationship Id="rId50" Type="http://schemas.openxmlformats.org/officeDocument/2006/relationships/header" Target="header20.xml"/><Relationship Id="rId55" Type="http://schemas.openxmlformats.org/officeDocument/2006/relationships/footer" Target="footer22.xml"/><Relationship Id="rId76" Type="http://schemas.openxmlformats.org/officeDocument/2006/relationships/header" Target="header34.xml"/><Relationship Id="rId97" Type="http://schemas.openxmlformats.org/officeDocument/2006/relationships/footer" Target="footer41.xml"/><Relationship Id="rId104" Type="http://schemas.openxmlformats.org/officeDocument/2006/relationships/header" Target="header49.xml"/><Relationship Id="rId120" Type="http://schemas.openxmlformats.org/officeDocument/2006/relationships/header" Target="header57.xml"/><Relationship Id="rId125" Type="http://schemas.openxmlformats.org/officeDocument/2006/relationships/footer" Target="footer55.xml"/><Relationship Id="rId141" Type="http://schemas.openxmlformats.org/officeDocument/2006/relationships/chart" Target="charts/chart5.xml"/><Relationship Id="rId146" Type="http://schemas.openxmlformats.org/officeDocument/2006/relationships/footer" Target="footer63.xml"/><Relationship Id="rId167" Type="http://schemas.openxmlformats.org/officeDocument/2006/relationships/header" Target="header80.xml"/><Relationship Id="rId7" Type="http://schemas.openxmlformats.org/officeDocument/2006/relationships/webSettings" Target="webSettings.xml"/><Relationship Id="rId71" Type="http://schemas.openxmlformats.org/officeDocument/2006/relationships/footer" Target="footer30.xml"/><Relationship Id="rId92" Type="http://schemas.openxmlformats.org/officeDocument/2006/relationships/header" Target="header43.xml"/><Relationship Id="rId162" Type="http://schemas.openxmlformats.org/officeDocument/2006/relationships/header" Target="header77.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footer" Target="foot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6.xml"/><Relationship Id="rId110" Type="http://schemas.openxmlformats.org/officeDocument/2006/relationships/footer" Target="footer47.xml"/><Relationship Id="rId115" Type="http://schemas.openxmlformats.org/officeDocument/2006/relationships/header" Target="header55.xml"/><Relationship Id="rId131" Type="http://schemas.openxmlformats.org/officeDocument/2006/relationships/footer" Target="footer58.xml"/><Relationship Id="rId136" Type="http://schemas.openxmlformats.org/officeDocument/2006/relationships/header" Target="header65.xml"/><Relationship Id="rId157" Type="http://schemas.openxmlformats.org/officeDocument/2006/relationships/header" Target="header74.xml"/><Relationship Id="rId178" Type="http://schemas.openxmlformats.org/officeDocument/2006/relationships/theme" Target="theme/theme1.xml"/><Relationship Id="rId61" Type="http://schemas.openxmlformats.org/officeDocument/2006/relationships/footer" Target="footer25.xml"/><Relationship Id="rId82" Type="http://schemas.openxmlformats.org/officeDocument/2006/relationships/header" Target="header38.xml"/><Relationship Id="rId152" Type="http://schemas.openxmlformats.org/officeDocument/2006/relationships/header" Target="header71.xml"/><Relationship Id="rId173" Type="http://schemas.openxmlformats.org/officeDocument/2006/relationships/header" Target="header84.xml"/><Relationship Id="rId19" Type="http://schemas.openxmlformats.org/officeDocument/2006/relationships/footer" Target="footer4.xml"/><Relationship Id="rId14" Type="http://schemas.openxmlformats.org/officeDocument/2006/relationships/footer" Target="footer2.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header" Target="header23.xml"/><Relationship Id="rId77" Type="http://schemas.openxmlformats.org/officeDocument/2006/relationships/header" Target="header35.xml"/><Relationship Id="rId100" Type="http://schemas.openxmlformats.org/officeDocument/2006/relationships/header" Target="header47.xml"/><Relationship Id="rId105" Type="http://schemas.openxmlformats.org/officeDocument/2006/relationships/footer" Target="footer45.xml"/><Relationship Id="rId126" Type="http://schemas.openxmlformats.org/officeDocument/2006/relationships/header" Target="header60.xml"/><Relationship Id="rId147" Type="http://schemas.openxmlformats.org/officeDocument/2006/relationships/header" Target="header68.xml"/><Relationship Id="rId168" Type="http://schemas.openxmlformats.org/officeDocument/2006/relationships/header" Target="header81.xml"/><Relationship Id="rId8" Type="http://schemas.openxmlformats.org/officeDocument/2006/relationships/footnotes" Target="footnote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39.xml"/><Relationship Id="rId98" Type="http://schemas.openxmlformats.org/officeDocument/2006/relationships/header" Target="header46.xml"/><Relationship Id="rId121" Type="http://schemas.openxmlformats.org/officeDocument/2006/relationships/footer" Target="footer53.xml"/><Relationship Id="rId142" Type="http://schemas.openxmlformats.org/officeDocument/2006/relationships/chart" Target="charts/chart6.xml"/><Relationship Id="rId163" Type="http://schemas.openxmlformats.org/officeDocument/2006/relationships/header" Target="header78.xml"/><Relationship Id="rId3" Type="http://schemas.openxmlformats.org/officeDocument/2006/relationships/customXml" Target="../customXml/item3.xml"/><Relationship Id="rId25" Type="http://schemas.openxmlformats.org/officeDocument/2006/relationships/chart" Target="charts/chart1.xml"/><Relationship Id="rId46" Type="http://schemas.openxmlformats.org/officeDocument/2006/relationships/header" Target="header18.xml"/><Relationship Id="rId67" Type="http://schemas.openxmlformats.org/officeDocument/2006/relationships/footer" Target="footer28.xml"/><Relationship Id="rId116" Type="http://schemas.openxmlformats.org/officeDocument/2006/relationships/footer" Target="footer50.xml"/><Relationship Id="rId137" Type="http://schemas.openxmlformats.org/officeDocument/2006/relationships/footer" Target="footer61.xml"/><Relationship Id="rId158" Type="http://schemas.openxmlformats.org/officeDocument/2006/relationships/header" Target="header75.xml"/><Relationship Id="rId20" Type="http://schemas.openxmlformats.org/officeDocument/2006/relationships/footer" Target="footer5.xml"/><Relationship Id="rId41" Type="http://schemas.openxmlformats.org/officeDocument/2006/relationships/header" Target="header16.xml"/><Relationship Id="rId62" Type="http://schemas.openxmlformats.org/officeDocument/2006/relationships/header" Target="header26.xml"/><Relationship Id="rId83" Type="http://schemas.openxmlformats.org/officeDocument/2006/relationships/header" Target="header39.xml"/><Relationship Id="rId88" Type="http://schemas.openxmlformats.org/officeDocument/2006/relationships/header" Target="header41.xml"/><Relationship Id="rId111" Type="http://schemas.openxmlformats.org/officeDocument/2006/relationships/footer" Target="footer48.xml"/><Relationship Id="rId132" Type="http://schemas.openxmlformats.org/officeDocument/2006/relationships/header" Target="header63.xml"/><Relationship Id="rId153" Type="http://schemas.openxmlformats.org/officeDocument/2006/relationships/header" Target="header72.xml"/><Relationship Id="rId174" Type="http://schemas.openxmlformats.org/officeDocument/2006/relationships/footer" Target="footer74.xml"/><Relationship Id="rId15" Type="http://schemas.openxmlformats.org/officeDocument/2006/relationships/header" Target="header3.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50.xml"/><Relationship Id="rId127" Type="http://schemas.openxmlformats.org/officeDocument/2006/relationships/footer" Target="footer56.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gaucian\AppData\Local\Microsoft\Windows\INetCache\Content.Outlook\GH9AVGNB\Graphs%2010th%2011th%20for%202025.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gaucian\AppData\Local\Microsoft\Windows\INetCache\Content.Outlook\GH9AVGNB\Graphs%2010th%2011th%20for%20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xlsx"/></Relationships>
</file>

<file path=word/charts/_rels/chart4.xml.rels><?xml version="1.0" encoding="UTF-8" standalone="yes"?>
<Relationships xmlns="http://schemas.openxmlformats.org/package/2006/relationships"><Relationship Id="rId3" Type="http://schemas.openxmlformats.org/officeDocument/2006/relationships/oleObject" Target="https://eceuropaeu.sharepoint.com/sites/budg-c2/Closure/2025%20EDF%20Closure/4.Financial%20Statements%20Provisional%20EDF/4.7%20FIR/GRAPHS%20AND%20TABLES%20USED%20IN%202025%20EDF%20ACCOUNTS%20FOR%20DHP%20TRANSLATION.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eceuropaeu.sharepoint.com/sites/budg-c2/Closure/2025%20EDF%20Closure/4.Financial%20Statements%20Provisional%20EDF/4.7%20FIR/GRAPHS%20AND%20TABLES%20USED%20IN%202025%20EDF%20ACCOUNTS%20FOR%20DHP%20TRANSLATION.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eceuropaeu.sharepoint.com/sites/budg-c2/Closure/2025%20EDF%20Closure/4.Financial%20Statements%20Provisional%20EDF/4.7%20FIR/GRAPHS%20AND%20TABLES%20USED%20IN%202025%20EDF%20ACCOUNTS%20FOR%20DHP%20TRANSLATION.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clip"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GB" sz="1200" b="0" i="0" u="none" strike="noStrike" kern="1200" spc="0" baseline="0">
                <a:solidFill>
                  <a:sysClr val="windowText" lastClr="000000">
                    <a:lumMod val="65000"/>
                    <a:lumOff val="35000"/>
                  </a:sysClr>
                </a:solidFill>
              </a:rPr>
              <a:t>10th and 11th EDF budget implementation 2008-2025</a:t>
            </a:r>
          </a:p>
        </c:rich>
      </c:tx>
      <c:overlay val="0"/>
      <c:spPr>
        <a:noFill/>
        <a:ln>
          <a:noFill/>
        </a:ln>
        <a:effectLst/>
      </c:spPr>
      <c:txPr>
        <a:bodyPr rot="0" spcFirstLastPara="1" vertOverflow="clip"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'HIGHLIGHTS OF FINANCIAL IMPLEME'!$G$31</c:f>
              <c:strCache>
                <c:ptCount val="1"/>
                <c:pt idx="0">
                  <c:v>Commitments</c:v>
                </c:pt>
              </c:strCache>
            </c:strRef>
          </c:tx>
          <c:spPr>
            <a:ln w="28575" cap="rnd">
              <a:solidFill>
                <a:schemeClr val="accent1"/>
              </a:solidFill>
              <a:round/>
            </a:ln>
            <a:effectLst/>
          </c:spPr>
          <c:marker>
            <c:symbol val="none"/>
          </c:marker>
          <c:cat>
            <c:strRef>
              <c:f>'HIGHLIGHTS OF FINANCIAL IMPLEME'!$H$30:$Y$30</c:f>
              <c:strCach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strCache>
            </c:strRef>
          </c:cat>
          <c:val>
            <c:numRef>
              <c:f>'HIGHLIGHTS OF FINANCIAL IMPLEME'!$H$31:$Y$31</c:f>
              <c:numCache>
                <c:formatCode>#,##0;\(#,##0\)</c:formatCode>
                <c:ptCount val="18"/>
                <c:pt idx="0">
                  <c:v>4766.3900489999996</c:v>
                </c:pt>
                <c:pt idx="1">
                  <c:v>3500.9903949999998</c:v>
                </c:pt>
                <c:pt idx="2">
                  <c:v>2349.1632702100001</c:v>
                </c:pt>
                <c:pt idx="3">
                  <c:v>3117.5305745800001</c:v>
                </c:pt>
                <c:pt idx="4">
                  <c:v>3523.81461158</c:v>
                </c:pt>
                <c:pt idx="5">
                  <c:v>4131.0493236399998</c:v>
                </c:pt>
                <c:pt idx="6">
                  <c:v>1064.99602099</c:v>
                </c:pt>
                <c:pt idx="7">
                  <c:v>5215.6478273100001</c:v>
                </c:pt>
                <c:pt idx="8">
                  <c:v>6608.1953190699996</c:v>
                </c:pt>
                <c:pt idx="9">
                  <c:v>5801.4967261800002</c:v>
                </c:pt>
                <c:pt idx="10">
                  <c:v>4184.5564778100006</c:v>
                </c:pt>
                <c:pt idx="11">
                  <c:v>3335.2523643899999</c:v>
                </c:pt>
                <c:pt idx="12">
                  <c:v>2687.4642453599999</c:v>
                </c:pt>
                <c:pt idx="13">
                  <c:v>-188.37066442</c:v>
                </c:pt>
                <c:pt idx="14">
                  <c:v>338.03852362999999</c:v>
                </c:pt>
                <c:pt idx="15">
                  <c:v>-251.72974835000002</c:v>
                </c:pt>
                <c:pt idx="16">
                  <c:v>-369.72883808000006</c:v>
                </c:pt>
                <c:pt idx="17">
                  <c:v>-353.37734399999999</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5411-4EED-AAFA-4C9514150418}"/>
            </c:ext>
          </c:extLst>
        </c:ser>
        <c:ser>
          <c:idx val="1"/>
          <c:order val="1"/>
          <c:tx>
            <c:strRef>
              <c:f>'HIGHLIGHTS OF FINANCIAL IMPLEME'!$G$32</c:f>
              <c:strCache>
                <c:ptCount val="1"/>
                <c:pt idx="0">
                  <c:v>Contracts</c:v>
                </c:pt>
              </c:strCache>
            </c:strRef>
          </c:tx>
          <c:spPr>
            <a:ln w="28575" cap="rnd">
              <a:solidFill>
                <a:schemeClr val="accent2"/>
              </a:solidFill>
              <a:round/>
            </a:ln>
            <a:effectLst/>
          </c:spPr>
          <c:marker>
            <c:symbol val="none"/>
          </c:marker>
          <c:cat>
            <c:strRef>
              <c:f>'HIGHLIGHTS OF FINANCIAL IMPLEME'!$H$30:$Y$30</c:f>
              <c:strCach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strCache>
            </c:strRef>
          </c:cat>
          <c:val>
            <c:numRef>
              <c:f>'HIGHLIGHTS OF FINANCIAL IMPLEME'!$H$32:$Y$32</c:f>
              <c:numCache>
                <c:formatCode>#,##0;\(#,##0\)</c:formatCode>
                <c:ptCount val="18"/>
                <c:pt idx="0">
                  <c:v>130.400507</c:v>
                </c:pt>
                <c:pt idx="1">
                  <c:v>3184.1073969200002</c:v>
                </c:pt>
                <c:pt idx="2">
                  <c:v>2819.6556582600001</c:v>
                </c:pt>
                <c:pt idx="3">
                  <c:v>2513.7537697399998</c:v>
                </c:pt>
                <c:pt idx="4">
                  <c:v>3459.5746006200002</c:v>
                </c:pt>
                <c:pt idx="5">
                  <c:v>3457.2303512499998</c:v>
                </c:pt>
                <c:pt idx="6">
                  <c:v>3418.1301780000003</c:v>
                </c:pt>
                <c:pt idx="7">
                  <c:v>4075.5537990700004</c:v>
                </c:pt>
                <c:pt idx="8">
                  <c:v>4285.7453389700004</c:v>
                </c:pt>
                <c:pt idx="9">
                  <c:v>6233.8282467399995</c:v>
                </c:pt>
                <c:pt idx="10">
                  <c:v>4923.4086271899996</c:v>
                </c:pt>
                <c:pt idx="11">
                  <c:v>3505.5284690200001</c:v>
                </c:pt>
                <c:pt idx="12">
                  <c:v>3669.5884342300001</c:v>
                </c:pt>
                <c:pt idx="13">
                  <c:v>2118.11914093</c:v>
                </c:pt>
                <c:pt idx="14">
                  <c:v>852.8131707</c:v>
                </c:pt>
                <c:pt idx="15">
                  <c:v>719.76931550999996</c:v>
                </c:pt>
                <c:pt idx="16">
                  <c:v>41.56119408</c:v>
                </c:pt>
                <c:pt idx="17">
                  <c:v>-222.29572261000001</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5411-4EED-AAFA-4C9514150418}"/>
            </c:ext>
          </c:extLst>
        </c:ser>
        <c:ser>
          <c:idx val="2"/>
          <c:order val="2"/>
          <c:tx>
            <c:strRef>
              <c:f>'HIGHLIGHTS OF FINANCIAL IMPLEME'!$G$33</c:f>
              <c:strCache>
                <c:ptCount val="1"/>
                <c:pt idx="0">
                  <c:v>Payments</c:v>
                </c:pt>
              </c:strCache>
            </c:strRef>
          </c:tx>
          <c:spPr>
            <a:ln w="28575" cap="rnd">
              <a:solidFill>
                <a:schemeClr val="bg1">
                  <a:lumMod val="65000"/>
                </a:schemeClr>
              </a:solidFill>
              <a:round/>
            </a:ln>
            <a:effectLst/>
          </c:spPr>
          <c:marker>
            <c:symbol val="none"/>
          </c:marker>
          <c:cat>
            <c:strRef>
              <c:f>'HIGHLIGHTS OF FINANCIAL IMPLEME'!$H$30:$Y$30</c:f>
              <c:strCach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strCache>
            </c:strRef>
          </c:cat>
          <c:val>
            <c:numRef>
              <c:f>'HIGHLIGHTS OF FINANCIAL IMPLEME'!$H$33:$Y$33</c:f>
              <c:numCache>
                <c:formatCode>#,##0;\(#,##0\)</c:formatCode>
                <c:ptCount val="18"/>
                <c:pt idx="0">
                  <c:v>89.772786999999994</c:v>
                </c:pt>
                <c:pt idx="1">
                  <c:v>1111.36259178</c:v>
                </c:pt>
                <c:pt idx="2">
                  <c:v>1771.61799722</c:v>
                </c:pt>
                <c:pt idx="3">
                  <c:v>1879.0767542000001</c:v>
                </c:pt>
                <c:pt idx="4">
                  <c:v>2654.9042949999998</c:v>
                </c:pt>
                <c:pt idx="5">
                  <c:v>2718.1978331</c:v>
                </c:pt>
                <c:pt idx="6">
                  <c:v>3355.5577840699998</c:v>
                </c:pt>
                <c:pt idx="7">
                  <c:v>3048.0370535799998</c:v>
                </c:pt>
                <c:pt idx="8">
                  <c:v>3282.6056956700004</c:v>
                </c:pt>
                <c:pt idx="9">
                  <c:v>4047.4956679999996</c:v>
                </c:pt>
                <c:pt idx="10">
                  <c:v>4045.8256505700001</c:v>
                </c:pt>
                <c:pt idx="11">
                  <c:v>3833.2019575600002</c:v>
                </c:pt>
                <c:pt idx="12">
                  <c:v>4598.6660318199993</c:v>
                </c:pt>
                <c:pt idx="13">
                  <c:v>3392.8642701100002</c:v>
                </c:pt>
                <c:pt idx="14">
                  <c:v>2385.5087537999998</c:v>
                </c:pt>
                <c:pt idx="15">
                  <c:v>2052.96283907</c:v>
                </c:pt>
                <c:pt idx="16">
                  <c:v>1344.74427876</c:v>
                </c:pt>
                <c:pt idx="17">
                  <c:v>893.12885828999993</c:v>
                </c:pt>
              </c:numCache>
            </c:numRef>
          </c:val>
          <c:smooth val="0"/>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5411-4EED-AAFA-4C9514150418}"/>
            </c:ext>
          </c:extLst>
        </c:ser>
        <c:dLbls>
          <c:showLegendKey val="0"/>
          <c:showVal val="0"/>
          <c:showCatName val="0"/>
          <c:showSerName val="0"/>
          <c:showPercent val="0"/>
          <c:showBubbleSize val="0"/>
        </c:dLbls>
        <c:smooth val="0"/>
        <c:axId val="943203935"/>
        <c:axId val="943207295"/>
      </c:lineChart>
      <c:catAx>
        <c:axId val="943203935"/>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3207295"/>
        <c:crosses val="autoZero"/>
        <c:auto val="1"/>
        <c:lblAlgn val="ctr"/>
        <c:lblOffset val="100"/>
        <c:noMultiLvlLbl val="0"/>
      </c:catAx>
      <c:valAx>
        <c:axId val="943207295"/>
        <c:scaling>
          <c:orientation val="minMax"/>
        </c:scaling>
        <c:delete val="0"/>
        <c:axPos val="l"/>
        <c:majorGridlines>
          <c:spPr>
            <a:ln w="9525">
              <a:solidFill>
                <a:schemeClr val="tx1">
                  <a:lumMod val="15000"/>
                  <a:lumOff val="85000"/>
                </a:schemeClr>
              </a:solidFill>
              <a:round/>
            </a:ln>
            <a:effectLst/>
          </c:spPr>
        </c:majorGridlines>
        <c:numFmt formatCode="#,##0;\(#,##0\)" sourceLinked="1"/>
        <c:majorTickMark val="none"/>
        <c:minorTickMark val="none"/>
        <c:tickLblPos val="nextTo"/>
        <c:spPr>
          <a:noFill/>
          <a:ln w="12700">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32039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clip" vert="horz" wrap="square" anchor="ctr" anchorCtr="1"/>
          <a:lstStyle/>
          <a:p>
            <a:pPr>
              <a:defRPr sz="11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en-IE" sz="10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rPr>
              <a:t>MEMBER STATES &amp;  United Kingdom                        </a:t>
            </a:r>
          </a:p>
          <a:p>
            <a:pPr>
              <a:defRPr sz="1100">
                <a:latin typeface="Verdana" panose="020B0604030504040204" pitchFamily="34" charset="0"/>
                <a:ea typeface="Verdana" panose="020B0604030504040204" pitchFamily="34" charset="0"/>
              </a:defRPr>
            </a:pPr>
            <a:r>
              <a:rPr lang="en-IE" sz="1000" b="0" i="0" u="none" strike="noStrike" kern="1200" spc="0" baseline="0">
                <a:solidFill>
                  <a:sysClr val="windowText" lastClr="000000">
                    <a:lumMod val="65000"/>
                    <a:lumOff val="35000"/>
                  </a:sysClr>
                </a:solidFill>
                <a:latin typeface="Verdana" panose="020B0604030504040204" pitchFamily="34" charset="0"/>
                <a:ea typeface="Verdana" panose="020B0604030504040204" pitchFamily="34" charset="0"/>
              </a:rPr>
              <a:t>EDF contributions 2011-2025</a:t>
            </a:r>
          </a:p>
        </c:rich>
      </c:tx>
      <c:layout>
        <c:manualLayout>
          <c:xMode val="edge"/>
          <c:yMode val="edge"/>
          <c:x val="0.34092777974866884"/>
          <c:y val="3.5714285714285712E-2"/>
        </c:manualLayout>
      </c:layout>
      <c:overlay val="0"/>
      <c:spPr>
        <a:noFill/>
        <a:ln>
          <a:noFill/>
        </a:ln>
        <a:effectLst/>
      </c:spPr>
      <c:txPr>
        <a:bodyPr rot="0" spcFirstLastPara="1" vertOverflow="clip" vert="horz" wrap="square" anchor="ctr" anchorCtr="1"/>
        <a:lstStyle/>
        <a:p>
          <a:pPr>
            <a:defRPr sz="11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title>
    <c:autoTitleDeleted val="0"/>
    <c:plotArea>
      <c:layout>
        <c:manualLayout>
          <c:layoutTarget val="inner"/>
          <c:xMode val="edge"/>
          <c:yMode val="edge"/>
          <c:x val="6.3155548086297086E-2"/>
          <c:y val="0.16878504672897196"/>
          <c:w val="0.91837258197999672"/>
          <c:h val="0.54774646159884222"/>
        </c:manualLayout>
      </c:layout>
      <c:barChart>
        <c:barDir val="col"/>
        <c:grouping val="stacked"/>
        <c:varyColors val="0"/>
        <c:ser>
          <c:idx val="6"/>
          <c:order val="6"/>
          <c:tx>
            <c:strRef>
              <c:f>'Overview of contrib MS '!$I$4</c:f>
              <c:strCache>
                <c:ptCount val="1"/>
                <c:pt idx="0">
                  <c:v>10th 11th
EDF called</c:v>
                </c:pt>
              </c:strCache>
            </c:strRef>
          </c:tx>
          <c:spPr>
            <a:solidFill>
              <a:schemeClr val="accent1">
                <a:lumMod val="60000"/>
              </a:schemeClr>
            </a:solidFill>
            <a:ln>
              <a:noFill/>
            </a:ln>
            <a:effectLst/>
          </c:spPr>
          <c:invertIfNegative val="0"/>
          <c:cat>
            <c:strRef>
              <c:f>'Overview of contrib MS '!$B$6:$B$33</c:f>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f>'Overview of contrib MS '!$I$6:$I$33</c:f>
              <c:numCache>
                <c:formatCode>#,##0.0</c:formatCode>
                <c:ptCount val="28"/>
                <c:pt idx="0">
                  <c:v>10113.96881536838</c:v>
                </c:pt>
                <c:pt idx="1">
                  <c:v>9193.7080252485703</c:v>
                </c:pt>
                <c:pt idx="2">
                  <c:v>7200.0991542335614</c:v>
                </c:pt>
                <c:pt idx="3">
                  <c:v>6214.4508048575253</c:v>
                </c:pt>
                <c:pt idx="4">
                  <c:v>3843.0986039199283</c:v>
                </c:pt>
                <c:pt idx="5">
                  <c:v>2364.1413591892015</c:v>
                </c:pt>
                <c:pt idx="6">
                  <c:v>1662.204790603721</c:v>
                </c:pt>
                <c:pt idx="7">
                  <c:v>1396.1894876905912</c:v>
                </c:pt>
                <c:pt idx="8">
                  <c:v>1181.8858625391269</c:v>
                </c:pt>
                <c:pt idx="9">
                  <c:v>806.45943292574589</c:v>
                </c:pt>
                <c:pt idx="10">
                  <c:v>977.54420735561246</c:v>
                </c:pt>
                <c:pt idx="11">
                  <c:v>731.3403602930324</c:v>
                </c:pt>
                <c:pt idx="12">
                  <c:v>727.6538814434914</c:v>
                </c:pt>
                <c:pt idx="13">
                  <c:v>573.79254628826027</c:v>
                </c:pt>
                <c:pt idx="14">
                  <c:v>450.13141732658119</c:v>
                </c:pt>
                <c:pt idx="15">
                  <c:v>319.01492295385759</c:v>
                </c:pt>
                <c:pt idx="16">
                  <c:v>268.3904352770025</c:v>
                </c:pt>
                <c:pt idx="17">
                  <c:v>279.0795083072922</c:v>
                </c:pt>
                <c:pt idx="18">
                  <c:v>144.00923831555016</c:v>
                </c:pt>
                <c:pt idx="19">
                  <c:v>128.73635287849132</c:v>
                </c:pt>
                <c:pt idx="20">
                  <c:v>59.595533149116598</c:v>
                </c:pt>
                <c:pt idx="21">
                  <c:v>97.525783135790405</c:v>
                </c:pt>
                <c:pt idx="22">
                  <c:v>87.472724999670078</c:v>
                </c:pt>
                <c:pt idx="23">
                  <c:v>73.245384536596887</c:v>
                </c:pt>
                <c:pt idx="24">
                  <c:v>45.550588362421394</c:v>
                </c:pt>
                <c:pt idx="25">
                  <c:v>48.593510889258397</c:v>
                </c:pt>
                <c:pt idx="26">
                  <c:v>33.437859809204497</c:v>
                </c:pt>
                <c:pt idx="27">
                  <c:v>16.410445002416701</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DAB-4F78-8445-B8CC0A266CC2}"/>
            </c:ext>
          </c:extLst>
        </c:ser>
        <c:ser>
          <c:idx val="7"/>
          <c:order val="7"/>
          <c:tx>
            <c:strRef>
              <c:f>'Overview of contrib MS '!$J$4</c:f>
              <c:strCache>
                <c:ptCount val="1"/>
                <c:pt idx="0">
                  <c:v>11th
EDF uncalled</c:v>
                </c:pt>
              </c:strCache>
            </c:strRef>
          </c:tx>
          <c:spPr>
            <a:solidFill>
              <a:schemeClr val="accent2">
                <a:lumMod val="60000"/>
              </a:schemeClr>
            </a:solidFill>
            <a:ln>
              <a:noFill/>
            </a:ln>
            <a:effectLst/>
          </c:spPr>
          <c:invertIfNegative val="0"/>
          <c:cat>
            <c:strRef>
              <c:f>'Overview of contrib MS '!$B$6:$B$33</c:f>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f>'Overview of contrib MS '!$J$6:$J$33</c:f>
              <c:numCache>
                <c:formatCode>#,##0.0</c:formatCode>
                <c:ptCount val="28"/>
                <c:pt idx="0">
                  <c:v>831.47927204747214</c:v>
                </c:pt>
                <c:pt idx="1">
                  <c:v>719.68058554540482</c:v>
                </c:pt>
                <c:pt idx="2">
                  <c:v>593.05572805671159</c:v>
                </c:pt>
                <c:pt idx="3">
                  <c:v>506.24933730596632</c:v>
                </c:pt>
                <c:pt idx="4">
                  <c:v>320.49352743618238</c:v>
                </c:pt>
                <c:pt idx="5">
                  <c:v>192.99475977079103</c:v>
                </c:pt>
                <c:pt idx="6">
                  <c:v>131.27924733406991</c:v>
                </c:pt>
                <c:pt idx="7">
                  <c:v>118.74794911842956</c:v>
                </c:pt>
                <c:pt idx="8">
                  <c:v>96.868276576199108</c:v>
                </c:pt>
                <c:pt idx="9">
                  <c:v>81.101935001884115</c:v>
                </c:pt>
                <c:pt idx="10">
                  <c:v>80.015506677733683</c:v>
                </c:pt>
                <c:pt idx="11">
                  <c:v>60.971294893736719</c:v>
                </c:pt>
                <c:pt idx="12">
                  <c:v>60.900994213780564</c:v>
                </c:pt>
                <c:pt idx="13">
                  <c:v>48.353534922287686</c:v>
                </c:pt>
                <c:pt idx="14">
                  <c:v>37.980952413577818</c:v>
                </c:pt>
                <c:pt idx="15">
                  <c:v>32.219124845443467</c:v>
                </c:pt>
                <c:pt idx="16">
                  <c:v>29.015191557784448</c:v>
                </c:pt>
                <c:pt idx="17">
                  <c:v>24.829876939012845</c:v>
                </c:pt>
                <c:pt idx="18">
                  <c:v>15.197875731220819</c:v>
                </c:pt>
                <c:pt idx="19">
                  <c:v>10.306322097716693</c:v>
                </c:pt>
                <c:pt idx="20">
                  <c:v>9.0978776508833974</c:v>
                </c:pt>
                <c:pt idx="21">
                  <c:v>9.0712118757276112</c:v>
                </c:pt>
                <c:pt idx="22">
                  <c:v>8.8291997648439207</c:v>
                </c:pt>
                <c:pt idx="23">
                  <c:v>7.3035942044151012</c:v>
                </c:pt>
                <c:pt idx="24">
                  <c:v>4.6915603198356006</c:v>
                </c:pt>
                <c:pt idx="25">
                  <c:v>4.5097482165006042</c:v>
                </c:pt>
                <c:pt idx="26">
                  <c:v>3.4887722495505042</c:v>
                </c:pt>
                <c:pt idx="27">
                  <c:v>1.5357062328363009</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DAB-4F78-8445-B8CC0A266CC2}"/>
            </c:ext>
          </c:extLst>
        </c:ser>
        <c:dLbls>
          <c:showLegendKey val="0"/>
          <c:showVal val="0"/>
          <c:showCatName val="0"/>
          <c:showSerName val="0"/>
          <c:showPercent val="0"/>
          <c:showBubbleSize val="0"/>
        </c:dLbls>
        <c:gapWidth val="150"/>
        <c:overlap val="100"/>
        <c:axId val="1449794416"/>
        <c:axId val="1449801136"/>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BarSeries>
              <c15:ser>
                <c:idx val="0"/>
                <c:order val="0"/>
                <c:tx>
                  <c:strRef>
                    <c:extLst xmlns:c16r3="http://schemas.microsoft.com/office/drawing/2017/03/chart" xmlns:c16="http://schemas.microsoft.com/office/drawing/2014/chart" xmlns:c14="http://schemas.microsoft.com/office/drawing/2007/8/2/chart" xmlns:mc="http://schemas.openxmlformats.org/markup-compatibility/2006">
                      <c:ext uri="{02D57815-91ED-43cb-92C2-25804820EDAC}">
                        <c15:formulaRef>
                          <c15:sqref>'Overview of contrib MS '!$G$4</c15:sqref>
                        </c15:formulaRef>
                      </c:ext>
                    </c:extLst>
                    <c:strCache>
                      <c:ptCount val="1"/>
                      <c:pt idx="0">
                        <c:v>10th EDF</c:v>
                      </c:pt>
                    </c:strCache>
                  </c:strRef>
                </c:tx>
                <c:spPr>
                  <a:solidFill>
                    <a:schemeClr val="accent1"/>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c:ext uri="{02D57815-91ED-43cb-92C2-25804820EDAC}">
                        <c15:formulaRef>
                          <c15:sqref>'Overview of contrib MS '!$B$6:$B$33</c15:sqref>
                        </c15:formulaRef>
                      </c:ext>
                    </c:extLst>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extLst xmlns:c16r3="http://schemas.microsoft.com/office/drawing/2017/03/chart" xmlns:c16="http://schemas.microsoft.com/office/drawing/2014/chart" xmlns:c14="http://schemas.microsoft.com/office/drawing/2007/8/2/chart" xmlns:mc="http://schemas.openxmlformats.org/markup-compatibility/2006">
                      <c:ext uri="{02D57815-91ED-43cb-92C2-25804820EDAC}">
                        <c15:formulaRef>
                          <c15:sqref>'Overview of contrib MS '!$C$6:$C$33</c15:sqref>
                        </c15:formulaRef>
                      </c:ext>
                    </c:extLst>
                    <c:numCache>
                      <c:formatCode>0.00</c:formatCode>
                      <c:ptCount val="28"/>
                      <c:pt idx="0">
                        <c:v>23.36</c:v>
                      </c:pt>
                      <c:pt idx="1">
                        <c:v>24.3</c:v>
                      </c:pt>
                      <c:pt idx="2">
                        <c:v>12.69</c:v>
                      </c:pt>
                      <c:pt idx="3">
                        <c:v>12.54</c:v>
                      </c:pt>
                      <c:pt idx="4">
                        <c:v>5.84</c:v>
                      </c:pt>
                      <c:pt idx="5">
                        <c:v>5.22</c:v>
                      </c:pt>
                      <c:pt idx="6">
                        <c:v>3.92</c:v>
                      </c:pt>
                      <c:pt idx="7">
                        <c:v>2.73</c:v>
                      </c:pt>
                      <c:pt idx="8">
                        <c:v>2.65</c:v>
                      </c:pt>
                      <c:pt idx="10">
                        <c:v>2.14</c:v>
                      </c:pt>
                      <c:pt idx="11">
                        <c:v>1.48</c:v>
                      </c:pt>
                      <c:pt idx="12">
                        <c:v>1.25</c:v>
                      </c:pt>
                      <c:pt idx="13">
                        <c:v>0.97</c:v>
                      </c:pt>
                      <c:pt idx="14">
                        <c:v>0.62</c:v>
                      </c:pt>
                      <c:pt idx="19">
                        <c:v>0.28999999999999998</c:v>
                      </c:pt>
                    </c:numCache>
                  </c:numRef>
                </c:val>
                <c:extLst xmlns:c16r3="http://schemas.microsoft.com/office/drawing/2017/03/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2DAB-4F78-8445-B8CC0A266CC2}"/>
                  </c:ext>
                </c:extLst>
              </c15:ser>
            </c15:filteredBarSeries>
            <c15:filteredBarSeries>
              <c15:ser>
                <c:idx val="1"/>
                <c:order val="1"/>
                <c:spPr>
                  <a:solidFill>
                    <a:schemeClr val="accent2"/>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'!$B$6:$B$33</c15:sqref>
                        </c15:formulaRef>
                      </c:ext>
                    </c:extLst>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'!$D$6:$D$33</c15:sqref>
                        </c15:formulaRef>
                      </c:ext>
                    </c:extLst>
                    <c:numCache>
                      <c:formatCode>0.00</c:formatCode>
                      <c:ptCount val="28"/>
                      <c:pt idx="0">
                        <c:v>20.5</c:v>
                      </c:pt>
                      <c:pt idx="1">
                        <c:v>19.55</c:v>
                      </c:pt>
                      <c:pt idx="2">
                        <c:v>14.82</c:v>
                      </c:pt>
                      <c:pt idx="3">
                        <c:v>12.86</c:v>
                      </c:pt>
                      <c:pt idx="4">
                        <c:v>7.85</c:v>
                      </c:pt>
                      <c:pt idx="5">
                        <c:v>4.8499999999999996</c:v>
                      </c:pt>
                      <c:pt idx="6">
                        <c:v>3.53</c:v>
                      </c:pt>
                      <c:pt idx="7">
                        <c:v>2.74</c:v>
                      </c:pt>
                      <c:pt idx="8">
                        <c:v>2.41</c:v>
                      </c:pt>
                      <c:pt idx="9">
                        <c:v>1.3</c:v>
                      </c:pt>
                      <c:pt idx="10">
                        <c:v>2</c:v>
                      </c:pt>
                      <c:pt idx="11">
                        <c:v>1.47</c:v>
                      </c:pt>
                      <c:pt idx="12">
                        <c:v>1.47</c:v>
                      </c:pt>
                      <c:pt idx="13">
                        <c:v>1.1499999999999999</c:v>
                      </c:pt>
                      <c:pt idx="14">
                        <c:v>0.91</c:v>
                      </c:pt>
                      <c:pt idx="15">
                        <c:v>0.51</c:v>
                      </c:pt>
                      <c:pt idx="16">
                        <c:v>0.37</c:v>
                      </c:pt>
                      <c:pt idx="17">
                        <c:v>0.55000000000000004</c:v>
                      </c:pt>
                      <c:pt idx="18">
                        <c:v>0.21</c:v>
                      </c:pt>
                      <c:pt idx="19">
                        <c:v>0.27</c:v>
                      </c:pt>
                      <c:pt idx="21">
                        <c:v>0.18</c:v>
                      </c:pt>
                      <c:pt idx="22">
                        <c:v>0.14000000000000001</c:v>
                      </c:pt>
                      <c:pt idx="23">
                        <c:v>0.12</c:v>
                      </c:pt>
                      <c:pt idx="24">
                        <c:v>7.0000000000000007E-2</c:v>
                      </c:pt>
                      <c:pt idx="25">
                        <c:v>0.09</c:v>
                      </c:pt>
                      <c:pt idx="26">
                        <c:v>0.05</c:v>
                      </c:pt>
                      <c:pt idx="27">
                        <c:v>0.03</c:v>
                      </c:pt>
                    </c:numCache>
                  </c:numRef>
                </c:val>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3-2DAB-4F78-8445-B8CC0A266CC2}"/>
                  </c:ext>
                </c:extLst>
              </c15:ser>
            </c15:filteredBarSeries>
            <c15:filteredBarSeries>
              <c15:ser>
                <c:idx val="2"/>
                <c:order val="2"/>
                <c:spPr>
                  <a:solidFill>
                    <a:schemeClr val="accent3"/>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'!$B$6:$B$33</c15:sqref>
                        </c15:formulaRef>
                      </c:ext>
                    </c:extLst>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'!$E$6:$E$33</c15:sqref>
                        </c15:formulaRef>
                      </c:ext>
                    </c:extLst>
                    <c:numCache>
                      <c:formatCode>0.00000</c:formatCode>
                      <c:ptCount val="28"/>
                      <c:pt idx="0">
                        <c:v>20.579799999999999</c:v>
                      </c:pt>
                      <c:pt idx="1">
                        <c:v>17.81269</c:v>
                      </c:pt>
                      <c:pt idx="2">
                        <c:v>14.67862</c:v>
                      </c:pt>
                      <c:pt idx="3">
                        <c:v>12.53009</c:v>
                      </c:pt>
                      <c:pt idx="4">
                        <c:v>7.93248</c:v>
                      </c:pt>
                      <c:pt idx="5">
                        <c:v>4.7767799999999996</c:v>
                      </c:pt>
                      <c:pt idx="6">
                        <c:v>3.2492700000000001</c:v>
                      </c:pt>
                      <c:pt idx="7">
                        <c:v>2.9391099999999999</c:v>
                      </c:pt>
                      <c:pt idx="8">
                        <c:v>2.39757</c:v>
                      </c:pt>
                      <c:pt idx="9">
                        <c:v>2.0073400000000001</c:v>
                      </c:pt>
                      <c:pt idx="10">
                        <c:v>1.98045</c:v>
                      </c:pt>
                      <c:pt idx="11">
                        <c:v>1.50909</c:v>
                      </c:pt>
                      <c:pt idx="12">
                        <c:v>1.50735</c:v>
                      </c:pt>
                      <c:pt idx="13">
                        <c:v>1.19679</c:v>
                      </c:pt>
                      <c:pt idx="14">
                        <c:v>0.94006000000000001</c:v>
                      </c:pt>
                      <c:pt idx="15">
                        <c:v>0.79744999999999999</c:v>
                      </c:pt>
                      <c:pt idx="16">
                        <c:v>0.71814999999999996</c:v>
                      </c:pt>
                      <c:pt idx="17">
                        <c:v>0.61456</c:v>
                      </c:pt>
                      <c:pt idx="18">
                        <c:v>0.37615999999999999</c:v>
                      </c:pt>
                      <c:pt idx="19">
                        <c:v>0.25508999999999998</c:v>
                      </c:pt>
                      <c:pt idx="20">
                        <c:v>0.22517999999999999</c:v>
                      </c:pt>
                      <c:pt idx="21">
                        <c:v>0.22452</c:v>
                      </c:pt>
                      <c:pt idx="22">
                        <c:v>0.21853</c:v>
                      </c:pt>
                      <c:pt idx="23">
                        <c:v>0.18076999999999999</c:v>
                      </c:pt>
                      <c:pt idx="24">
                        <c:v>0.11612</c:v>
                      </c:pt>
                      <c:pt idx="25">
                        <c:v>0.11162</c:v>
                      </c:pt>
                      <c:pt idx="26">
                        <c:v>8.6349999999999996E-2</c:v>
                      </c:pt>
                      <c:pt idx="27">
                        <c:v>3.8010000000000002E-2</c:v>
                      </c:pt>
                    </c:numCache>
                  </c:numRef>
                </c:val>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4-2DAB-4F78-8445-B8CC0A266CC2}"/>
                  </c:ext>
                </c:extLst>
              </c15:ser>
            </c15:filteredBarSeries>
            <c15:filteredBarSeries>
              <c15:ser>
                <c:idx val="3"/>
                <c:order val="3"/>
                <c:spPr>
                  <a:solidFill>
                    <a:schemeClr val="accent4"/>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'!$B$6:$B$33</c15:sqref>
                        </c15:formulaRef>
                      </c:ext>
                    </c:extLst>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'!$F$6:$F$33</c15:sqref>
                        </c15:formulaRef>
                      </c:ext>
                    </c:extLst>
                    <c:numCache>
                      <c:formatCode>General</c:formatCode>
                      <c:ptCount val="28"/>
                    </c:numCache>
                  </c:numRef>
                </c:val>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5-2DAB-4F78-8445-B8CC0A266CC2}"/>
                  </c:ext>
                </c:extLst>
              </c15:ser>
            </c15:filteredBarSeries>
            <c15:filteredBarSeries>
              <c15:ser>
                <c:idx val="4"/>
                <c:order val="4"/>
                <c:spPr>
                  <a:solidFill>
                    <a:schemeClr val="accent5"/>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'!$B$6:$B$33</c15:sqref>
                        </c15:formulaRef>
                      </c:ext>
                    </c:extLst>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'!$G$6:$G$33</c15:sqref>
                        </c15:formulaRef>
                      </c:ext>
                    </c:extLst>
                    <c:numCache>
                      <c:formatCode>#,##0</c:formatCode>
                      <c:ptCount val="28"/>
                      <c:pt idx="0">
                        <c:v>4667374.2994158538</c:v>
                      </c:pt>
                      <c:pt idx="1">
                        <c:v>4479449.3993939748</c:v>
                      </c:pt>
                      <c:pt idx="2">
                        <c:v>3315295.065090273</c:v>
                      </c:pt>
                      <c:pt idx="3">
                        <c:v>2898270.8867634917</c:v>
                      </c:pt>
                      <c:pt idx="4">
                        <c:v>1743709.782556111</c:v>
                      </c:pt>
                      <c:pt idx="5">
                        <c:v>1099931.6121599928</c:v>
                      </c:pt>
                      <c:pt idx="6">
                        <c:v>802261.73173779109</c:v>
                      </c:pt>
                      <c:pt idx="7">
                        <c:v>618332.54020902095</c:v>
                      </c:pt>
                      <c:pt idx="8">
                        <c:v>547351.43491532595</c:v>
                      </c:pt>
                      <c:pt idx="9">
                        <c:v>275202.22752762999</c:v>
                      </c:pt>
                      <c:pt idx="10">
                        <c:v>453403.63703334605</c:v>
                      </c:pt>
                      <c:pt idx="11">
                        <c:v>331948.65978676901</c:v>
                      </c:pt>
                      <c:pt idx="12">
                        <c:v>328722.68465727201</c:v>
                      </c:pt>
                      <c:pt idx="13">
                        <c:v>257053.323810548</c:v>
                      </c:pt>
                      <c:pt idx="14">
                        <c:v>201337.66614015901</c:v>
                      </c:pt>
                      <c:pt idx="15">
                        <c:v>107963.950799301</c:v>
                      </c:pt>
                      <c:pt idx="16">
                        <c:v>78326.787834786999</c:v>
                      </c:pt>
                      <c:pt idx="17">
                        <c:v>116431.71164630502</c:v>
                      </c:pt>
                      <c:pt idx="18">
                        <c:v>44455.744446770994</c:v>
                      </c:pt>
                      <c:pt idx="19">
                        <c:v>61224.919576208005</c:v>
                      </c:pt>
                      <c:pt idx="20">
                        <c:v>0</c:v>
                      </c:pt>
                      <c:pt idx="21">
                        <c:v>38104.923811518005</c:v>
                      </c:pt>
                      <c:pt idx="22">
                        <c:v>29637.162964513998</c:v>
                      </c:pt>
                      <c:pt idx="23">
                        <c:v>25403.282541011999</c:v>
                      </c:pt>
                      <c:pt idx="24">
                        <c:v>14818.581482256999</c:v>
                      </c:pt>
                      <c:pt idx="25">
                        <c:v>19052.461905759003</c:v>
                      </c:pt>
                      <c:pt idx="26">
                        <c:v>10584.701058755001</c:v>
                      </c:pt>
                      <c:pt idx="27">
                        <c:v>6350.8206352529996</c:v>
                      </c:pt>
                    </c:numCache>
                  </c:numRef>
                </c:val>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6-2DAB-4F78-8445-B8CC0A266CC2}"/>
                  </c:ext>
                </c:extLst>
              </c15:ser>
            </c15:filteredBarSeries>
            <c15:filteredBarSeries>
              <c15:ser>
                <c:idx val="5"/>
                <c:order val="5"/>
                <c:spPr>
                  <a:solidFill>
                    <a:schemeClr val="accent6"/>
                  </a:solidFill>
                  <a:ln>
                    <a:noFill/>
                  </a:ln>
                  <a:effectLst/>
                </c:spPr>
                <c:invertIfNegative val="0"/>
                <c:cat>
                  <c:str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'!$B$6:$B$33</c15:sqref>
                        </c15:formulaRef>
                      </c:ext>
                    </c:extLst>
                    <c:strCache>
                      <c:ptCount val="28"/>
                      <c:pt idx="0">
                        <c:v>DE</c:v>
                      </c:pt>
                      <c:pt idx="1">
                        <c:v>FR</c:v>
                      </c:pt>
                      <c:pt idx="2">
                        <c:v>UK</c:v>
                      </c:pt>
                      <c:pt idx="3">
                        <c:v>IT</c:v>
                      </c:pt>
                      <c:pt idx="4">
                        <c:v>SP</c:v>
                      </c:pt>
                      <c:pt idx="5">
                        <c:v>NL</c:v>
                      </c:pt>
                      <c:pt idx="6">
                        <c:v>BE</c:v>
                      </c:pt>
                      <c:pt idx="7">
                        <c:v>SE</c:v>
                      </c:pt>
                      <c:pt idx="8">
                        <c:v>AT</c:v>
                      </c:pt>
                      <c:pt idx="9">
                        <c:v>PL</c:v>
                      </c:pt>
                      <c:pt idx="10">
                        <c:v>DK</c:v>
                      </c:pt>
                      <c:pt idx="11">
                        <c:v>FI</c:v>
                      </c:pt>
                      <c:pt idx="12">
                        <c:v>GR</c:v>
                      </c:pt>
                      <c:pt idx="13">
                        <c:v>PT</c:v>
                      </c:pt>
                      <c:pt idx="14">
                        <c:v>IE</c:v>
                      </c:pt>
                      <c:pt idx="15">
                        <c:v>CZ</c:v>
                      </c:pt>
                      <c:pt idx="16">
                        <c:v>RO</c:v>
                      </c:pt>
                      <c:pt idx="17">
                        <c:v>HU</c:v>
                      </c:pt>
                      <c:pt idx="18">
                        <c:v>SK</c:v>
                      </c:pt>
                      <c:pt idx="19">
                        <c:v>LU</c:v>
                      </c:pt>
                      <c:pt idx="20">
                        <c:v>HR</c:v>
                      </c:pt>
                      <c:pt idx="21">
                        <c:v>SI</c:v>
                      </c:pt>
                      <c:pt idx="22">
                        <c:v>BG</c:v>
                      </c:pt>
                      <c:pt idx="23">
                        <c:v>LT</c:v>
                      </c:pt>
                      <c:pt idx="24">
                        <c:v>LV</c:v>
                      </c:pt>
                      <c:pt idx="25">
                        <c:v>CY</c:v>
                      </c:pt>
                      <c:pt idx="26">
                        <c:v>EE</c:v>
                      </c:pt>
                      <c:pt idx="27">
                        <c:v>MT</c:v>
                      </c:pt>
                    </c:strCache>
                  </c:strRef>
                </c:cat>
                <c:val>
                  <c:numRef>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5="http://schemas.microsoft.com/office/drawing/2012/chart" uri="{02D57815-91ED-43cb-92C2-25804820EDAC}">
                        <c15:formulaRef>
                          <c15:sqref>'Overview of contrib MS '!$H$6:$H$33</c15:sqref>
                        </c15:formulaRef>
                      </c:ext>
                    </c:extLst>
                    <c:numCache>
                      <c:formatCode>_(* #,##0.00_);_(* \(#,##0.00\);_(* "-"??_);_(@_)</c:formatCode>
                      <c:ptCount val="28"/>
                      <c:pt idx="0">
                        <c:v>5446594.5159525275</c:v>
                      </c:pt>
                      <c:pt idx="1">
                        <c:v>4714258.6258545956</c:v>
                      </c:pt>
                      <c:pt idx="2">
                        <c:v>3884804.0891432888</c:v>
                      </c:pt>
                      <c:pt idx="3">
                        <c:v>3316179.9180940334</c:v>
                      </c:pt>
                      <c:pt idx="4">
                        <c:v>2099388.8213638174</c:v>
                      </c:pt>
                      <c:pt idx="5">
                        <c:v>1264209.7470292088</c:v>
                      </c:pt>
                      <c:pt idx="6">
                        <c:v>859943.05886593007</c:v>
                      </c:pt>
                      <c:pt idx="7">
                        <c:v>777856.94748157042</c:v>
                      </c:pt>
                      <c:pt idx="8">
                        <c:v>634534.42762380093</c:v>
                      </c:pt>
                      <c:pt idx="9">
                        <c:v>531257.20539811591</c:v>
                      </c:pt>
                      <c:pt idx="10">
                        <c:v>524140.57032226637</c:v>
                      </c:pt>
                      <c:pt idx="11">
                        <c:v>399391.7005062633</c:v>
                      </c:pt>
                      <c:pt idx="12">
                        <c:v>398931.19678621943</c:v>
                      </c:pt>
                      <c:pt idx="13">
                        <c:v>316739.22247771232</c:v>
                      </c:pt>
                      <c:pt idx="14">
                        <c:v>248793.75118642219</c:v>
                      </c:pt>
                      <c:pt idx="15">
                        <c:v>211050.97215455654</c:v>
                      </c:pt>
                      <c:pt idx="16">
                        <c:v>190063.64744221553</c:v>
                      </c:pt>
                      <c:pt idx="17">
                        <c:v>162647.79666098717</c:v>
                      </c:pt>
                      <c:pt idx="18">
                        <c:v>99553.493868779187</c:v>
                      </c:pt>
                      <c:pt idx="19">
                        <c:v>67511.433302283302</c:v>
                      </c:pt>
                      <c:pt idx="20">
                        <c:v>59595.5331491166</c:v>
                      </c:pt>
                      <c:pt idx="21">
                        <c:v>59420.859324272395</c:v>
                      </c:pt>
                      <c:pt idx="22">
                        <c:v>57835.562035156086</c:v>
                      </c:pt>
                      <c:pt idx="23">
                        <c:v>47842.101995584897</c:v>
                      </c:pt>
                      <c:pt idx="24">
                        <c:v>30732.006880164397</c:v>
                      </c:pt>
                      <c:pt idx="25">
                        <c:v>29541.048983499397</c:v>
                      </c:pt>
                      <c:pt idx="26">
                        <c:v>22853.158750449496</c:v>
                      </c:pt>
                      <c:pt idx="27">
                        <c:v>10059.6243671637</c:v>
                      </c:pt>
                    </c:numCache>
                  </c:numRef>
                </c:val>
                <c:extLst xmlns:c16r3="http://schemas.microsoft.com/office/drawing/2017/03/chart" xmlns:c16="http://schemas.microsoft.com/office/drawing/2014/chart" xmlns:c14="http://schemas.microsoft.com/office/drawing/2007/8/2/chart" xmlns:mc="http://schemas.openxmlformats.org/markup-compatibility/2006" xmlns:c15="http://schemas.microsoft.com/office/drawing/2012/chart">
                  <c:ext xmlns:c16="http://schemas.microsoft.com/office/drawing/2014/chart" uri="{C3380CC4-5D6E-409C-BE32-E72D297353CC}">
                    <c16:uniqueId val="{00000007-2DAB-4F78-8445-B8CC0A266CC2}"/>
                  </c:ext>
                </c:extLst>
              </c15:ser>
            </c15:filteredBarSeries>
          </c:ext>
        </c:extLst>
      </c:barChart>
      <c:catAx>
        <c:axId val="144979441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9801136"/>
        <c:crosses val="autoZero"/>
        <c:auto val="0"/>
        <c:lblAlgn val="ctr"/>
        <c:lblOffset val="100"/>
        <c:noMultiLvlLbl val="0"/>
      </c:catAx>
      <c:valAx>
        <c:axId val="1449801136"/>
        <c:scaling>
          <c:orientation val="minMax"/>
        </c:scaling>
        <c:delete val="0"/>
        <c:axPos val="l"/>
        <c:majorGridlines>
          <c:spPr>
            <a:ln w="9525">
              <a:solidFill>
                <a:schemeClr val="tx1">
                  <a:lumMod val="15000"/>
                  <a:lumOff val="85000"/>
                </a:schemeClr>
              </a:solidFill>
              <a:round/>
            </a:ln>
            <a:effectLst/>
          </c:spPr>
        </c:majorGridlines>
        <c:numFmt formatCode="#,##0.0" sourceLinked="1"/>
        <c:majorTickMark val="none"/>
        <c:minorTickMark val="none"/>
        <c:tickLblPos val="nextTo"/>
        <c:spPr>
          <a:noFill/>
          <a:ln w="9525">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9794416"/>
        <c:crosses val="autoZero"/>
        <c:crossBetween val="between"/>
      </c:valAx>
      <c:spPr>
        <a:noFill/>
        <a:ln>
          <a:noFill/>
        </a:ln>
        <a:effectLst/>
      </c:spPr>
    </c:plotArea>
    <c:legend>
      <c:legendPos val="b"/>
      <c:layout>
        <c:manualLayout>
          <c:xMode val="edge"/>
          <c:yMode val="edge"/>
          <c:x val="0.14741570341660837"/>
          <c:y val="0.82199843010277918"/>
          <c:w val="0.58258241501782859"/>
          <c:h val="0.1292699977923320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clip" vert="horz" wrap="square" anchor="ctr" anchorCtr="1"/>
          <a:lstStyle/>
          <a:p>
            <a:pPr>
              <a:defRPr sz="11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r>
              <a:rPr lang="en-GB" sz="1100">
                <a:latin typeface="Verdana" panose="020B0604030504040204" pitchFamily="34" charset="0"/>
                <a:ea typeface="Verdana" panose="020B0604030504040204" pitchFamily="34" charset="0"/>
              </a:rPr>
              <a:t>Implementation rate (%) for the 10th and 11th EDF</a:t>
            </a:r>
          </a:p>
        </c:rich>
      </c:tx>
      <c:overlay val="0"/>
      <c:spPr>
        <a:noFill/>
        <a:ln>
          <a:noFill/>
        </a:ln>
        <a:effectLst/>
      </c:spPr>
      <c:txPr>
        <a:bodyPr rot="0" spcFirstLastPara="1" vertOverflow="clip" vert="horz" wrap="square" anchor="ctr" anchorCtr="1"/>
        <a:lstStyle/>
        <a:p>
          <a:pPr>
            <a:defRPr sz="1100" b="0" i="0" u="none" strike="noStrike" kern="1200" spc="0" baseline="0">
              <a:solidFill>
                <a:schemeClr val="tx1">
                  <a:lumMod val="65000"/>
                  <a:lumOff val="35000"/>
                </a:schemeClr>
              </a:solidFill>
              <a:latin typeface="Verdana" panose="020B0604030504040204" pitchFamily="34" charset="0"/>
              <a:ea typeface="Verdana" panose="020B0604030504040204" pitchFamily="34" charset="0"/>
              <a:cs typeface="+mn-cs"/>
            </a:defRPr>
          </a:pPr>
          <a:endParaRPr lang="en-US"/>
        </a:p>
      </c:txPr>
    </c:title>
    <c:autoTitleDeleted val="0"/>
    <c:plotArea>
      <c:layout>
        <c:manualLayout>
          <c:layoutTarget val="inner"/>
          <c:xMode val="edge"/>
          <c:yMode val="edge"/>
          <c:x val="8.2321851046532071E-2"/>
          <c:y val="0.25297979797979797"/>
          <c:w val="0.8823033976821878"/>
          <c:h val="0.58038694026883009"/>
        </c:manualLayout>
      </c:layout>
      <c:barChart>
        <c:barDir val="col"/>
        <c:grouping val="clustered"/>
        <c:varyColors val="0"/>
        <c:ser>
          <c:idx val="0"/>
          <c:order val="0"/>
          <c:tx>
            <c:v>Administrative</c:v>
          </c:tx>
          <c:spPr>
            <a:solidFill>
              <a:schemeClr val="accent1"/>
            </a:solidFill>
            <a:ln>
              <a:noFill/>
            </a:ln>
            <a:effectLst/>
          </c:spPr>
          <c:invertIfNegative val="0"/>
          <c:cat>
            <c:strRef>
              <c:f>'Breakdown of com,cont. paid'!$G$32:$I$32</c:f>
              <c:strCache>
                <c:ptCount val="3"/>
                <c:pt idx="0">
                  <c:v>Commitment rate</c:v>
                </c:pt>
                <c:pt idx="1">
                  <c:v>Contract rate</c:v>
                </c:pt>
                <c:pt idx="2">
                  <c:v>Payment rate</c:v>
                </c:pt>
              </c:strCache>
            </c:strRef>
          </c:cat>
          <c:val>
            <c:numRef>
              <c:f>'Breakdown of com,cont. paid'!$G$33:$I$33</c:f>
              <c:numCache>
                <c:formatCode>#,##0.0%;\(#,##0.0%\)</c:formatCode>
                <c:ptCount val="3"/>
                <c:pt idx="0">
                  <c:v>0.99119038816627181</c:v>
                </c:pt>
                <c:pt idx="1">
                  <c:v>0.9983380855270374</c:v>
                </c:pt>
                <c:pt idx="2">
                  <c:v>0.96569541258091829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742E-4952-A85E-ED5F3C826D82}"/>
            </c:ext>
          </c:extLst>
        </c:ser>
        <c:ser>
          <c:idx val="1"/>
          <c:order val="1"/>
          <c:tx>
            <c:v>Operational</c:v>
          </c:tx>
          <c:spPr>
            <a:solidFill>
              <a:schemeClr val="accent2"/>
            </a:solidFill>
            <a:ln>
              <a:noFill/>
            </a:ln>
            <a:effectLst/>
          </c:spPr>
          <c:invertIfNegative val="0"/>
          <c:cat>
            <c:strRef>
              <c:f>'Breakdown of com,cont. paid'!$G$32:$I$32</c:f>
              <c:strCache>
                <c:ptCount val="3"/>
                <c:pt idx="0">
                  <c:v>Commitment rate</c:v>
                </c:pt>
                <c:pt idx="1">
                  <c:v>Contract rate</c:v>
                </c:pt>
                <c:pt idx="2">
                  <c:v>Payment rate</c:v>
                </c:pt>
              </c:strCache>
            </c:strRef>
          </c:cat>
          <c:val>
            <c:numRef>
              <c:f>'Breakdown of com,cont. paid'!$G$34:$I$34</c:f>
              <c:numCache>
                <c:formatCode>#,##0.0%;\(#,##0.0%\)</c:formatCode>
                <c:ptCount val="3"/>
                <c:pt idx="0">
                  <c:v>0.97586441315757866</c:v>
                </c:pt>
                <c:pt idx="1">
                  <c:v>0.99444199367074293</c:v>
                </c:pt>
                <c:pt idx="2">
                  <c:v>0.94549433531040772</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742E-4952-A85E-ED5F3C826D82}"/>
            </c:ext>
          </c:extLst>
        </c:ser>
        <c:dLbls>
          <c:showLegendKey val="0"/>
          <c:showVal val="0"/>
          <c:showCatName val="0"/>
          <c:showSerName val="0"/>
          <c:showPercent val="0"/>
          <c:showBubbleSize val="0"/>
        </c:dLbls>
        <c:gapWidth val="219"/>
        <c:overlap val="-27"/>
        <c:axId val="914588160"/>
        <c:axId val="914588488"/>
      </c:barChart>
      <c:catAx>
        <c:axId val="91458816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588488"/>
        <c:crosses val="autoZero"/>
        <c:auto val="1"/>
        <c:lblAlgn val="ctr"/>
        <c:lblOffset val="100"/>
        <c:noMultiLvlLbl val="0"/>
      </c:catAx>
      <c:valAx>
        <c:axId val="914588488"/>
        <c:scaling>
          <c:orientation val="minMax"/>
        </c:scaling>
        <c:delete val="0"/>
        <c:axPos val="l"/>
        <c:majorGridlines>
          <c:spPr>
            <a:ln w="9525">
              <a:solidFill>
                <a:schemeClr val="tx1">
                  <a:lumMod val="15000"/>
                  <a:lumOff val="85000"/>
                </a:schemeClr>
              </a:solidFill>
              <a:round/>
            </a:ln>
            <a:effectLst/>
          </c:spPr>
        </c:majorGridlines>
        <c:numFmt formatCode="#,##0.0%;\(#,##0.0%\)" sourceLinked="1"/>
        <c:majorTickMark val="none"/>
        <c:minorTickMark val="none"/>
        <c:tickLblPos val="nextTo"/>
        <c:spPr>
          <a:noFill/>
          <a:ln w="12700">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14588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00" b="1" i="0" u="none" strike="noStrike" kern="1200" spc="0" baseline="0">
                <a:solidFill>
                  <a:schemeClr val="tx1">
                    <a:lumMod val="65000"/>
                    <a:lumOff val="35000"/>
                  </a:schemeClr>
                </a:solidFill>
                <a:latin typeface="+mn-lt"/>
                <a:ea typeface="+mn-ea"/>
                <a:cs typeface="+mn-cs"/>
              </a:defRPr>
            </a:pPr>
            <a:r>
              <a:rPr lang="en-GB" sz="900" b="1"/>
              <a:t>Cumulative Committed amounts per year for each sector for the 11 EDF</a:t>
            </a:r>
          </a:p>
        </c:rich>
      </c:tx>
      <c:overlay val="0"/>
      <c:spPr>
        <a:noFill/>
        <a:ln>
          <a:noFill/>
        </a:ln>
        <a:effectLst/>
      </c:spPr>
      <c:txPr>
        <a:bodyPr rot="0" spcFirstLastPara="1" vertOverflow="ellipsis" vert="horz" wrap="square" anchor="ctr" anchorCtr="1"/>
        <a:lstStyle/>
        <a:p>
          <a:pPr>
            <a:defRPr sz="9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0966028011606123E-2"/>
          <c:y val="0.14582913273394371"/>
          <c:w val="0.62581693365499746"/>
          <c:h val="0.69624599008457277"/>
        </c:manualLayout>
      </c:layout>
      <c:lineChart>
        <c:grouping val="standard"/>
        <c:varyColors val="0"/>
        <c:ser>
          <c:idx val="1"/>
          <c:order val="1"/>
          <c:tx>
            <c:strRef>
              <c:f>'committed 2025'!$F$30</c:f>
              <c:strCache>
                <c:ptCount val="1"/>
                <c:pt idx="0">
                  <c:v>Social infrastructure and services</c:v>
                </c:pt>
              </c:strCache>
            </c:strRef>
          </c:tx>
          <c:spPr>
            <a:ln w="28575" cap="rnd">
              <a:solidFill>
                <a:schemeClr val="accent2"/>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2025'!$F$31:$F$42</c:f>
              <c:numCache>
                <c:formatCode>_(* #,##0.00_);_(* \(#,##0.00\);_(* "-"??_);_(@_)</c:formatCode>
                <c:ptCount val="12"/>
                <c:pt idx="0">
                  <c:v>619.75</c:v>
                </c:pt>
                <c:pt idx="1">
                  <c:v>2230.8408956100002</c:v>
                </c:pt>
                <c:pt idx="2">
                  <c:v>3993.5710542400002</c:v>
                </c:pt>
                <c:pt idx="3">
                  <c:v>6356.2331117800004</c:v>
                </c:pt>
                <c:pt idx="4">
                  <c:v>8170.0203221100001</c:v>
                </c:pt>
                <c:pt idx="5">
                  <c:v>9983.0123700900003</c:v>
                </c:pt>
                <c:pt idx="6">
                  <c:v>11276.154449850001</c:v>
                </c:pt>
                <c:pt idx="7">
                  <c:v>11287.63467397</c:v>
                </c:pt>
                <c:pt idx="8">
                  <c:v>11287.88467397</c:v>
                </c:pt>
                <c:pt idx="9">
                  <c:v>11287.88467397</c:v>
                </c:pt>
                <c:pt idx="10">
                  <c:v>11287.88467397</c:v>
                </c:pt>
                <c:pt idx="11">
                  <c:v>11106.03684169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499-408F-9884-490E56971C01}"/>
            </c:ext>
          </c:extLst>
        </c:ser>
        <c:ser>
          <c:idx val="2"/>
          <c:order val="2"/>
          <c:tx>
            <c:strRef>
              <c:f>'committed 2025'!$G$30</c:f>
              <c:strCache>
                <c:ptCount val="1"/>
                <c:pt idx="0">
                  <c:v>Economic infrastructure and services</c:v>
                </c:pt>
              </c:strCache>
            </c:strRef>
          </c:tx>
          <c:spPr>
            <a:ln w="28575" cap="rnd">
              <a:solidFill>
                <a:schemeClr val="accent3"/>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2025'!$G$31:$G$42</c:f>
              <c:numCache>
                <c:formatCode>_(* #,##0.00_);_(* \(#,##0.00\);_(* "-"??_);_(@_)</c:formatCode>
                <c:ptCount val="12"/>
                <c:pt idx="0">
                  <c:v>118.316</c:v>
                </c:pt>
                <c:pt idx="1">
                  <c:v>607.851</c:v>
                </c:pt>
                <c:pt idx="2">
                  <c:v>1460.7159999999999</c:v>
                </c:pt>
                <c:pt idx="3">
                  <c:v>2539.122746</c:v>
                </c:pt>
                <c:pt idx="4">
                  <c:v>3267.4252459999998</c:v>
                </c:pt>
                <c:pt idx="5">
                  <c:v>3782.8968453999996</c:v>
                </c:pt>
                <c:pt idx="6">
                  <c:v>4410.1107935499995</c:v>
                </c:pt>
                <c:pt idx="7">
                  <c:v>4410.1107935499995</c:v>
                </c:pt>
                <c:pt idx="8">
                  <c:v>4410.1107935499995</c:v>
                </c:pt>
                <c:pt idx="9">
                  <c:v>4410.1107935499995</c:v>
                </c:pt>
                <c:pt idx="10">
                  <c:v>4410.1107935499995</c:v>
                </c:pt>
                <c:pt idx="11">
                  <c:v>4378.6955879199995</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499-408F-9884-490E56971C01}"/>
            </c:ext>
          </c:extLst>
        </c:ser>
        <c:ser>
          <c:idx val="3"/>
          <c:order val="3"/>
          <c:tx>
            <c:strRef>
              <c:f>'committed 2025'!$H$30</c:f>
              <c:strCache>
                <c:ptCount val="1"/>
                <c:pt idx="0">
                  <c:v>Production sectors</c:v>
                </c:pt>
              </c:strCache>
            </c:strRef>
          </c:tx>
          <c:spPr>
            <a:ln w="28575" cap="rnd">
              <a:solidFill>
                <a:schemeClr val="accent4"/>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2025'!$H$31:$H$42</c:f>
              <c:numCache>
                <c:formatCode>_(* #,##0.00_);_(* \(#,##0.00\);_(* "-"??_);_(@_)</c:formatCode>
                <c:ptCount val="12"/>
                <c:pt idx="0">
                  <c:v>26.417999999999999</c:v>
                </c:pt>
                <c:pt idx="1">
                  <c:v>395.76800000000003</c:v>
                </c:pt>
                <c:pt idx="2">
                  <c:v>1528.4680000000001</c:v>
                </c:pt>
                <c:pt idx="3">
                  <c:v>2715.1471650000003</c:v>
                </c:pt>
                <c:pt idx="4">
                  <c:v>3399.0651650000004</c:v>
                </c:pt>
                <c:pt idx="5">
                  <c:v>3820.4755200000004</c:v>
                </c:pt>
                <c:pt idx="6">
                  <c:v>4392.9294722800005</c:v>
                </c:pt>
                <c:pt idx="7">
                  <c:v>4400.2131630900003</c:v>
                </c:pt>
                <c:pt idx="8">
                  <c:v>4493.2401130900007</c:v>
                </c:pt>
                <c:pt idx="9">
                  <c:v>4493.2401130900007</c:v>
                </c:pt>
                <c:pt idx="10">
                  <c:v>4493.2286435800006</c:v>
                </c:pt>
                <c:pt idx="11">
                  <c:v>4451.7165867000003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499-408F-9884-490E56971C01}"/>
            </c:ext>
          </c:extLst>
        </c:ser>
        <c:ser>
          <c:idx val="4"/>
          <c:order val="4"/>
          <c:tx>
            <c:strRef>
              <c:f>'committed 2025'!$I$30</c:f>
              <c:strCache>
                <c:ptCount val="1"/>
                <c:pt idx="0">
                  <c:v>Multisector/Cross-cutting</c:v>
                </c:pt>
              </c:strCache>
            </c:strRef>
          </c:tx>
          <c:spPr>
            <a:ln w="28575" cap="rnd">
              <a:solidFill>
                <a:schemeClr val="accent5"/>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2025'!$J$31:$J$39</c:f>
              <c:numCache>
                <c:formatCode>_(* #,##0.00_);_(* \(#,##0.00\);_(* "-"??_);_(@_)</c:formatCode>
                <c:ptCount val="9"/>
                <c:pt idx="0">
                  <c:v>119.7</c:v>
                </c:pt>
                <c:pt idx="1">
                  <c:v>1105.2</c:v>
                </c:pt>
                <c:pt idx="2">
                  <c:v>2113.1</c:v>
                </c:pt>
                <c:pt idx="3">
                  <c:v>2536.6</c:v>
                </c:pt>
                <c:pt idx="4">
                  <c:v>3082</c:v>
                </c:pt>
                <c:pt idx="5">
                  <c:v>3292.6</c:v>
                </c:pt>
                <c:pt idx="6">
                  <c:v>3730.8188629699998</c:v>
                </c:pt>
                <c:pt idx="7">
                  <c:v>3730.8188629699998</c:v>
                </c:pt>
                <c:pt idx="8">
                  <c:v>3733.8188629699998</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499-408F-9884-490E56971C01}"/>
            </c:ext>
          </c:extLst>
        </c:ser>
        <c:ser>
          <c:idx val="5"/>
          <c:order val="5"/>
          <c:tx>
            <c:strRef>
              <c:f>'committed 2025'!$J$30</c:f>
              <c:strCache>
                <c:ptCount val="1"/>
                <c:pt idx="0">
                  <c:v>Commodity aid and general programme assistance</c:v>
                </c:pt>
              </c:strCache>
            </c:strRef>
          </c:tx>
          <c:spPr>
            <a:ln w="28575" cap="rnd">
              <a:solidFill>
                <a:schemeClr val="accent6"/>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2025'!$J$31:$J$42</c:f>
              <c:numCache>
                <c:formatCode>_(* #,##0.00_);_(* \(#,##0.00\);_(* "-"??_);_(@_)</c:formatCode>
                <c:ptCount val="12"/>
                <c:pt idx="0">
                  <c:v>119.7</c:v>
                </c:pt>
                <c:pt idx="1">
                  <c:v>1105.2</c:v>
                </c:pt>
                <c:pt idx="2">
                  <c:v>2113.1</c:v>
                </c:pt>
                <c:pt idx="3">
                  <c:v>2536.6</c:v>
                </c:pt>
                <c:pt idx="4">
                  <c:v>3082</c:v>
                </c:pt>
                <c:pt idx="5">
                  <c:v>3292.6</c:v>
                </c:pt>
                <c:pt idx="6">
                  <c:v>3730.8188629699998</c:v>
                </c:pt>
                <c:pt idx="7">
                  <c:v>3730.8188629699998</c:v>
                </c:pt>
                <c:pt idx="8">
                  <c:v>3733.8188629699998</c:v>
                </c:pt>
                <c:pt idx="9">
                  <c:v>3733.8188629699998</c:v>
                </c:pt>
                <c:pt idx="10">
                  <c:v>3733.8188629699998</c:v>
                </c:pt>
                <c:pt idx="11">
                  <c:v>3725.3003053699999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499-408F-9884-490E56971C01}"/>
            </c:ext>
          </c:extLst>
        </c:ser>
        <c:ser>
          <c:idx val="6"/>
          <c:order val="6"/>
          <c:tx>
            <c:strRef>
              <c:f>'committed 2025'!$K$30</c:f>
              <c:strCache>
                <c:ptCount val="1"/>
                <c:pt idx="0">
                  <c:v>Action relating to debt</c:v>
                </c:pt>
              </c:strCache>
            </c:strRef>
          </c:tx>
          <c:spPr>
            <a:ln w="28575" cap="rnd">
              <a:solidFill>
                <a:schemeClr val="accent1">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2025'!$K$31:$K$42</c:f>
              <c:numCache>
                <c:formatCode>_(* #,##0.00_);_(* \(#,##0.00\);_(* "-"??_);_(@_)</c:formatCode>
                <c:ptCount val="12"/>
                <c:pt idx="0">
                  <c:v>0</c:v>
                </c:pt>
                <c:pt idx="1">
                  <c:v>0</c:v>
                </c:pt>
                <c:pt idx="2">
                  <c:v>0</c:v>
                </c:pt>
                <c:pt idx="3">
                  <c:v>0</c:v>
                </c:pt>
                <c:pt idx="4">
                  <c:v>0</c:v>
                </c:pt>
                <c:pt idx="5">
                  <c:v>0</c:v>
                </c:pt>
                <c:pt idx="6">
                  <c:v>183</c:v>
                </c:pt>
                <c:pt idx="7">
                  <c:v>183</c:v>
                </c:pt>
                <c:pt idx="8">
                  <c:v>183</c:v>
                </c:pt>
                <c:pt idx="9">
                  <c:v>183</c:v>
                </c:pt>
                <c:pt idx="10">
                  <c:v>183</c:v>
                </c:pt>
                <c:pt idx="11">
                  <c:v>183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0499-408F-9884-490E56971C01}"/>
            </c:ext>
          </c:extLst>
        </c:ser>
        <c:ser>
          <c:idx val="7"/>
          <c:order val="7"/>
          <c:tx>
            <c:strRef>
              <c:f>'committed 2025'!$L$30</c:f>
              <c:strCache>
                <c:ptCount val="1"/>
                <c:pt idx="0">
                  <c:v>Humanitarian aid</c:v>
                </c:pt>
              </c:strCache>
            </c:strRef>
          </c:tx>
          <c:spPr>
            <a:ln w="28575" cap="rnd">
              <a:solidFill>
                <a:schemeClr val="accent2">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2025'!$L$31:$L$42</c:f>
              <c:numCache>
                <c:formatCode>_(* #,##0.00_);_(* \(#,##0.00\);_(* "-"??_);_(@_)</c:formatCode>
                <c:ptCount val="12"/>
                <c:pt idx="0">
                  <c:v>108</c:v>
                </c:pt>
                <c:pt idx="1">
                  <c:v>284.375</c:v>
                </c:pt>
                <c:pt idx="2">
                  <c:v>504.375</c:v>
                </c:pt>
                <c:pt idx="3">
                  <c:v>647.36500000000001</c:v>
                </c:pt>
                <c:pt idx="4">
                  <c:v>691.19</c:v>
                </c:pt>
                <c:pt idx="5">
                  <c:v>777.09</c:v>
                </c:pt>
                <c:pt idx="6">
                  <c:v>956.06946278000009</c:v>
                </c:pt>
                <c:pt idx="7">
                  <c:v>956.06946278000009</c:v>
                </c:pt>
                <c:pt idx="8">
                  <c:v>956.06946278000009</c:v>
                </c:pt>
                <c:pt idx="9">
                  <c:v>956.06946278000009</c:v>
                </c:pt>
                <c:pt idx="10">
                  <c:v>956.06946278000009</c:v>
                </c:pt>
                <c:pt idx="11">
                  <c:v>952.89108707000014</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0499-408F-9884-490E56971C01}"/>
            </c:ext>
          </c:extLst>
        </c:ser>
        <c:ser>
          <c:idx val="8"/>
          <c:order val="8"/>
          <c:tx>
            <c:strRef>
              <c:f>'committed 2025'!$M$30</c:f>
              <c:strCache>
                <c:ptCount val="1"/>
                <c:pt idx="0">
                  <c:v>Other : Administrative costs of donors / Unallocated / Unspecified</c:v>
                </c:pt>
              </c:strCache>
            </c:strRef>
          </c:tx>
          <c:spPr>
            <a:ln w="28575" cap="rnd">
              <a:solidFill>
                <a:schemeClr val="accent3">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2025'!$M$31:$M$42</c:f>
              <c:numCache>
                <c:formatCode>_(* #,##0.00_);_(* \(#,##0.00\);_(* "-"??_);_(@_)</c:formatCode>
                <c:ptCount val="12"/>
                <c:pt idx="0">
                  <c:v>104.20425989</c:v>
                </c:pt>
                <c:pt idx="1">
                  <c:v>249.23833289000001</c:v>
                </c:pt>
                <c:pt idx="2">
                  <c:v>359.24971489000001</c:v>
                </c:pt>
                <c:pt idx="3">
                  <c:v>508.76110189000002</c:v>
                </c:pt>
                <c:pt idx="4">
                  <c:v>813.4941628900001</c:v>
                </c:pt>
                <c:pt idx="5">
                  <c:v>976.93240334000006</c:v>
                </c:pt>
                <c:pt idx="6">
                  <c:v>1165.27389423</c:v>
                </c:pt>
                <c:pt idx="7">
                  <c:v>1165.7581669900001</c:v>
                </c:pt>
                <c:pt idx="8">
                  <c:v>1179.2581669900001</c:v>
                </c:pt>
                <c:pt idx="9">
                  <c:v>1179.2581669900001</c:v>
                </c:pt>
                <c:pt idx="10">
                  <c:v>1179.2581669900001</c:v>
                </c:pt>
                <c:pt idx="11">
                  <c:v>1176.92840763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0499-408F-9884-490E56971C01}"/>
            </c:ext>
          </c:extLst>
        </c:ser>
        <c:ser>
          <c:idx val="9"/>
          <c:order val="9"/>
          <c:tx>
            <c:strRef>
              <c:f>'committed 2025'!$N$30</c:f>
              <c:strCache>
                <c:ptCount val="1"/>
                <c:pt idx="0">
                  <c:v>N/A-Not Available</c:v>
                </c:pt>
              </c:strCache>
            </c:strRef>
          </c:tx>
          <c:spPr>
            <a:ln w="28575" cap="rnd">
              <a:solidFill>
                <a:schemeClr val="accent4">
                  <a:lumMod val="60000"/>
                </a:schemeClr>
              </a:solidFill>
              <a:round/>
            </a:ln>
            <a:effectLst/>
          </c:spPr>
          <c:marker>
            <c:symbol val="none"/>
          </c:marker>
          <c:cat>
            <c:numRef>
              <c:f>'committed 2025'!$E$31:$E$42</c:f>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'committed 2025'!$N$31:$N$42</c:f>
              <c:numCache>
                <c:formatCode>_(* #,##0.00_);_(* \(#,##0.00\);_(* "-"??_);_(@_)</c:formatCode>
                <c:ptCount val="12"/>
                <c:pt idx="0">
                  <c:v>0</c:v>
                </c:pt>
                <c:pt idx="1">
                  <c:v>30</c:v>
                </c:pt>
                <c:pt idx="2">
                  <c:v>230</c:v>
                </c:pt>
                <c:pt idx="3">
                  <c:v>260.5</c:v>
                </c:pt>
                <c:pt idx="4">
                  <c:v>260.5</c:v>
                </c:pt>
                <c:pt idx="5">
                  <c:v>260.5</c:v>
                </c:pt>
                <c:pt idx="6">
                  <c:v>260.5</c:v>
                </c:pt>
                <c:pt idx="7">
                  <c:v>260.5</c:v>
                </c:pt>
                <c:pt idx="8">
                  <c:v>260.5</c:v>
                </c:pt>
                <c:pt idx="9">
                  <c:v>260.5</c:v>
                </c:pt>
                <c:pt idx="10">
                  <c:v>260.5</c:v>
                </c:pt>
                <c:pt idx="11">
                  <c:v>245.98046392999998</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0499-408F-9884-490E56971C01}"/>
            </c:ext>
          </c:extLst>
        </c:ser>
        <c:dLbls>
          <c:showLegendKey val="0"/>
          <c:showVal val="0"/>
          <c:showCatName val="0"/>
          <c:showSerName val="0"/>
          <c:showPercent val="0"/>
          <c:showBubbleSize val="0"/>
        </c:dLbls>
        <c:smooth val="0"/>
        <c:axId val="384376560"/>
        <c:axId val="384376888"/>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'committed 2025'!$E$30</c15:sqref>
                        </c15:formulaRef>
                      </c:ext>
                    </c:extLst>
                    <c:strCache>
                      <c:ptCount val="1"/>
                      <c:pt idx="0">
                        <c:v>COMMITTED Financial Year (EUR million)</c:v>
                      </c:pt>
                    </c:strCache>
                  </c:strRef>
                </c:tx>
                <c:spPr>
                  <a:ln w="28575" cap="rnd">
                    <a:solidFill>
                      <a:schemeClr val="accent1"/>
                    </a:solidFill>
                    <a:round/>
                  </a:ln>
                  <a:effectLst/>
                </c:spPr>
                <c:marker>
                  <c:symbol val="none"/>
                </c:marker>
                <c:cat>
                  <c:numRef>
                    <c:extLst xmlns:c16="http://schemas.microsoft.com/office/drawing/2014/chart" xmlns:c14="http://schemas.microsoft.com/office/drawing/2007/8/2/chart" xmlns:mc="http://schemas.openxmlformats.org/markup-compatibility/2006">
                      <c:ext uri="{02D57815-91ED-43cb-92C2-25804820EDAC}">
                        <c15:formulaRef>
                          <c15:sqref>'committed 2025'!$E$31:$E$42</c15:sqref>
                        </c15:formulaRef>
                      </c:ext>
                    </c:extLst>
                    <c:numCache>
                      <c:formatCode>##############</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extLst xmlns:c16="http://schemas.microsoft.com/office/drawing/2014/chart" xmlns:c14="http://schemas.microsoft.com/office/drawing/2007/8/2/chart" xmlns:mc="http://schemas.openxmlformats.org/markup-compatibility/2006">
                      <c:ext uri="{02D57815-91ED-43cb-92C2-25804820EDAC}">
                        <c15:formulaRef>
                          <c15:sqref>'committed 2025'!$E$31:$E$37</c15:sqref>
                        </c15:formulaRef>
                      </c:ext>
                    </c:extLst>
                    <c:numCache>
                      <c:formatCode>##############</c:formatCode>
                      <c:ptCount val="7"/>
                      <c:pt idx="0">
                        <c:v>2014</c:v>
                      </c:pt>
                      <c:pt idx="1">
                        <c:v>2015</c:v>
                      </c:pt>
                      <c:pt idx="2">
                        <c:v>2016</c:v>
                      </c:pt>
                      <c:pt idx="3">
                        <c:v>2017</c:v>
                      </c:pt>
                      <c:pt idx="4">
                        <c:v>2018</c:v>
                      </c:pt>
                      <c:pt idx="5">
                        <c:v>2019</c:v>
                      </c:pt>
                      <c:pt idx="6">
                        <c:v>2020</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0499-408F-9884-490E56971C01}"/>
                  </c:ext>
                </c:extLst>
              </c15:ser>
            </c15:filteredLineSeries>
          </c:ext>
        </c:extLst>
      </c:lineChart>
      <c:catAx>
        <c:axId val="3843765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Financial</a:t>
                </a:r>
                <a:r>
                  <a:rPr lang="en-GB" baseline="0"/>
                  <a:t> Year</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76888"/>
        <c:crosses val="autoZero"/>
        <c:auto val="1"/>
        <c:lblAlgn val="ctr"/>
        <c:lblOffset val="100"/>
        <c:noMultiLvlLbl val="0"/>
      </c:catAx>
      <c:valAx>
        <c:axId val="384376888"/>
        <c:scaling>
          <c:orientation val="minMax"/>
          <c:max val="115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EUR</a:t>
                </a:r>
                <a:r>
                  <a:rPr lang="en-GB" baseline="0"/>
                  <a:t> million</a:t>
                </a:r>
                <a:endParaRPr lang="en-GB"/>
              </a:p>
            </c:rich>
          </c:tx>
          <c:layout>
            <c:manualLayout>
              <c:xMode val="edge"/>
              <c:yMode val="edge"/>
              <c:x val="5.5121727147450618E-3"/>
              <c:y val="3.5079104695246416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76560"/>
        <c:crosses val="autoZero"/>
        <c:crossBetween val="between"/>
        <c:majorUnit val="1000"/>
      </c:valAx>
      <c:spPr>
        <a:noFill/>
        <a:ln>
          <a:noFill/>
        </a:ln>
        <a:effectLst/>
      </c:spPr>
    </c:plotArea>
    <c:legend>
      <c:legendPos val="b"/>
      <c:layout>
        <c:manualLayout>
          <c:xMode val="edge"/>
          <c:yMode val="edge"/>
          <c:x val="0.71563728167419582"/>
          <c:y val="0.12210265383493731"/>
          <c:w val="0.28013122153942976"/>
          <c:h val="0.70946844940781295"/>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en-GB" sz="1000" b="1"/>
              <a:t>Cumulative Contracted amounts per year for each sector for the 11 EDF</a:t>
            </a:r>
          </a:p>
        </c:rich>
      </c:tx>
      <c:layout>
        <c:manualLayout>
          <c:xMode val="edge"/>
          <c:yMode val="edge"/>
          <c:x val="0.16301195373631572"/>
          <c:y val="2.1052631578947368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8.4590836803706743E-2"/>
          <c:y val="0.13762527212109685"/>
          <c:w val="0.62879922141393763"/>
          <c:h val="0.74164338791386442"/>
        </c:manualLayout>
      </c:layout>
      <c:lineChart>
        <c:grouping val="standard"/>
        <c:varyColors val="0"/>
        <c:ser>
          <c:idx val="1"/>
          <c:order val="1"/>
          <c:tx>
            <c:strRef>
              <c:f>'contracted 2025'!$G$30</c:f>
              <c:strCache>
                <c:ptCount val="1"/>
                <c:pt idx="0">
                  <c:v>Social infrastructure and services</c:v>
                </c:pt>
              </c:strCache>
            </c:strRef>
          </c:tx>
          <c:spPr>
            <a:ln w="28575" cap="rnd">
              <a:solidFill>
                <a:schemeClr val="accent2"/>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2025'!$G$31:$G$42</c:f>
              <c:numCache>
                <c:formatCode>_(* #,##0.00_);_(* \(#,##0.00\);_(* "-"??_);_(@_)</c:formatCode>
                <c:ptCount val="12"/>
                <c:pt idx="0">
                  <c:v>417.3051059</c:v>
                </c:pt>
                <c:pt idx="1">
                  <c:v>2514.1756952799997</c:v>
                </c:pt>
                <c:pt idx="2">
                  <c:v>4139.4232393299999</c:v>
                </c:pt>
                <c:pt idx="3">
                  <c:v>6144.6397034699985</c:v>
                </c:pt>
                <c:pt idx="4">
                  <c:v>7605.2163863299993</c:v>
                </c:pt>
                <c:pt idx="5">
                  <c:v>9100.0310293900002</c:v>
                </c:pt>
                <c:pt idx="6">
                  <c:v>10888.77212276</c:v>
                </c:pt>
                <c:pt idx="7">
                  <c:v>11512.410283649999</c:v>
                </c:pt>
                <c:pt idx="8">
                  <c:v>11808.832290909999</c:v>
                </c:pt>
                <c:pt idx="9">
                  <c:v>11973.121925149999</c:v>
                </c:pt>
                <c:pt idx="10">
                  <c:v>12067.592498069998</c:v>
                </c:pt>
                <c:pt idx="11">
                  <c:v>11937.546158739999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0022-4CF4-A481-40479D463B9A}"/>
            </c:ext>
          </c:extLst>
        </c:ser>
        <c:ser>
          <c:idx val="2"/>
          <c:order val="2"/>
          <c:tx>
            <c:strRef>
              <c:f>'contracted 2025'!$H$30</c:f>
              <c:strCache>
                <c:ptCount val="1"/>
                <c:pt idx="0">
                  <c:v>Economic infrastructure and services</c:v>
                </c:pt>
              </c:strCache>
            </c:strRef>
          </c:tx>
          <c:spPr>
            <a:ln w="28575" cap="rnd">
              <a:solidFill>
                <a:schemeClr val="accent3"/>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2025'!$H$31:$H$42</c:f>
              <c:numCache>
                <c:formatCode>_(* #,##0.00_);_(* \(#,##0.00\);_(* "-"??_);_(@_)</c:formatCode>
                <c:ptCount val="12"/>
                <c:pt idx="0">
                  <c:v>10.31843415</c:v>
                </c:pt>
                <c:pt idx="1">
                  <c:v>237.26648083000001</c:v>
                </c:pt>
                <c:pt idx="2">
                  <c:v>560.14558370999998</c:v>
                </c:pt>
                <c:pt idx="3">
                  <c:v>2316.8212856199998</c:v>
                </c:pt>
                <c:pt idx="4">
                  <c:v>3053.9777329199997</c:v>
                </c:pt>
                <c:pt idx="5">
                  <c:v>3519.4220797499997</c:v>
                </c:pt>
                <c:pt idx="6">
                  <c:v>4186.9920632599997</c:v>
                </c:pt>
                <c:pt idx="7">
                  <c:v>4641.9521911799993</c:v>
                </c:pt>
                <c:pt idx="8">
                  <c:v>4855.813839389999</c:v>
                </c:pt>
                <c:pt idx="9">
                  <c:v>5001.2410286299992</c:v>
                </c:pt>
                <c:pt idx="10">
                  <c:v>5130.3323619599996</c:v>
                </c:pt>
                <c:pt idx="11">
                  <c:v>5150.6634491299992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0022-4CF4-A481-40479D463B9A}"/>
            </c:ext>
          </c:extLst>
        </c:ser>
        <c:ser>
          <c:idx val="3"/>
          <c:order val="3"/>
          <c:tx>
            <c:strRef>
              <c:f>'contracted 2025'!$I$30</c:f>
              <c:strCache>
                <c:ptCount val="1"/>
                <c:pt idx="0">
                  <c:v>Production sectors</c:v>
                </c:pt>
              </c:strCache>
            </c:strRef>
          </c:tx>
          <c:spPr>
            <a:ln w="28575" cap="rnd">
              <a:solidFill>
                <a:schemeClr val="accent4"/>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2025'!$I$31:$I$42</c:f>
              <c:numCache>
                <c:formatCode>_(* #,##0.00_);_(* \(#,##0.00\);_(* "-"??_);_(@_)</c:formatCode>
                <c:ptCount val="12"/>
                <c:pt idx="0">
                  <c:v>13.673999999999999</c:v>
                </c:pt>
                <c:pt idx="1">
                  <c:v>134.35885712000001</c:v>
                </c:pt>
                <c:pt idx="2">
                  <c:v>677.92579144000001</c:v>
                </c:pt>
                <c:pt idx="3">
                  <c:v>1348.65380611</c:v>
                </c:pt>
                <c:pt idx="4">
                  <c:v>2118.82476473</c:v>
                </c:pt>
                <c:pt idx="5">
                  <c:v>2701.7142638400001</c:v>
                </c:pt>
                <c:pt idx="6">
                  <c:v>3208.2278566200002</c:v>
                </c:pt>
                <c:pt idx="7">
                  <c:v>3654.9987539000003</c:v>
                </c:pt>
                <c:pt idx="8">
                  <c:v>3743.6843993900002</c:v>
                </c:pt>
                <c:pt idx="9">
                  <c:v>4033.6046172700003</c:v>
                </c:pt>
                <c:pt idx="10">
                  <c:v>4121.2276466700005</c:v>
                </c:pt>
                <c:pt idx="11">
                  <c:v>4104.6125163100005</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0022-4CF4-A481-40479D463B9A}"/>
            </c:ext>
          </c:extLst>
        </c:ser>
        <c:ser>
          <c:idx val="4"/>
          <c:order val="4"/>
          <c:tx>
            <c:strRef>
              <c:f>'contracted 2025'!$J$30</c:f>
              <c:strCache>
                <c:ptCount val="1"/>
                <c:pt idx="0">
                  <c:v>Multisector/Cross-cutting</c:v>
                </c:pt>
              </c:strCache>
            </c:strRef>
          </c:tx>
          <c:spPr>
            <a:ln w="28575" cap="rnd">
              <a:solidFill>
                <a:schemeClr val="accent5"/>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2025'!$J$31:$J$42</c:f>
              <c:numCache>
                <c:formatCode>_(* #,##0.00_);_(* \(#,##0.00\);_(* "-"??_);_(@_)</c:formatCode>
                <c:ptCount val="12"/>
                <c:pt idx="0">
                  <c:v>59</c:v>
                </c:pt>
                <c:pt idx="1">
                  <c:v>162.52641599999998</c:v>
                </c:pt>
                <c:pt idx="2">
                  <c:v>420.30492183000007</c:v>
                </c:pt>
                <c:pt idx="3">
                  <c:v>858.26278337000008</c:v>
                </c:pt>
                <c:pt idx="4">
                  <c:v>2062.2377526</c:v>
                </c:pt>
                <c:pt idx="5">
                  <c:v>2739.7093770299998</c:v>
                </c:pt>
                <c:pt idx="6">
                  <c:v>3093.1363339599998</c:v>
                </c:pt>
                <c:pt idx="7">
                  <c:v>3273.1198305399998</c:v>
                </c:pt>
                <c:pt idx="8">
                  <c:v>3396.3293303799996</c:v>
                </c:pt>
                <c:pt idx="9">
                  <c:v>3470.9801815599994</c:v>
                </c:pt>
                <c:pt idx="10">
                  <c:v>3491.9849302399994</c:v>
                </c:pt>
                <c:pt idx="11">
                  <c:v>3461.2623143799992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0022-4CF4-A481-40479D463B9A}"/>
            </c:ext>
          </c:extLst>
        </c:ser>
        <c:ser>
          <c:idx val="5"/>
          <c:order val="5"/>
          <c:tx>
            <c:strRef>
              <c:f>'contracted 2025'!$K$30</c:f>
              <c:strCache>
                <c:ptCount val="1"/>
                <c:pt idx="0">
                  <c:v>Commodity aid and general programme assistance</c:v>
                </c:pt>
              </c:strCache>
            </c:strRef>
          </c:tx>
          <c:spPr>
            <a:ln w="28575" cap="rnd">
              <a:solidFill>
                <a:schemeClr val="accent6"/>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2025'!$K$31:$K$42</c:f>
              <c:numCache>
                <c:formatCode>_(* #,##0.00_);_(* \(#,##0.00\);_(* "-"??_);_(@_)</c:formatCode>
                <c:ptCount val="12"/>
                <c:pt idx="0">
                  <c:v>111.20099999999999</c:v>
                </c:pt>
                <c:pt idx="1">
                  <c:v>739.72314425000002</c:v>
                </c:pt>
                <c:pt idx="2">
                  <c:v>1456.0142553599999</c:v>
                </c:pt>
                <c:pt idx="3">
                  <c:v>2031.84372437</c:v>
                </c:pt>
                <c:pt idx="4">
                  <c:v>2663.1584192599998</c:v>
                </c:pt>
                <c:pt idx="5">
                  <c:v>2948.1142472799997</c:v>
                </c:pt>
                <c:pt idx="6">
                  <c:v>3444.9162804699999</c:v>
                </c:pt>
                <c:pt idx="7">
                  <c:v>3533.6866682899999</c:v>
                </c:pt>
                <c:pt idx="8">
                  <c:v>3546.52436429</c:v>
                </c:pt>
                <c:pt idx="9">
                  <c:v>3558.91538356</c:v>
                </c:pt>
                <c:pt idx="10">
                  <c:v>3569.4719914900002</c:v>
                </c:pt>
                <c:pt idx="11">
                  <c:v>3566.8940028400002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0022-4CF4-A481-40479D463B9A}"/>
            </c:ext>
          </c:extLst>
        </c:ser>
        <c:ser>
          <c:idx val="6"/>
          <c:order val="6"/>
          <c:tx>
            <c:strRef>
              <c:f>'contracted 2025'!$M$30</c:f>
              <c:strCache>
                <c:ptCount val="1"/>
                <c:pt idx="0">
                  <c:v>Humanitarian aid</c:v>
                </c:pt>
              </c:strCache>
            </c:strRef>
          </c:tx>
          <c:spPr>
            <a:ln w="28575" cap="rnd">
              <a:solidFill>
                <a:schemeClr val="accent1">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2025'!$M$31:$M$42</c:f>
              <c:numCache>
                <c:formatCode>_(* #,##0.00_);_(* \(#,##0.00\);_(* "-"??_);_(@_)</c:formatCode>
                <c:ptCount val="12"/>
                <c:pt idx="0">
                  <c:v>27.618234000000001</c:v>
                </c:pt>
                <c:pt idx="1">
                  <c:v>59.894159000000002</c:v>
                </c:pt>
                <c:pt idx="2">
                  <c:v>245.03103899999999</c:v>
                </c:pt>
                <c:pt idx="3">
                  <c:v>422.08542799999998</c:v>
                </c:pt>
                <c:pt idx="4">
                  <c:v>460.40870699999999</c:v>
                </c:pt>
                <c:pt idx="5">
                  <c:v>500.98370699999998</c:v>
                </c:pt>
                <c:pt idx="6">
                  <c:v>601.22370699999999</c:v>
                </c:pt>
                <c:pt idx="7">
                  <c:v>605.76821833999998</c:v>
                </c:pt>
                <c:pt idx="8">
                  <c:v>627.61846633999994</c:v>
                </c:pt>
                <c:pt idx="9">
                  <c:v>627.71349583999995</c:v>
                </c:pt>
                <c:pt idx="10">
                  <c:v>627.72767083999997</c:v>
                </c:pt>
                <c:pt idx="11">
                  <c:v>627.61078161</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0022-4CF4-A481-40479D463B9A}"/>
            </c:ext>
          </c:extLst>
        </c:ser>
        <c:ser>
          <c:idx val="7"/>
          <c:order val="7"/>
          <c:tx>
            <c:strRef>
              <c:f>'contracted 2025'!$N$30</c:f>
              <c:strCache>
                <c:ptCount val="1"/>
                <c:pt idx="0">
                  <c:v>Other : Administrative costs of donors / Unallocated / Unspecified</c:v>
                </c:pt>
              </c:strCache>
            </c:strRef>
          </c:tx>
          <c:spPr>
            <a:ln w="28575" cap="rnd">
              <a:solidFill>
                <a:schemeClr val="accent2">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2025'!$N$31:$N$42</c:f>
              <c:numCache>
                <c:formatCode>_(* #,##0.00_);_(* \(#,##0.00\);_(* "-"??_);_(@_)</c:formatCode>
                <c:ptCount val="12"/>
                <c:pt idx="0">
                  <c:v>92.204259890000003</c:v>
                </c:pt>
                <c:pt idx="1">
                  <c:v>197.28085025000001</c:v>
                </c:pt>
                <c:pt idx="2">
                  <c:v>305.83397342000001</c:v>
                </c:pt>
                <c:pt idx="3">
                  <c:v>449.68926370000008</c:v>
                </c:pt>
                <c:pt idx="4">
                  <c:v>594.7953183300001</c:v>
                </c:pt>
                <c:pt idx="5">
                  <c:v>766.48631902000011</c:v>
                </c:pt>
                <c:pt idx="6">
                  <c:v>817.44237683000006</c:v>
                </c:pt>
                <c:pt idx="7">
                  <c:v>982.33483860000001</c:v>
                </c:pt>
                <c:pt idx="8">
                  <c:v>985.74453893999998</c:v>
                </c:pt>
                <c:pt idx="9">
                  <c:v>988.26589942999999</c:v>
                </c:pt>
                <c:pt idx="10">
                  <c:v>990.23293679999995</c:v>
                </c:pt>
                <c:pt idx="11">
                  <c:v>989.92708763999997</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0022-4CF4-A481-40479D463B9A}"/>
            </c:ext>
          </c:extLst>
        </c:ser>
        <c:ser>
          <c:idx val="8"/>
          <c:order val="8"/>
          <c:tx>
            <c:strRef>
              <c:f>'contracted 2025'!$O$30</c:f>
              <c:strCache>
                <c:ptCount val="1"/>
                <c:pt idx="0">
                  <c:v>N/A-Not Available</c:v>
                </c:pt>
              </c:strCache>
            </c:strRef>
          </c:tx>
          <c:spPr>
            <a:ln w="28575" cap="rnd">
              <a:solidFill>
                <a:schemeClr val="accent3">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'contracted 2025'!$O$31:$O$42</c:f>
              <c:numCache>
                <c:formatCode>_(* #,##0.00_);_(* \(#,##0.00\);_(* "-"??_);_(@_)</c:formatCode>
                <c:ptCount val="12"/>
                <c:pt idx="0">
                  <c:v>0</c:v>
                </c:pt>
                <c:pt idx="1">
                  <c:v>0</c:v>
                </c:pt>
                <c:pt idx="2">
                  <c:v>1.2038660000000001</c:v>
                </c:pt>
                <c:pt idx="3">
                  <c:v>1.52651048</c:v>
                </c:pt>
                <c:pt idx="4">
                  <c:v>1.57440578</c:v>
                </c:pt>
                <c:pt idx="5">
                  <c:v>1.57440578</c:v>
                </c:pt>
                <c:pt idx="6">
                  <c:v>1.57440578</c:v>
                </c:pt>
                <c:pt idx="7">
                  <c:v>1.57440578</c:v>
                </c:pt>
                <c:pt idx="8">
                  <c:v>1.57440578</c:v>
                </c:pt>
                <c:pt idx="9">
                  <c:v>1.57440578</c:v>
                </c:pt>
                <c:pt idx="10">
                  <c:v>1.57440578</c:v>
                </c:pt>
                <c:pt idx="11">
                  <c:v>1.57440578</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0022-4CF4-A481-40479D463B9A}"/>
            </c:ext>
          </c:extLst>
        </c:ser>
        <c:ser>
          <c:idx val="9"/>
          <c:order val="9"/>
          <c:tx>
            <c:strRef>
              <c:f>'contracted 2025'!$L$30</c:f>
              <c:strCache>
                <c:ptCount val="1"/>
                <c:pt idx="0">
                  <c:v>Action relating to debt</c:v>
                </c:pt>
              </c:strCache>
            </c:strRef>
          </c:tx>
          <c:spPr>
            <a:ln w="28575" cap="rnd">
              <a:solidFill>
                <a:schemeClr val="accent4">
                  <a:lumMod val="60000"/>
                </a:schemeClr>
              </a:solidFill>
              <a:round/>
            </a:ln>
            <a:effectLst/>
          </c:spPr>
          <c:marker>
            <c:symbol val="none"/>
          </c:marker>
          <c:cat>
            <c:strRef>
              <c:f>'contracted 2025'!$F$31:$F$42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Lit>
              <c:formatCode>General</c:formatCode>
              <c:ptCount val="1"/>
              <c:pt idx="0">
                <c:v>1</c:v>
              </c:pt>
            </c:numLit>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0022-4CF4-A481-40479D463B9A}"/>
            </c:ext>
          </c:extLst>
        </c:ser>
        <c:dLbls>
          <c:showLegendKey val="0"/>
          <c:showVal val="0"/>
          <c:showCatName val="0"/>
          <c:showSerName val="0"/>
          <c:showPercent val="0"/>
          <c:showBubbleSize val="0"/>
        </c:dLbls>
        <c:smooth val="0"/>
        <c:axId val="384380496"/>
        <c:axId val="384381808"/>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'contracted 2025'!$F$30</c15:sqref>
                        </c15:formulaRef>
                      </c:ext>
                    </c:extLst>
                    <c:strCache>
                      <c:ptCount val="1"/>
                      <c:pt idx="0">
                        <c:v>CONTRACTED Financial Year (EUR million)</c:v>
                      </c:pt>
                    </c:strCache>
                  </c:strRef>
                </c:tx>
                <c:spPr>
                  <a:ln w="28575" cap="rnd">
                    <a:solidFill>
                      <a:schemeClr val="accent1"/>
                    </a:solidFill>
                    <a:round/>
                  </a:ln>
                  <a:effectLst/>
                </c:spPr>
                <c:marker>
                  <c:symbol val="none"/>
                </c:marker>
                <c:cat>
                  <c:strRef>
                    <c:extLst xmlns:c16="http://schemas.microsoft.com/office/drawing/2014/chart" xmlns:c14="http://schemas.microsoft.com/office/drawing/2007/8/2/chart" xmlns:mc="http://schemas.openxmlformats.org/markup-compatibility/2006">
                      <c:ext uri="{02D57815-91ED-43cb-92C2-25804820EDAC}">
                        <c15:formulaRef>
                          <c15:sqref>'contracted 2025'!$F$31:$F$42</c15:sqref>
                        </c15:formulaRef>
                      </c:ext>
                    </c:extLst>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extLst xmlns:c16="http://schemas.microsoft.com/office/drawing/2014/chart" xmlns:c14="http://schemas.microsoft.com/office/drawing/2007/8/2/chart" xmlns:mc="http://schemas.openxmlformats.org/markup-compatibility/2006">
                      <c:ext uri="{02D57815-91ED-43cb-92C2-25804820EDAC}">
                        <c15:formulaRef>
                          <c15:sqref>'contracted 2025'!$F$31:$F$37</c15:sqref>
                        </c15:formulaRef>
                      </c:ext>
                    </c:extLst>
                    <c:numCache>
                      <c:formatCode>General</c:formatCode>
                      <c:ptCount val="7"/>
                      <c:pt idx="0">
                        <c:v>0</c:v>
                      </c:pt>
                      <c:pt idx="1">
                        <c:v>0</c:v>
                      </c:pt>
                      <c:pt idx="2">
                        <c:v>0</c:v>
                      </c:pt>
                      <c:pt idx="3">
                        <c:v>0</c:v>
                      </c:pt>
                      <c:pt idx="4">
                        <c:v>0</c:v>
                      </c:pt>
                      <c:pt idx="5">
                        <c:v>0</c:v>
                      </c:pt>
                      <c:pt idx="6">
                        <c:v>0</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0022-4CF4-A481-40479D463B9A}"/>
                  </c:ext>
                </c:extLst>
              </c15:ser>
            </c15:filteredLineSeries>
          </c:ext>
        </c:extLst>
      </c:lineChart>
      <c:catAx>
        <c:axId val="3843804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Financial 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81808"/>
        <c:crosses val="autoZero"/>
        <c:auto val="1"/>
        <c:lblAlgn val="ctr"/>
        <c:lblOffset val="100"/>
        <c:noMultiLvlLbl val="0"/>
      </c:catAx>
      <c:valAx>
        <c:axId val="384381808"/>
        <c:scaling>
          <c:orientation val="minMax"/>
          <c:max val="125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EUR</a:t>
                </a:r>
                <a:r>
                  <a:rPr lang="en-GB" baseline="0"/>
                  <a:t> million</a:t>
                </a:r>
                <a:endParaRPr lang="en-GB"/>
              </a:p>
            </c:rich>
          </c:tx>
          <c:layout>
            <c:manualLayout>
              <c:xMode val="edge"/>
              <c:yMode val="edge"/>
              <c:x val="0"/>
              <c:y val="4.981024931273989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4380496"/>
        <c:crosses val="autoZero"/>
        <c:crossBetween val="between"/>
        <c:majorUnit val="1500"/>
      </c:valAx>
      <c:spPr>
        <a:noFill/>
        <a:ln>
          <a:noFill/>
        </a:ln>
        <a:effectLst/>
      </c:spPr>
    </c:plotArea>
    <c:legend>
      <c:legendPos val="b"/>
      <c:layout>
        <c:manualLayout>
          <c:xMode val="edge"/>
          <c:yMode val="edge"/>
          <c:x val="0.73109247679379363"/>
          <c:y val="6.2843039865952133E-2"/>
          <c:w val="0.26713839710832471"/>
          <c:h val="0.87661969885343283"/>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en-GB" sz="1000" b="1"/>
              <a:t>Cumulative Paid amounts per year for each sector for the 11 EDF</a:t>
            </a:r>
          </a:p>
        </c:rich>
      </c:tx>
      <c:layout>
        <c:manualLayout>
          <c:xMode val="edge"/>
          <c:yMode val="edge"/>
          <c:x val="0.17740725391513121"/>
          <c:y val="2.0905923344947737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8050842295406561E-2"/>
          <c:y val="0.12032610967876803"/>
          <c:w val="0.61200693449322152"/>
          <c:h val="0.7112045555063069"/>
        </c:manualLayout>
      </c:layout>
      <c:lineChart>
        <c:grouping val="standard"/>
        <c:varyColors val="0"/>
        <c:ser>
          <c:idx val="1"/>
          <c:order val="1"/>
          <c:tx>
            <c:strRef>
              <c:f>'paid 2025'!$I$31</c:f>
              <c:strCache>
                <c:ptCount val="1"/>
                <c:pt idx="0">
                  <c:v>Social infrastructure and services</c:v>
                </c:pt>
              </c:strCache>
            </c:strRef>
          </c:tx>
          <c:spPr>
            <a:ln w="28575" cap="rnd">
              <a:solidFill>
                <a:schemeClr val="accent2"/>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2025'!$I$32:$I$43</c:f>
              <c:numCache>
                <c:formatCode>_(* #,##0.00_);_(* \(#,##0.00\);_(* "-"??_);_(@_)</c:formatCode>
                <c:ptCount val="12"/>
                <c:pt idx="0">
                  <c:v>301.440743</c:v>
                </c:pt>
                <c:pt idx="1">
                  <c:v>792.83915364999984</c:v>
                </c:pt>
                <c:pt idx="2">
                  <c:v>1584.32225625</c:v>
                </c:pt>
                <c:pt idx="3">
                  <c:v>2688.5250717399999</c:v>
                </c:pt>
                <c:pt idx="4">
                  <c:v>4024.0171830499999</c:v>
                </c:pt>
                <c:pt idx="5">
                  <c:v>5902.5145607700006</c:v>
                </c:pt>
                <c:pt idx="6">
                  <c:v>8298.0102957399977</c:v>
                </c:pt>
                <c:pt idx="7">
                  <c:v>9633.1545444800013</c:v>
                </c:pt>
                <c:pt idx="8">
                  <c:v>10502.72622939</c:v>
                </c:pt>
                <c:pt idx="9">
                  <c:v>10986.704505610001</c:v>
                </c:pt>
                <c:pt idx="10">
                  <c:v>11324.924674920001</c:v>
                </c:pt>
                <c:pt idx="11">
                  <c:v>11530.215626780002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67A2-4813-92D2-7DE25B129147}"/>
            </c:ext>
          </c:extLst>
        </c:ser>
        <c:ser>
          <c:idx val="2"/>
          <c:order val="2"/>
          <c:tx>
            <c:strRef>
              <c:f>'paid 2025'!$J$31</c:f>
              <c:strCache>
                <c:ptCount val="1"/>
                <c:pt idx="0">
                  <c:v>Economic infrastructure and services</c:v>
                </c:pt>
              </c:strCache>
            </c:strRef>
          </c:tx>
          <c:spPr>
            <a:ln w="28575" cap="rnd">
              <a:solidFill>
                <a:schemeClr val="accent3"/>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2025'!$J$32:$J$43</c:f>
              <c:numCache>
                <c:formatCode>_(* #,##0.00_);_(* \(#,##0.00\);_(* "-"??_);_(@_)</c:formatCode>
                <c:ptCount val="12"/>
                <c:pt idx="0">
                  <c:v>8.05574908</c:v>
                </c:pt>
                <c:pt idx="1">
                  <c:v>38.351323630000003</c:v>
                </c:pt>
                <c:pt idx="2">
                  <c:v>154.69291820999999</c:v>
                </c:pt>
                <c:pt idx="3">
                  <c:v>724.97801453</c:v>
                </c:pt>
                <c:pt idx="4">
                  <c:v>1189.5890790199999</c:v>
                </c:pt>
                <c:pt idx="5">
                  <c:v>1498.51580395</c:v>
                </c:pt>
                <c:pt idx="6">
                  <c:v>1857.7802672299997</c:v>
                </c:pt>
                <c:pt idx="7">
                  <c:v>2240.6319008099999</c:v>
                </c:pt>
                <c:pt idx="8">
                  <c:v>2638.3940481700001</c:v>
                </c:pt>
                <c:pt idx="9">
                  <c:v>3138.1414118000002</c:v>
                </c:pt>
                <c:pt idx="10">
                  <c:v>3477.7142142500002</c:v>
                </c:pt>
                <c:pt idx="11">
                  <c:v>3782.8810075900001</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67A2-4813-92D2-7DE25B129147}"/>
            </c:ext>
          </c:extLst>
        </c:ser>
        <c:ser>
          <c:idx val="3"/>
          <c:order val="3"/>
          <c:tx>
            <c:strRef>
              <c:f>'paid 2025'!$K$31</c:f>
              <c:strCache>
                <c:ptCount val="1"/>
                <c:pt idx="0">
                  <c:v>Production sectors</c:v>
                </c:pt>
              </c:strCache>
            </c:strRef>
          </c:tx>
          <c:spPr>
            <a:ln w="28575" cap="rnd">
              <a:solidFill>
                <a:schemeClr val="accent4"/>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2025'!$K$32:$K$43</c:f>
              <c:numCache>
                <c:formatCode>_(* #,##0.00_);_(* \(#,##0.00\);_(* "-"??_);_(@_)</c:formatCode>
                <c:ptCount val="12"/>
                <c:pt idx="0">
                  <c:v>5.9344000000000001</c:v>
                </c:pt>
                <c:pt idx="1">
                  <c:v>52.311659399999996</c:v>
                </c:pt>
                <c:pt idx="2">
                  <c:v>201.91496824000001</c:v>
                </c:pt>
                <c:pt idx="3">
                  <c:v>461.48130082</c:v>
                </c:pt>
                <c:pt idx="4">
                  <c:v>865.05995728999994</c:v>
                </c:pt>
                <c:pt idx="5">
                  <c:v>1287.7619239000001</c:v>
                </c:pt>
                <c:pt idx="6">
                  <c:v>1734.3840255700002</c:v>
                </c:pt>
                <c:pt idx="7">
                  <c:v>2198.1077690300003</c:v>
                </c:pt>
                <c:pt idx="8">
                  <c:v>2510.4269947500002</c:v>
                </c:pt>
                <c:pt idx="9">
                  <c:v>2921.7161353300003</c:v>
                </c:pt>
                <c:pt idx="10">
                  <c:v>3177.1793726300002</c:v>
                </c:pt>
                <c:pt idx="11">
                  <c:v>3373.0569363</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67A2-4813-92D2-7DE25B129147}"/>
            </c:ext>
          </c:extLst>
        </c:ser>
        <c:ser>
          <c:idx val="4"/>
          <c:order val="4"/>
          <c:tx>
            <c:strRef>
              <c:f>'paid 2025'!$L$31</c:f>
              <c:strCache>
                <c:ptCount val="1"/>
                <c:pt idx="0">
                  <c:v>Multisector/Cross-cutting</c:v>
                </c:pt>
              </c:strCache>
            </c:strRef>
          </c:tx>
          <c:spPr>
            <a:ln w="28575" cap="rnd">
              <a:solidFill>
                <a:schemeClr val="accent5"/>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2025'!$L$32:$L$43</c:f>
              <c:numCache>
                <c:formatCode>_(* #,##0.00_);_(* \(#,##0.00\);_(* "-"??_);_(@_)</c:formatCode>
                <c:ptCount val="12"/>
                <c:pt idx="0">
                  <c:v>59</c:v>
                </c:pt>
                <c:pt idx="1">
                  <c:v>62.353599599999995</c:v>
                </c:pt>
                <c:pt idx="2">
                  <c:v>222.90506315000002</c:v>
                </c:pt>
                <c:pt idx="3">
                  <c:v>358.17535594000003</c:v>
                </c:pt>
                <c:pt idx="4">
                  <c:v>507.74278035999998</c:v>
                </c:pt>
                <c:pt idx="5">
                  <c:v>785.82083353999997</c:v>
                </c:pt>
                <c:pt idx="6">
                  <c:v>994.31276326000011</c:v>
                </c:pt>
                <c:pt idx="7">
                  <c:v>1546.5275402900002</c:v>
                </c:pt>
                <c:pt idx="8">
                  <c:v>1931.8226919300002</c:v>
                </c:pt>
                <c:pt idx="9">
                  <c:v>2358.03765131</c:v>
                </c:pt>
                <c:pt idx="10">
                  <c:v>2609.5135397399999</c:v>
                </c:pt>
                <c:pt idx="11">
                  <c:v>2704.5063555900001</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3-67A2-4813-92D2-7DE25B129147}"/>
            </c:ext>
          </c:extLst>
        </c:ser>
        <c:ser>
          <c:idx val="5"/>
          <c:order val="5"/>
          <c:tx>
            <c:strRef>
              <c:f>'paid 2025'!$M$31</c:f>
              <c:strCache>
                <c:ptCount val="1"/>
                <c:pt idx="0">
                  <c:v>Commodity aid and general programme assistance</c:v>
                </c:pt>
              </c:strCache>
            </c:strRef>
          </c:tx>
          <c:spPr>
            <a:ln w="28575" cap="rnd">
              <a:solidFill>
                <a:schemeClr val="accent6"/>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2025'!$M$32:$M$43</c:f>
              <c:numCache>
                <c:formatCode>_(* #,##0.00_);_(* \(#,##0.00\);_(* "-"??_);_(@_)</c:formatCode>
                <c:ptCount val="12"/>
                <c:pt idx="0">
                  <c:v>108</c:v>
                </c:pt>
                <c:pt idx="1">
                  <c:v>434.89527516999999</c:v>
                </c:pt>
                <c:pt idx="2">
                  <c:v>791.10356127</c:v>
                </c:pt>
                <c:pt idx="3">
                  <c:v>1214.7202195099999</c:v>
                </c:pt>
                <c:pt idx="4">
                  <c:v>1641.0949809599997</c:v>
                </c:pt>
                <c:pt idx="5">
                  <c:v>1962.5953077499998</c:v>
                </c:pt>
                <c:pt idx="6">
                  <c:v>2678.0952513999996</c:v>
                </c:pt>
                <c:pt idx="7">
                  <c:v>2785.9451604299998</c:v>
                </c:pt>
                <c:pt idx="8">
                  <c:v>2821.4651912099998</c:v>
                </c:pt>
                <c:pt idx="9">
                  <c:v>2851.766545</c:v>
                </c:pt>
                <c:pt idx="10">
                  <c:v>2870.5917743800001</c:v>
                </c:pt>
                <c:pt idx="11">
                  <c:v>2897.5882988100002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4-67A2-4813-92D2-7DE25B129147}"/>
            </c:ext>
          </c:extLst>
        </c:ser>
        <c:ser>
          <c:idx val="6"/>
          <c:order val="6"/>
          <c:tx>
            <c:strRef>
              <c:f>'paid 2025'!$O$31</c:f>
              <c:strCache>
                <c:ptCount val="1"/>
                <c:pt idx="0">
                  <c:v>Humanitarian aid</c:v>
                </c:pt>
              </c:strCache>
            </c:strRef>
          </c:tx>
          <c:spPr>
            <a:ln w="28575" cap="rnd">
              <a:solidFill>
                <a:schemeClr val="accent1">
                  <a:lumMod val="60000"/>
                </a:schemeClr>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2025'!$O$32:$O$43</c:f>
              <c:numCache>
                <c:formatCode>_(* #,##0.00_);_(* \(#,##0.00\);_(* "-"??_);_(@_)</c:formatCode>
                <c:ptCount val="12"/>
                <c:pt idx="0">
                  <c:v>20.489117</c:v>
                </c:pt>
                <c:pt idx="1">
                  <c:v>51.365247539999999</c:v>
                </c:pt>
                <c:pt idx="2">
                  <c:v>202.03276959999999</c:v>
                </c:pt>
                <c:pt idx="3">
                  <c:v>342.76730469999995</c:v>
                </c:pt>
                <c:pt idx="4">
                  <c:v>397.23899969999997</c:v>
                </c:pt>
                <c:pt idx="5">
                  <c:v>420.95857296999998</c:v>
                </c:pt>
                <c:pt idx="6">
                  <c:v>520.55441861999998</c:v>
                </c:pt>
                <c:pt idx="7">
                  <c:v>546.59492396999997</c:v>
                </c:pt>
                <c:pt idx="8">
                  <c:v>563.76668057999996</c:v>
                </c:pt>
                <c:pt idx="9">
                  <c:v>582.22111517999997</c:v>
                </c:pt>
                <c:pt idx="10">
                  <c:v>590.44439566999995</c:v>
                </c:pt>
                <c:pt idx="11">
                  <c:v>591.08640023999999</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67A2-4813-92D2-7DE25B129147}"/>
            </c:ext>
          </c:extLst>
        </c:ser>
        <c:ser>
          <c:idx val="7"/>
          <c:order val="7"/>
          <c:tx>
            <c:strRef>
              <c:f>'paid 2025'!$P$31</c:f>
              <c:strCache>
                <c:ptCount val="1"/>
                <c:pt idx="0">
                  <c:v>Other : Administrative costs of donors / Unallocated / Unspecified</c:v>
                </c:pt>
              </c:strCache>
            </c:strRef>
          </c:tx>
          <c:spPr>
            <a:ln w="28575" cap="rnd">
              <a:solidFill>
                <a:schemeClr val="accent2">
                  <a:lumMod val="60000"/>
                </a:schemeClr>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f>'paid 2025'!$P$32:$P$43</c:f>
              <c:numCache>
                <c:formatCode>_(* #,##0.00_);_(* \(#,##0.00\);_(* "-"??_);_(@_)</c:formatCode>
                <c:ptCount val="12"/>
                <c:pt idx="0">
                  <c:v>92.204259890000003</c:v>
                </c:pt>
                <c:pt idx="1">
                  <c:v>192.34127278</c:v>
                </c:pt>
                <c:pt idx="2">
                  <c:v>292.11381394999995</c:v>
                </c:pt>
                <c:pt idx="3">
                  <c:v>432.05551182000005</c:v>
                </c:pt>
                <c:pt idx="4">
                  <c:v>575.28477556000018</c:v>
                </c:pt>
                <c:pt idx="5">
                  <c:v>731.59519170000021</c:v>
                </c:pt>
                <c:pt idx="6">
                  <c:v>753.48705199000017</c:v>
                </c:pt>
                <c:pt idx="7">
                  <c:v>793.63118091000024</c:v>
                </c:pt>
                <c:pt idx="8">
                  <c:v>837.67983310000022</c:v>
                </c:pt>
                <c:pt idx="9">
                  <c:v>880.50562003000027</c:v>
                </c:pt>
                <c:pt idx="10">
                  <c:v>884.80234529000029</c:v>
                </c:pt>
                <c:pt idx="11">
                  <c:v>923.26781492000032</c:v>
                </c:pt>
              </c:numCache>
            </c:numRef>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6-67A2-4813-92D2-7DE25B129147}"/>
            </c:ext>
          </c:extLst>
        </c:ser>
        <c:ser>
          <c:idx val="8"/>
          <c:order val="8"/>
          <c:tx>
            <c:strRef>
              <c:f>'paid 2025'!$N$31</c:f>
              <c:strCache>
                <c:ptCount val="1"/>
                <c:pt idx="0">
                  <c:v>Action relating to debt</c:v>
                </c:pt>
              </c:strCache>
            </c:strRef>
          </c:tx>
          <c:spPr>
            <a:ln w="28575" cap="rnd">
              <a:solidFill>
                <a:schemeClr val="accent3">
                  <a:lumMod val="60000"/>
                </a:schemeClr>
              </a:solidFill>
              <a:round/>
            </a:ln>
            <a:effectLst/>
          </c:spPr>
          <c:marker>
            <c:symbol val="none"/>
          </c:marker>
          <c:cat>
            <c:numRef>
              <c:f>'paid 2025'!$H$32:$H$43</c:f>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Lit>
              <c:formatCode>General</c:formatCode>
              <c:ptCount val="1"/>
              <c:pt idx="0">
                <c:v>1</c:v>
              </c:pt>
            </c:numLit>
          </c:val>
          <c:smooth val="0"/>
          <c:extLs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67A2-4813-92D2-7DE25B129147}"/>
            </c:ext>
          </c:extLst>
        </c:ser>
        <c:dLbls>
          <c:showLegendKey val="0"/>
          <c:showVal val="0"/>
          <c:showCatName val="0"/>
          <c:showSerName val="0"/>
          <c:showPercent val="0"/>
          <c:showBubbleSize val="0"/>
        </c:dLbls>
        <c:smooth val="0"/>
        <c:axId val="481975976"/>
        <c:axId val="481976632"/>
        <c:extLs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02D57815-91ED-43cb-92C2-25804820EDAC}">
            <c15:filteredLineSeries>
              <c15:ser>
                <c:idx val="0"/>
                <c:order val="0"/>
                <c:tx>
                  <c:strRef>
                    <c:extLst xmlns:c16="http://schemas.microsoft.com/office/drawing/2014/chart" xmlns:c14="http://schemas.microsoft.com/office/drawing/2007/8/2/chart" xmlns:mc="http://schemas.openxmlformats.org/markup-compatibility/2006">
                      <c:ext uri="{02D57815-91ED-43cb-92C2-25804820EDAC}">
                        <c15:formulaRef>
                          <c15:sqref>'paid 2025'!$H$31</c15:sqref>
                        </c15:formulaRef>
                      </c:ext>
                    </c:extLst>
                    <c:strCache>
                      <c:ptCount val="1"/>
                      <c:pt idx="0">
                        <c:v>PAID Financial Year (EUR million)</c:v>
                      </c:pt>
                    </c:strCache>
                  </c:strRef>
                </c:tx>
                <c:spPr>
                  <a:ln w="28575" cap="rnd">
                    <a:solidFill>
                      <a:schemeClr val="accent1"/>
                    </a:solidFill>
                    <a:round/>
                  </a:ln>
                  <a:effectLst/>
                </c:spPr>
                <c:marker>
                  <c:symbol val="none"/>
                </c:marker>
                <c:cat>
                  <c:numRef>
                    <c:extLst xmlns:c16="http://schemas.microsoft.com/office/drawing/2014/chart" xmlns:c14="http://schemas.microsoft.com/office/drawing/2007/8/2/chart" xmlns:mc="http://schemas.openxmlformats.org/markup-compatibility/2006">
                      <c:ext uri="{02D57815-91ED-43cb-92C2-25804820EDAC}">
                        <c15:formulaRef>
                          <c15:sqref>'paid 2025'!$H$32:$H$43</c15:sqref>
                        </c15:formulaRef>
                      </c:ext>
                    </c:extLst>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cat>
                <c:val>
                  <c:numRef>
                    <c:extLst xmlns:c16="http://schemas.microsoft.com/office/drawing/2014/chart" xmlns:c14="http://schemas.microsoft.com/office/drawing/2007/8/2/chart" xmlns:mc="http://schemas.openxmlformats.org/markup-compatibility/2006">
                      <c:ext uri="{02D57815-91ED-43cb-92C2-25804820EDAC}">
                        <c15:formulaRef>
                          <c15:sqref>'paid 2025'!$H$32:$H$43</c15:sqref>
                        </c15:formulaRef>
                      </c:ext>
                    </c:extLst>
                    <c:numCache>
                      <c:formatCode>General</c:formatCod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numCache>
                  </c:numRef>
                </c: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67A2-4813-92D2-7DE25B129147}"/>
                  </c:ext>
                </c:extLst>
              </c15:ser>
            </c15:filteredLineSeries>
          </c:ext>
        </c:extLst>
      </c:lineChart>
      <c:catAx>
        <c:axId val="481975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Financial</a:t>
                </a:r>
                <a:r>
                  <a:rPr lang="en-GB" baseline="0"/>
                  <a:t> Year</a:t>
                </a:r>
                <a:endParaRPr lang="en-GB"/>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976632"/>
        <c:crosses val="autoZero"/>
        <c:auto val="1"/>
        <c:lblAlgn val="ctr"/>
        <c:lblOffset val="100"/>
        <c:noMultiLvlLbl val="0"/>
      </c:catAx>
      <c:valAx>
        <c:axId val="481976632"/>
        <c:scaling>
          <c:orientation val="minMax"/>
          <c:max val="120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EUR</a:t>
                </a:r>
                <a:r>
                  <a:rPr lang="en-GB" baseline="0"/>
                  <a:t> million</a:t>
                </a:r>
                <a:endParaRPr lang="en-GB"/>
              </a:p>
            </c:rich>
          </c:tx>
          <c:layout>
            <c:manualLayout>
              <c:xMode val="edge"/>
              <c:yMode val="edge"/>
              <c:x val="0"/>
              <c:y val="5.5634235789019507E-2"/>
            </c:manualLayout>
          </c:layout>
          <c:overlay val="0"/>
          <c:spPr>
            <a:noFill/>
            <a:ln>
              <a:noFill/>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975976"/>
        <c:crosses val="autoZero"/>
        <c:crossBetween val="between"/>
        <c:majorUnit val="1000"/>
      </c:valAx>
      <c:spPr>
        <a:noFill/>
        <a:ln>
          <a:noFill/>
        </a:ln>
        <a:effectLst/>
      </c:spPr>
    </c:plotArea>
    <c:legend>
      <c:legendPos val="b"/>
      <c:layout>
        <c:manualLayout>
          <c:xMode val="edge"/>
          <c:yMode val="edge"/>
          <c:x val="0.72264755814010484"/>
          <c:y val="7.0179689077326871E-2"/>
          <c:w val="0.27485053422067834"/>
          <c:h val="0.92982017039053411"/>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1BFADCAFCED241949C9BE9B0CB27C7" ma:contentTypeVersion="19" ma:contentTypeDescription="Create a new document." ma:contentTypeScope="" ma:versionID="7d753e42d7291b9f12998c798a15ef69">
  <xsd:schema xmlns:xsd="http://www.w3.org/2001/XMLSchema" xmlns:xs="http://www.w3.org/2001/XMLSchema" xmlns:p="http://schemas.microsoft.com/office/2006/metadata/properties" xmlns:ns2="20aadddc-59af-4661-9912-c6a88101af54" xmlns:ns3="34d9c29c-ce39-48db-9f27-e65e7c764bc6" targetNamespace="http://schemas.microsoft.com/office/2006/metadata/properties" ma:root="true" ma:fieldsID="82cf3c03723852368a1525cafbf47027" ns2:_="" ns3:_="">
    <xsd:import namespace="20aadddc-59af-4661-9912-c6a88101af54"/>
    <xsd:import namespace="34d9c29c-ce39-48db-9f27-e65e7c764bc6"/>
    <xsd:element name="properties">
      <xsd:complexType>
        <xsd:sequence>
          <xsd:element name="documentManagement">
            <xsd:complexType>
              <xsd:all>
                <xsd:element ref="ns2:Entity" minOccurs="0"/>
                <xsd:element ref="ns2:ClosureP_x002f_F" minOccurs="0"/>
                <xsd:element ref="ns2:Year" minOccurs="0"/>
                <xsd:element ref="ns2:Step" minOccurs="0"/>
                <xsd:element ref="ns2:DocumentType" minOccurs="0"/>
                <xsd:element ref="ns2:MediaServiceMetadata" minOccurs="0"/>
                <xsd:element ref="ns2:MediaServiceFastMetadata" minOccurs="0"/>
                <xsd:element ref="ns2:MediaServiceSearchProperties" minOccurs="0"/>
                <xsd:element ref="ns2:MediaServiceObjectDetectorVersions" minOccurs="0"/>
                <xsd:element ref="ns2:Accessrigh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dddc-59af-4661-9912-c6a88101af54" elementFormDefault="qualified">
    <xsd:import namespace="http://schemas.microsoft.com/office/2006/documentManagement/types"/>
    <xsd:import namespace="http://schemas.microsoft.com/office/infopath/2007/PartnerControls"/>
    <xsd:element name="Entity" ma:index="8" nillable="true" ma:displayName="Entity" ma:format="Dropdown" ma:indexed="true" ma:internalName="Entity">
      <xsd:simpleType>
        <xsd:restriction base="dms:Choice">
          <xsd:enumeration value="T003 EUTF BEKOU"/>
          <xsd:enumeration value="T004 EUTF MADAD"/>
          <xsd:enumeration value="T005 EUTF AFRICA"/>
          <xsd:enumeration value="T006 EUTF COLOMBIA"/>
          <xsd:enumeration value="EUTF Common documentation"/>
          <xsd:enumeration value="EDF"/>
          <xsd:enumeration value="EPF"/>
        </xsd:restriction>
      </xsd:simpleType>
    </xsd:element>
    <xsd:element name="ClosureP_x002f_F" ma:index="9" nillable="true" ma:displayName="Closure P/F" ma:format="Dropdown" ma:internalName="ClosureP_x002f_F">
      <xsd:simpleType>
        <xsd:restriction base="dms:Choice">
          <xsd:enumeration value="Provisional"/>
          <xsd:enumeration value="Final"/>
        </xsd:restriction>
      </xsd:simpleType>
    </xsd:element>
    <xsd:element name="Year" ma:index="10" nillable="true" ma:displayName="Year" ma:format="Dropdown" ma:internalName="Year">
      <xsd:simpleType>
        <xsd:restriction base="dms:Choice">
          <xsd:enumeration value="2024"/>
          <xsd:enumeration value="2025"/>
          <xsd:enumeration value="2026"/>
          <xsd:enumeration value="2027"/>
        </xsd:restriction>
      </xsd:simpleType>
    </xsd:element>
    <xsd:element name="Step" ma:index="11" nillable="true" ma:displayName="Step" ma:format="Dropdown" ma:internalName="Step">
      <xsd:simpleType>
        <xsd:restriction base="dms:Choice">
          <xsd:enumeration value="01. Preparation for closure"/>
          <xsd:enumeration value="02. Closure control postings"/>
          <xsd:enumeration value="03. Financial Statements"/>
          <xsd:enumeration value="04. Audit"/>
          <xsd:enumeration value="Common Costs"/>
          <xsd:enumeration value="TFEL and TFEF"/>
          <xsd:enumeration value="05. ISC"/>
          <xsd:enumeration value="06. Publication"/>
        </xsd:restriction>
      </xsd:simpleType>
    </xsd:element>
    <xsd:element name="DocumentType" ma:index="12" nillable="true" ma:displayName="Document type" ma:format="Dropdown" ma:internalName="DocumentType">
      <xsd:simpleType>
        <xsd:restriction base="dms:Choice">
          <xsd:enumeration value="Minutes of Kick off meeting"/>
          <xsd:enumeration value="Communication"/>
          <xsd:enumeration value="other"/>
          <xsd:enumeration value="Financial liabilities and receivables"/>
          <xsd:enumeration value="Cash and cash Equivalents"/>
          <xsd:enumeration value="Cut off and P/L"/>
          <xsd:enumeration value="other bookings"/>
          <xsd:enumeration value="net allocation"/>
          <xsd:enumeration value="Financial Instruments"/>
          <xsd:enumeration value="Closure postings (booking sign off)"/>
          <xsd:enumeration value="Management modes"/>
          <xsd:enumeration value="FI FM"/>
          <xsd:enumeration value="Administrative documents (MRL + Transmission notes+ Risk Assesment)"/>
          <xsd:enumeration value="Accounts review"/>
          <xsd:enumeration value="Ares signed accounts"/>
          <xsd:enumeration value="Documents submitted to auditors"/>
          <xsd:enumeration value="Adjustments"/>
          <xsd:enumeration value="Other Clarifications"/>
          <xsd:enumeration value="Audit opinion"/>
          <xsd:enumeration value="TFEF elimination"/>
          <xsd:enumeration value="TFEL elimination"/>
          <xsd:enumeration value="Consolidation recap"/>
          <xsd:enumeration value="Guarantees and contingent assets"/>
          <xsd:enumeration value="Capital and reserves"/>
          <xsd:enumeration value="Liaison account"/>
          <xsd:enumeration value="Income and receivables"/>
          <xsd:enumeration value="Cut off"/>
          <xsd:enumeration value="Suspense accounts"/>
          <xsd:enumeration value="Provision and contingent liabilities"/>
          <xsd:enumeration value="cash and banks"/>
          <xsd:enumeration value="Trust Funds"/>
          <xsd:enumeration value="Other bookings"/>
          <xsd:enumeration value="booking sign off"/>
          <xsd:enumeration value="C1 Reporting Package"/>
          <xsd:enumeration value="EIB Report"/>
          <xsd:enumeration value="FIR"/>
          <xsd:enumeration value="Clearing Letter and Reply"/>
          <xsd:enumeration value="several notes and documents to be saved here"/>
          <xsd:enumeration value="Document ready to be sent for translation and publication"/>
          <xsd:enumeration value="Accruals UA"/>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Accessrights" ma:index="17" nillable="true" ma:displayName="Access rights" ma:format="Dropdown" ma:internalName="Accessrigh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d9c29c-ce39-48db-9f27-e65e7c764bc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6d5507-68ab-4a5d-8ad7-8a3fdf589dc2}" ma:internalName="TaxCatchAll" ma:showField="CatchAllData" ma:web="34d9c29c-ce39-48db-9f27-e65e7c764b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4d9c29c-ce39-48db-9f27-e65e7c764bc6" xsi:nil="true"/>
    <ClosureP_x002f_F xmlns="20aadddc-59af-4661-9912-c6a88101af54" xsi:nil="true"/>
    <lcf76f155ced4ddcb4097134ff3c332f xmlns="20aadddc-59af-4661-9912-c6a88101af54">
      <Terms xmlns="http://schemas.microsoft.com/office/infopath/2007/PartnerControls"/>
    </lcf76f155ced4ddcb4097134ff3c332f>
    <DocumentType xmlns="20aadddc-59af-4661-9912-c6a88101af54" xsi:nil="true"/>
    <Accessrights xmlns="20aadddc-59af-4661-9912-c6a88101af54" xsi:nil="true"/>
    <Year xmlns="20aadddc-59af-4661-9912-c6a88101af54" xsi:nil="true"/>
    <Entity xmlns="20aadddc-59af-4661-9912-c6a88101af54" xsi:nil="true"/>
    <Step xmlns="20aadddc-59af-4661-9912-c6a88101af54" xsi:nil="true"/>
  </documentManagement>
</p:properties>
</file>

<file path=customXml/itemProps1.xml><?xml version="1.0" encoding="utf-8"?>
<ds:datastoreItem xmlns:ds="http://schemas.openxmlformats.org/officeDocument/2006/customXml" ds:itemID="{70B638FA-D060-48F2-A3F5-BF3622099E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dddc-59af-4661-9912-c6a88101af54"/>
    <ds:schemaRef ds:uri="34d9c29c-ce39-48db-9f27-e65e7c764b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F3C6FD-AFB4-45CA-A232-37A17C36A6F6}">
  <ds:schemaRefs>
    <ds:schemaRef ds:uri="http://schemas.microsoft.com/sharepoint/v3/contenttype/forms"/>
  </ds:schemaRefs>
</ds:datastoreItem>
</file>

<file path=customXml/itemProps3.xml><?xml version="1.0" encoding="utf-8"?>
<ds:datastoreItem xmlns:ds="http://schemas.openxmlformats.org/officeDocument/2006/customXml" ds:itemID="{FDD729EB-6F8E-48F8-BFD5-D326083502B8}">
  <ds:schemaRefs>
    <ds:schemaRef ds:uri="http://schemas.microsoft.com/office/2006/metadata/properties"/>
    <ds:schemaRef ds:uri="http://schemas.microsoft.com/office/infopath/2007/PartnerControls"/>
    <ds:schemaRef ds:uri="34d9c29c-ce39-48db-9f27-e65e7c764bc6"/>
    <ds:schemaRef ds:uri="20aadddc-59af-4661-9912-c6a88101af54"/>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18</Pages>
  <Words>46658</Words>
  <Characters>265955</Characters>
  <Application>Microsoft Office Word</Application>
  <DocSecurity>0</DocSecurity>
  <Lines>2216</Lines>
  <Paragraphs>623</Paragraphs>
  <ScaleCrop>false</ScaleCrop>
  <Manager/>
  <Company/>
  <LinksUpToDate>false</LinksUpToDate>
  <CharactersWithSpaces>311990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2026-06-17T15:26:00Z</dcterms:created>
  <dcterms:modified xsi:type="dcterms:W3CDTF">2026-06-23T09:02:00Z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CP-009</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2026-06-15T13:19:21Z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c0d746fa-c204-4cfe-880f-60e340925709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ContentTypeId">
    <vt:lpwstr>0x010100FB1BFADCAFCED241949C9BE9B0CB27C7</vt:lpwstr>
  </property>
  <property fmtid="{D5CDD505-2E9C-101B-9397-08002B2CF9AE}" pid="18" name="MediaServiceImageTags">
    <vt:lpwstr/>
  </property>
</Properties>
</file>