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D3C29" w14:textId="3AEC78AD" w:rsidR="00804298" w:rsidRPr="008C5DA4" w:rsidRDefault="00F27AD3" w:rsidP="00F27AD3">
      <w:pPr>
        <w:pStyle w:val="Pagedecouverture"/>
        <w:rPr>
          <w:noProof/>
        </w:rPr>
      </w:pPr>
      <w:bookmarkStart w:id="0" w:name="LW_BM_COVERPAGE"/>
      <w:r>
        <w:rPr>
          <w:noProof/>
        </w:rPr>
        <w:pict w14:anchorId="5B9B9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4F17AE-78F2-42C1-92EE-93394B7794A6" style="width:455.25pt;height:286.5pt">
            <v:imagedata r:id="rId11" o:title=""/>
          </v:shape>
        </w:pict>
      </w:r>
    </w:p>
    <w:bookmarkEnd w:id="0"/>
    <w:p w14:paraId="272A6C81" w14:textId="77777777" w:rsidR="00804298" w:rsidRPr="008C5DA4" w:rsidRDefault="00804298" w:rsidP="00AE47E8">
      <w:pPr>
        <w:jc w:val="both"/>
        <w:rPr>
          <w:rFonts w:ascii="Times New Roman" w:hAnsi="Times New Roman"/>
          <w:noProof/>
          <w:lang w:val="en-IE"/>
        </w:rPr>
        <w:sectPr w:rsidR="00804298" w:rsidRPr="008C5DA4" w:rsidSect="00F27AD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FD3CF70" w14:textId="030243FA" w:rsidR="00695A21" w:rsidRPr="008C5DA4" w:rsidRDefault="00695A21" w:rsidP="00AE47E8">
      <w:pPr>
        <w:pStyle w:val="Heading1"/>
        <w:jc w:val="both"/>
        <w:rPr>
          <w:rFonts w:ascii="Times New Roman" w:hAnsi="Times New Roman"/>
          <w:noProof/>
        </w:rPr>
      </w:pPr>
      <w:bookmarkStart w:id="1" w:name="_GoBack"/>
      <w:bookmarkEnd w:id="1"/>
      <w:r>
        <w:rPr>
          <w:rFonts w:ascii="Times New Roman" w:hAnsi="Times New Roman"/>
          <w:noProof/>
        </w:rPr>
        <w:lastRenderedPageBreak/>
        <w:t>Introduction</w:t>
      </w:r>
    </w:p>
    <w:p w14:paraId="794E8136" w14:textId="7CF7ECAF" w:rsidR="00BE0458" w:rsidRPr="005D2F17" w:rsidRDefault="008B6539" w:rsidP="2EF6D0AD">
      <w:pPr>
        <w:jc w:val="both"/>
        <w:rPr>
          <w:rFonts w:ascii="Times New Roman" w:hAnsi="Times New Roman"/>
          <w:noProof/>
        </w:rPr>
      </w:pPr>
      <w:r>
        <w:rPr>
          <w:rFonts w:ascii="Times New Roman" w:hAnsi="Times New Roman"/>
          <w:noProof/>
        </w:rPr>
        <w:t>La directive relative aux équipements radioélectriques(</w:t>
      </w:r>
      <w:r>
        <w:rPr>
          <w:rStyle w:val="FootnoteReference"/>
          <w:rFonts w:ascii="Times New Roman" w:hAnsi="Times New Roman" w:cs="Times New Roman"/>
          <w:noProof/>
        </w:rPr>
        <w:footnoteReference w:id="2"/>
      </w:r>
      <w:r>
        <w:rPr>
          <w:rFonts w:ascii="Times New Roman" w:hAnsi="Times New Roman"/>
          <w:noProof/>
        </w:rPr>
        <w:t>) fixe des exigences essentielles pour certains aspects des équipements radioélectriques qui présentent un intérêt public dans l’Union européenne. Elle a été modifiée par la directive (UE) 2022/2380(</w:t>
      </w:r>
      <w:r>
        <w:rPr>
          <w:rStyle w:val="FootnoteReference"/>
          <w:rFonts w:ascii="Times New Roman" w:hAnsi="Times New Roman" w:cs="Times New Roman"/>
          <w:noProof/>
        </w:rPr>
        <w:footnoteReference w:id="3"/>
      </w:r>
      <w:r>
        <w:rPr>
          <w:rFonts w:ascii="Times New Roman" w:hAnsi="Times New Roman"/>
          <w:noProof/>
        </w:rPr>
        <w:t>) (ci-après la «directive sur le chargeur universel»), qui a introduit cinq exigences, les «exigences relatives au chargeur universel»:</w:t>
      </w:r>
    </w:p>
    <w:p w14:paraId="04CF9D3F" w14:textId="01FE2BFA" w:rsidR="00BE0458" w:rsidRPr="008C5DA4" w:rsidRDefault="00BE0458" w:rsidP="00AE47E8">
      <w:pPr>
        <w:pStyle w:val="ListParagraph"/>
        <w:numPr>
          <w:ilvl w:val="0"/>
          <w:numId w:val="5"/>
        </w:numPr>
        <w:jc w:val="both"/>
        <w:rPr>
          <w:rFonts w:ascii="Times New Roman" w:hAnsi="Times New Roman"/>
          <w:noProof/>
        </w:rPr>
      </w:pPr>
      <w:r>
        <w:rPr>
          <w:rFonts w:ascii="Times New Roman" w:hAnsi="Times New Roman"/>
          <w:noProof/>
        </w:rPr>
        <w:t>le connecteur femelle USB Type-C pour la recharge sur le dispositif;</w:t>
      </w:r>
    </w:p>
    <w:p w14:paraId="6BF33FC2" w14:textId="302C6AE6" w:rsidR="00BE0458" w:rsidRPr="008C5DA4" w:rsidRDefault="00BE0458" w:rsidP="00AE47E8">
      <w:pPr>
        <w:pStyle w:val="ListParagraph"/>
        <w:numPr>
          <w:ilvl w:val="0"/>
          <w:numId w:val="5"/>
        </w:numPr>
        <w:jc w:val="both"/>
        <w:rPr>
          <w:rFonts w:ascii="Times New Roman" w:hAnsi="Times New Roman"/>
          <w:noProof/>
        </w:rPr>
      </w:pPr>
      <w:r>
        <w:rPr>
          <w:rFonts w:ascii="Times New Roman" w:hAnsi="Times New Roman"/>
          <w:noProof/>
        </w:rPr>
        <w:t>le protocole de charge par alimentation électrique par port USB (USB Power Delivery, USB PD) pour les dispositifs nécessitant plus de 15 W;</w:t>
      </w:r>
    </w:p>
    <w:p w14:paraId="0D1CEE1B" w14:textId="31E579D4" w:rsidR="00BE0458" w:rsidRPr="008C5DA4" w:rsidRDefault="004A5EF2" w:rsidP="4DD6AA17">
      <w:pPr>
        <w:pStyle w:val="ListParagraph"/>
        <w:numPr>
          <w:ilvl w:val="0"/>
          <w:numId w:val="5"/>
        </w:numPr>
        <w:jc w:val="both"/>
        <w:rPr>
          <w:rFonts w:ascii="Times New Roman" w:hAnsi="Times New Roman"/>
          <w:noProof/>
        </w:rPr>
      </w:pPr>
      <w:r>
        <w:rPr>
          <w:rFonts w:ascii="Times New Roman" w:hAnsi="Times New Roman"/>
          <w:noProof/>
        </w:rPr>
        <w:t>une étiquette informant les consommateurs des caractéristiques de charge des dispositifs;</w:t>
      </w:r>
    </w:p>
    <w:p w14:paraId="283E68D0" w14:textId="01BC7F78" w:rsidR="00BE0458" w:rsidRPr="008C5DA4" w:rsidRDefault="004A5EF2" w:rsidP="00AE47E8">
      <w:pPr>
        <w:pStyle w:val="ListParagraph"/>
        <w:numPr>
          <w:ilvl w:val="0"/>
          <w:numId w:val="5"/>
        </w:numPr>
        <w:jc w:val="both"/>
        <w:rPr>
          <w:rFonts w:ascii="Times New Roman" w:hAnsi="Times New Roman"/>
          <w:noProof/>
        </w:rPr>
      </w:pPr>
      <w:r>
        <w:rPr>
          <w:rFonts w:ascii="Times New Roman" w:hAnsi="Times New Roman"/>
          <w:noProof/>
        </w:rPr>
        <w:t>la vente dissociée de chargeurs et de dispositifs; et</w:t>
      </w:r>
    </w:p>
    <w:p w14:paraId="414D3764" w14:textId="3BC2D1BC" w:rsidR="00BE0458" w:rsidRPr="008C5DA4" w:rsidRDefault="004A5EF2" w:rsidP="00AE47E8">
      <w:pPr>
        <w:pStyle w:val="ListParagraph"/>
        <w:numPr>
          <w:ilvl w:val="0"/>
          <w:numId w:val="5"/>
        </w:numPr>
        <w:jc w:val="both"/>
        <w:rPr>
          <w:rFonts w:ascii="Times New Roman" w:hAnsi="Times New Roman"/>
          <w:noProof/>
        </w:rPr>
      </w:pPr>
      <w:r>
        <w:rPr>
          <w:rFonts w:ascii="Times New Roman" w:hAnsi="Times New Roman"/>
          <w:noProof/>
        </w:rPr>
        <w:t>un pictogramme indiquant si un chargeur est inclus ou non dans l’emballage.</w:t>
      </w:r>
    </w:p>
    <w:p w14:paraId="58264805" w14:textId="53AF805F" w:rsidR="00E96FF9" w:rsidRPr="008C5DA4" w:rsidRDefault="009676E0" w:rsidP="00F27247">
      <w:pPr>
        <w:jc w:val="both"/>
        <w:rPr>
          <w:rFonts w:ascii="Times New Roman" w:hAnsi="Times New Roman"/>
          <w:noProof/>
        </w:rPr>
      </w:pPr>
      <w:r>
        <w:rPr>
          <w:rFonts w:ascii="Times New Roman" w:hAnsi="Times New Roman"/>
          <w:noProof/>
        </w:rPr>
        <w:t>Depuis le 28 décembre 2024, les exigences relatives au chargeur universel s’appliquent aux téléphones mobiles, aux tablettes, aux liseuses numériques, aux écouteurs intra-auriculaires, aux caméras numériques, aux casques d’écoute, aux casques-micro, aux consoles de jeux vidéo portatives, aux haut-parleurs portatifs, aux claviers, aux souris et aux systèmes de navigation portables(</w:t>
      </w:r>
      <w:r>
        <w:rPr>
          <w:rStyle w:val="FootnoteReference"/>
          <w:rFonts w:ascii="Times New Roman" w:hAnsi="Times New Roman"/>
          <w:noProof/>
          <w:lang w:val="en-IE"/>
        </w:rPr>
        <w:footnoteReference w:id="4"/>
      </w:r>
      <w:r>
        <w:rPr>
          <w:rFonts w:ascii="Times New Roman" w:hAnsi="Times New Roman"/>
          <w:noProof/>
        </w:rPr>
        <w:t>). Depuis le 28 avril 2026, elles s’appliquent également aux ordinateurs portables(</w:t>
      </w:r>
      <w:r>
        <w:rPr>
          <w:rStyle w:val="FootnoteReference"/>
          <w:rFonts w:ascii="Times New Roman" w:hAnsi="Times New Roman"/>
          <w:noProof/>
          <w:lang w:val="en-IE"/>
        </w:rPr>
        <w:footnoteReference w:id="5"/>
      </w:r>
      <w:r>
        <w:rPr>
          <w:rFonts w:ascii="Times New Roman" w:hAnsi="Times New Roman"/>
          <w:noProof/>
        </w:rPr>
        <w:t>).</w:t>
      </w:r>
    </w:p>
    <w:p w14:paraId="113B63A7" w14:textId="3772D5BE" w:rsidR="00D259F7" w:rsidRPr="008C5DA4" w:rsidRDefault="00D259F7" w:rsidP="00D259F7">
      <w:pPr>
        <w:jc w:val="both"/>
        <w:rPr>
          <w:rFonts w:ascii="Times New Roman" w:hAnsi="Times New Roman"/>
          <w:noProof/>
        </w:rPr>
      </w:pPr>
      <w:r>
        <w:rPr>
          <w:rFonts w:ascii="Times New Roman" w:hAnsi="Times New Roman"/>
          <w:noProof/>
        </w:rPr>
        <w:t>En outre, la Commission européenne a adopté un règlement établissant de nouvelles exigences en matière d’écoconception applicables aux sources d’alimentation externes (SAE)(</w:t>
      </w:r>
      <w:r>
        <w:rPr>
          <w:rFonts w:ascii="Times New Roman" w:hAnsi="Times New Roman"/>
          <w:noProof/>
          <w:vertAlign w:val="superscript"/>
          <w:lang w:val="en-IE"/>
        </w:rPr>
        <w:footnoteReference w:id="6"/>
      </w:r>
      <w:r>
        <w:rPr>
          <w:rFonts w:ascii="Times New Roman" w:hAnsi="Times New Roman"/>
          <w:noProof/>
        </w:rPr>
        <w:t>) complétant la directive relative aux équipements radioélectriques. Il s’appliquera à partir du 14 décembre 2028 et introduira les principales exigences suivantes en matière d’interopérabilité afin de garantir l’utilisation généralisée du chargeur universel:</w:t>
      </w:r>
    </w:p>
    <w:p w14:paraId="2E6ABFAE" w14:textId="54FB22A7"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tous les chargeurs d’équipements radioélectriques présents sur le marché de l’Union doivent être des chargeurs universels, c’est-à-dire des chargeurs dotés par défaut d’au moins un port USB Type-C;</w:t>
      </w:r>
    </w:p>
    <w:p w14:paraId="50485106" w14:textId="77777777"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tous les chargeurs et câbles universels sur le marché de l’Union doivent satisfaire aux normes USB Type-C;</w:t>
      </w:r>
    </w:p>
    <w:p w14:paraId="015932B8" w14:textId="6BA4178B"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les SAE mises sur le marché de l’Union doivent être des chargeurs universels, élargissant ainsi la gamme de produits couverts au-delà des équipements radioélectriques afin d’optimiser l’interopérabilité. Des dérogations à cette obligation s’appliquent, par exemple, aux SAE utilisées dans des environnements humides ou avec des aspirateurs, certains outils électriques, jouets et équipements audio;</w:t>
      </w:r>
    </w:p>
    <w:p w14:paraId="55FB60A9" w14:textId="77777777" w:rsidR="00D259F7" w:rsidRPr="008C5DA4" w:rsidRDefault="00D259F7" w:rsidP="00D259F7">
      <w:pPr>
        <w:pStyle w:val="ListParagraph"/>
        <w:numPr>
          <w:ilvl w:val="0"/>
          <w:numId w:val="12"/>
        </w:numPr>
        <w:jc w:val="both"/>
        <w:rPr>
          <w:rFonts w:ascii="Times New Roman" w:hAnsi="Times New Roman"/>
          <w:noProof/>
        </w:rPr>
      </w:pPr>
      <w:r>
        <w:rPr>
          <w:rFonts w:ascii="Times New Roman" w:hAnsi="Times New Roman"/>
          <w:noProof/>
        </w:rPr>
        <w:t>les chargeurs universels doivent fonctionner uniquement avec des câbles amovibles et indiquer à chaque port la puissance prise en charge;</w:t>
      </w:r>
    </w:p>
    <w:p w14:paraId="27B8067E" w14:textId="112821FD" w:rsidR="00D259F7" w:rsidRPr="008C5DA4" w:rsidRDefault="002D2190" w:rsidP="00D259F7">
      <w:pPr>
        <w:pStyle w:val="ListParagraph"/>
        <w:numPr>
          <w:ilvl w:val="0"/>
          <w:numId w:val="12"/>
        </w:numPr>
        <w:jc w:val="both"/>
        <w:rPr>
          <w:noProof/>
        </w:rPr>
      </w:pPr>
      <w:r>
        <w:rPr>
          <w:rFonts w:ascii="Times New Roman" w:hAnsi="Times New Roman"/>
          <w:noProof/>
        </w:rPr>
        <w:t>un nouveau logo du chargeur universel de l’Union doit être apposé sur les chargeurs universels.</w:t>
      </w:r>
    </w:p>
    <w:p w14:paraId="753A488E" w14:textId="04E8B96E" w:rsidR="00143624" w:rsidRPr="00E6783E" w:rsidRDefault="00BB11C9" w:rsidP="001E004C">
      <w:pPr>
        <w:jc w:val="both"/>
        <w:rPr>
          <w:rFonts w:ascii="Times New Roman" w:hAnsi="Times New Roman"/>
          <w:noProof/>
        </w:rPr>
      </w:pPr>
      <w:r>
        <w:rPr>
          <w:rFonts w:ascii="Times New Roman" w:hAnsi="Times New Roman"/>
          <w:noProof/>
        </w:rPr>
        <w:t>Le Conseil et le Parlement se sont montrés très intéressés par une éventuelle extension future du champ d’application des exigences relatives au chargeur universel. Par conséquent, en vertu de l’article 3, paragraphe 4, de la directive relative aux équipements radioélectriques modifiée, la Commission est tenue de rendre régulièrement compte de l’évolution du marché, de la fragmentation du marché et des progrès technologiques des équipements radioélectriques. L’objectif est de recenser de nouvelles catégories ou classes d’équipements radioélectriques qui pourraient être couvertes par les exigences relatives au chargeur universel, ce qui pourrait améliorer le confort des consommateurs, réduire les déchets environnementaux et éviter la fragmentation du marché. Dans le prolongement de cette obligation d’information, l’article 3, paragraphe 4, impose également à la Commission d’adopter des actes délégués modifiant, ajoutant ou supprimant des catégories ou classes d’équipements radioélectriques. À l’appui de l’analyse contenue dans le rapport, la Commission a commandé une étude(</w:t>
      </w:r>
      <w:r>
        <w:rPr>
          <w:rStyle w:val="FootnoteReference"/>
          <w:rFonts w:ascii="Times New Roman" w:hAnsi="Times New Roman"/>
          <w:noProof/>
          <w:lang w:val="en-IE"/>
        </w:rPr>
        <w:footnoteReference w:id="7"/>
      </w:r>
      <w:r>
        <w:rPr>
          <w:rFonts w:ascii="Times New Roman" w:hAnsi="Times New Roman"/>
          <w:noProof/>
        </w:rPr>
        <w:t>) (ci-après l’«étude») et a recueilli des données auprès d’autres sources telles que Statista.</w:t>
      </w:r>
    </w:p>
    <w:p w14:paraId="6E7105CA" w14:textId="7C368BE6" w:rsidR="00F15092" w:rsidRPr="00E6783E" w:rsidRDefault="00590B83" w:rsidP="004D138F">
      <w:pPr>
        <w:jc w:val="both"/>
        <w:rPr>
          <w:rFonts w:ascii="Times New Roman" w:hAnsi="Times New Roman"/>
          <w:noProof/>
        </w:rPr>
      </w:pPr>
      <w:r>
        <w:rPr>
          <w:rFonts w:ascii="Times New Roman" w:hAnsi="Times New Roman"/>
          <w:noProof/>
        </w:rPr>
        <w:t>Conformément à l’article 3, paragraphe 4, de la directive relative aux équipements radioélectriques modifiée, la section 2 du rapport évalue l’évolution du marché, en commençant par une analyse globale des quatre principaux segments de marché couverts par la directive. Le rapport présente ensuite les critères utilisés pour sélectionner les sous-segments ou catégories de produits potentiels auxquels les exigences relatives au chargeur universel pourraient être étendues et fournit une analyse de leur taille de marché et de leurs ventes. La section 3 examine la fragmentation du marché et les progrès technologiques, en évaluant s’il existe des obstacles technologiques à l’extension des exigences relatives au chargeur universel à ces catégories de produits. La section 4 examine les incidences possibles sur l’environnement et les économies possibles pour les consommateurs. La section 5 se termine par une liste de catégories de produits auxquelles les exigences relatives au chargeur universel pourraient s’appliquer sur la base de cette analyse.</w:t>
      </w:r>
    </w:p>
    <w:p w14:paraId="56A15C0F" w14:textId="0D8A8A87" w:rsidR="00695A21" w:rsidRPr="008C5DA4" w:rsidRDefault="00695A21" w:rsidP="00AE47E8">
      <w:pPr>
        <w:pStyle w:val="Heading1"/>
        <w:jc w:val="both"/>
        <w:rPr>
          <w:rFonts w:ascii="Times New Roman" w:hAnsi="Times New Roman"/>
          <w:noProof/>
        </w:rPr>
      </w:pPr>
      <w:r>
        <w:rPr>
          <w:rFonts w:ascii="Times New Roman" w:hAnsi="Times New Roman"/>
          <w:noProof/>
        </w:rPr>
        <w:t>Évolution du marché</w:t>
      </w:r>
    </w:p>
    <w:p w14:paraId="2FD6AA13" w14:textId="678765D8" w:rsidR="00CA7463" w:rsidRPr="008C5DA4" w:rsidRDefault="00856C1C" w:rsidP="00CA7463">
      <w:pPr>
        <w:pStyle w:val="Heading2"/>
        <w:rPr>
          <w:rFonts w:ascii="Times New Roman" w:hAnsi="Times New Roman"/>
          <w:noProof/>
        </w:rPr>
      </w:pPr>
      <w:r>
        <w:rPr>
          <w:rFonts w:ascii="Times New Roman" w:hAnsi="Times New Roman"/>
          <w:noProof/>
        </w:rPr>
        <w:t>Évolution des principaux segments de marché couverts par la directive relative aux équipements radioélectriques</w:t>
      </w:r>
    </w:p>
    <w:p w14:paraId="526ED1CF" w14:textId="77777777" w:rsidR="000715FD" w:rsidRPr="008C5DA4" w:rsidRDefault="0013506C" w:rsidP="00D5236E">
      <w:pPr>
        <w:jc w:val="both"/>
        <w:rPr>
          <w:rFonts w:ascii="Times New Roman" w:hAnsi="Times New Roman" w:cs="Times New Roman"/>
          <w:noProof/>
        </w:rPr>
      </w:pPr>
      <w:r>
        <w:rPr>
          <w:rFonts w:ascii="Times New Roman" w:hAnsi="Times New Roman"/>
          <w:noProof/>
        </w:rPr>
        <w:t>La directive relative aux équipements radioélectriques couvre</w:t>
      </w:r>
      <w:r>
        <w:rPr>
          <w:rFonts w:ascii="Times New Roman" w:hAnsi="Times New Roman"/>
          <w:b/>
          <w:noProof/>
        </w:rPr>
        <w:t xml:space="preserve"> quatre principaux segments de marché</w:t>
      </w:r>
      <w:r>
        <w:rPr>
          <w:rFonts w:ascii="Times New Roman" w:hAnsi="Times New Roman"/>
          <w:noProof/>
        </w:rPr>
        <w:t xml:space="preserve">: </w:t>
      </w:r>
    </w:p>
    <w:p w14:paraId="31AEEC88" w14:textId="53A1F4CF" w:rsidR="000715FD" w:rsidRPr="008C5DA4" w:rsidRDefault="00DF1B83" w:rsidP="00FD160D">
      <w:pPr>
        <w:spacing w:after="0"/>
        <w:ind w:firstLine="709"/>
        <w:jc w:val="both"/>
        <w:rPr>
          <w:rFonts w:ascii="Times New Roman" w:hAnsi="Times New Roman" w:cs="Times New Roman"/>
          <w:noProof/>
        </w:rPr>
      </w:pPr>
      <w:r>
        <w:rPr>
          <w:rFonts w:ascii="Times New Roman" w:hAnsi="Times New Roman"/>
          <w:noProof/>
        </w:rPr>
        <w:t xml:space="preserve">1) les produits électroniques grand public; </w:t>
      </w:r>
    </w:p>
    <w:p w14:paraId="4927B07E" w14:textId="07398597" w:rsidR="000715FD" w:rsidRPr="008C5DA4" w:rsidRDefault="00F1479A" w:rsidP="00FD160D">
      <w:pPr>
        <w:spacing w:after="0"/>
        <w:ind w:firstLine="709"/>
        <w:jc w:val="both"/>
        <w:rPr>
          <w:rFonts w:ascii="Times New Roman" w:hAnsi="Times New Roman" w:cs="Times New Roman"/>
          <w:noProof/>
        </w:rPr>
      </w:pPr>
      <w:r>
        <w:rPr>
          <w:rFonts w:ascii="Times New Roman" w:hAnsi="Times New Roman"/>
          <w:noProof/>
        </w:rPr>
        <w:t xml:space="preserve">2) les appareils intelligents; </w:t>
      </w:r>
    </w:p>
    <w:p w14:paraId="271E910C" w14:textId="44C6A3E8" w:rsidR="000715FD" w:rsidRPr="008C5DA4" w:rsidRDefault="00F1479A" w:rsidP="00FD160D">
      <w:pPr>
        <w:spacing w:after="0"/>
        <w:ind w:firstLine="709"/>
        <w:jc w:val="both"/>
        <w:rPr>
          <w:rFonts w:ascii="Times New Roman" w:hAnsi="Times New Roman" w:cs="Times New Roman"/>
          <w:noProof/>
        </w:rPr>
      </w:pPr>
      <w:r>
        <w:rPr>
          <w:rFonts w:ascii="Times New Roman" w:hAnsi="Times New Roman"/>
          <w:noProof/>
        </w:rPr>
        <w:t>3) les jouets en plastique et autres; et</w:t>
      </w:r>
    </w:p>
    <w:p w14:paraId="6286CF72" w14:textId="138AE203" w:rsidR="00D5236E" w:rsidRPr="00B1269E" w:rsidRDefault="00F1479A" w:rsidP="00FD160D">
      <w:pPr>
        <w:ind w:firstLine="709"/>
        <w:jc w:val="both"/>
        <w:rPr>
          <w:rFonts w:ascii="Times New Roman" w:hAnsi="Times New Roman" w:cs="Times New Roman"/>
          <w:noProof/>
        </w:rPr>
      </w:pPr>
      <w:r>
        <w:rPr>
          <w:rFonts w:ascii="Times New Roman" w:hAnsi="Times New Roman"/>
          <w:noProof/>
        </w:rPr>
        <w:t>4) les dispositifs électroniques portables (objets personnels connectés).</w:t>
      </w:r>
    </w:p>
    <w:p w14:paraId="1EA70573" w14:textId="54783E1A" w:rsidR="006C7921" w:rsidRPr="008C5DA4" w:rsidRDefault="009B10DE" w:rsidP="5EB226E9">
      <w:pPr>
        <w:jc w:val="both"/>
        <w:rPr>
          <w:rFonts w:ascii="Times New Roman" w:hAnsi="Times New Roman"/>
          <w:noProof/>
        </w:rPr>
      </w:pPr>
      <w:r>
        <w:rPr>
          <w:rFonts w:ascii="Times New Roman" w:hAnsi="Times New Roman"/>
          <w:noProof/>
        </w:rPr>
        <w:t xml:space="preserve">Le segment des </w:t>
      </w:r>
      <w:r>
        <w:rPr>
          <w:rFonts w:ascii="Times New Roman" w:hAnsi="Times New Roman"/>
          <w:b/>
          <w:noProof/>
        </w:rPr>
        <w:t>produits électroniques grand public</w:t>
      </w:r>
      <w:r>
        <w:rPr>
          <w:rFonts w:ascii="Times New Roman" w:hAnsi="Times New Roman"/>
          <w:noProof/>
        </w:rPr>
        <w:t xml:space="preserve"> comprend les sous-segments suivants: i) la téléphonie, y compris tous les téléphones mobiles; ii) la télévision, la radio et le multimédia, y compris les caméras numériques, les liseuses numériques, les tablettes, les haut-parleurs portatifs et les dispositifs portés à l’oreille (casques d’écoute, casques-micro, écouteurs intra-auriculaires); iii) l’informatique, y compris tous les équipements informatiques tels que les ordinateurs portables, les claviers ou les souris; iv) les périphériques de télévision, y compris les dispositifs intelligents de diffusion en continu, les télécommandes intelligentes et les lecteurs vidéo; v) les drones, y compris les aéronefs sans pilote (UAV) ou les systèmes d’aéronefs sans équipage à bord (UAS) utilisés à des fins personnelles; et vi) les équipements de jeux, y compris les casques de réalité augmentée/virtuelle, les consoles de jeux vidéo portatives et les manettes de jeux vidéo.</w:t>
      </w:r>
    </w:p>
    <w:p w14:paraId="1CA39BCE" w14:textId="2FE3185F" w:rsidR="005204F0" w:rsidRPr="008C5DA4" w:rsidRDefault="00CB5502" w:rsidP="5EB226E9">
      <w:pPr>
        <w:jc w:val="both"/>
        <w:rPr>
          <w:rFonts w:ascii="Times New Roman" w:hAnsi="Times New Roman"/>
          <w:noProof/>
        </w:rPr>
      </w:pPr>
      <w:r>
        <w:rPr>
          <w:rFonts w:ascii="Times New Roman" w:hAnsi="Times New Roman"/>
          <w:noProof/>
        </w:rPr>
        <w:t>Les recettes du marché pour tous les sous-segments, à l’exception de l’informatique, ont augmenté depuis 2019 et devraient continuer à progresser (de plus de 5 % par an dans certains sous-segments jusqu’en 2030). Une part importante du segment de l’électronique grand public, y compris certains des sous-segments qui connaissent la croissance la plus rapide (tels que les téléphones mobiles ou les tablettes), est déjà couverte par les exigences relatives au chargeur universel (voir figure 1). Par exemple, les expéditions mondiales de dispositifs portés à l’oreille devraient augmenter régulièrement, passant de 360 millions d’unités en 2025 à 400 millions d’unités en 2028(</w:t>
      </w:r>
      <w:r>
        <w:rPr>
          <w:rStyle w:val="FootnoteReference"/>
          <w:rFonts w:ascii="Times New Roman" w:hAnsi="Times New Roman" w:cs="Times New Roman"/>
          <w:noProof/>
          <w:lang w:val="en-IE"/>
        </w:rPr>
        <w:footnoteReference w:id="8"/>
      </w:r>
      <w:r>
        <w:rPr>
          <w:rFonts w:ascii="Times New Roman" w:hAnsi="Times New Roman"/>
          <w:noProof/>
        </w:rPr>
        <w:t>).</w:t>
      </w:r>
    </w:p>
    <w:p w14:paraId="4DC3837A" w14:textId="362AD086" w:rsidR="00F1479A" w:rsidRPr="008C5DA4" w:rsidRDefault="00F1479A" w:rsidP="00F1479A">
      <w:pPr>
        <w:jc w:val="both"/>
        <w:rPr>
          <w:rFonts w:ascii="Times New Roman" w:hAnsi="Times New Roman"/>
          <w:noProof/>
        </w:rPr>
      </w:pPr>
      <w:r>
        <w:rPr>
          <w:rFonts w:ascii="Times New Roman" w:hAnsi="Times New Roman"/>
          <w:noProof/>
        </w:rPr>
        <w:t xml:space="preserve">Le </w:t>
      </w:r>
      <w:r>
        <w:rPr>
          <w:rFonts w:ascii="Times New Roman" w:hAnsi="Times New Roman"/>
          <w:b/>
          <w:noProof/>
        </w:rPr>
        <w:t>segment des appareils intelligents</w:t>
      </w:r>
      <w:r>
        <w:rPr>
          <w:rFonts w:ascii="Times New Roman" w:hAnsi="Times New Roman"/>
          <w:noProof/>
        </w:rPr>
        <w:t xml:space="preserve"> comprend des appareils contrôlés directement ou indirectement par l’internet, tels que: i) les appareils domestiques intelligents de grande taille tels que les réfrigérateurs, les machines à laver, les lave-vaisselle et les fours; ii) les dispositifs de soins personnels; et iii) les petits appareils domestiques intelligents, tels que les machines à café, les robots aspirateurs et robots tondeuses, et les micro-ondes. Les recettes ont augmenté à un rythme régulier depuis 2020 (pour atteindre environ 8 milliards d’EUR en 2024) et devraient progresser de plus de 50 % entre 2024 et 2029(</w:t>
      </w:r>
      <w:r>
        <w:rPr>
          <w:rStyle w:val="FootnoteReference"/>
          <w:rFonts w:ascii="Times New Roman" w:hAnsi="Times New Roman"/>
          <w:noProof/>
          <w:lang w:val="en-IE"/>
        </w:rPr>
        <w:footnoteReference w:id="9"/>
      </w:r>
      <w:r>
        <w:rPr>
          <w:rFonts w:ascii="Times New Roman" w:hAnsi="Times New Roman"/>
          <w:noProof/>
        </w:rPr>
        <w:t>).</w:t>
      </w:r>
    </w:p>
    <w:p w14:paraId="0B578665" w14:textId="4BACAF5E" w:rsidR="00F1479A" w:rsidRPr="005D2F17" w:rsidDel="0035617A" w:rsidRDefault="00F1479A" w:rsidP="2EF6D0AD">
      <w:pPr>
        <w:jc w:val="both"/>
        <w:rPr>
          <w:rFonts w:ascii="Times New Roman" w:hAnsi="Times New Roman"/>
          <w:noProof/>
        </w:rPr>
      </w:pPr>
      <w:r>
        <w:rPr>
          <w:rFonts w:ascii="Times New Roman" w:hAnsi="Times New Roman"/>
          <w:noProof/>
        </w:rPr>
        <w:t xml:space="preserve">Le </w:t>
      </w:r>
      <w:r>
        <w:rPr>
          <w:rFonts w:ascii="Times New Roman" w:hAnsi="Times New Roman"/>
          <w:b/>
          <w:noProof/>
        </w:rPr>
        <w:t>segment des jouets en plastique et autres</w:t>
      </w:r>
      <w:r>
        <w:rPr>
          <w:rFonts w:ascii="Times New Roman" w:hAnsi="Times New Roman"/>
          <w:noProof/>
        </w:rPr>
        <w:t xml:space="preserve"> couvre i) les sets de dessin et de peinture(</w:t>
      </w:r>
      <w:r>
        <w:rPr>
          <w:noProof/>
          <w:vertAlign w:val="superscript"/>
        </w:rPr>
        <w:footnoteReference w:id="10"/>
      </w:r>
      <w:r>
        <w:rPr>
          <w:rFonts w:ascii="Times New Roman" w:hAnsi="Times New Roman"/>
          <w:noProof/>
        </w:rPr>
        <w:t>); ii) les kits créatifs(</w:t>
      </w:r>
      <w:r>
        <w:rPr>
          <w:noProof/>
          <w:vertAlign w:val="superscript"/>
        </w:rPr>
        <w:footnoteReference w:id="11"/>
      </w:r>
      <w:r>
        <w:rPr>
          <w:rFonts w:ascii="Times New Roman" w:hAnsi="Times New Roman"/>
          <w:noProof/>
        </w:rPr>
        <w:t>); iii) les équipements pour aires collectives de jeux(</w:t>
      </w:r>
      <w:r>
        <w:rPr>
          <w:noProof/>
          <w:vertAlign w:val="superscript"/>
        </w:rPr>
        <w:footnoteReference w:id="12"/>
      </w:r>
      <w:r>
        <w:rPr>
          <w:rFonts w:ascii="Times New Roman" w:hAnsi="Times New Roman"/>
          <w:noProof/>
        </w:rPr>
        <w:t>); et iv) les jouets télécommandés(</w:t>
      </w:r>
      <w:r>
        <w:rPr>
          <w:noProof/>
          <w:vertAlign w:val="superscript"/>
        </w:rPr>
        <w:footnoteReference w:id="13"/>
      </w:r>
      <w:r>
        <w:rPr>
          <w:rFonts w:ascii="Times New Roman" w:hAnsi="Times New Roman"/>
          <w:noProof/>
        </w:rPr>
        <w:t>). Les recettes du marché tirées des ventes en ligne et hors ligne ont légèrement diminué depuis 2022 (environ 5,3 milliards d’EUR) et devraient atteindre environ 5 milliards d’EUR en 2027, mais devraient à nouveau augmenter à partir de 2028(</w:t>
      </w:r>
      <w:r>
        <w:rPr>
          <w:rStyle w:val="FootnoteReference"/>
          <w:rFonts w:ascii="Times New Roman" w:hAnsi="Times New Roman"/>
          <w:noProof/>
        </w:rPr>
        <w:footnoteReference w:id="14"/>
      </w:r>
      <w:r>
        <w:rPr>
          <w:rFonts w:ascii="Times New Roman" w:hAnsi="Times New Roman"/>
          <w:noProof/>
        </w:rPr>
        <w:t>).</w:t>
      </w:r>
    </w:p>
    <w:p w14:paraId="68C726B4" w14:textId="5B559A7C" w:rsidR="00B85943" w:rsidRPr="008C5DA4" w:rsidRDefault="4A730B34" w:rsidP="00765322">
      <w:pPr>
        <w:jc w:val="both"/>
        <w:rPr>
          <w:rFonts w:ascii="Times New Roman" w:hAnsi="Times New Roman"/>
          <w:noProof/>
        </w:rPr>
      </w:pPr>
      <w:r>
        <w:rPr>
          <w:rFonts w:ascii="Times New Roman" w:hAnsi="Times New Roman"/>
          <w:noProof/>
        </w:rPr>
        <w:t xml:space="preserve">Le </w:t>
      </w:r>
      <w:r>
        <w:rPr>
          <w:rFonts w:ascii="Times New Roman" w:hAnsi="Times New Roman"/>
          <w:b/>
          <w:noProof/>
        </w:rPr>
        <w:t>segment des dispositifs électroniques portables ou des objets personnels connectés</w:t>
      </w:r>
      <w:r>
        <w:rPr>
          <w:rFonts w:ascii="Times New Roman" w:hAnsi="Times New Roman"/>
          <w:noProof/>
        </w:rPr>
        <w:t xml:space="preserve"> comprend i) les montres intelligentes; ii) les dispositifs de suivi de la condition physique; iii) les lunettes intelligentes; iv) les bracelets de fitness; v) les vêtements intelligents; et vi) d’autres dispositifs modulaires(</w:t>
      </w:r>
      <w:r>
        <w:rPr>
          <w:rStyle w:val="FootnoteReference"/>
          <w:rFonts w:ascii="Times New Roman" w:hAnsi="Times New Roman"/>
          <w:noProof/>
          <w:lang w:val="en-IE"/>
        </w:rPr>
        <w:footnoteReference w:id="15"/>
      </w:r>
      <w:r>
        <w:rPr>
          <w:rFonts w:ascii="Times New Roman" w:hAnsi="Times New Roman"/>
          <w:noProof/>
        </w:rPr>
        <w:t>). Les expéditions de montres intelligentes (un sous-segment important) devraient connaître une croissance régulière, passant de 164 millions d’unités en 2025 à 175 millions d’unités en 2028, de même que les expéditions de lunettes intelligentes (de 1,9 million d’unités en 2025 à 2,4 millions d’unités en 2028)(</w:t>
      </w:r>
      <w:r>
        <w:rPr>
          <w:rStyle w:val="FootnoteReference"/>
          <w:rFonts w:ascii="Times New Roman" w:hAnsi="Times New Roman"/>
          <w:noProof/>
          <w:lang w:val="en-IE"/>
        </w:rPr>
        <w:footnoteReference w:id="16"/>
      </w:r>
      <w:r>
        <w:rPr>
          <w:rFonts w:ascii="Times New Roman" w:hAnsi="Times New Roman"/>
          <w:noProof/>
        </w:rPr>
        <w:t>).</w:t>
      </w:r>
    </w:p>
    <w:p w14:paraId="2386573F" w14:textId="56D408DB" w:rsidR="00F27247" w:rsidRPr="008C5DA4" w:rsidRDefault="006C7921" w:rsidP="00CA7463">
      <w:pPr>
        <w:pStyle w:val="Heading2"/>
        <w:rPr>
          <w:rFonts w:ascii="Times New Roman" w:hAnsi="Times New Roman"/>
          <w:noProof/>
        </w:rPr>
      </w:pPr>
      <w:r>
        <w:rPr>
          <w:rFonts w:ascii="Times New Roman" w:hAnsi="Times New Roman"/>
          <w:noProof/>
        </w:rPr>
        <w:t>Évaluation des segments de marché non couverts par les exigences relatives au chargeur universel</w:t>
      </w:r>
    </w:p>
    <w:p w14:paraId="58948CE3" w14:textId="710EDC87" w:rsidR="003128F6" w:rsidRPr="008C5DA4" w:rsidRDefault="75122182" w:rsidP="004D138F">
      <w:pPr>
        <w:jc w:val="both"/>
        <w:rPr>
          <w:rFonts w:ascii="Times New Roman" w:hAnsi="Times New Roman"/>
          <w:noProof/>
        </w:rPr>
      </w:pPr>
      <w:r>
        <w:rPr>
          <w:rFonts w:ascii="Times New Roman" w:hAnsi="Times New Roman"/>
          <w:noProof/>
        </w:rPr>
        <w:t>Une analyse approfondie du marché(</w:t>
      </w:r>
      <w:r>
        <w:rPr>
          <w:rStyle w:val="FootnoteReference"/>
          <w:rFonts w:ascii="Times New Roman" w:hAnsi="Times New Roman"/>
          <w:noProof/>
          <w:lang w:val="en-IE"/>
        </w:rPr>
        <w:footnoteReference w:id="17"/>
      </w:r>
      <w:r>
        <w:rPr>
          <w:rFonts w:ascii="Times New Roman" w:hAnsi="Times New Roman"/>
          <w:noProof/>
        </w:rPr>
        <w:t>) a été réalisée afin de déterminer à quelles nouvelles catégories d’équipements radioélectriques les exigences relatives au chargeur universel pourraient être étendues. L’approche suivante (voir figure 1) a été utilisée pour définir le champ d’application de l’analyse approfondie du marché. Premièrement, les équipements radioélectriques devraient: a) relever du champ d’application de la directive relative aux équipements radioélectriques; b) être équipés d’une batterie rechargeable amovible ou intégrée; et c) être rechargeables au moyen d’une recharge filaire. Deuxièmement, trois critères essentiels et cumulatifs devraient être remplis: 1) le sous-segment devrait avoir une taille de marché importante, avec des ventes susceptibles de rester constantes ou de croître à l’avenir; 2) les dispositifs présentant des caractéristiques d’équipements radioélectriques devraient représenter une partie non négligeable du sous-segment; et 3) il ne devrait pas y avoir de conditions techniques concernant les dispositifs qui excluraient l’application des exigences relatives au chargeur universel.</w:t>
      </w:r>
    </w:p>
    <w:p w14:paraId="5D1E4BB0" w14:textId="346D180E" w:rsidR="00630353" w:rsidRPr="008C5DA4" w:rsidRDefault="00CC4551" w:rsidP="3F7D32F8">
      <w:pPr>
        <w:jc w:val="both"/>
        <w:rPr>
          <w:rFonts w:ascii="Times New Roman" w:hAnsi="Times New Roman"/>
          <w:noProof/>
        </w:rPr>
      </w:pPr>
      <w:r>
        <w:rPr>
          <w:rFonts w:ascii="Times New Roman" w:hAnsi="Times New Roman"/>
          <w:noProof/>
        </w:rPr>
        <w:t>L’analyse approfondie a permis de recenser neuf catégories d’équipements radioélectriques, énumérées ci-dessous, qui répondent aux critères susmentionnés pour l’application des exigences relatives au chargeur universel. Toutes les autres catégories examinées n’ont pas été prises en considération, soit parce qu’elles appliquaient déjà les exigences relatives au chargeur universel, soit parce qu’elles ne remplissaient pas les deux conditions susmentionnées. Par exemple, les appareils domestiques intelligents ont été exclus parce que la plupart ne fonctionnent pas sur batterie, tandis que les vêtements intelligents, les dispositifs modulaires et la plupart des dispositifs de soins personnels n’ont pas été pris en considération en raison de la taille limitée du marché et des ventes. Les jouets non télécommandés ont été exclus car ils utilisent principalement des batteries de type AA, dont beaucoup sont des batteries au nickel. La plupart des jouets d’apprentissage électroniques ne relèvent pas de la directive relative aux équipements radioélectriques, et ceux qui en relèvent sont déjà couverts par les exigences relatives au chargeur universel dans d’autres catégories telles que les tablettes.</w:t>
      </w:r>
    </w:p>
    <w:tbl>
      <w:tblPr>
        <w:tblStyle w:val="TableGrid"/>
        <w:tblW w:w="0" w:type="auto"/>
        <w:tblLook w:val="04A0" w:firstRow="1" w:lastRow="0" w:firstColumn="1" w:lastColumn="0" w:noHBand="0" w:noVBand="1"/>
      </w:tblPr>
      <w:tblGrid>
        <w:gridCol w:w="4675"/>
        <w:gridCol w:w="4675"/>
      </w:tblGrid>
      <w:tr w:rsidR="00104016" w:rsidRPr="008C5DA4" w14:paraId="6B4609CC" w14:textId="77777777" w:rsidTr="00104016">
        <w:tc>
          <w:tcPr>
            <w:tcW w:w="4675" w:type="dxa"/>
          </w:tcPr>
          <w:p w14:paraId="7D627F31" w14:textId="77777777" w:rsidR="002F3132" w:rsidRPr="008C5DA4" w:rsidRDefault="002F3132" w:rsidP="3F7D32F8">
            <w:pPr>
              <w:jc w:val="both"/>
              <w:rPr>
                <w:rFonts w:ascii="Times New Roman" w:hAnsi="Times New Roman"/>
                <w:noProof/>
              </w:rPr>
            </w:pPr>
            <w:r>
              <w:rPr>
                <w:rFonts w:ascii="Times New Roman" w:hAnsi="Times New Roman"/>
                <w:noProof/>
              </w:rPr>
              <w:t>Électronique grand public</w:t>
            </w:r>
          </w:p>
          <w:p w14:paraId="60A39067" w14:textId="77777777" w:rsidR="00EB251D" w:rsidRPr="008C5DA4" w:rsidRDefault="00EB251D" w:rsidP="00035F20">
            <w:pPr>
              <w:pStyle w:val="ListParagraph"/>
              <w:numPr>
                <w:ilvl w:val="0"/>
                <w:numId w:val="44"/>
              </w:numPr>
              <w:jc w:val="both"/>
              <w:rPr>
                <w:rFonts w:ascii="Times New Roman" w:hAnsi="Times New Roman"/>
                <w:b/>
                <w:noProof/>
              </w:rPr>
            </w:pPr>
            <w:r>
              <w:rPr>
                <w:rFonts w:ascii="Times New Roman" w:hAnsi="Times New Roman"/>
                <w:b/>
                <w:noProof/>
              </w:rPr>
              <w:t>casques de réalité augmentée/virtuelle</w:t>
            </w:r>
          </w:p>
          <w:p w14:paraId="073F267C" w14:textId="77777777" w:rsidR="00EB251D" w:rsidRPr="008C5DA4" w:rsidRDefault="00EB251D" w:rsidP="00035F20">
            <w:pPr>
              <w:pStyle w:val="ListParagraph"/>
              <w:numPr>
                <w:ilvl w:val="0"/>
                <w:numId w:val="44"/>
              </w:numPr>
              <w:jc w:val="both"/>
              <w:rPr>
                <w:rFonts w:ascii="Times New Roman" w:hAnsi="Times New Roman"/>
                <w:b/>
                <w:noProof/>
              </w:rPr>
            </w:pPr>
            <w:r>
              <w:rPr>
                <w:rFonts w:ascii="Times New Roman" w:hAnsi="Times New Roman"/>
                <w:b/>
                <w:noProof/>
              </w:rPr>
              <w:t>drones</w:t>
            </w:r>
            <w:r>
              <w:rPr>
                <w:rFonts w:ascii="Times New Roman" w:hAnsi="Times New Roman"/>
                <w:noProof/>
              </w:rPr>
              <w:t xml:space="preserve"> </w:t>
            </w:r>
            <w:r>
              <w:rPr>
                <w:rFonts w:ascii="Times New Roman" w:hAnsi="Times New Roman"/>
                <w:b/>
                <w:noProof/>
              </w:rPr>
              <w:t>destinés à des fins personnelles</w:t>
            </w:r>
          </w:p>
          <w:p w14:paraId="73D157E6" w14:textId="66E4B23F" w:rsidR="00EB251D" w:rsidRPr="008C5DA4" w:rsidRDefault="00EB251D" w:rsidP="00035F20">
            <w:pPr>
              <w:pStyle w:val="ListParagraph"/>
              <w:numPr>
                <w:ilvl w:val="0"/>
                <w:numId w:val="44"/>
              </w:numPr>
              <w:jc w:val="both"/>
              <w:rPr>
                <w:rFonts w:ascii="Times New Roman" w:hAnsi="Times New Roman"/>
                <w:noProof/>
              </w:rPr>
            </w:pPr>
            <w:r>
              <w:rPr>
                <w:rFonts w:ascii="Times New Roman" w:hAnsi="Times New Roman"/>
                <w:b/>
                <w:noProof/>
              </w:rPr>
              <w:t>manettes de jeux vidéo</w:t>
            </w:r>
          </w:p>
        </w:tc>
        <w:tc>
          <w:tcPr>
            <w:tcW w:w="4675" w:type="dxa"/>
          </w:tcPr>
          <w:p w14:paraId="175BFB83" w14:textId="77777777" w:rsidR="00104016" w:rsidRPr="008C5DA4" w:rsidRDefault="001C6822" w:rsidP="3F7D32F8">
            <w:pPr>
              <w:jc w:val="both"/>
              <w:rPr>
                <w:rFonts w:ascii="Times New Roman" w:hAnsi="Times New Roman"/>
                <w:noProof/>
              </w:rPr>
            </w:pPr>
            <w:r>
              <w:rPr>
                <w:rFonts w:ascii="Times New Roman" w:hAnsi="Times New Roman"/>
                <w:noProof/>
              </w:rPr>
              <w:t>Objets personnels connectés</w:t>
            </w:r>
          </w:p>
          <w:p w14:paraId="65722BF3" w14:textId="77777777" w:rsidR="00EB251D" w:rsidRPr="008C5DA4" w:rsidRDefault="00EB251D" w:rsidP="00EB251D">
            <w:pPr>
              <w:pStyle w:val="ListParagraph"/>
              <w:numPr>
                <w:ilvl w:val="0"/>
                <w:numId w:val="41"/>
              </w:numPr>
              <w:jc w:val="both"/>
              <w:rPr>
                <w:rFonts w:ascii="Times New Roman" w:hAnsi="Times New Roman"/>
                <w:noProof/>
              </w:rPr>
            </w:pPr>
            <w:r>
              <w:rPr>
                <w:rFonts w:ascii="Times New Roman" w:hAnsi="Times New Roman"/>
                <w:b/>
                <w:noProof/>
              </w:rPr>
              <w:t>montres intelligentes</w:t>
            </w:r>
          </w:p>
          <w:p w14:paraId="162C4800" w14:textId="741F1103" w:rsidR="00EB251D" w:rsidRPr="008C5DA4" w:rsidRDefault="00EB251D" w:rsidP="00EB251D">
            <w:pPr>
              <w:pStyle w:val="ListParagraph"/>
              <w:numPr>
                <w:ilvl w:val="0"/>
                <w:numId w:val="41"/>
              </w:numPr>
              <w:jc w:val="both"/>
              <w:rPr>
                <w:rFonts w:ascii="Times New Roman" w:hAnsi="Times New Roman"/>
                <w:noProof/>
              </w:rPr>
            </w:pPr>
            <w:r>
              <w:rPr>
                <w:rFonts w:ascii="Times New Roman" w:hAnsi="Times New Roman"/>
                <w:b/>
                <w:noProof/>
              </w:rPr>
              <w:t>dispositifs de suivi de la condition physique</w:t>
            </w:r>
          </w:p>
          <w:p w14:paraId="123FF778" w14:textId="10A7B424" w:rsidR="00EB251D" w:rsidRPr="008C5DA4" w:rsidRDefault="00EB251D" w:rsidP="00EB251D">
            <w:pPr>
              <w:pStyle w:val="ListParagraph"/>
              <w:numPr>
                <w:ilvl w:val="0"/>
                <w:numId w:val="41"/>
              </w:numPr>
              <w:jc w:val="both"/>
              <w:rPr>
                <w:rFonts w:ascii="Times New Roman" w:hAnsi="Times New Roman"/>
                <w:noProof/>
              </w:rPr>
            </w:pPr>
            <w:r>
              <w:rPr>
                <w:rFonts w:ascii="Times New Roman" w:hAnsi="Times New Roman"/>
                <w:b/>
                <w:noProof/>
              </w:rPr>
              <w:t>lunettes intelligentes</w:t>
            </w:r>
          </w:p>
          <w:p w14:paraId="41260978" w14:textId="002D2D26" w:rsidR="00EB251D" w:rsidRPr="008C5DA4" w:rsidRDefault="00EB251D" w:rsidP="00035F20">
            <w:pPr>
              <w:pStyle w:val="ListParagraph"/>
              <w:numPr>
                <w:ilvl w:val="0"/>
                <w:numId w:val="41"/>
              </w:numPr>
              <w:jc w:val="both"/>
              <w:rPr>
                <w:rFonts w:ascii="Times New Roman" w:hAnsi="Times New Roman"/>
                <w:noProof/>
              </w:rPr>
            </w:pPr>
            <w:r>
              <w:rPr>
                <w:rFonts w:ascii="Times New Roman" w:hAnsi="Times New Roman"/>
                <w:b/>
                <w:noProof/>
              </w:rPr>
              <w:t>bracelets de fitness</w:t>
            </w:r>
          </w:p>
        </w:tc>
      </w:tr>
      <w:tr w:rsidR="00EB251D" w:rsidRPr="008C5DA4" w14:paraId="4A929424" w14:textId="77777777" w:rsidTr="00104016">
        <w:tc>
          <w:tcPr>
            <w:tcW w:w="4675" w:type="dxa"/>
          </w:tcPr>
          <w:p w14:paraId="6F43BCF8" w14:textId="77777777" w:rsidR="00EB251D" w:rsidRPr="008C5DA4" w:rsidRDefault="00EB251D" w:rsidP="00EB251D">
            <w:pPr>
              <w:jc w:val="both"/>
              <w:rPr>
                <w:rFonts w:ascii="Times New Roman" w:hAnsi="Times New Roman"/>
                <w:noProof/>
              </w:rPr>
            </w:pPr>
            <w:r>
              <w:rPr>
                <w:rFonts w:ascii="Times New Roman" w:hAnsi="Times New Roman"/>
                <w:noProof/>
              </w:rPr>
              <w:t>Appareils intelligents</w:t>
            </w:r>
          </w:p>
          <w:p w14:paraId="3EEBFCED" w14:textId="668A4D92" w:rsidR="00EB251D" w:rsidRPr="008C5DA4" w:rsidRDefault="00EB251D" w:rsidP="00035F20">
            <w:pPr>
              <w:pStyle w:val="ListParagraph"/>
              <w:numPr>
                <w:ilvl w:val="0"/>
                <w:numId w:val="44"/>
              </w:numPr>
              <w:jc w:val="both"/>
              <w:rPr>
                <w:rFonts w:ascii="Times New Roman" w:hAnsi="Times New Roman"/>
                <w:b/>
                <w:noProof/>
              </w:rPr>
            </w:pPr>
            <w:r>
              <w:rPr>
                <w:rFonts w:ascii="Times New Roman" w:hAnsi="Times New Roman"/>
                <w:b/>
                <w:noProof/>
              </w:rPr>
              <w:t>brosses à dents électriques fonctionnant sur batterie</w:t>
            </w:r>
          </w:p>
        </w:tc>
        <w:tc>
          <w:tcPr>
            <w:tcW w:w="4675" w:type="dxa"/>
          </w:tcPr>
          <w:p w14:paraId="7BFCDB2C" w14:textId="17C221DE" w:rsidR="00EB251D" w:rsidRPr="008C5DA4" w:rsidRDefault="00EB251D" w:rsidP="00035F20">
            <w:pPr>
              <w:jc w:val="both"/>
              <w:rPr>
                <w:rFonts w:ascii="Times New Roman" w:hAnsi="Times New Roman"/>
                <w:b/>
                <w:noProof/>
              </w:rPr>
            </w:pPr>
            <w:r>
              <w:rPr>
                <w:rFonts w:ascii="Times New Roman" w:hAnsi="Times New Roman"/>
                <w:noProof/>
              </w:rPr>
              <w:t>Jouets en plastique et autres</w:t>
            </w:r>
          </w:p>
          <w:p w14:paraId="7E52D3C1" w14:textId="22C7982E" w:rsidR="00EB251D" w:rsidRPr="008C5DA4" w:rsidRDefault="00EB251D" w:rsidP="00035F20">
            <w:pPr>
              <w:pStyle w:val="ListParagraph"/>
              <w:numPr>
                <w:ilvl w:val="0"/>
                <w:numId w:val="41"/>
              </w:numPr>
              <w:jc w:val="both"/>
              <w:rPr>
                <w:rFonts w:ascii="Times New Roman" w:hAnsi="Times New Roman"/>
                <w:b/>
                <w:noProof/>
              </w:rPr>
            </w:pPr>
            <w:r>
              <w:rPr>
                <w:rFonts w:ascii="Times New Roman" w:hAnsi="Times New Roman"/>
                <w:b/>
                <w:noProof/>
              </w:rPr>
              <w:t xml:space="preserve">jouets télécommandés </w:t>
            </w:r>
          </w:p>
        </w:tc>
      </w:tr>
    </w:tbl>
    <w:p w14:paraId="4A20318B" w14:textId="77777777" w:rsidR="00595F59" w:rsidRPr="008C5DA4" w:rsidRDefault="00595F59" w:rsidP="00035F20">
      <w:pPr>
        <w:spacing w:after="0"/>
        <w:jc w:val="both"/>
        <w:rPr>
          <w:rFonts w:ascii="Times New Roman" w:hAnsi="Times New Roman"/>
          <w:noProof/>
          <w:lang w:val="en-IE"/>
        </w:rPr>
      </w:pPr>
    </w:p>
    <w:p w14:paraId="58FBB1DA" w14:textId="377EE364" w:rsidR="008F2AFC" w:rsidRPr="008C5DA4" w:rsidRDefault="00404C5D" w:rsidP="004D138F">
      <w:pPr>
        <w:jc w:val="both"/>
        <w:rPr>
          <w:rFonts w:ascii="Times New Roman" w:hAnsi="Times New Roman"/>
          <w:noProof/>
        </w:rPr>
      </w:pPr>
      <w:r>
        <w:rPr>
          <w:rFonts w:ascii="Times New Roman" w:hAnsi="Times New Roman"/>
          <w:noProof/>
        </w:rPr>
        <w:t>Une analyse plus approfondie s’est intéressée à l’évolution des ventes des catégories d’équipements radioélectriques sélectionnées. Les principales tendances suivantes ont été observées:</w:t>
      </w:r>
    </w:p>
    <w:p w14:paraId="5A748598" w14:textId="694A5EAD" w:rsidR="00324B85" w:rsidRPr="008C5DA4" w:rsidRDefault="00824160" w:rsidP="00035F20">
      <w:pPr>
        <w:pStyle w:val="ListParagraph"/>
        <w:numPr>
          <w:ilvl w:val="0"/>
          <w:numId w:val="39"/>
        </w:numPr>
        <w:jc w:val="both"/>
        <w:rPr>
          <w:rFonts w:ascii="Times New Roman" w:hAnsi="Times New Roman"/>
          <w:noProof/>
        </w:rPr>
      </w:pPr>
      <w:r>
        <w:rPr>
          <w:rFonts w:ascii="Times New Roman" w:hAnsi="Times New Roman"/>
          <w:noProof/>
        </w:rPr>
        <w:t xml:space="preserve">environ 1,5 million de </w:t>
      </w:r>
      <w:r>
        <w:rPr>
          <w:rFonts w:ascii="Times New Roman" w:hAnsi="Times New Roman"/>
          <w:b/>
          <w:noProof/>
        </w:rPr>
        <w:t xml:space="preserve">casques de réalité augmentée/virtuelle </w:t>
      </w:r>
      <w:r>
        <w:rPr>
          <w:rFonts w:ascii="Times New Roman" w:hAnsi="Times New Roman"/>
          <w:noProof/>
        </w:rPr>
        <w:t>ont été vendus dans 20 États membres de l’Union en 2022, contre 0,8 million en 2018 et 0,7 million en 2020. Ce doublement des ventes s’est produit avec le lancement du casque de réalité virtuelle de Meta et d’Oculus Quest 2. Les rapports en ligne indiquent que les ventes devraient continuer à progresser(</w:t>
      </w:r>
      <w:r>
        <w:rPr>
          <w:rStyle w:val="FootnoteReference"/>
          <w:rFonts w:ascii="Times New Roman" w:hAnsi="Times New Roman"/>
          <w:noProof/>
          <w:lang w:val="en-IE"/>
        </w:rPr>
        <w:footnoteReference w:id="18"/>
      </w:r>
      <w:r>
        <w:rPr>
          <w:rFonts w:ascii="Times New Roman" w:hAnsi="Times New Roman"/>
          <w:noProof/>
        </w:rPr>
        <w:t>).</w:t>
      </w:r>
    </w:p>
    <w:p w14:paraId="4C994C29" w14:textId="3044F170" w:rsidR="00CA7463" w:rsidRPr="008C5DA4" w:rsidRDefault="009C662C" w:rsidP="00035F20">
      <w:pPr>
        <w:pStyle w:val="ListParagraph"/>
        <w:numPr>
          <w:ilvl w:val="0"/>
          <w:numId w:val="39"/>
        </w:numPr>
        <w:jc w:val="both"/>
        <w:rPr>
          <w:rFonts w:ascii="Times New Roman" w:hAnsi="Times New Roman"/>
          <w:noProof/>
        </w:rPr>
      </w:pPr>
      <w:r>
        <w:rPr>
          <w:rFonts w:ascii="Times New Roman" w:hAnsi="Times New Roman"/>
          <w:noProof/>
        </w:rPr>
        <w:t>En 2020, 700 000 </w:t>
      </w:r>
      <w:r>
        <w:rPr>
          <w:rFonts w:ascii="Times New Roman" w:hAnsi="Times New Roman"/>
          <w:b/>
          <w:noProof/>
        </w:rPr>
        <w:t>drones destinés à des fins personnelles</w:t>
      </w:r>
      <w:r>
        <w:rPr>
          <w:rFonts w:ascii="Times New Roman" w:hAnsi="Times New Roman"/>
          <w:noProof/>
        </w:rPr>
        <w:t xml:space="preserve"> ont été vendus dans l’Union et 1 million d’unités en 2022. Les ventes devraient continuer à augmenter pour atteindre 1,2 million d’EUR en 2028. Certains drones sont déjà couverts par les exigences relatives au chargeur universel en raison de leur fonction principale (par exemple, les caméras).</w:t>
      </w:r>
    </w:p>
    <w:p w14:paraId="65D3C9CE" w14:textId="1E5204C9" w:rsidR="00F1479A" w:rsidRPr="008C5DA4" w:rsidRDefault="00F1479A" w:rsidP="00035F20">
      <w:pPr>
        <w:pStyle w:val="ListParagraph"/>
        <w:numPr>
          <w:ilvl w:val="0"/>
          <w:numId w:val="39"/>
        </w:numPr>
        <w:jc w:val="both"/>
        <w:rPr>
          <w:rFonts w:ascii="Times New Roman" w:hAnsi="Times New Roman"/>
          <w:noProof/>
        </w:rPr>
      </w:pPr>
      <w:r>
        <w:rPr>
          <w:rFonts w:ascii="Times New Roman" w:hAnsi="Times New Roman"/>
          <w:noProof/>
        </w:rPr>
        <w:t xml:space="preserve">Les ventes de </w:t>
      </w:r>
      <w:r>
        <w:rPr>
          <w:rFonts w:ascii="Times New Roman" w:hAnsi="Times New Roman"/>
          <w:b/>
          <w:noProof/>
        </w:rPr>
        <w:t xml:space="preserve">manettes de jeux vidéo sans fil </w:t>
      </w:r>
      <w:r>
        <w:rPr>
          <w:rFonts w:ascii="Times New Roman" w:hAnsi="Times New Roman"/>
          <w:noProof/>
        </w:rPr>
        <w:t>sont passées de 4,5 millions en 2020 à 4,6 millions en 2022 et devraient atteindre environ 4,8 millions d’unités en 2028.</w:t>
      </w:r>
    </w:p>
    <w:p w14:paraId="3C42918A" w14:textId="2D473B65" w:rsidR="00F1479A" w:rsidRPr="008C5DA4" w:rsidRDefault="00F1479A" w:rsidP="00035F20">
      <w:pPr>
        <w:pStyle w:val="ListParagraph"/>
        <w:numPr>
          <w:ilvl w:val="0"/>
          <w:numId w:val="39"/>
        </w:numPr>
        <w:jc w:val="both"/>
        <w:rPr>
          <w:rFonts w:ascii="Times New Roman" w:hAnsi="Times New Roman"/>
          <w:noProof/>
        </w:rPr>
      </w:pPr>
      <w:r>
        <w:rPr>
          <w:rFonts w:ascii="Times New Roman" w:hAnsi="Times New Roman"/>
          <w:noProof/>
        </w:rPr>
        <w:t xml:space="preserve">Le marché des </w:t>
      </w:r>
      <w:r>
        <w:rPr>
          <w:rFonts w:ascii="Times New Roman" w:hAnsi="Times New Roman"/>
          <w:b/>
          <w:noProof/>
        </w:rPr>
        <w:t>brosses à dents électriques</w:t>
      </w:r>
      <w:r>
        <w:rPr>
          <w:rFonts w:ascii="Times New Roman" w:hAnsi="Times New Roman"/>
          <w:noProof/>
        </w:rPr>
        <w:t xml:space="preserve"> relevant du champ d’application de la directive relative aux équipements radioélectriques a été estimé à 11,2 millions d’unités en 2022. Les ventes devraient rester stables.</w:t>
      </w:r>
    </w:p>
    <w:p w14:paraId="66FB3649" w14:textId="4252E78C" w:rsidR="00A00AAA" w:rsidRPr="008C5DA4" w:rsidRDefault="00F1479A" w:rsidP="00035F20">
      <w:pPr>
        <w:pStyle w:val="ListParagraph"/>
        <w:numPr>
          <w:ilvl w:val="0"/>
          <w:numId w:val="39"/>
        </w:numPr>
        <w:jc w:val="both"/>
        <w:rPr>
          <w:rFonts w:ascii="Times New Roman" w:hAnsi="Times New Roman"/>
          <w:noProof/>
        </w:rPr>
      </w:pPr>
      <w:r>
        <w:rPr>
          <w:rFonts w:ascii="Times New Roman" w:hAnsi="Times New Roman"/>
          <w:noProof/>
        </w:rPr>
        <w:t xml:space="preserve">Le marché des </w:t>
      </w:r>
      <w:r>
        <w:rPr>
          <w:rFonts w:ascii="Times New Roman" w:hAnsi="Times New Roman"/>
          <w:b/>
          <w:noProof/>
        </w:rPr>
        <w:t>jouets télécommandés</w:t>
      </w:r>
      <w:r>
        <w:rPr>
          <w:rFonts w:ascii="Times New Roman" w:hAnsi="Times New Roman"/>
          <w:noProof/>
        </w:rPr>
        <w:t xml:space="preserve"> est estimé à environ 1,5 million d’unités. Des rapports en ligne montrent également que ce marché ne cesse de croître(</w:t>
      </w:r>
      <w:r>
        <w:rPr>
          <w:rStyle w:val="FootnoteReference"/>
          <w:rFonts w:ascii="Times New Roman" w:hAnsi="Times New Roman"/>
          <w:noProof/>
          <w:lang w:val="en-IE"/>
        </w:rPr>
        <w:footnoteReference w:id="19"/>
      </w:r>
      <w:r>
        <w:rPr>
          <w:rFonts w:ascii="Times New Roman" w:hAnsi="Times New Roman"/>
          <w:noProof/>
        </w:rPr>
        <w:t>). En ce qui concerne les drones, certains jouets sont déjà couverts par les exigences relatives au chargeur universel en raison de leur fonction principale (par exemple, les caméras, les tablettes).</w:t>
      </w:r>
    </w:p>
    <w:p w14:paraId="0480A7C5" w14:textId="78D439A3" w:rsidR="002D1B56" w:rsidRPr="008C5DA4" w:rsidRDefault="002D1B56" w:rsidP="00035F20">
      <w:pPr>
        <w:pStyle w:val="ListParagraph"/>
        <w:numPr>
          <w:ilvl w:val="0"/>
          <w:numId w:val="39"/>
        </w:numPr>
        <w:jc w:val="both"/>
        <w:rPr>
          <w:rFonts w:ascii="Times New Roman" w:hAnsi="Times New Roman"/>
          <w:noProof/>
        </w:rPr>
      </w:pPr>
      <w:r>
        <w:rPr>
          <w:rFonts w:ascii="Times New Roman" w:hAnsi="Times New Roman"/>
          <w:noProof/>
        </w:rPr>
        <w:t xml:space="preserve">En 2022, plus de 26 millions de </w:t>
      </w:r>
      <w:r>
        <w:rPr>
          <w:rFonts w:ascii="Times New Roman" w:hAnsi="Times New Roman"/>
          <w:b/>
          <w:noProof/>
        </w:rPr>
        <w:t>dispositifs électroniques portables</w:t>
      </w:r>
      <w:r>
        <w:rPr>
          <w:rFonts w:ascii="Times New Roman" w:hAnsi="Times New Roman"/>
          <w:noProof/>
        </w:rPr>
        <w:t xml:space="preserve"> ont été expédiés vers l’Union, contre 14 millions en 2018 et 24 millions en 2020. Les montres intelligentes représentaient près de 80 % des expéditions, suivies par les bracelets de fitness, les dispositifs de suivi de la condition physique et les lunettes intelligentes. Les rapports en ligne(</w:t>
      </w:r>
      <w:r>
        <w:rPr>
          <w:rStyle w:val="FootnoteReference"/>
          <w:rFonts w:ascii="Times New Roman" w:hAnsi="Times New Roman"/>
          <w:noProof/>
          <w:lang w:val="en-IE"/>
        </w:rPr>
        <w:footnoteReference w:id="20"/>
      </w:r>
      <w:r>
        <w:rPr>
          <w:rFonts w:ascii="Times New Roman" w:hAnsi="Times New Roman"/>
          <w:noProof/>
        </w:rPr>
        <w:t>) et les retours d’information des parties prenantes du secteur indiquent que le marché devrait croître au cours des cinq à dix prochaines années pour tous les sous-segments à mesure que l’innovation progresse rapidement.</w:t>
      </w:r>
    </w:p>
    <w:p w14:paraId="140BED6C" w14:textId="39CE7A47" w:rsidR="00052C3A" w:rsidRPr="008C5DA4" w:rsidRDefault="00490C59" w:rsidP="00877A32">
      <w:pPr>
        <w:jc w:val="both"/>
        <w:rPr>
          <w:rFonts w:ascii="Times New Roman" w:hAnsi="Times New Roman"/>
          <w:noProof/>
        </w:rPr>
      </w:pPr>
      <w:r>
        <w:rPr>
          <w:rFonts w:ascii="Times New Roman" w:hAnsi="Times New Roman"/>
          <w:noProof/>
        </w:rPr>
        <w:t>En résumé, les catégories recensées relèvent du champ d’application de la directive relative aux équipements radioélectriques, sont équipées d’une batterie rechargeable et peuvent être rechargées au moyen d’une recharge filaire. En outre, les dispositifs visés par la directive relative aux équipements radioélectriques représentent une part significative de chaque catégorie, la taille de leur marché est importante, les ventes devraient rester constantes ou croître, et aucune limitation technique à l’application des exigences relatives au chargeur universel n’a été observée dans l’étude.</w:t>
      </w:r>
    </w:p>
    <w:p w14:paraId="7A034CE0" w14:textId="1164E67E" w:rsidR="003D2197" w:rsidRPr="008C5DA4" w:rsidRDefault="00311C2B" w:rsidP="003D2197">
      <w:pPr>
        <w:pStyle w:val="Heading1"/>
        <w:jc w:val="both"/>
        <w:rPr>
          <w:rFonts w:ascii="Times New Roman" w:hAnsi="Times New Roman"/>
          <w:noProof/>
        </w:rPr>
      </w:pPr>
      <w:r>
        <w:rPr>
          <w:rFonts w:ascii="Times New Roman" w:hAnsi="Times New Roman"/>
          <w:noProof/>
        </w:rPr>
        <w:t>Fragmentation du marché et progrès technologique</w:t>
      </w:r>
    </w:p>
    <w:p w14:paraId="237BEF2B" w14:textId="448CE0EB" w:rsidR="00897EDD" w:rsidRPr="008C5DA4" w:rsidRDefault="00425779" w:rsidP="00E04A58">
      <w:pPr>
        <w:jc w:val="both"/>
        <w:rPr>
          <w:rFonts w:ascii="Times New Roman" w:hAnsi="Times New Roman"/>
          <w:noProof/>
        </w:rPr>
      </w:pPr>
      <w:r>
        <w:rPr>
          <w:rFonts w:ascii="Times New Roman" w:hAnsi="Times New Roman"/>
          <w:noProof/>
        </w:rPr>
        <w:t xml:space="preserve">Dans un </w:t>
      </w:r>
      <w:r>
        <w:rPr>
          <w:rFonts w:ascii="Times New Roman" w:hAnsi="Times New Roman"/>
          <w:b/>
          <w:noProof/>
        </w:rPr>
        <w:t>troisième temps</w:t>
      </w:r>
      <w:r>
        <w:rPr>
          <w:rFonts w:ascii="Times New Roman" w:hAnsi="Times New Roman"/>
          <w:noProof/>
        </w:rPr>
        <w:t xml:space="preserve">, la Commission a évalué la fragmentation du marché et les progrès technologiques. L’évaluation a porté sur les </w:t>
      </w:r>
      <w:r>
        <w:rPr>
          <w:rFonts w:ascii="Times New Roman" w:hAnsi="Times New Roman"/>
          <w:b/>
          <w:noProof/>
        </w:rPr>
        <w:t>limitations potentielles</w:t>
      </w:r>
      <w:r>
        <w:rPr>
          <w:rFonts w:ascii="Times New Roman" w:hAnsi="Times New Roman"/>
          <w:noProof/>
        </w:rPr>
        <w:t xml:space="preserve"> de l’USB Type-C, les </w:t>
      </w:r>
      <w:r>
        <w:rPr>
          <w:rFonts w:ascii="Times New Roman" w:hAnsi="Times New Roman"/>
          <w:b/>
          <w:noProof/>
        </w:rPr>
        <w:t>préoccupations en matière de sécurité et la législation applicable existante</w:t>
      </w:r>
      <w:r>
        <w:rPr>
          <w:rFonts w:ascii="Times New Roman" w:hAnsi="Times New Roman"/>
          <w:noProof/>
        </w:rPr>
        <w:t>, pour différentes catégories d’équipements radioélectriques. Les éléments suivants ont été pris en considération:</w:t>
      </w:r>
    </w:p>
    <w:p w14:paraId="539024E9" w14:textId="0A00C109" w:rsidR="00AF0C7E" w:rsidRPr="008C5DA4" w:rsidRDefault="00425779" w:rsidP="00DC0534">
      <w:pPr>
        <w:pStyle w:val="ListParagraph"/>
        <w:numPr>
          <w:ilvl w:val="0"/>
          <w:numId w:val="14"/>
        </w:numPr>
        <w:jc w:val="both"/>
        <w:rPr>
          <w:rFonts w:ascii="Times New Roman" w:hAnsi="Times New Roman"/>
          <w:noProof/>
        </w:rPr>
      </w:pPr>
      <w:r>
        <w:rPr>
          <w:rFonts w:ascii="Times New Roman" w:hAnsi="Times New Roman"/>
          <w:noProof/>
        </w:rPr>
        <w:t>utilisation d’un connecteur femelle USB Type-C ou, à défaut, utilisation d’un chargeur à induction, d’un étui ou d’un boîtier de charge avec câble intégré;</w:t>
      </w:r>
    </w:p>
    <w:p w14:paraId="5725EC09" w14:textId="490871BF" w:rsidR="00897EDD" w:rsidRPr="008C5DA4" w:rsidRDefault="009069F7" w:rsidP="00C15032">
      <w:pPr>
        <w:pStyle w:val="ListParagraph"/>
        <w:numPr>
          <w:ilvl w:val="0"/>
          <w:numId w:val="14"/>
        </w:numPr>
        <w:jc w:val="both"/>
        <w:rPr>
          <w:rFonts w:ascii="Times New Roman" w:hAnsi="Times New Roman"/>
          <w:noProof/>
        </w:rPr>
      </w:pPr>
      <w:r>
        <w:rPr>
          <w:rFonts w:ascii="Times New Roman" w:hAnsi="Times New Roman"/>
          <w:noProof/>
        </w:rPr>
        <w:t>utilisation du protocole de charge rapide USB PD; et</w:t>
      </w:r>
    </w:p>
    <w:p w14:paraId="75EA369C" w14:textId="6FAACCEC" w:rsidR="00D86CB5" w:rsidRPr="008C5DA4" w:rsidRDefault="009069F7" w:rsidP="00503E8E">
      <w:pPr>
        <w:pStyle w:val="ListParagraph"/>
        <w:numPr>
          <w:ilvl w:val="0"/>
          <w:numId w:val="14"/>
        </w:numPr>
        <w:jc w:val="both"/>
        <w:rPr>
          <w:rFonts w:ascii="Times New Roman" w:hAnsi="Times New Roman"/>
          <w:noProof/>
        </w:rPr>
      </w:pPr>
      <w:r>
        <w:rPr>
          <w:rFonts w:ascii="Times New Roman" w:hAnsi="Times New Roman"/>
          <w:noProof/>
        </w:rPr>
        <w:t>dissociation du chargeur ou du câble de recharge.</w:t>
      </w:r>
    </w:p>
    <w:p w14:paraId="7A618897" w14:textId="03328D47" w:rsidR="009A7436" w:rsidRDefault="00762E21" w:rsidP="00FD160D">
      <w:pPr>
        <w:tabs>
          <w:tab w:val="left" w:pos="7950"/>
        </w:tabs>
        <w:rPr>
          <w:rFonts w:ascii="Times New Roman" w:hAnsi="Times New Roman"/>
          <w:noProof/>
        </w:rPr>
      </w:pPr>
      <w:r>
        <w:rPr>
          <w:rFonts w:ascii="Times New Roman" w:hAnsi="Times New Roman"/>
          <w:noProof/>
        </w:rPr>
        <w:t xml:space="preserve">Une synthèse des résultats figure dans le tableau 1. </w:t>
      </w:r>
    </w:p>
    <w:p w14:paraId="2B0A9892" w14:textId="42E35EBA" w:rsidR="009A7436" w:rsidRPr="00D429FF" w:rsidRDefault="009A7436" w:rsidP="005D2F17">
      <w:pPr>
        <w:rPr>
          <w:rFonts w:ascii="Times New Roman" w:hAnsi="Times New Roman"/>
          <w:noProof/>
          <w:lang w:val="fr-BE"/>
        </w:rPr>
        <w:sectPr w:rsidR="009A7436" w:rsidRPr="00D429FF" w:rsidSect="0080429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p>
    <w:tbl>
      <w:tblPr>
        <w:tblStyle w:val="TableGrid"/>
        <w:tblW w:w="13320" w:type="dxa"/>
        <w:jc w:val="center"/>
        <w:tblLayout w:type="fixed"/>
        <w:tblLook w:val="04A0" w:firstRow="1" w:lastRow="0" w:firstColumn="1" w:lastColumn="0" w:noHBand="0" w:noVBand="1"/>
      </w:tblPr>
      <w:tblGrid>
        <w:gridCol w:w="2286"/>
        <w:gridCol w:w="1362"/>
        <w:gridCol w:w="2159"/>
        <w:gridCol w:w="1502"/>
        <w:gridCol w:w="1503"/>
        <w:gridCol w:w="1502"/>
        <w:gridCol w:w="1503"/>
        <w:gridCol w:w="1503"/>
      </w:tblGrid>
      <w:tr w:rsidR="009A7436" w:rsidRPr="004B6D42" w14:paraId="042409DD" w14:textId="77777777" w:rsidTr="005D2F17">
        <w:trPr>
          <w:jc w:val="center"/>
        </w:trPr>
        <w:tc>
          <w:tcPr>
            <w:tcW w:w="13320" w:type="dxa"/>
            <w:gridSpan w:val="8"/>
            <w:tcBorders>
              <w:top w:val="nil"/>
              <w:left w:val="nil"/>
              <w:bottom w:val="single" w:sz="4" w:space="0" w:color="auto"/>
              <w:right w:val="nil"/>
            </w:tcBorders>
            <w:shd w:val="clear" w:color="auto" w:fill="A6A6A6" w:themeFill="background1" w:themeFillShade="A6"/>
          </w:tcPr>
          <w:p w14:paraId="793BBF3A" w14:textId="34D61437" w:rsidR="009A7436" w:rsidRPr="008C5DA4" w:rsidRDefault="009A7436" w:rsidP="005D2F17">
            <w:pPr>
              <w:jc w:val="center"/>
              <w:rPr>
                <w:rFonts w:ascii="Times New Roman" w:hAnsi="Times New Roman"/>
                <w:b/>
                <w:noProof/>
              </w:rPr>
            </w:pPr>
            <w:r>
              <w:rPr>
                <w:rFonts w:ascii="Times New Roman" w:hAnsi="Times New Roman"/>
                <w:b/>
                <w:noProof/>
              </w:rPr>
              <w:t>Tableau 1 — Fragmentation du marché en ce qui concerne les caractéristiques de charge, le connecteur, le protocole et la dissociation (source: l’étude)</w:t>
            </w:r>
          </w:p>
        </w:tc>
      </w:tr>
      <w:tr w:rsidR="007C0E43" w:rsidRPr="004B6D42" w14:paraId="13F44CB4" w14:textId="77777777" w:rsidTr="005D2F17">
        <w:trPr>
          <w:jc w:val="center"/>
        </w:trPr>
        <w:tc>
          <w:tcPr>
            <w:tcW w:w="2286" w:type="dxa"/>
            <w:tcBorders>
              <w:top w:val="single" w:sz="4" w:space="0" w:color="auto"/>
            </w:tcBorders>
            <w:shd w:val="clear" w:color="auto" w:fill="A6A6A6" w:themeFill="background1" w:themeFillShade="A6"/>
          </w:tcPr>
          <w:p w14:paraId="2277C79A" w14:textId="2962B792" w:rsidR="00EF77D0" w:rsidRPr="008C5DA4" w:rsidRDefault="00EF77D0" w:rsidP="00B35BD8">
            <w:pPr>
              <w:jc w:val="both"/>
              <w:rPr>
                <w:rFonts w:ascii="Times New Roman" w:hAnsi="Times New Roman"/>
                <w:b/>
                <w:noProof/>
              </w:rPr>
            </w:pPr>
            <w:r>
              <w:rPr>
                <w:rFonts w:ascii="Times New Roman" w:hAnsi="Times New Roman"/>
                <w:b/>
                <w:noProof/>
              </w:rPr>
              <w:t>Catégories de dispositifs</w:t>
            </w:r>
          </w:p>
        </w:tc>
        <w:tc>
          <w:tcPr>
            <w:tcW w:w="1362" w:type="dxa"/>
            <w:tcBorders>
              <w:top w:val="single" w:sz="4" w:space="0" w:color="auto"/>
            </w:tcBorders>
            <w:shd w:val="clear" w:color="auto" w:fill="A6A6A6" w:themeFill="background1" w:themeFillShade="A6"/>
          </w:tcPr>
          <w:p w14:paraId="68312C45" w14:textId="423CCDE7" w:rsidR="00EF77D0" w:rsidRPr="008C5DA4" w:rsidRDefault="002636B2" w:rsidP="00B35BD8">
            <w:pPr>
              <w:jc w:val="both"/>
              <w:rPr>
                <w:rFonts w:ascii="Times New Roman" w:hAnsi="Times New Roman"/>
                <w:b/>
                <w:noProof/>
              </w:rPr>
            </w:pPr>
            <w:r>
              <w:rPr>
                <w:rFonts w:ascii="Times New Roman" w:hAnsi="Times New Roman"/>
                <w:b/>
                <w:noProof/>
              </w:rPr>
              <w:t>Nombre de dispositifs analysés</w:t>
            </w:r>
          </w:p>
        </w:tc>
        <w:tc>
          <w:tcPr>
            <w:tcW w:w="2159" w:type="dxa"/>
            <w:tcBorders>
              <w:top w:val="single" w:sz="4" w:space="0" w:color="auto"/>
            </w:tcBorders>
            <w:shd w:val="clear" w:color="auto" w:fill="A6A6A6" w:themeFill="background1" w:themeFillShade="A6"/>
          </w:tcPr>
          <w:p w14:paraId="417C3E4A" w14:textId="2CEC84FC" w:rsidR="00EF77D0" w:rsidRPr="008C5DA4" w:rsidRDefault="00EF77D0" w:rsidP="00B35BD8">
            <w:pPr>
              <w:jc w:val="both"/>
              <w:rPr>
                <w:rFonts w:ascii="Times New Roman" w:hAnsi="Times New Roman"/>
                <w:b/>
                <w:noProof/>
              </w:rPr>
            </w:pPr>
            <w:r>
              <w:rPr>
                <w:rFonts w:ascii="Times New Roman" w:hAnsi="Times New Roman"/>
                <w:b/>
                <w:noProof/>
              </w:rPr>
              <w:t>Caractéristiques de charge</w:t>
            </w:r>
          </w:p>
        </w:tc>
        <w:tc>
          <w:tcPr>
            <w:tcW w:w="1502" w:type="dxa"/>
            <w:tcBorders>
              <w:top w:val="single" w:sz="4" w:space="0" w:color="auto"/>
            </w:tcBorders>
            <w:shd w:val="clear" w:color="auto" w:fill="A6A6A6" w:themeFill="background1" w:themeFillShade="A6"/>
          </w:tcPr>
          <w:p w14:paraId="1E665607" w14:textId="5C8ADA6D" w:rsidR="00EF77D0" w:rsidRPr="008C5DA4" w:rsidRDefault="00EF77D0">
            <w:pPr>
              <w:jc w:val="center"/>
              <w:rPr>
                <w:rFonts w:ascii="Times New Roman" w:hAnsi="Times New Roman"/>
                <w:b/>
                <w:noProof/>
              </w:rPr>
            </w:pPr>
            <w:r>
              <w:rPr>
                <w:rFonts w:ascii="Times New Roman" w:hAnsi="Times New Roman"/>
                <w:b/>
                <w:noProof/>
              </w:rPr>
              <w:t>Connecteurs femelles USB Type-C</w:t>
            </w:r>
          </w:p>
        </w:tc>
        <w:tc>
          <w:tcPr>
            <w:tcW w:w="1503" w:type="dxa"/>
            <w:tcBorders>
              <w:top w:val="single" w:sz="4" w:space="0" w:color="auto"/>
            </w:tcBorders>
            <w:shd w:val="clear" w:color="auto" w:fill="A6A6A6" w:themeFill="background1" w:themeFillShade="A6"/>
          </w:tcPr>
          <w:p w14:paraId="2755D9DB" w14:textId="1B5EBD58" w:rsidR="00EF77D0" w:rsidRPr="008C5DA4" w:rsidRDefault="00EF77D0" w:rsidP="00B35BD8">
            <w:pPr>
              <w:jc w:val="both"/>
              <w:rPr>
                <w:rFonts w:ascii="Times New Roman" w:hAnsi="Times New Roman"/>
                <w:b/>
                <w:noProof/>
              </w:rPr>
            </w:pPr>
            <w:r>
              <w:rPr>
                <w:rFonts w:ascii="Times New Roman" w:hAnsi="Times New Roman"/>
                <w:b/>
                <w:noProof/>
              </w:rPr>
              <w:t>Câble intégré dans un chargeur à induction, un étui ou un boîtier de charge sans fil ou à broches</w:t>
            </w:r>
          </w:p>
        </w:tc>
        <w:tc>
          <w:tcPr>
            <w:tcW w:w="1502" w:type="dxa"/>
            <w:tcBorders>
              <w:top w:val="single" w:sz="4" w:space="0" w:color="auto"/>
            </w:tcBorders>
            <w:shd w:val="clear" w:color="auto" w:fill="A6A6A6" w:themeFill="background1" w:themeFillShade="A6"/>
          </w:tcPr>
          <w:p w14:paraId="38A88A15" w14:textId="191A770D" w:rsidR="00EF77D0" w:rsidRPr="008C5DA4" w:rsidRDefault="00EF77D0" w:rsidP="00B35BD8">
            <w:pPr>
              <w:jc w:val="both"/>
              <w:rPr>
                <w:rFonts w:ascii="Times New Roman" w:hAnsi="Times New Roman"/>
                <w:b/>
                <w:noProof/>
              </w:rPr>
            </w:pPr>
            <w:r>
              <w:rPr>
                <w:rFonts w:ascii="Times New Roman" w:hAnsi="Times New Roman"/>
                <w:b/>
                <w:noProof/>
              </w:rPr>
              <w:t>Protocole de charge USB PD</w:t>
            </w:r>
          </w:p>
        </w:tc>
        <w:tc>
          <w:tcPr>
            <w:tcW w:w="1503" w:type="dxa"/>
            <w:tcBorders>
              <w:top w:val="single" w:sz="4" w:space="0" w:color="auto"/>
            </w:tcBorders>
            <w:shd w:val="clear" w:color="auto" w:fill="A6A6A6" w:themeFill="background1" w:themeFillShade="A6"/>
          </w:tcPr>
          <w:p w14:paraId="34C61A33" w14:textId="6B75E857" w:rsidR="00EF77D0" w:rsidRPr="008C5DA4" w:rsidRDefault="00EF77D0" w:rsidP="00B35BD8">
            <w:pPr>
              <w:jc w:val="both"/>
              <w:rPr>
                <w:rFonts w:ascii="Times New Roman" w:hAnsi="Times New Roman"/>
                <w:b/>
                <w:noProof/>
              </w:rPr>
            </w:pPr>
            <w:r>
              <w:rPr>
                <w:rFonts w:ascii="Times New Roman" w:hAnsi="Times New Roman"/>
                <w:b/>
                <w:noProof/>
              </w:rPr>
              <w:t>Vendu avec un chargeur</w:t>
            </w:r>
          </w:p>
        </w:tc>
        <w:tc>
          <w:tcPr>
            <w:tcW w:w="1503" w:type="dxa"/>
            <w:tcBorders>
              <w:top w:val="single" w:sz="4" w:space="0" w:color="auto"/>
            </w:tcBorders>
            <w:shd w:val="clear" w:color="auto" w:fill="A6A6A6" w:themeFill="background1" w:themeFillShade="A6"/>
          </w:tcPr>
          <w:p w14:paraId="2EE7F6D0" w14:textId="7EBAF0E7" w:rsidR="00EF77D0" w:rsidRPr="008C5DA4" w:rsidRDefault="00EF77D0" w:rsidP="00B35BD8">
            <w:pPr>
              <w:jc w:val="both"/>
              <w:rPr>
                <w:rFonts w:ascii="Times New Roman" w:hAnsi="Times New Roman"/>
                <w:b/>
                <w:noProof/>
              </w:rPr>
            </w:pPr>
            <w:r>
              <w:rPr>
                <w:rFonts w:ascii="Times New Roman" w:hAnsi="Times New Roman"/>
                <w:b/>
                <w:noProof/>
              </w:rPr>
              <w:t>Vendu avec un câble de recharge</w:t>
            </w:r>
          </w:p>
        </w:tc>
      </w:tr>
      <w:tr w:rsidR="007C0E43" w:rsidRPr="008C5DA4" w14:paraId="4B031621" w14:textId="2A8AF748" w:rsidTr="00503E8E">
        <w:trPr>
          <w:jc w:val="center"/>
        </w:trPr>
        <w:tc>
          <w:tcPr>
            <w:tcW w:w="2286" w:type="dxa"/>
          </w:tcPr>
          <w:p w14:paraId="20047432" w14:textId="77777777" w:rsidR="00DE1936" w:rsidRPr="008C5DA4" w:rsidRDefault="00DE1936" w:rsidP="00997FD4">
            <w:pPr>
              <w:jc w:val="both"/>
              <w:rPr>
                <w:rFonts w:ascii="Times New Roman" w:hAnsi="Times New Roman"/>
                <w:b/>
                <w:noProof/>
              </w:rPr>
            </w:pPr>
            <w:r>
              <w:rPr>
                <w:rFonts w:ascii="Times New Roman" w:hAnsi="Times New Roman"/>
                <w:b/>
                <w:noProof/>
              </w:rPr>
              <w:t>Objets personnels connectés</w:t>
            </w:r>
          </w:p>
          <w:p w14:paraId="1B9B56A6" w14:textId="69CD1C2B" w:rsidR="00DE1936" w:rsidRPr="008C5DA4" w:rsidRDefault="00DE1936" w:rsidP="00B35BD8">
            <w:pPr>
              <w:jc w:val="both"/>
              <w:rPr>
                <w:rFonts w:ascii="Times New Roman" w:hAnsi="Times New Roman"/>
                <w:b/>
                <w:noProof/>
                <w:lang w:val="en-IE"/>
              </w:rPr>
            </w:pPr>
          </w:p>
        </w:tc>
        <w:tc>
          <w:tcPr>
            <w:tcW w:w="1362" w:type="dxa"/>
          </w:tcPr>
          <w:p w14:paraId="65448D73" w14:textId="5FD7E6E5" w:rsidR="00DE1936" w:rsidRPr="008C5DA4" w:rsidRDefault="00DE1936" w:rsidP="00B35BD8">
            <w:pPr>
              <w:jc w:val="both"/>
              <w:rPr>
                <w:rFonts w:ascii="Times New Roman" w:hAnsi="Times New Roman"/>
                <w:b/>
                <w:noProof/>
              </w:rPr>
            </w:pPr>
            <w:r>
              <w:rPr>
                <w:rFonts w:ascii="Times New Roman" w:hAnsi="Times New Roman"/>
                <w:noProof/>
              </w:rPr>
              <w:t>63</w:t>
            </w:r>
          </w:p>
        </w:tc>
        <w:tc>
          <w:tcPr>
            <w:tcW w:w="2159" w:type="dxa"/>
          </w:tcPr>
          <w:p w14:paraId="03348F85" w14:textId="129B4D2B"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0,15… 2 A</w:t>
            </w:r>
          </w:p>
          <w:p w14:paraId="1272862F" w14:textId="06A410AE"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3,7… 5 V</w:t>
            </w:r>
          </w:p>
          <w:p w14:paraId="57B36C00" w14:textId="1636334A" w:rsidR="00DE1936" w:rsidRPr="008C5DA4" w:rsidRDefault="00DE1936" w:rsidP="00B35BD8">
            <w:pPr>
              <w:jc w:val="both"/>
              <w:rPr>
                <w:rFonts w:ascii="Times New Roman" w:hAnsi="Times New Roman"/>
                <w:b/>
                <w:noProof/>
              </w:rPr>
            </w:pPr>
            <w:r>
              <w:rPr>
                <w:rFonts w:ascii="Times New Roman" w:hAnsi="Times New Roman"/>
                <w:noProof/>
              </w:rPr>
              <w:t>P = 0,75… 20 W</w:t>
            </w:r>
          </w:p>
        </w:tc>
        <w:tc>
          <w:tcPr>
            <w:tcW w:w="1502" w:type="dxa"/>
          </w:tcPr>
          <w:p w14:paraId="6477AD95"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4</w:t>
            </w:r>
          </w:p>
          <w:p w14:paraId="3157D262" w14:textId="78C1B86E" w:rsidR="00DE1936" w:rsidRPr="008C5DA4" w:rsidRDefault="00DE1936" w:rsidP="00B35BD8">
            <w:pPr>
              <w:jc w:val="both"/>
              <w:rPr>
                <w:rFonts w:ascii="Times New Roman" w:hAnsi="Times New Roman"/>
                <w:b/>
                <w:noProof/>
              </w:rPr>
            </w:pPr>
            <w:r>
              <w:rPr>
                <w:rFonts w:ascii="Times New Roman" w:hAnsi="Times New Roman"/>
                <w:noProof/>
              </w:rPr>
              <w:t>6 %</w:t>
            </w:r>
          </w:p>
        </w:tc>
        <w:tc>
          <w:tcPr>
            <w:tcW w:w="1503" w:type="dxa"/>
          </w:tcPr>
          <w:p w14:paraId="005FD0B8" w14:textId="77777777" w:rsidR="00DE1936" w:rsidRPr="008C5DA4" w:rsidRDefault="00DE1936" w:rsidP="00503E8E">
            <w:pPr>
              <w:pStyle w:val="Default"/>
              <w:spacing w:after="120"/>
              <w:jc w:val="both"/>
              <w:rPr>
                <w:rFonts w:ascii="Times New Roman" w:hAnsi="Times New Roman"/>
                <w:noProof/>
                <w:sz w:val="22"/>
              </w:rPr>
            </w:pPr>
            <w:r>
              <w:rPr>
                <w:rFonts w:ascii="Times New Roman" w:hAnsi="Times New Roman"/>
                <w:noProof/>
                <w:sz w:val="22"/>
              </w:rPr>
              <w:t>32</w:t>
            </w:r>
          </w:p>
          <w:p w14:paraId="495A3C53" w14:textId="097F33BB" w:rsidR="009A3CC5" w:rsidRPr="008C5DA4" w:rsidRDefault="00AB36FD" w:rsidP="00B35BD8">
            <w:pPr>
              <w:jc w:val="both"/>
              <w:rPr>
                <w:rFonts w:ascii="Times New Roman" w:hAnsi="Times New Roman"/>
                <w:noProof/>
              </w:rPr>
            </w:pPr>
            <w:r>
              <w:rPr>
                <w:rFonts w:ascii="Times New Roman" w:hAnsi="Times New Roman"/>
                <w:noProof/>
              </w:rPr>
              <w:t>51 %</w:t>
            </w:r>
          </w:p>
        </w:tc>
        <w:tc>
          <w:tcPr>
            <w:tcW w:w="1502" w:type="dxa"/>
          </w:tcPr>
          <w:p w14:paraId="3865EB04" w14:textId="77777777" w:rsidR="00DE1936" w:rsidRPr="008C5DA4" w:rsidRDefault="00DE1936" w:rsidP="00503E8E">
            <w:pPr>
              <w:pStyle w:val="Default"/>
              <w:spacing w:after="120"/>
              <w:jc w:val="both"/>
              <w:rPr>
                <w:rFonts w:ascii="Times New Roman" w:hAnsi="Times New Roman"/>
                <w:noProof/>
                <w:sz w:val="22"/>
              </w:rPr>
            </w:pPr>
            <w:r>
              <w:rPr>
                <w:rFonts w:ascii="Times New Roman" w:hAnsi="Times New Roman"/>
                <w:noProof/>
                <w:sz w:val="22"/>
              </w:rPr>
              <w:t>7</w:t>
            </w:r>
          </w:p>
          <w:p w14:paraId="112EB64C" w14:textId="57790EA6" w:rsidR="009A3CC5" w:rsidRPr="008C5DA4" w:rsidRDefault="00AB36FD" w:rsidP="00B35BD8">
            <w:pPr>
              <w:jc w:val="both"/>
              <w:rPr>
                <w:rFonts w:ascii="Times New Roman" w:hAnsi="Times New Roman"/>
                <w:noProof/>
              </w:rPr>
            </w:pPr>
            <w:r>
              <w:rPr>
                <w:rFonts w:ascii="Times New Roman" w:hAnsi="Times New Roman"/>
                <w:noProof/>
              </w:rPr>
              <w:t>11 %</w:t>
            </w:r>
          </w:p>
        </w:tc>
        <w:tc>
          <w:tcPr>
            <w:tcW w:w="1503" w:type="dxa"/>
          </w:tcPr>
          <w:p w14:paraId="5573683C"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3</w:t>
            </w:r>
          </w:p>
          <w:p w14:paraId="48143A08" w14:textId="4772A255" w:rsidR="00DE1936" w:rsidRPr="008C5DA4" w:rsidRDefault="00DE1936" w:rsidP="00B35BD8">
            <w:pPr>
              <w:jc w:val="both"/>
              <w:rPr>
                <w:rFonts w:ascii="Times New Roman" w:hAnsi="Times New Roman"/>
                <w:b/>
                <w:noProof/>
              </w:rPr>
            </w:pPr>
            <w:r>
              <w:rPr>
                <w:rFonts w:ascii="Times New Roman" w:hAnsi="Times New Roman"/>
                <w:noProof/>
              </w:rPr>
              <w:t>5 %</w:t>
            </w:r>
          </w:p>
        </w:tc>
        <w:tc>
          <w:tcPr>
            <w:tcW w:w="1503" w:type="dxa"/>
          </w:tcPr>
          <w:p w14:paraId="13CA7D3C" w14:textId="7ACBDA41"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59</w:t>
            </w:r>
          </w:p>
          <w:p w14:paraId="303D5482" w14:textId="5A331EEB" w:rsidR="00DE1936" w:rsidRPr="008C5DA4" w:rsidRDefault="00DE1936" w:rsidP="00B35BD8">
            <w:pPr>
              <w:jc w:val="both"/>
              <w:rPr>
                <w:rFonts w:ascii="Times New Roman" w:hAnsi="Times New Roman"/>
                <w:b/>
                <w:noProof/>
              </w:rPr>
            </w:pPr>
            <w:r>
              <w:rPr>
                <w:rFonts w:ascii="Times New Roman" w:hAnsi="Times New Roman"/>
                <w:noProof/>
              </w:rPr>
              <w:t>94 %</w:t>
            </w:r>
          </w:p>
        </w:tc>
      </w:tr>
      <w:tr w:rsidR="007C0E43" w:rsidRPr="008C5DA4" w14:paraId="78B5A196" w14:textId="2C087232" w:rsidTr="00503E8E">
        <w:trPr>
          <w:jc w:val="center"/>
        </w:trPr>
        <w:tc>
          <w:tcPr>
            <w:tcW w:w="2286" w:type="dxa"/>
          </w:tcPr>
          <w:p w14:paraId="5074C5EE" w14:textId="3474AF36" w:rsidR="00DE1936" w:rsidRPr="008C5DA4" w:rsidRDefault="00DE1936" w:rsidP="00997FD4">
            <w:pPr>
              <w:jc w:val="both"/>
              <w:rPr>
                <w:rFonts w:ascii="Times New Roman" w:hAnsi="Times New Roman"/>
                <w:b/>
                <w:noProof/>
              </w:rPr>
            </w:pPr>
            <w:r>
              <w:rPr>
                <w:rFonts w:ascii="Times New Roman" w:hAnsi="Times New Roman"/>
                <w:b/>
                <w:noProof/>
              </w:rPr>
              <w:t>Casques de réalité augmentée/virtuelle</w:t>
            </w:r>
          </w:p>
        </w:tc>
        <w:tc>
          <w:tcPr>
            <w:tcW w:w="1362" w:type="dxa"/>
          </w:tcPr>
          <w:p w14:paraId="42B0A04E" w14:textId="604DC310"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20</w:t>
            </w:r>
          </w:p>
        </w:tc>
        <w:tc>
          <w:tcPr>
            <w:tcW w:w="2159" w:type="dxa"/>
          </w:tcPr>
          <w:p w14:paraId="54382D90" w14:textId="067238A5"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0,9… 3 A</w:t>
            </w:r>
          </w:p>
          <w:p w14:paraId="0A38C701" w14:textId="461AA0C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5… 12 V</w:t>
            </w:r>
          </w:p>
          <w:p w14:paraId="3DB80A22" w14:textId="454CAFF2"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4,5… 45 W</w:t>
            </w:r>
          </w:p>
        </w:tc>
        <w:tc>
          <w:tcPr>
            <w:tcW w:w="1502" w:type="dxa"/>
          </w:tcPr>
          <w:p w14:paraId="38E2724C"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8</w:t>
            </w:r>
          </w:p>
          <w:p w14:paraId="2ADA226A" w14:textId="7555859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40 %</w:t>
            </w:r>
          </w:p>
        </w:tc>
        <w:tc>
          <w:tcPr>
            <w:tcW w:w="1503" w:type="dxa"/>
          </w:tcPr>
          <w:p w14:paraId="3EDA8054" w14:textId="6CF424F6" w:rsidR="00DE1936" w:rsidRPr="008C5DA4" w:rsidRDefault="000002C1" w:rsidP="00997FD4">
            <w:pPr>
              <w:pStyle w:val="Default"/>
              <w:spacing w:after="120"/>
              <w:jc w:val="both"/>
              <w:rPr>
                <w:rFonts w:ascii="Times New Roman" w:hAnsi="Times New Roman"/>
                <w:noProof/>
                <w:sz w:val="22"/>
              </w:rPr>
            </w:pPr>
            <w:r>
              <w:rPr>
                <w:rFonts w:ascii="Times New Roman" w:hAnsi="Times New Roman"/>
                <w:noProof/>
                <w:sz w:val="22"/>
              </w:rPr>
              <w:t>2</w:t>
            </w:r>
          </w:p>
          <w:p w14:paraId="55C97440" w14:textId="12E599C8" w:rsidR="002D5C9B" w:rsidRPr="008C5DA4" w:rsidRDefault="002D5C9B" w:rsidP="00997FD4">
            <w:pPr>
              <w:pStyle w:val="Default"/>
              <w:spacing w:after="120"/>
              <w:jc w:val="both"/>
              <w:rPr>
                <w:rFonts w:ascii="Times New Roman" w:hAnsi="Times New Roman"/>
                <w:noProof/>
                <w:sz w:val="22"/>
              </w:rPr>
            </w:pPr>
            <w:r>
              <w:rPr>
                <w:rFonts w:ascii="Times New Roman" w:hAnsi="Times New Roman"/>
                <w:noProof/>
                <w:sz w:val="22"/>
              </w:rPr>
              <w:t>10 %</w:t>
            </w:r>
          </w:p>
        </w:tc>
        <w:tc>
          <w:tcPr>
            <w:tcW w:w="1502" w:type="dxa"/>
          </w:tcPr>
          <w:p w14:paraId="18E3E8A7" w14:textId="1F25DBE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3</w:t>
            </w:r>
          </w:p>
          <w:p w14:paraId="0D670604" w14:textId="4FC7AE03" w:rsidR="002D5C9B" w:rsidRPr="008C5DA4" w:rsidRDefault="002D5C9B" w:rsidP="00997FD4">
            <w:pPr>
              <w:pStyle w:val="Default"/>
              <w:spacing w:after="120"/>
              <w:jc w:val="both"/>
              <w:rPr>
                <w:rFonts w:ascii="Times New Roman" w:hAnsi="Times New Roman"/>
                <w:noProof/>
                <w:sz w:val="22"/>
              </w:rPr>
            </w:pPr>
            <w:r>
              <w:rPr>
                <w:rFonts w:ascii="Times New Roman" w:hAnsi="Times New Roman"/>
                <w:noProof/>
                <w:sz w:val="22"/>
              </w:rPr>
              <w:t>15 %</w:t>
            </w:r>
          </w:p>
        </w:tc>
        <w:tc>
          <w:tcPr>
            <w:tcW w:w="1503" w:type="dxa"/>
          </w:tcPr>
          <w:p w14:paraId="4EBCDDC2"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7</w:t>
            </w:r>
          </w:p>
          <w:p w14:paraId="445E8232" w14:textId="0859BED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65 %</w:t>
            </w:r>
          </w:p>
        </w:tc>
        <w:tc>
          <w:tcPr>
            <w:tcW w:w="1503" w:type="dxa"/>
          </w:tcPr>
          <w:p w14:paraId="26166994"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20</w:t>
            </w:r>
          </w:p>
          <w:p w14:paraId="5B11AE38" w14:textId="7D85CB8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3A5042C4" w14:textId="09371818" w:rsidTr="00503E8E">
        <w:trPr>
          <w:jc w:val="center"/>
        </w:trPr>
        <w:tc>
          <w:tcPr>
            <w:tcW w:w="2286" w:type="dxa"/>
          </w:tcPr>
          <w:p w14:paraId="6B04E722" w14:textId="10DCD727" w:rsidR="00DE1936" w:rsidRPr="008C5DA4" w:rsidRDefault="00DE1936" w:rsidP="00997FD4">
            <w:pPr>
              <w:jc w:val="both"/>
              <w:rPr>
                <w:rFonts w:ascii="Times New Roman" w:hAnsi="Times New Roman"/>
                <w:b/>
                <w:noProof/>
              </w:rPr>
            </w:pPr>
            <w:r>
              <w:rPr>
                <w:rFonts w:ascii="Times New Roman" w:hAnsi="Times New Roman"/>
                <w:b/>
                <w:noProof/>
              </w:rPr>
              <w:t>Drones</w:t>
            </w:r>
          </w:p>
        </w:tc>
        <w:tc>
          <w:tcPr>
            <w:tcW w:w="1362" w:type="dxa"/>
          </w:tcPr>
          <w:p w14:paraId="3B33076A" w14:textId="0336AB25"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17</w:t>
            </w:r>
          </w:p>
        </w:tc>
        <w:tc>
          <w:tcPr>
            <w:tcW w:w="2159" w:type="dxa"/>
          </w:tcPr>
          <w:p w14:paraId="676B510D" w14:textId="42DBA57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0,5… 5 A</w:t>
            </w:r>
          </w:p>
          <w:p w14:paraId="1B115882" w14:textId="7B88338E"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4,7… 52,8 V</w:t>
            </w:r>
          </w:p>
          <w:p w14:paraId="623F31D0" w14:textId="3072C5F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12,9… 77 W</w:t>
            </w:r>
          </w:p>
        </w:tc>
        <w:tc>
          <w:tcPr>
            <w:tcW w:w="1502" w:type="dxa"/>
          </w:tcPr>
          <w:p w14:paraId="0F70CF8D" w14:textId="4903F884"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11</w:t>
            </w:r>
          </w:p>
          <w:p w14:paraId="3623F611" w14:textId="58E412B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65 %</w:t>
            </w:r>
          </w:p>
        </w:tc>
        <w:tc>
          <w:tcPr>
            <w:tcW w:w="1503" w:type="dxa"/>
          </w:tcPr>
          <w:p w14:paraId="2FD4BADA" w14:textId="40AF55B1" w:rsidR="00DE1936" w:rsidRPr="008C5DA4" w:rsidRDefault="001C0306" w:rsidP="00997FD4">
            <w:pPr>
              <w:pStyle w:val="Default"/>
              <w:spacing w:after="120"/>
              <w:jc w:val="both"/>
              <w:rPr>
                <w:rFonts w:ascii="Times New Roman" w:hAnsi="Times New Roman"/>
                <w:noProof/>
                <w:sz w:val="22"/>
              </w:rPr>
            </w:pPr>
            <w:r>
              <w:rPr>
                <w:rFonts w:ascii="Times New Roman" w:hAnsi="Times New Roman"/>
                <w:noProof/>
                <w:sz w:val="22"/>
              </w:rPr>
              <w:t>0</w:t>
            </w:r>
          </w:p>
          <w:p w14:paraId="3AF41377" w14:textId="3682FEA1" w:rsidR="002E3AA2"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2" w:type="dxa"/>
          </w:tcPr>
          <w:p w14:paraId="45CD5A22" w14:textId="2177454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1CA3C79D" w14:textId="551210CF" w:rsidR="00CD044E" w:rsidRPr="008C5DA4" w:rsidRDefault="00CD044E" w:rsidP="00997FD4">
            <w:pPr>
              <w:pStyle w:val="Default"/>
              <w:spacing w:after="120"/>
              <w:jc w:val="both"/>
              <w:rPr>
                <w:rFonts w:ascii="Times New Roman" w:hAnsi="Times New Roman"/>
                <w:noProof/>
                <w:sz w:val="22"/>
              </w:rPr>
            </w:pPr>
            <w:r>
              <w:rPr>
                <w:rFonts w:ascii="Times New Roman" w:hAnsi="Times New Roman"/>
                <w:noProof/>
                <w:sz w:val="22"/>
              </w:rPr>
              <w:t>6 %</w:t>
            </w:r>
          </w:p>
        </w:tc>
        <w:tc>
          <w:tcPr>
            <w:tcW w:w="1503" w:type="dxa"/>
          </w:tcPr>
          <w:p w14:paraId="1CE83BBE"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522D98EB" w14:textId="650A132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6 %</w:t>
            </w:r>
          </w:p>
        </w:tc>
        <w:tc>
          <w:tcPr>
            <w:tcW w:w="1503" w:type="dxa"/>
          </w:tcPr>
          <w:p w14:paraId="4420DA61"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16</w:t>
            </w:r>
          </w:p>
          <w:p w14:paraId="21A3FF1A" w14:textId="256B255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75CCEA1D" w14:textId="0E9912CB" w:rsidTr="00503E8E">
        <w:trPr>
          <w:jc w:val="center"/>
        </w:trPr>
        <w:tc>
          <w:tcPr>
            <w:tcW w:w="2286" w:type="dxa"/>
          </w:tcPr>
          <w:p w14:paraId="341E3969" w14:textId="7E18CC6B" w:rsidR="00DE1936" w:rsidRPr="008C5DA4" w:rsidRDefault="00DE1936" w:rsidP="00997FD4">
            <w:pPr>
              <w:jc w:val="both"/>
              <w:rPr>
                <w:rFonts w:ascii="Times New Roman" w:hAnsi="Times New Roman"/>
                <w:b/>
                <w:noProof/>
              </w:rPr>
            </w:pPr>
            <w:r>
              <w:rPr>
                <w:rFonts w:ascii="Times New Roman" w:hAnsi="Times New Roman"/>
                <w:b/>
                <w:noProof/>
              </w:rPr>
              <w:t>Manettes de jeux vidéo</w:t>
            </w:r>
          </w:p>
        </w:tc>
        <w:tc>
          <w:tcPr>
            <w:tcW w:w="1362" w:type="dxa"/>
          </w:tcPr>
          <w:p w14:paraId="19B6671C" w14:textId="186711F8"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23</w:t>
            </w:r>
          </w:p>
        </w:tc>
        <w:tc>
          <w:tcPr>
            <w:tcW w:w="2159" w:type="dxa"/>
          </w:tcPr>
          <w:p w14:paraId="36CEB052" w14:textId="7BBB8D0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0,48… 2 A</w:t>
            </w:r>
          </w:p>
          <w:p w14:paraId="324F0757" w14:textId="2092689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3,65… 5 V</w:t>
            </w:r>
          </w:p>
          <w:p w14:paraId="5DA25F94" w14:textId="04377AD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2,4… 10 W</w:t>
            </w:r>
          </w:p>
        </w:tc>
        <w:tc>
          <w:tcPr>
            <w:tcW w:w="1502" w:type="dxa"/>
          </w:tcPr>
          <w:p w14:paraId="7AD8A9A2" w14:textId="5DB91C63"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18</w:t>
            </w:r>
          </w:p>
          <w:p w14:paraId="068D53AE" w14:textId="2938AFB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65 %</w:t>
            </w:r>
          </w:p>
        </w:tc>
        <w:tc>
          <w:tcPr>
            <w:tcW w:w="1503" w:type="dxa"/>
          </w:tcPr>
          <w:p w14:paraId="2524BEC8" w14:textId="7EB9D592" w:rsidR="00DE1936" w:rsidRPr="008C5DA4" w:rsidRDefault="00D068C6" w:rsidP="00997FD4">
            <w:pPr>
              <w:pStyle w:val="Default"/>
              <w:spacing w:after="120"/>
              <w:jc w:val="both"/>
              <w:rPr>
                <w:rFonts w:ascii="Times New Roman" w:hAnsi="Times New Roman"/>
                <w:noProof/>
                <w:sz w:val="22"/>
              </w:rPr>
            </w:pPr>
            <w:r>
              <w:rPr>
                <w:rFonts w:ascii="Times New Roman" w:hAnsi="Times New Roman"/>
                <w:noProof/>
                <w:sz w:val="22"/>
              </w:rPr>
              <w:t>0</w:t>
            </w:r>
          </w:p>
          <w:p w14:paraId="16C9600E" w14:textId="6BD6F1BC" w:rsidR="00424950"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2" w:type="dxa"/>
          </w:tcPr>
          <w:p w14:paraId="3BC9CA30" w14:textId="3A4336EE"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76CFE837" w14:textId="4AB1AE09" w:rsidR="00424950"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4 %</w:t>
            </w:r>
          </w:p>
        </w:tc>
        <w:tc>
          <w:tcPr>
            <w:tcW w:w="1503" w:type="dxa"/>
          </w:tcPr>
          <w:p w14:paraId="0A130B9B"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2</w:t>
            </w:r>
          </w:p>
          <w:p w14:paraId="210C740D" w14:textId="4218598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9 %</w:t>
            </w:r>
          </w:p>
        </w:tc>
        <w:tc>
          <w:tcPr>
            <w:tcW w:w="1503" w:type="dxa"/>
          </w:tcPr>
          <w:p w14:paraId="5DD7B912"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23</w:t>
            </w:r>
          </w:p>
          <w:p w14:paraId="2172A46E" w14:textId="3168494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2C45F05D" w14:textId="648604BC" w:rsidTr="00503E8E">
        <w:trPr>
          <w:jc w:val="center"/>
        </w:trPr>
        <w:tc>
          <w:tcPr>
            <w:tcW w:w="2286" w:type="dxa"/>
          </w:tcPr>
          <w:p w14:paraId="513E611B" w14:textId="6D0FF43A" w:rsidR="00DE1936" w:rsidRPr="008C5DA4" w:rsidRDefault="00DE1936" w:rsidP="00997FD4">
            <w:pPr>
              <w:jc w:val="both"/>
              <w:rPr>
                <w:rFonts w:ascii="Times New Roman" w:hAnsi="Times New Roman"/>
                <w:b/>
                <w:noProof/>
              </w:rPr>
            </w:pPr>
            <w:r>
              <w:rPr>
                <w:rFonts w:ascii="Times New Roman" w:hAnsi="Times New Roman"/>
                <w:b/>
                <w:noProof/>
              </w:rPr>
              <w:t>Jouets télécommandés</w:t>
            </w:r>
          </w:p>
        </w:tc>
        <w:tc>
          <w:tcPr>
            <w:tcW w:w="1362" w:type="dxa"/>
          </w:tcPr>
          <w:p w14:paraId="2623FAFF" w14:textId="1819483D"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31</w:t>
            </w:r>
          </w:p>
        </w:tc>
        <w:tc>
          <w:tcPr>
            <w:tcW w:w="2159" w:type="dxa"/>
          </w:tcPr>
          <w:p w14:paraId="4160C825" w14:textId="49EB0808"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0,1… 2 A</w:t>
            </w:r>
          </w:p>
          <w:p w14:paraId="38EB02CB" w14:textId="11E8E9BC"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3,2… 11,1 V</w:t>
            </w:r>
          </w:p>
          <w:p w14:paraId="71FCB1A8" w14:textId="10E6D43D"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0,45… 10 W</w:t>
            </w:r>
          </w:p>
        </w:tc>
        <w:tc>
          <w:tcPr>
            <w:tcW w:w="1502" w:type="dxa"/>
          </w:tcPr>
          <w:p w14:paraId="4AD0FBE3" w14:textId="31045638" w:rsidR="002E3AA2"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w:t>
            </w:r>
          </w:p>
          <w:p w14:paraId="61202B56" w14:textId="0E6C6E19" w:rsidR="00DE1936"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3" w:type="dxa"/>
          </w:tcPr>
          <w:p w14:paraId="2784E015" w14:textId="4D9A1B5C" w:rsidR="002E3AA2"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w:t>
            </w:r>
          </w:p>
          <w:p w14:paraId="0AAFAB81" w14:textId="70C8810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2" w:type="dxa"/>
          </w:tcPr>
          <w:p w14:paraId="58EDEB7D" w14:textId="570BFD55"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w:t>
            </w:r>
          </w:p>
          <w:p w14:paraId="2A2B7CFA" w14:textId="7398FDE8" w:rsidR="002E3AA2"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0 %</w:t>
            </w:r>
          </w:p>
        </w:tc>
        <w:tc>
          <w:tcPr>
            <w:tcW w:w="1503" w:type="dxa"/>
          </w:tcPr>
          <w:p w14:paraId="7CC3B894"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6</w:t>
            </w:r>
          </w:p>
          <w:p w14:paraId="61664A86" w14:textId="0C393076"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19 %</w:t>
            </w:r>
          </w:p>
        </w:tc>
        <w:tc>
          <w:tcPr>
            <w:tcW w:w="1503" w:type="dxa"/>
          </w:tcPr>
          <w:p w14:paraId="662A2683"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31</w:t>
            </w:r>
          </w:p>
          <w:p w14:paraId="04708D9F" w14:textId="7842BA9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r w:rsidR="007C0E43" w:rsidRPr="008C5DA4" w14:paraId="504ABF5F" w14:textId="74256B13" w:rsidTr="00503E8E">
        <w:trPr>
          <w:jc w:val="center"/>
        </w:trPr>
        <w:tc>
          <w:tcPr>
            <w:tcW w:w="2286" w:type="dxa"/>
            <w:tcBorders>
              <w:bottom w:val="single" w:sz="4" w:space="0" w:color="auto"/>
            </w:tcBorders>
          </w:tcPr>
          <w:p w14:paraId="1222F907" w14:textId="32FC1E6C" w:rsidR="00DE1936" w:rsidRPr="008C5DA4" w:rsidRDefault="00DE1936" w:rsidP="00997FD4">
            <w:pPr>
              <w:jc w:val="both"/>
              <w:rPr>
                <w:rFonts w:ascii="Times New Roman" w:hAnsi="Times New Roman"/>
                <w:b/>
                <w:noProof/>
              </w:rPr>
            </w:pPr>
            <w:r>
              <w:rPr>
                <w:rFonts w:ascii="Times New Roman" w:hAnsi="Times New Roman"/>
                <w:b/>
                <w:noProof/>
              </w:rPr>
              <w:t>Brosses à dents électriques</w:t>
            </w:r>
          </w:p>
        </w:tc>
        <w:tc>
          <w:tcPr>
            <w:tcW w:w="1362" w:type="dxa"/>
            <w:tcBorders>
              <w:bottom w:val="single" w:sz="4" w:space="0" w:color="auto"/>
            </w:tcBorders>
          </w:tcPr>
          <w:p w14:paraId="143169CB" w14:textId="0D27F5AC" w:rsidR="00DE1936" w:rsidRPr="008C5DA4" w:rsidRDefault="00DE1936" w:rsidP="00997FD4">
            <w:pPr>
              <w:pStyle w:val="Default"/>
              <w:jc w:val="both"/>
              <w:rPr>
                <w:rFonts w:ascii="Times New Roman" w:hAnsi="Times New Roman"/>
                <w:noProof/>
                <w:sz w:val="22"/>
              </w:rPr>
            </w:pPr>
            <w:r>
              <w:rPr>
                <w:rFonts w:ascii="Times New Roman" w:hAnsi="Times New Roman"/>
                <w:noProof/>
                <w:sz w:val="22"/>
              </w:rPr>
              <w:t>15</w:t>
            </w:r>
          </w:p>
        </w:tc>
        <w:tc>
          <w:tcPr>
            <w:tcW w:w="2159" w:type="dxa"/>
            <w:tcBorders>
              <w:bottom w:val="single" w:sz="4" w:space="0" w:color="auto"/>
            </w:tcBorders>
          </w:tcPr>
          <w:p w14:paraId="5D4AC1D3" w14:textId="48B2605F"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I = 0,7… 3,9 A</w:t>
            </w:r>
          </w:p>
          <w:p w14:paraId="17FAA049" w14:textId="0D67682A"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U = 3,6… 5 V</w:t>
            </w:r>
          </w:p>
          <w:p w14:paraId="3C9FA509" w14:textId="7E4898A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P = 2,5… 3,5 W</w:t>
            </w:r>
          </w:p>
        </w:tc>
        <w:tc>
          <w:tcPr>
            <w:tcW w:w="1502" w:type="dxa"/>
            <w:tcBorders>
              <w:bottom w:val="single" w:sz="4" w:space="0" w:color="auto"/>
            </w:tcBorders>
          </w:tcPr>
          <w:p w14:paraId="0CA3B443"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w:t>
            </w:r>
          </w:p>
          <w:p w14:paraId="62B841D4" w14:textId="51087231"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7 %</w:t>
            </w:r>
          </w:p>
        </w:tc>
        <w:tc>
          <w:tcPr>
            <w:tcW w:w="1503" w:type="dxa"/>
            <w:tcBorders>
              <w:bottom w:val="single" w:sz="4" w:space="0" w:color="auto"/>
            </w:tcBorders>
          </w:tcPr>
          <w:p w14:paraId="36783768" w14:textId="4C11B02B" w:rsidR="00DE1936" w:rsidRPr="008C5DA4" w:rsidRDefault="005453E1" w:rsidP="00997FD4">
            <w:pPr>
              <w:pStyle w:val="Default"/>
              <w:spacing w:after="120"/>
              <w:jc w:val="both"/>
              <w:rPr>
                <w:rFonts w:ascii="Times New Roman" w:hAnsi="Times New Roman"/>
                <w:noProof/>
                <w:sz w:val="22"/>
              </w:rPr>
            </w:pPr>
            <w:r>
              <w:rPr>
                <w:rFonts w:ascii="Times New Roman" w:hAnsi="Times New Roman"/>
                <w:noProof/>
                <w:sz w:val="22"/>
              </w:rPr>
              <w:t>9</w:t>
            </w:r>
          </w:p>
          <w:p w14:paraId="37949989" w14:textId="087CA00F" w:rsidR="00424950" w:rsidRPr="008C5DA4" w:rsidRDefault="002E3AA2" w:rsidP="00997FD4">
            <w:pPr>
              <w:pStyle w:val="Default"/>
              <w:spacing w:after="120"/>
              <w:jc w:val="both"/>
              <w:rPr>
                <w:rFonts w:ascii="Times New Roman" w:hAnsi="Times New Roman"/>
                <w:noProof/>
                <w:sz w:val="22"/>
              </w:rPr>
            </w:pPr>
            <w:r>
              <w:rPr>
                <w:rFonts w:ascii="Times New Roman" w:hAnsi="Times New Roman"/>
                <w:noProof/>
                <w:sz w:val="22"/>
              </w:rPr>
              <w:t>60 %</w:t>
            </w:r>
          </w:p>
        </w:tc>
        <w:tc>
          <w:tcPr>
            <w:tcW w:w="1502" w:type="dxa"/>
            <w:tcBorders>
              <w:bottom w:val="single" w:sz="4" w:space="0" w:color="auto"/>
            </w:tcBorders>
          </w:tcPr>
          <w:p w14:paraId="51C25C5F" w14:textId="5DA050D0"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0</w:t>
            </w:r>
          </w:p>
        </w:tc>
        <w:tc>
          <w:tcPr>
            <w:tcW w:w="1503" w:type="dxa"/>
            <w:tcBorders>
              <w:bottom w:val="single" w:sz="4" w:space="0" w:color="auto"/>
            </w:tcBorders>
          </w:tcPr>
          <w:p w14:paraId="3F54BCEC"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w:t>
            </w:r>
          </w:p>
          <w:p w14:paraId="285E9A1B" w14:textId="306A2595"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19 %</w:t>
            </w:r>
          </w:p>
        </w:tc>
        <w:tc>
          <w:tcPr>
            <w:tcW w:w="1503" w:type="dxa"/>
            <w:tcBorders>
              <w:bottom w:val="single" w:sz="4" w:space="0" w:color="auto"/>
            </w:tcBorders>
          </w:tcPr>
          <w:p w14:paraId="0065A660" w14:textId="77777777"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15</w:t>
            </w:r>
          </w:p>
          <w:p w14:paraId="5A89B615" w14:textId="164D30E1" w:rsidR="00DE1936" w:rsidRPr="008C5DA4" w:rsidRDefault="00DE1936" w:rsidP="00997FD4">
            <w:pPr>
              <w:pStyle w:val="Default"/>
              <w:spacing w:after="120"/>
              <w:jc w:val="both"/>
              <w:rPr>
                <w:rFonts w:ascii="Times New Roman" w:hAnsi="Times New Roman"/>
                <w:noProof/>
                <w:sz w:val="22"/>
              </w:rPr>
            </w:pPr>
            <w:r>
              <w:rPr>
                <w:rFonts w:ascii="Times New Roman" w:hAnsi="Times New Roman"/>
                <w:noProof/>
                <w:sz w:val="22"/>
              </w:rPr>
              <w:t>100 %</w:t>
            </w:r>
          </w:p>
        </w:tc>
      </w:tr>
    </w:tbl>
    <w:p w14:paraId="16DD099F" w14:textId="77777777" w:rsidR="000F154C" w:rsidRPr="008C5DA4" w:rsidRDefault="000F154C" w:rsidP="004D5EA2">
      <w:pPr>
        <w:pStyle w:val="Heading2"/>
        <w:numPr>
          <w:ilvl w:val="0"/>
          <w:numId w:val="0"/>
        </w:numPr>
        <w:ind w:left="576"/>
        <w:rPr>
          <w:noProof/>
          <w:lang w:val="en-IE"/>
        </w:rPr>
        <w:sectPr w:rsidR="000F154C" w:rsidRPr="008C5DA4" w:rsidSect="000F154C">
          <w:headerReference w:type="default" r:id="rId24"/>
          <w:footerReference w:type="default" r:id="rId25"/>
          <w:pgSz w:w="15840" w:h="12240" w:orient="landscape"/>
          <w:pgMar w:top="1440" w:right="1440" w:bottom="1440" w:left="1440" w:header="708" w:footer="708" w:gutter="0"/>
          <w:cols w:space="720"/>
          <w:docGrid w:linePitch="360"/>
        </w:sectPr>
      </w:pPr>
    </w:p>
    <w:p w14:paraId="6658FF0E" w14:textId="4911F4F9" w:rsidR="001E198B" w:rsidRPr="008C5DA4" w:rsidRDefault="00186546" w:rsidP="00503E8E">
      <w:pPr>
        <w:pStyle w:val="Heading2"/>
        <w:rPr>
          <w:rFonts w:ascii="Times New Roman" w:hAnsi="Times New Roman"/>
          <w:noProof/>
        </w:rPr>
      </w:pPr>
      <w:r>
        <w:rPr>
          <w:rFonts w:ascii="Times New Roman" w:hAnsi="Times New Roman"/>
          <w:noProof/>
        </w:rPr>
        <w:t>Connecteur femelle</w:t>
      </w:r>
    </w:p>
    <w:p w14:paraId="4DE0A8B8" w14:textId="4615666C" w:rsidR="00B271B4" w:rsidRPr="008C5DA4" w:rsidRDefault="66252E77" w:rsidP="00B72B8E">
      <w:pPr>
        <w:jc w:val="both"/>
        <w:rPr>
          <w:rFonts w:ascii="Times New Roman" w:hAnsi="Times New Roman"/>
          <w:noProof/>
        </w:rPr>
      </w:pPr>
      <w:r>
        <w:rPr>
          <w:rFonts w:ascii="Times New Roman" w:hAnsi="Times New Roman"/>
          <w:noProof/>
        </w:rPr>
        <w:t xml:space="preserve">Le tableau 1 montre que, sur les produits évalués en 2023, 65 % des </w:t>
      </w:r>
      <w:r>
        <w:rPr>
          <w:rFonts w:ascii="Times New Roman" w:hAnsi="Times New Roman"/>
          <w:b/>
          <w:noProof/>
        </w:rPr>
        <w:t>drones et des manettes de jeux vidéo</w:t>
      </w:r>
      <w:r>
        <w:rPr>
          <w:rFonts w:ascii="Times New Roman" w:hAnsi="Times New Roman"/>
          <w:noProof/>
        </w:rPr>
        <w:t xml:space="preserve"> et 40 % des </w:t>
      </w:r>
      <w:r>
        <w:rPr>
          <w:rFonts w:ascii="Times New Roman" w:hAnsi="Times New Roman"/>
          <w:b/>
          <w:noProof/>
        </w:rPr>
        <w:t>casques de réalité augmentée/virtuelle</w:t>
      </w:r>
      <w:r>
        <w:rPr>
          <w:rFonts w:ascii="Times New Roman" w:hAnsi="Times New Roman"/>
          <w:noProof/>
        </w:rPr>
        <w:t xml:space="preserve"> disposaient d’un connecteur femelle USB Type-C. Cela montre que les fabricants doivent, dans une large mesure, s’adapter à l’obligation d’utiliser ce connecteur dans ces catégories, et qu’une expansion supplémentaire est techniquement possible pour les produits qui ne disposent pas encore d’un connecteur femelle USB Type-C.</w:t>
      </w:r>
    </w:p>
    <w:p w14:paraId="0196A12F" w14:textId="0BAE9C7C" w:rsidR="0081158F" w:rsidRPr="008C5DA4" w:rsidRDefault="5A0DF3C0" w:rsidP="00B221C2">
      <w:pPr>
        <w:jc w:val="both"/>
        <w:rPr>
          <w:rFonts w:ascii="Times New Roman" w:hAnsi="Times New Roman"/>
          <w:noProof/>
        </w:rPr>
      </w:pPr>
      <w:r>
        <w:rPr>
          <w:rFonts w:ascii="Times New Roman" w:hAnsi="Times New Roman"/>
          <w:noProof/>
        </w:rPr>
        <w:t xml:space="preserve">Pour les </w:t>
      </w:r>
      <w:r>
        <w:rPr>
          <w:rFonts w:ascii="Times New Roman" w:hAnsi="Times New Roman"/>
          <w:b/>
          <w:noProof/>
        </w:rPr>
        <w:t>brosses à dents électriques</w:t>
      </w:r>
      <w:r>
        <w:rPr>
          <w:rFonts w:ascii="Times New Roman" w:hAnsi="Times New Roman"/>
          <w:noProof/>
        </w:rPr>
        <w:t>, le taux d’adoption du connecteur femelle USB Type-C était faible, s’élevant à 7 % en 2023. Les fabricants ont expliqué que, étant donné que les brosses à dents sont utilisées et chargées dans des environnements humides, les connecteurs femelles USB Type-C ne satisfaisaient systématiquement pas aux exigences en matière de sécurité et de performances au stade des essais. En raison de sa petite taille, le connecteur femelle USB Type-C dispose d’un espace réduit entre les broches. La présence de liquides ou d’humidité dans le connecteur peut entraîner un raccourcissement des broches de puissance. Les connecteurs femelles USB Type-C ne se prêtent donc pas actuellement à une utilisation en milieu humide.</w:t>
      </w:r>
    </w:p>
    <w:p w14:paraId="1BB85A97" w14:textId="14B0B3B1" w:rsidR="003871E6" w:rsidRPr="008C5DA4" w:rsidRDefault="00FB201A" w:rsidP="4248EAFC">
      <w:pPr>
        <w:jc w:val="both"/>
        <w:rPr>
          <w:rFonts w:ascii="Times New Roman" w:hAnsi="Times New Roman"/>
          <w:noProof/>
        </w:rPr>
      </w:pPr>
      <w:r>
        <w:rPr>
          <w:rFonts w:ascii="Times New Roman" w:hAnsi="Times New Roman"/>
          <w:noProof/>
        </w:rPr>
        <w:t xml:space="preserve">En ce qui concerne les </w:t>
      </w:r>
      <w:r>
        <w:rPr>
          <w:rFonts w:ascii="Times New Roman" w:hAnsi="Times New Roman"/>
          <w:b/>
          <w:noProof/>
        </w:rPr>
        <w:t>jouets télécommandés</w:t>
      </w:r>
      <w:r>
        <w:rPr>
          <w:rFonts w:ascii="Times New Roman" w:hAnsi="Times New Roman"/>
          <w:noProof/>
        </w:rPr>
        <w:t xml:space="preserve">, 97 % utilisaient un connecteur qui leur était propre en 2023. Bien que l’analyse n’ait révélé aucun obstacle technologique spécifique au passage au connecteur femelle USB Type-C, les fabricants ont indiqué que la fourniture d’un chargeur avec les jouets garantissait une recharge optimale et réduisait au minimum les risques pour la sécurité (les utilisateurs étant principalement des enfants) (section 3.3). En outre, les exigences de normalisation existantes pour les jouets exigent qu’ils soient équipés d’un chargeur et qu’ils présentent des caractéristiques techniques spécifiques. </w:t>
      </w:r>
    </w:p>
    <w:p w14:paraId="5227E7A3" w14:textId="16485A45" w:rsidR="00780FB9" w:rsidRPr="008C5DA4" w:rsidRDefault="386A9A95" w:rsidP="003C48E6">
      <w:pPr>
        <w:jc w:val="both"/>
        <w:rPr>
          <w:rFonts w:ascii="Times New Roman" w:hAnsi="Times New Roman"/>
          <w:noProof/>
        </w:rPr>
      </w:pPr>
      <w:r>
        <w:rPr>
          <w:rFonts w:ascii="Times New Roman" w:hAnsi="Times New Roman"/>
          <w:noProof/>
        </w:rPr>
        <w:t xml:space="preserve">Pour les </w:t>
      </w:r>
      <w:r>
        <w:rPr>
          <w:rFonts w:ascii="Times New Roman" w:hAnsi="Times New Roman"/>
          <w:b/>
          <w:noProof/>
        </w:rPr>
        <w:t>objets personnels connectés</w:t>
      </w:r>
      <w:r>
        <w:rPr>
          <w:rFonts w:ascii="Times New Roman" w:hAnsi="Times New Roman"/>
          <w:noProof/>
        </w:rPr>
        <w:t xml:space="preserve">, le taux d’adoption du connecteur femelle USB Type-C était faible au moment de l’étude (6 % en 2023). La petite taille et la forme de ces dispositifs peuvent avoir influencé le choix de connecteurs propriétaires et de chargeurs à induction, étuis ou boîtiers de charge dédiés. Toutefois, des échanges récents avec le secteur donnent à penser que l’adoption de la directive sur le chargeur universel en 2022 a renforcé l’adaptation de la méthode de recharge.  En outre, l’étude semble indiquer que l’adaptation des objets personnels connectés aux connecteurs femelles USB Type-C ne concernerait que le chargeur à induction, l’étui ou le boîtier de charge (par exemple, la plupart des montres intelligentes utilisent un chargeur à induction qui devrait être adapté) et aucune contrainte technologique ni incidence sur la sécurité liée à cette modification n’a été relevée. Sur cette base, il semblerait que l’adaptation technologique soit facile à réaliser.  </w:t>
      </w:r>
    </w:p>
    <w:p w14:paraId="19BF10F7" w14:textId="63F94620" w:rsidR="00004F91" w:rsidRPr="008C5DA4" w:rsidRDefault="004D408E" w:rsidP="00086956">
      <w:pPr>
        <w:jc w:val="both"/>
        <w:rPr>
          <w:rFonts w:ascii="Times New Roman" w:hAnsi="Times New Roman"/>
          <w:noProof/>
        </w:rPr>
      </w:pPr>
      <w:r>
        <w:rPr>
          <w:rFonts w:ascii="Times New Roman" w:hAnsi="Times New Roman"/>
          <w:noProof/>
        </w:rPr>
        <w:t xml:space="preserve">Pour les </w:t>
      </w:r>
      <w:r>
        <w:rPr>
          <w:rFonts w:ascii="Times New Roman" w:hAnsi="Times New Roman"/>
          <w:b/>
          <w:noProof/>
        </w:rPr>
        <w:t>manettes de jeux vidéo</w:t>
      </w:r>
      <w:r>
        <w:rPr>
          <w:rFonts w:ascii="Times New Roman" w:hAnsi="Times New Roman"/>
          <w:noProof/>
        </w:rPr>
        <w:t>, le même raisonnement s’applique aux accessoires d’un dispositif principal, comme les manettes Joy-Con pour la Nintendo Switch. Ces manettes doivent être considérées avec leurs consoles portatives. Les exigences relatives au chargeur universel ne s’appliqueraient donc qu’au dispositif principal.</w:t>
      </w:r>
    </w:p>
    <w:p w14:paraId="6949309A" w14:textId="6E87834B" w:rsidR="008F6D82" w:rsidRPr="008C5DA4" w:rsidRDefault="48330BF6" w:rsidP="00314601">
      <w:pPr>
        <w:jc w:val="both"/>
        <w:rPr>
          <w:rFonts w:ascii="Times New Roman" w:hAnsi="Times New Roman"/>
          <w:noProof/>
        </w:rPr>
      </w:pPr>
      <w:r>
        <w:rPr>
          <w:rFonts w:ascii="Times New Roman" w:hAnsi="Times New Roman"/>
          <w:noProof/>
        </w:rPr>
        <w:t>Il convient de noter que, même pour les produits utilisant déjà le connecteur femelle USB Type-C, il peut encore y avoir des problèmes d’interopérabilité avec un chargeur universel. En effet, certains produits ne sont pas totalement conformes aux spécifications USB. L’étude a révélé que plus de 60 % des propriétaires d’appareils avaient encore éprouvé des difficultés à les charger avec un chargeur autre que le chargeur inclus au moins une fois.</w:t>
      </w:r>
    </w:p>
    <w:p w14:paraId="59D75A58" w14:textId="5FC4C683" w:rsidR="00314601" w:rsidRPr="008C5DA4" w:rsidRDefault="00530106" w:rsidP="00314601">
      <w:pPr>
        <w:jc w:val="both"/>
        <w:rPr>
          <w:rFonts w:ascii="Times New Roman" w:hAnsi="Times New Roman"/>
          <w:noProof/>
        </w:rPr>
      </w:pPr>
      <w:r>
        <w:rPr>
          <w:rFonts w:ascii="Times New Roman" w:hAnsi="Times New Roman"/>
          <w:noProof/>
        </w:rPr>
        <w:t>L’étude a montré que les fabricants utilisent leurs propres solutions de charge en raison de la taille de l’équipement (par exemple, les objets personnels connectés), de l’environnement dans lequel il est utilisé (par exemple, les brosses à dents électriques) ou de considérations législatives et de normalisation spécifiques (par exemple, les jouets) plutôt que pour des raisons commerciales.</w:t>
      </w:r>
    </w:p>
    <w:p w14:paraId="0BE27694" w14:textId="1D44FA2C" w:rsidR="00E411FF" w:rsidRPr="008C5DA4" w:rsidRDefault="00E411FF" w:rsidP="0F71E721">
      <w:pPr>
        <w:jc w:val="both"/>
        <w:rPr>
          <w:rFonts w:ascii="Times New Roman" w:hAnsi="Times New Roman"/>
          <w:noProof/>
        </w:rPr>
      </w:pPr>
      <w:r>
        <w:rPr>
          <w:rFonts w:ascii="Times New Roman" w:hAnsi="Times New Roman"/>
          <w:noProof/>
        </w:rPr>
        <w:t>En ce qui concerne les progrès technologiques dans ce domaine, la spécification USB Type-C a été révisée à plusieurs reprises afin de tenir compte de l’évolution de la spécification USB PD (voir ci-dessous).</w:t>
      </w:r>
    </w:p>
    <w:p w14:paraId="598B699F" w14:textId="6920EC9C" w:rsidR="70523C70" w:rsidRPr="008C5DA4" w:rsidRDefault="70523C70" w:rsidP="29912F81">
      <w:pPr>
        <w:jc w:val="both"/>
        <w:rPr>
          <w:rFonts w:ascii="Times New Roman" w:hAnsi="Times New Roman"/>
          <w:b/>
          <w:noProof/>
        </w:rPr>
      </w:pPr>
      <w:r>
        <w:rPr>
          <w:rFonts w:ascii="Times New Roman" w:hAnsi="Times New Roman"/>
          <w:noProof/>
        </w:rPr>
        <w:t>L’analyse indique que l’</w:t>
      </w:r>
      <w:r>
        <w:rPr>
          <w:rFonts w:ascii="Times New Roman" w:hAnsi="Times New Roman"/>
          <w:b/>
          <w:noProof/>
        </w:rPr>
        <w:t>application des exigences relatives au chargeur universel ne convient pas aux brosses à dents électriques et aux jouets télécommandés</w:t>
      </w:r>
      <w:r>
        <w:rPr>
          <w:rFonts w:ascii="Times New Roman" w:hAnsi="Times New Roman"/>
          <w:noProof/>
        </w:rPr>
        <w:t xml:space="preserve">, qui sont également exclus du règlement établissant de nouvelles exigences en matière d’écoconception applicables aux SAE, </w:t>
      </w:r>
      <w:r>
        <w:rPr>
          <w:rFonts w:ascii="Times New Roman" w:hAnsi="Times New Roman"/>
          <w:b/>
          <w:noProof/>
        </w:rPr>
        <w:t xml:space="preserve">respectivement en raison de préoccupations en matière de sécurité et d’exigences réglementaires largement fondées sur des motifs de sécurité. </w:t>
      </w:r>
    </w:p>
    <w:p w14:paraId="4594F34B" w14:textId="30B06388" w:rsidR="001E198B" w:rsidRPr="008C5DA4" w:rsidRDefault="001E198B" w:rsidP="00503E8E">
      <w:pPr>
        <w:pStyle w:val="Heading2"/>
        <w:rPr>
          <w:rFonts w:ascii="Times New Roman" w:hAnsi="Times New Roman"/>
          <w:noProof/>
        </w:rPr>
      </w:pPr>
      <w:r>
        <w:rPr>
          <w:rFonts w:ascii="Times New Roman" w:hAnsi="Times New Roman"/>
          <w:noProof/>
        </w:rPr>
        <w:t>Recharge rapide</w:t>
      </w:r>
    </w:p>
    <w:p w14:paraId="1224E271" w14:textId="6EC5D586" w:rsidR="001D0300" w:rsidRPr="008C5DA4" w:rsidRDefault="00D47DE1" w:rsidP="001D0300">
      <w:pPr>
        <w:jc w:val="both"/>
        <w:rPr>
          <w:rFonts w:ascii="Times New Roman" w:hAnsi="Times New Roman"/>
          <w:noProof/>
        </w:rPr>
      </w:pPr>
      <w:r>
        <w:rPr>
          <w:rFonts w:ascii="Times New Roman" w:hAnsi="Times New Roman"/>
          <w:noProof/>
        </w:rPr>
        <w:t>Le tableau 1 montre que seuls quelques dispositifs sont équipés du protocole USB PD. Cela peut s’expliquer par le fait que la plupart des dispositifs (par exemple, les objets personnels connectés) rechargent à faible puissance et n’ont donc pas besoin du protocole USB PD. De plus, selon les exigences relatives au chargeur universel, le protocole USB PD n’est pas obligatoire pour les puissances inférieures à 15 W. Selon cette étude, les fabricants de dispositifs pour lesquels le protocole USB PD serait imposé (par exemple, certains drones ou casques de réalité augmentée/virtuelle) l’utilisent déjà ou estiment que son utilisation est techniquement possible.</w:t>
      </w:r>
    </w:p>
    <w:p w14:paraId="7D8FBA42" w14:textId="09C31FDD" w:rsidR="00E5651A" w:rsidRPr="008C5DA4" w:rsidRDefault="006F5329" w:rsidP="00BE7009">
      <w:pPr>
        <w:jc w:val="both"/>
        <w:rPr>
          <w:rFonts w:ascii="Times New Roman" w:hAnsi="Times New Roman"/>
          <w:noProof/>
        </w:rPr>
      </w:pPr>
      <w:r>
        <w:rPr>
          <w:rFonts w:ascii="Times New Roman" w:hAnsi="Times New Roman"/>
          <w:noProof/>
        </w:rPr>
        <w:t>En ce qui concerne le connecteur, les produits déclarés compatibles avec le protocole USB PD peuvent encore présenter des problèmes d’interopérabilité avec le chargeur universel si les spécifications USB ne sont pas appliquées dans leur intégralité.</w:t>
      </w:r>
    </w:p>
    <w:p w14:paraId="3EDF8AB0" w14:textId="330BFCFF" w:rsidR="007A6824" w:rsidRPr="008C5DA4" w:rsidRDefault="003961D5" w:rsidP="001D0300">
      <w:pPr>
        <w:jc w:val="both"/>
        <w:rPr>
          <w:rFonts w:ascii="Times New Roman" w:hAnsi="Times New Roman"/>
          <w:noProof/>
        </w:rPr>
      </w:pPr>
      <w:r>
        <w:rPr>
          <w:rFonts w:ascii="Times New Roman" w:hAnsi="Times New Roman"/>
          <w:noProof/>
        </w:rPr>
        <w:t>Certaines avancées technologiques majeures ont été réalisées dans ce domaine.</w:t>
      </w:r>
    </w:p>
    <w:p w14:paraId="344303EC" w14:textId="1A33F052" w:rsidR="003961D5" w:rsidRPr="005D2F17" w:rsidRDefault="00B9438D" w:rsidP="00EB7B43">
      <w:pPr>
        <w:pStyle w:val="ListParagraph"/>
        <w:numPr>
          <w:ilvl w:val="0"/>
          <w:numId w:val="38"/>
        </w:numPr>
        <w:jc w:val="both"/>
        <w:rPr>
          <w:rFonts w:ascii="Times New Roman" w:hAnsi="Times New Roman" w:cs="Times New Roman"/>
          <w:noProof/>
        </w:rPr>
      </w:pPr>
      <w:r>
        <w:rPr>
          <w:rFonts w:ascii="Times New Roman" w:hAnsi="Times New Roman"/>
          <w:noProof/>
        </w:rPr>
        <w:t>En 2022, la spécification USB PD(</w:t>
      </w:r>
      <w:r>
        <w:rPr>
          <w:rStyle w:val="FootnoteReference"/>
          <w:rFonts w:ascii="Times New Roman" w:hAnsi="Times New Roman"/>
          <w:noProof/>
          <w:lang w:val="en-IE"/>
        </w:rPr>
        <w:footnoteReference w:id="21"/>
      </w:r>
      <w:r>
        <w:rPr>
          <w:rFonts w:ascii="Times New Roman" w:hAnsi="Times New Roman"/>
          <w:noProof/>
        </w:rPr>
        <w:t>) a été révisée, la puissance passant de 100 W à 240 W, avec une tension limitée à 48 V. Le protocole USB PD prend en charge les puissances élevées et permet une «recharge rapide» au moyen d’une connexion USB Type-C. En 2025, la spécification a de nouveau été mise à jour, garantissant la prise en charge d’une puissance maximale de 240 W et d’une alimentation à tension réglable. Le protocole USB PD fournit au minimum 1 W (même s’il est généralement utilisé à des puissances supérieures à 15 W).</w:t>
      </w:r>
    </w:p>
    <w:p w14:paraId="386DC08C" w14:textId="29111DC8" w:rsidR="00766ED3" w:rsidRPr="008C5DA4" w:rsidRDefault="00766ED3" w:rsidP="004D5EA2">
      <w:pPr>
        <w:pStyle w:val="ListParagraph"/>
        <w:numPr>
          <w:ilvl w:val="0"/>
          <w:numId w:val="38"/>
        </w:numPr>
        <w:jc w:val="both"/>
        <w:rPr>
          <w:rFonts w:ascii="Times New Roman" w:hAnsi="Times New Roman"/>
          <w:noProof/>
        </w:rPr>
      </w:pPr>
      <w:r>
        <w:rPr>
          <w:rFonts w:ascii="Times New Roman" w:hAnsi="Times New Roman"/>
          <w:noProof/>
        </w:rPr>
        <w:t>En 2021, quatre fabricants chinois — Huawei, OPPO, Vivo et Xiaomi — ont publié la spécification UFCS (Universal Fast Charging Specification), qui permet d’atteindre une tension maximale de 36 V et une puissance comprise entre 20 W et 200 W. L’étude ne révèle aucune trace de dispositifs compatibles avec l’UFCS vendus sur le marché de l’Union parmi ceux analysés dans le présent rapport, à l’exception d’un chargeur fabriqué par Huawei(</w:t>
      </w:r>
      <w:r>
        <w:rPr>
          <w:rStyle w:val="FootnoteReference"/>
          <w:rFonts w:ascii="Times New Roman" w:hAnsi="Times New Roman"/>
          <w:noProof/>
          <w:lang w:val="en-IE"/>
        </w:rPr>
        <w:footnoteReference w:id="22"/>
      </w:r>
      <w:r>
        <w:rPr>
          <w:rFonts w:ascii="Times New Roman" w:hAnsi="Times New Roman"/>
          <w:noProof/>
        </w:rPr>
        <w:t>). Ce chargeur intègre un connecteur USB A et un connecteur USB Type-C et est compatible avec le protocole USB PD et l’UFCS.</w:t>
      </w:r>
    </w:p>
    <w:p w14:paraId="30CBBAE1" w14:textId="6F698B83" w:rsidR="00AD65B4" w:rsidRPr="008C5DA4" w:rsidRDefault="00AD65B4" w:rsidP="00503E8E">
      <w:pPr>
        <w:pStyle w:val="Heading2"/>
        <w:rPr>
          <w:rFonts w:ascii="Times New Roman" w:hAnsi="Times New Roman"/>
          <w:noProof/>
        </w:rPr>
      </w:pPr>
      <w:r>
        <w:rPr>
          <w:rFonts w:ascii="Times New Roman" w:hAnsi="Times New Roman"/>
          <w:noProof/>
        </w:rPr>
        <w:t>Dissociation du chargeur</w:t>
      </w:r>
    </w:p>
    <w:p w14:paraId="64F52419" w14:textId="029C5E07" w:rsidR="00991C4B" w:rsidRPr="008C5DA4" w:rsidRDefault="00F421E0" w:rsidP="00086956">
      <w:pPr>
        <w:jc w:val="both"/>
        <w:rPr>
          <w:rFonts w:ascii="Times New Roman" w:hAnsi="Times New Roman"/>
          <w:noProof/>
        </w:rPr>
      </w:pPr>
      <w:r>
        <w:rPr>
          <w:rFonts w:ascii="Times New Roman" w:hAnsi="Times New Roman"/>
          <w:noProof/>
        </w:rPr>
        <w:t>Le tableau 1 montre des variations entre les catégories de dispositifs. Par exemple, la plupart des objets personnels connectés, des drones et des manettes de jeux vidéo sont vendus sans chargeur, tandis que les casques de réalité augmentée/virtuelle sont principalement vendus avec un chargeur. Dans l’étude, certains fabricants ont indiqué que les utilisateurs finaux de certains secteurs (par exemple, les produits industriels ou haut de gamme) s’attendent à trouver un produit complet dans l’emballage, et que la fourniture d’un chargeur garantit une recharge optimale et réduit au minimum les risques pour la sécurité. C’est le cas des jouets vendus avec un chargeur en raison d’exigences de normalisation (par exemple, la norme EN IEC 62115:2020 à l’appui de la directive 2009/48/CE relative à la sécurité des jouets).</w:t>
      </w:r>
    </w:p>
    <w:p w14:paraId="33340BFC" w14:textId="1DB95421" w:rsidR="00CA63B2" w:rsidRPr="008C5DA4" w:rsidRDefault="7A396AA6" w:rsidP="001660FF">
      <w:pPr>
        <w:pStyle w:val="Heading1"/>
        <w:rPr>
          <w:rFonts w:ascii="Times New Roman" w:hAnsi="Times New Roman"/>
          <w:noProof/>
        </w:rPr>
      </w:pPr>
      <w:r>
        <w:rPr>
          <w:rFonts w:ascii="Times New Roman" w:hAnsi="Times New Roman"/>
          <w:noProof/>
        </w:rPr>
        <w:t>Considérations relatives au rapport coûts-avantages</w:t>
      </w:r>
    </w:p>
    <w:p w14:paraId="36C490BA" w14:textId="2E8263FA" w:rsidR="00057CE7" w:rsidRPr="008C5DA4" w:rsidRDefault="5FFF31DF" w:rsidP="4248EAFC">
      <w:pPr>
        <w:jc w:val="both"/>
        <w:rPr>
          <w:rFonts w:ascii="Times New Roman" w:hAnsi="Times New Roman"/>
          <w:noProof/>
        </w:rPr>
      </w:pPr>
      <w:r>
        <w:rPr>
          <w:rFonts w:ascii="Times New Roman" w:hAnsi="Times New Roman"/>
          <w:noProof/>
        </w:rPr>
        <w:t xml:space="preserve">L’analyse ci-dessus montre que, pour plusieurs catégories d’équipements radioélectriques (drones, manettes de jeux vidéo et casques de réalité augmentée/virtuelle), le passage aux connecteurs femelles USB Type-C est en cours, l’étude n’ayant mis en évidence aucune contrainte technique ni aucun risque potentiel pour la sécurité. Étant donné que de nombreux dispositifs de ces catégories sont déjà totalement ou partiellement conformes aux exigences relatives au chargeur universel, les coûts d’adaptation des fabricants ont été au moins partiellement absorbés. </w:t>
      </w:r>
    </w:p>
    <w:p w14:paraId="4E3C002F" w14:textId="2BFF79F9" w:rsidR="00E12F44" w:rsidRPr="008C5DA4" w:rsidRDefault="64E63127" w:rsidP="00E12F44">
      <w:pPr>
        <w:jc w:val="both"/>
        <w:rPr>
          <w:rFonts w:ascii="Times New Roman" w:hAnsi="Times New Roman"/>
          <w:noProof/>
        </w:rPr>
      </w:pPr>
      <w:r>
        <w:rPr>
          <w:rFonts w:ascii="Times New Roman" w:hAnsi="Times New Roman"/>
          <w:noProof/>
        </w:rPr>
        <w:t xml:space="preserve">Pour les objets personnels connectés (y compris les montres intelligentes — le sous-segment le plus important), certains modèles récents utilisent déjà le connecteur femelle USB Type-C sur leurs chargeurs à induction, étuis ou boîtiers de charge. Toutefois, plusieurs modèles doivent encore être adaptés. On peut également raisonnablement s’attendre à ce que la part des produits conformes à certaines exigences relatives au chargeur universel ait augmenté depuis l’étude, sous l’effet de la directive relative aux équipements radioélectriques modifiée, limitant ainsi les coûts d’adaptation. Certains coûts d’adaptation peuvent également être partiellement absorbés grâce aux retombées du règlement établissant des exigences en matière d’écoconception applicables aux SAE, qui est supposé conduire indirectement à une adoption plus poussée des connecteurs USB Type-C sur les catégories de dispositifs analysées.  </w:t>
      </w:r>
    </w:p>
    <w:p w14:paraId="75C189EF" w14:textId="35CACC85" w:rsidR="00946B6E" w:rsidRPr="008C5DA4" w:rsidRDefault="00D66F59" w:rsidP="003F16D4">
      <w:pPr>
        <w:jc w:val="both"/>
        <w:rPr>
          <w:rFonts w:ascii="Times New Roman" w:hAnsi="Times New Roman"/>
          <w:noProof/>
        </w:rPr>
      </w:pPr>
      <w:r>
        <w:rPr>
          <w:rFonts w:ascii="Times New Roman" w:hAnsi="Times New Roman"/>
          <w:noProof/>
        </w:rPr>
        <w:t xml:space="preserve">Pour chaque catégorie de dispositifs recensée, l’incidence de l’application des exigences relatives au chargeur universel sur l’environnement, les consommateurs et les entreprises est résumée dans le tableau 2. </w:t>
      </w:r>
    </w:p>
    <w:p w14:paraId="0666712B" w14:textId="48478AF9" w:rsidR="00484D2A" w:rsidRPr="008C5DA4" w:rsidRDefault="008F7372" w:rsidP="29912F81">
      <w:pPr>
        <w:keepNext/>
        <w:jc w:val="both"/>
        <w:rPr>
          <w:rFonts w:ascii="Times New Roman" w:hAnsi="Times New Roman"/>
          <w:i/>
          <w:noProof/>
        </w:rPr>
      </w:pPr>
      <w:r>
        <w:rPr>
          <w:rFonts w:ascii="Times New Roman" w:hAnsi="Times New Roman"/>
          <w:i/>
          <w:noProof/>
        </w:rPr>
        <w:t>Tableau 2 — Incidences annuelles moyennes de l’application des exigences relatives au chargeur universel pour la période 2026-2035 par rapport au scénario de référence (source: l’étude)</w:t>
      </w:r>
    </w:p>
    <w:tbl>
      <w:tblPr>
        <w:tblStyle w:val="TableGrid"/>
        <w:tblW w:w="9351" w:type="dxa"/>
        <w:tblLayout w:type="fixed"/>
        <w:tblLook w:val="04A0" w:firstRow="1" w:lastRow="0" w:firstColumn="1" w:lastColumn="0" w:noHBand="0" w:noVBand="1"/>
      </w:tblPr>
      <w:tblGrid>
        <w:gridCol w:w="2405"/>
        <w:gridCol w:w="1389"/>
        <w:gridCol w:w="1389"/>
        <w:gridCol w:w="1389"/>
        <w:gridCol w:w="1389"/>
        <w:gridCol w:w="1390"/>
      </w:tblGrid>
      <w:tr w:rsidR="00335162" w:rsidRPr="004B6D42" w14:paraId="144BAF06" w14:textId="2D289942" w:rsidTr="00335162">
        <w:tc>
          <w:tcPr>
            <w:tcW w:w="2405" w:type="dxa"/>
          </w:tcPr>
          <w:p w14:paraId="1AEF7677" w14:textId="77777777" w:rsidR="00F94926" w:rsidRPr="00D429FF" w:rsidRDefault="00F94926" w:rsidP="0039096F">
            <w:pPr>
              <w:keepNext/>
              <w:jc w:val="both"/>
              <w:rPr>
                <w:rFonts w:ascii="Times New Roman" w:hAnsi="Times New Roman"/>
                <w:b/>
                <w:noProof/>
                <w:lang w:val="fr-BE"/>
              </w:rPr>
            </w:pPr>
          </w:p>
        </w:tc>
        <w:tc>
          <w:tcPr>
            <w:tcW w:w="1389" w:type="dxa"/>
          </w:tcPr>
          <w:p w14:paraId="6FA071CB" w14:textId="2DA1DAAF" w:rsidR="00F94926" w:rsidRPr="008C5DA4" w:rsidRDefault="00FD160D" w:rsidP="0039096F">
            <w:pPr>
              <w:keepNext/>
              <w:jc w:val="center"/>
              <w:rPr>
                <w:rFonts w:ascii="Times New Roman" w:hAnsi="Times New Roman"/>
                <w:b/>
                <w:noProof/>
              </w:rPr>
            </w:pPr>
            <w:r>
              <w:rPr>
                <w:rFonts w:ascii="Times New Roman" w:hAnsi="Times New Roman"/>
                <w:b/>
                <w:noProof/>
              </w:rPr>
              <w:t>Émissions de gaz à effet de serre (GES) [ktCO2]</w:t>
            </w:r>
          </w:p>
        </w:tc>
        <w:tc>
          <w:tcPr>
            <w:tcW w:w="1389" w:type="dxa"/>
          </w:tcPr>
          <w:p w14:paraId="793A6C48" w14:textId="46AA6AB2" w:rsidR="00F94926" w:rsidRPr="008C5DA4" w:rsidRDefault="00F94926" w:rsidP="0039096F">
            <w:pPr>
              <w:keepNext/>
              <w:jc w:val="center"/>
              <w:rPr>
                <w:rFonts w:ascii="Times New Roman" w:hAnsi="Times New Roman"/>
                <w:b/>
                <w:noProof/>
              </w:rPr>
            </w:pPr>
            <w:r>
              <w:rPr>
                <w:rFonts w:ascii="Times New Roman" w:hAnsi="Times New Roman"/>
                <w:b/>
                <w:noProof/>
              </w:rPr>
              <w:t>Utilisation des matériaux [tonnes]</w:t>
            </w:r>
          </w:p>
        </w:tc>
        <w:tc>
          <w:tcPr>
            <w:tcW w:w="1389" w:type="dxa"/>
          </w:tcPr>
          <w:p w14:paraId="515909F4" w14:textId="150B2DAD" w:rsidR="00F94926" w:rsidRPr="008C5DA4" w:rsidRDefault="00F94926" w:rsidP="0039096F">
            <w:pPr>
              <w:keepNext/>
              <w:jc w:val="center"/>
              <w:rPr>
                <w:rFonts w:ascii="Times New Roman" w:hAnsi="Times New Roman"/>
                <w:b/>
                <w:noProof/>
              </w:rPr>
            </w:pPr>
            <w:r>
              <w:rPr>
                <w:rFonts w:ascii="Times New Roman" w:hAnsi="Times New Roman"/>
                <w:b/>
                <w:noProof/>
              </w:rPr>
              <w:t>Déchets électroniques [tonnes]</w:t>
            </w:r>
          </w:p>
        </w:tc>
        <w:tc>
          <w:tcPr>
            <w:tcW w:w="1389" w:type="dxa"/>
          </w:tcPr>
          <w:p w14:paraId="5FDFC2F6" w14:textId="7BAB43E7" w:rsidR="00F94926" w:rsidRPr="008C5DA4" w:rsidRDefault="00900EF4">
            <w:pPr>
              <w:keepNext/>
              <w:jc w:val="center"/>
              <w:rPr>
                <w:rFonts w:ascii="Times New Roman" w:hAnsi="Times New Roman"/>
                <w:b/>
                <w:noProof/>
              </w:rPr>
            </w:pPr>
            <w:r>
              <w:rPr>
                <w:rFonts w:ascii="Times New Roman" w:hAnsi="Times New Roman"/>
                <w:b/>
                <w:noProof/>
              </w:rPr>
              <w:t>Dépenses pour les consommateurs [VAN millions d’EUR]</w:t>
            </w:r>
          </w:p>
        </w:tc>
        <w:tc>
          <w:tcPr>
            <w:tcW w:w="1390" w:type="dxa"/>
          </w:tcPr>
          <w:p w14:paraId="4648BEE0" w14:textId="0EE0590B" w:rsidR="00F94926" w:rsidRPr="008C5DA4" w:rsidRDefault="00F94926" w:rsidP="0039096F">
            <w:pPr>
              <w:keepNext/>
              <w:jc w:val="center"/>
              <w:rPr>
                <w:rFonts w:ascii="Times New Roman" w:hAnsi="Times New Roman"/>
                <w:b/>
                <w:noProof/>
              </w:rPr>
            </w:pPr>
            <w:r>
              <w:rPr>
                <w:rFonts w:ascii="Times New Roman" w:hAnsi="Times New Roman"/>
                <w:b/>
                <w:noProof/>
              </w:rPr>
              <w:t>Coûts pour les fabricants [VAN millions d’EUR]</w:t>
            </w:r>
          </w:p>
        </w:tc>
      </w:tr>
      <w:tr w:rsidR="00F94926" w:rsidRPr="008C5DA4" w14:paraId="1869C8D6" w14:textId="1FD204A1" w:rsidTr="005D2F17">
        <w:tc>
          <w:tcPr>
            <w:tcW w:w="2405" w:type="dxa"/>
          </w:tcPr>
          <w:p w14:paraId="200E474E" w14:textId="77777777" w:rsidR="00F94926" w:rsidRPr="008C5DA4" w:rsidRDefault="00F94926" w:rsidP="00FB03C1">
            <w:pPr>
              <w:rPr>
                <w:rFonts w:ascii="Times New Roman" w:hAnsi="Times New Roman"/>
                <w:b/>
                <w:noProof/>
              </w:rPr>
            </w:pPr>
            <w:r>
              <w:rPr>
                <w:rFonts w:ascii="Times New Roman" w:hAnsi="Times New Roman"/>
                <w:b/>
                <w:noProof/>
              </w:rPr>
              <w:t xml:space="preserve">Casques de réalité augmentée/virtuelle </w:t>
            </w:r>
          </w:p>
        </w:tc>
        <w:tc>
          <w:tcPr>
            <w:tcW w:w="1389" w:type="dxa"/>
          </w:tcPr>
          <w:p w14:paraId="5ED22F7C" w14:textId="7458DFC3" w:rsidR="00F94926" w:rsidRPr="008C5DA4" w:rsidRDefault="00F94926">
            <w:pPr>
              <w:jc w:val="center"/>
              <w:rPr>
                <w:rFonts w:ascii="Times New Roman" w:hAnsi="Times New Roman"/>
                <w:noProof/>
              </w:rPr>
            </w:pPr>
            <w:r>
              <w:rPr>
                <w:rFonts w:ascii="Times New Roman" w:hAnsi="Times New Roman"/>
                <w:noProof/>
              </w:rPr>
              <w:t>-10</w:t>
            </w:r>
          </w:p>
        </w:tc>
        <w:tc>
          <w:tcPr>
            <w:tcW w:w="1389" w:type="dxa"/>
          </w:tcPr>
          <w:p w14:paraId="40749212" w14:textId="108D3CF2" w:rsidR="00F94926" w:rsidRPr="008C5DA4" w:rsidRDefault="00F94926">
            <w:pPr>
              <w:jc w:val="center"/>
              <w:rPr>
                <w:rFonts w:ascii="Times New Roman" w:hAnsi="Times New Roman"/>
                <w:noProof/>
              </w:rPr>
            </w:pPr>
            <w:r>
              <w:rPr>
                <w:rFonts w:ascii="Times New Roman" w:hAnsi="Times New Roman"/>
                <w:noProof/>
              </w:rPr>
              <w:t>-149</w:t>
            </w:r>
          </w:p>
        </w:tc>
        <w:tc>
          <w:tcPr>
            <w:tcW w:w="1389" w:type="dxa"/>
          </w:tcPr>
          <w:p w14:paraId="53149734" w14:textId="1567C232" w:rsidR="00F94926" w:rsidRPr="008C5DA4" w:rsidRDefault="00F94926">
            <w:pPr>
              <w:jc w:val="center"/>
              <w:rPr>
                <w:rFonts w:ascii="Times New Roman" w:hAnsi="Times New Roman"/>
                <w:noProof/>
              </w:rPr>
            </w:pPr>
            <w:r>
              <w:rPr>
                <w:rFonts w:ascii="Times New Roman" w:hAnsi="Times New Roman"/>
                <w:noProof/>
              </w:rPr>
              <w:t>-85</w:t>
            </w:r>
          </w:p>
        </w:tc>
        <w:tc>
          <w:tcPr>
            <w:tcW w:w="1389" w:type="dxa"/>
          </w:tcPr>
          <w:p w14:paraId="57F9777D" w14:textId="4891A712" w:rsidR="00F94926" w:rsidRPr="0097080A" w:rsidRDefault="00900EF4">
            <w:pPr>
              <w:jc w:val="center"/>
              <w:rPr>
                <w:rFonts w:ascii="Times New Roman" w:hAnsi="Times New Roman"/>
                <w:noProof/>
              </w:rPr>
            </w:pPr>
            <w:r>
              <w:rPr>
                <w:rFonts w:ascii="Times New Roman" w:hAnsi="Times New Roman"/>
                <w:noProof/>
              </w:rPr>
              <w:t>-23</w:t>
            </w:r>
          </w:p>
        </w:tc>
        <w:tc>
          <w:tcPr>
            <w:tcW w:w="1390" w:type="dxa"/>
          </w:tcPr>
          <w:p w14:paraId="38AF3D66" w14:textId="43D4CF49" w:rsidR="00F94926" w:rsidRPr="00F94926" w:rsidRDefault="004015EE">
            <w:pPr>
              <w:jc w:val="center"/>
              <w:rPr>
                <w:rFonts w:ascii="Times New Roman" w:hAnsi="Times New Roman"/>
                <w:noProof/>
              </w:rPr>
            </w:pPr>
            <w:r>
              <w:rPr>
                <w:rFonts w:ascii="Times New Roman" w:hAnsi="Times New Roman"/>
                <w:noProof/>
              </w:rPr>
              <w:t>10</w:t>
            </w:r>
          </w:p>
        </w:tc>
      </w:tr>
      <w:tr w:rsidR="00F94926" w:rsidRPr="008C5DA4" w14:paraId="31DC9A91" w14:textId="7E7B3CCE" w:rsidTr="005D2F17">
        <w:tc>
          <w:tcPr>
            <w:tcW w:w="2405" w:type="dxa"/>
          </w:tcPr>
          <w:p w14:paraId="0ACDD7B6" w14:textId="786813F1" w:rsidR="00F94926" w:rsidRPr="008C5DA4" w:rsidRDefault="00F94926" w:rsidP="00FB03C1">
            <w:pPr>
              <w:rPr>
                <w:rFonts w:ascii="Times New Roman" w:hAnsi="Times New Roman"/>
                <w:b/>
                <w:noProof/>
              </w:rPr>
            </w:pPr>
            <w:r>
              <w:rPr>
                <w:rFonts w:ascii="Times New Roman" w:hAnsi="Times New Roman"/>
                <w:b/>
                <w:noProof/>
              </w:rPr>
              <w:t xml:space="preserve">Drones </w:t>
            </w:r>
          </w:p>
        </w:tc>
        <w:tc>
          <w:tcPr>
            <w:tcW w:w="1389" w:type="dxa"/>
          </w:tcPr>
          <w:p w14:paraId="15D9071C" w14:textId="16C32C24" w:rsidR="00F94926" w:rsidRPr="008C5DA4" w:rsidRDefault="00F94926" w:rsidP="001660FF">
            <w:pPr>
              <w:jc w:val="center"/>
              <w:rPr>
                <w:rFonts w:ascii="Times New Roman" w:hAnsi="Times New Roman"/>
                <w:noProof/>
              </w:rPr>
            </w:pPr>
            <w:r>
              <w:rPr>
                <w:rFonts w:ascii="Times New Roman" w:hAnsi="Times New Roman"/>
                <w:noProof/>
              </w:rPr>
              <w:t>-0,3</w:t>
            </w:r>
          </w:p>
        </w:tc>
        <w:tc>
          <w:tcPr>
            <w:tcW w:w="1389" w:type="dxa"/>
          </w:tcPr>
          <w:p w14:paraId="41F2742B" w14:textId="5881294F" w:rsidR="00F94926" w:rsidRPr="008C5DA4" w:rsidRDefault="00F94926" w:rsidP="001660FF">
            <w:pPr>
              <w:jc w:val="center"/>
              <w:rPr>
                <w:rFonts w:ascii="Times New Roman" w:hAnsi="Times New Roman"/>
                <w:noProof/>
              </w:rPr>
            </w:pPr>
            <w:r>
              <w:rPr>
                <w:rFonts w:ascii="Times New Roman" w:hAnsi="Times New Roman"/>
                <w:noProof/>
              </w:rPr>
              <w:t>-3</w:t>
            </w:r>
          </w:p>
        </w:tc>
        <w:tc>
          <w:tcPr>
            <w:tcW w:w="1389" w:type="dxa"/>
          </w:tcPr>
          <w:p w14:paraId="0D5F7BE7" w14:textId="6E1A996F" w:rsidR="00F94926" w:rsidRPr="008C5DA4" w:rsidRDefault="00F94926" w:rsidP="001660FF">
            <w:pPr>
              <w:jc w:val="center"/>
              <w:rPr>
                <w:rFonts w:ascii="Times New Roman" w:hAnsi="Times New Roman"/>
                <w:noProof/>
              </w:rPr>
            </w:pPr>
            <w:r>
              <w:rPr>
                <w:rFonts w:ascii="Times New Roman" w:hAnsi="Times New Roman"/>
                <w:noProof/>
              </w:rPr>
              <w:t>-2</w:t>
            </w:r>
          </w:p>
        </w:tc>
        <w:tc>
          <w:tcPr>
            <w:tcW w:w="1389" w:type="dxa"/>
          </w:tcPr>
          <w:p w14:paraId="2320FE13" w14:textId="0D7D1A15" w:rsidR="00F94926" w:rsidRPr="0097080A" w:rsidRDefault="00900EF4" w:rsidP="001660FF">
            <w:pPr>
              <w:jc w:val="center"/>
              <w:rPr>
                <w:rFonts w:ascii="Times New Roman" w:hAnsi="Times New Roman"/>
                <w:noProof/>
              </w:rPr>
            </w:pPr>
            <w:r>
              <w:rPr>
                <w:rFonts w:ascii="Times New Roman" w:hAnsi="Times New Roman"/>
                <w:noProof/>
              </w:rPr>
              <w:t>-2</w:t>
            </w:r>
          </w:p>
        </w:tc>
        <w:tc>
          <w:tcPr>
            <w:tcW w:w="1390" w:type="dxa"/>
          </w:tcPr>
          <w:p w14:paraId="3709D1A3" w14:textId="74C07579" w:rsidR="00F94926" w:rsidRPr="00F94926" w:rsidRDefault="002F5444" w:rsidP="009415FC">
            <w:pPr>
              <w:jc w:val="center"/>
              <w:rPr>
                <w:rFonts w:ascii="Times New Roman" w:hAnsi="Times New Roman"/>
                <w:noProof/>
              </w:rPr>
            </w:pPr>
            <w:r>
              <w:rPr>
                <w:rFonts w:ascii="Times New Roman" w:hAnsi="Times New Roman"/>
                <w:noProof/>
              </w:rPr>
              <w:t>-1</w:t>
            </w:r>
          </w:p>
        </w:tc>
      </w:tr>
      <w:tr w:rsidR="00F94926" w:rsidRPr="008C5DA4" w14:paraId="79E00BCF" w14:textId="6C563AA6" w:rsidTr="005D2F17">
        <w:tc>
          <w:tcPr>
            <w:tcW w:w="2405" w:type="dxa"/>
          </w:tcPr>
          <w:p w14:paraId="2E9DF662" w14:textId="640A315F" w:rsidR="00F94926" w:rsidRPr="008C5DA4" w:rsidRDefault="00F94926" w:rsidP="00FB03C1">
            <w:pPr>
              <w:rPr>
                <w:rFonts w:ascii="Times New Roman" w:hAnsi="Times New Roman"/>
                <w:b/>
                <w:noProof/>
              </w:rPr>
            </w:pPr>
            <w:r>
              <w:rPr>
                <w:rFonts w:ascii="Times New Roman" w:hAnsi="Times New Roman"/>
                <w:b/>
                <w:noProof/>
              </w:rPr>
              <w:t xml:space="preserve">Manettes de jeux vidéo </w:t>
            </w:r>
          </w:p>
        </w:tc>
        <w:tc>
          <w:tcPr>
            <w:tcW w:w="1389" w:type="dxa"/>
          </w:tcPr>
          <w:p w14:paraId="7D01E9AF" w14:textId="25CA0195" w:rsidR="00F94926" w:rsidRPr="008C5DA4" w:rsidRDefault="00F94926" w:rsidP="001660FF">
            <w:pPr>
              <w:jc w:val="center"/>
              <w:rPr>
                <w:rFonts w:ascii="Times New Roman" w:hAnsi="Times New Roman"/>
                <w:noProof/>
              </w:rPr>
            </w:pPr>
            <w:r>
              <w:rPr>
                <w:rFonts w:ascii="Times New Roman" w:hAnsi="Times New Roman"/>
                <w:noProof/>
              </w:rPr>
              <w:t>-0,5</w:t>
            </w:r>
          </w:p>
        </w:tc>
        <w:tc>
          <w:tcPr>
            <w:tcW w:w="1389" w:type="dxa"/>
          </w:tcPr>
          <w:p w14:paraId="4D6EE7D8" w14:textId="51AB7D55" w:rsidR="00F94926" w:rsidRPr="008C5DA4" w:rsidRDefault="00F94926" w:rsidP="001660FF">
            <w:pPr>
              <w:jc w:val="center"/>
              <w:rPr>
                <w:rFonts w:ascii="Times New Roman" w:hAnsi="Times New Roman"/>
                <w:noProof/>
              </w:rPr>
            </w:pPr>
            <w:r>
              <w:rPr>
                <w:rFonts w:ascii="Times New Roman" w:hAnsi="Times New Roman"/>
                <w:noProof/>
              </w:rPr>
              <w:t>-3</w:t>
            </w:r>
          </w:p>
        </w:tc>
        <w:tc>
          <w:tcPr>
            <w:tcW w:w="1389" w:type="dxa"/>
          </w:tcPr>
          <w:p w14:paraId="32C11A51" w14:textId="3AF3F54E" w:rsidR="00F94926" w:rsidRPr="008C5DA4" w:rsidRDefault="00F94926" w:rsidP="001660FF">
            <w:pPr>
              <w:jc w:val="center"/>
              <w:rPr>
                <w:rFonts w:ascii="Times New Roman" w:hAnsi="Times New Roman"/>
                <w:noProof/>
              </w:rPr>
            </w:pPr>
            <w:r>
              <w:rPr>
                <w:rFonts w:ascii="Times New Roman" w:hAnsi="Times New Roman"/>
                <w:noProof/>
              </w:rPr>
              <w:t>3</w:t>
            </w:r>
          </w:p>
        </w:tc>
        <w:tc>
          <w:tcPr>
            <w:tcW w:w="1389" w:type="dxa"/>
          </w:tcPr>
          <w:p w14:paraId="351B6EE4" w14:textId="3C16797E" w:rsidR="00F94926" w:rsidRPr="0097080A" w:rsidRDefault="00900EF4" w:rsidP="001660FF">
            <w:pPr>
              <w:jc w:val="center"/>
              <w:rPr>
                <w:rFonts w:ascii="Times New Roman" w:hAnsi="Times New Roman"/>
                <w:noProof/>
              </w:rPr>
            </w:pPr>
            <w:r>
              <w:rPr>
                <w:rFonts w:ascii="Times New Roman" w:hAnsi="Times New Roman"/>
                <w:noProof/>
              </w:rPr>
              <w:t>-1</w:t>
            </w:r>
          </w:p>
        </w:tc>
        <w:tc>
          <w:tcPr>
            <w:tcW w:w="1390" w:type="dxa"/>
          </w:tcPr>
          <w:p w14:paraId="540892A3" w14:textId="1798D3A8" w:rsidR="00F94926" w:rsidRPr="00F94926" w:rsidRDefault="00F94926" w:rsidP="001660FF">
            <w:pPr>
              <w:jc w:val="center"/>
              <w:rPr>
                <w:rFonts w:ascii="Times New Roman" w:hAnsi="Times New Roman"/>
                <w:noProof/>
              </w:rPr>
            </w:pPr>
            <w:r>
              <w:rPr>
                <w:rFonts w:ascii="Times New Roman" w:hAnsi="Times New Roman"/>
                <w:noProof/>
              </w:rPr>
              <w:t>1</w:t>
            </w:r>
          </w:p>
        </w:tc>
      </w:tr>
      <w:tr w:rsidR="00F94926" w:rsidRPr="008C5DA4" w14:paraId="6939B6EB" w14:textId="77777777" w:rsidTr="005D2F17">
        <w:tc>
          <w:tcPr>
            <w:tcW w:w="2405" w:type="dxa"/>
          </w:tcPr>
          <w:p w14:paraId="2331F6EB" w14:textId="4B69B1D8" w:rsidR="00F94926" w:rsidRPr="008C5DA4" w:rsidRDefault="00F94926" w:rsidP="00FB03C1">
            <w:pPr>
              <w:rPr>
                <w:rFonts w:ascii="Times New Roman" w:hAnsi="Times New Roman"/>
                <w:b/>
                <w:noProof/>
              </w:rPr>
            </w:pPr>
            <w:r>
              <w:rPr>
                <w:rFonts w:ascii="Times New Roman" w:hAnsi="Times New Roman"/>
                <w:b/>
                <w:noProof/>
              </w:rPr>
              <w:t xml:space="preserve">Objets personnels connectés </w:t>
            </w:r>
          </w:p>
        </w:tc>
        <w:tc>
          <w:tcPr>
            <w:tcW w:w="1389" w:type="dxa"/>
          </w:tcPr>
          <w:p w14:paraId="4EDA4C71" w14:textId="453FAD8A" w:rsidR="00F94926" w:rsidRPr="008C5DA4" w:rsidRDefault="00F94926" w:rsidP="00C9666C">
            <w:pPr>
              <w:jc w:val="center"/>
              <w:rPr>
                <w:rFonts w:ascii="Times New Roman" w:hAnsi="Times New Roman"/>
                <w:noProof/>
              </w:rPr>
            </w:pPr>
            <w:r>
              <w:rPr>
                <w:rFonts w:ascii="Times New Roman" w:hAnsi="Times New Roman"/>
                <w:noProof/>
              </w:rPr>
              <w:t>8</w:t>
            </w:r>
          </w:p>
        </w:tc>
        <w:tc>
          <w:tcPr>
            <w:tcW w:w="1389" w:type="dxa"/>
          </w:tcPr>
          <w:p w14:paraId="27B3784C" w14:textId="36F16E03" w:rsidR="00F94926" w:rsidRPr="008C5DA4" w:rsidRDefault="00F94926" w:rsidP="00C9666C">
            <w:pPr>
              <w:jc w:val="center"/>
              <w:rPr>
                <w:rFonts w:ascii="Times New Roman" w:hAnsi="Times New Roman"/>
                <w:noProof/>
              </w:rPr>
            </w:pPr>
            <w:r>
              <w:rPr>
                <w:rFonts w:ascii="Times New Roman" w:hAnsi="Times New Roman"/>
                <w:noProof/>
              </w:rPr>
              <w:t>233</w:t>
            </w:r>
          </w:p>
        </w:tc>
        <w:tc>
          <w:tcPr>
            <w:tcW w:w="1389" w:type="dxa"/>
          </w:tcPr>
          <w:p w14:paraId="2B1ACF02" w14:textId="67162BA0" w:rsidR="00F94926" w:rsidRPr="008C5DA4" w:rsidRDefault="00F94926" w:rsidP="00C9666C">
            <w:pPr>
              <w:jc w:val="center"/>
              <w:rPr>
                <w:rFonts w:ascii="Times New Roman" w:hAnsi="Times New Roman"/>
                <w:noProof/>
              </w:rPr>
            </w:pPr>
            <w:r>
              <w:rPr>
                <w:rFonts w:ascii="Times New Roman" w:hAnsi="Times New Roman"/>
                <w:noProof/>
              </w:rPr>
              <w:t>116</w:t>
            </w:r>
          </w:p>
        </w:tc>
        <w:tc>
          <w:tcPr>
            <w:tcW w:w="1389" w:type="dxa"/>
          </w:tcPr>
          <w:p w14:paraId="3E843992" w14:textId="58947E5A" w:rsidR="00F94926" w:rsidRPr="0097080A" w:rsidRDefault="00900EF4" w:rsidP="00C9666C">
            <w:pPr>
              <w:jc w:val="center"/>
              <w:rPr>
                <w:rFonts w:ascii="Times New Roman" w:hAnsi="Times New Roman"/>
                <w:noProof/>
              </w:rPr>
            </w:pPr>
            <w:r>
              <w:rPr>
                <w:rFonts w:ascii="Times New Roman" w:hAnsi="Times New Roman"/>
                <w:noProof/>
              </w:rPr>
              <w:t>-52</w:t>
            </w:r>
          </w:p>
        </w:tc>
        <w:tc>
          <w:tcPr>
            <w:tcW w:w="1390" w:type="dxa"/>
          </w:tcPr>
          <w:p w14:paraId="5BF2C5C7" w14:textId="00A3B6B0" w:rsidR="00F94926" w:rsidRPr="00F94926" w:rsidRDefault="00F94926" w:rsidP="00C9666C">
            <w:pPr>
              <w:jc w:val="center"/>
              <w:rPr>
                <w:rFonts w:ascii="Times New Roman" w:hAnsi="Times New Roman"/>
                <w:noProof/>
              </w:rPr>
            </w:pPr>
            <w:r>
              <w:rPr>
                <w:rFonts w:ascii="Times New Roman" w:hAnsi="Times New Roman"/>
                <w:noProof/>
              </w:rPr>
              <w:t>23</w:t>
            </w:r>
          </w:p>
        </w:tc>
      </w:tr>
      <w:tr w:rsidR="0023070A" w:rsidRPr="0023070A" w14:paraId="187251DA" w14:textId="77777777" w:rsidTr="00335162">
        <w:tc>
          <w:tcPr>
            <w:tcW w:w="2405" w:type="dxa"/>
            <w:tcBorders>
              <w:bottom w:val="single" w:sz="4" w:space="0" w:color="auto"/>
            </w:tcBorders>
          </w:tcPr>
          <w:p w14:paraId="7B662D85" w14:textId="45EAA0B7" w:rsidR="0023070A" w:rsidRPr="008C5DA4" w:rsidRDefault="0023070A" w:rsidP="00FB03C1">
            <w:pPr>
              <w:rPr>
                <w:rFonts w:ascii="Times New Roman" w:hAnsi="Times New Roman"/>
                <w:b/>
                <w:noProof/>
              </w:rPr>
            </w:pPr>
            <w:r>
              <w:rPr>
                <w:rFonts w:ascii="Times New Roman" w:hAnsi="Times New Roman"/>
                <w:b/>
                <w:noProof/>
              </w:rPr>
              <w:t>Scénario de référence pour les smartphones, les tablettes, les dispositifs portés à l’oreille, les caméras numériques, les chargeurs autonomes et les quatre catégories ci-dessus</w:t>
            </w:r>
            <w:r>
              <w:rPr>
                <w:rFonts w:ascii="Times New Roman" w:hAnsi="Times New Roman"/>
                <w:noProof/>
              </w:rPr>
              <w:t>(</w:t>
            </w:r>
            <w:r>
              <w:rPr>
                <w:rStyle w:val="FootnoteReference"/>
                <w:rFonts w:ascii="Times New Roman" w:hAnsi="Times New Roman"/>
                <w:noProof/>
                <w:lang w:val="en-IE"/>
              </w:rPr>
              <w:footnoteReference w:id="23"/>
            </w:r>
            <w:r>
              <w:rPr>
                <w:rFonts w:ascii="Times New Roman" w:hAnsi="Times New Roman"/>
                <w:noProof/>
              </w:rPr>
              <w:t>)</w:t>
            </w:r>
          </w:p>
        </w:tc>
        <w:tc>
          <w:tcPr>
            <w:tcW w:w="1389" w:type="dxa"/>
            <w:tcBorders>
              <w:bottom w:val="single" w:sz="4" w:space="0" w:color="auto"/>
            </w:tcBorders>
          </w:tcPr>
          <w:p w14:paraId="19ED4593" w14:textId="1FF9673B" w:rsidR="0023070A" w:rsidRDefault="00900EF4" w:rsidP="00C9666C">
            <w:pPr>
              <w:jc w:val="center"/>
              <w:rPr>
                <w:rFonts w:ascii="Times New Roman" w:hAnsi="Times New Roman"/>
                <w:noProof/>
              </w:rPr>
            </w:pPr>
            <w:r>
              <w:rPr>
                <w:rFonts w:ascii="Times New Roman" w:hAnsi="Times New Roman"/>
                <w:noProof/>
              </w:rPr>
              <w:t>1 110</w:t>
            </w:r>
          </w:p>
        </w:tc>
        <w:tc>
          <w:tcPr>
            <w:tcW w:w="1389" w:type="dxa"/>
            <w:tcBorders>
              <w:bottom w:val="single" w:sz="4" w:space="0" w:color="auto"/>
            </w:tcBorders>
          </w:tcPr>
          <w:p w14:paraId="3E92E55B" w14:textId="3C9D3BF4" w:rsidR="0023070A" w:rsidRDefault="007F21A5" w:rsidP="00C9666C">
            <w:pPr>
              <w:jc w:val="center"/>
              <w:rPr>
                <w:rFonts w:ascii="Times New Roman" w:hAnsi="Times New Roman"/>
                <w:noProof/>
              </w:rPr>
            </w:pPr>
            <w:r>
              <w:rPr>
                <w:rFonts w:ascii="Times New Roman" w:hAnsi="Times New Roman"/>
                <w:noProof/>
              </w:rPr>
              <w:t>25 654</w:t>
            </w:r>
          </w:p>
        </w:tc>
        <w:tc>
          <w:tcPr>
            <w:tcW w:w="1389" w:type="dxa"/>
            <w:tcBorders>
              <w:bottom w:val="single" w:sz="4" w:space="0" w:color="auto"/>
            </w:tcBorders>
          </w:tcPr>
          <w:p w14:paraId="24759C71" w14:textId="56CDCB23" w:rsidR="0023070A" w:rsidRDefault="007F21A5" w:rsidP="00C9666C">
            <w:pPr>
              <w:jc w:val="center"/>
              <w:rPr>
                <w:rFonts w:ascii="Times New Roman" w:hAnsi="Times New Roman"/>
                <w:noProof/>
              </w:rPr>
            </w:pPr>
            <w:r>
              <w:rPr>
                <w:rFonts w:ascii="Times New Roman" w:hAnsi="Times New Roman"/>
                <w:noProof/>
              </w:rPr>
              <w:t>23 667</w:t>
            </w:r>
          </w:p>
        </w:tc>
        <w:tc>
          <w:tcPr>
            <w:tcW w:w="1389" w:type="dxa"/>
            <w:tcBorders>
              <w:bottom w:val="single" w:sz="4" w:space="0" w:color="auto"/>
            </w:tcBorders>
          </w:tcPr>
          <w:p w14:paraId="4EFF605C" w14:textId="55084575" w:rsidR="0023070A" w:rsidRPr="0097080A" w:rsidRDefault="007F21A5" w:rsidP="00C9666C">
            <w:pPr>
              <w:jc w:val="center"/>
              <w:rPr>
                <w:rFonts w:ascii="Times New Roman" w:hAnsi="Times New Roman"/>
                <w:noProof/>
              </w:rPr>
            </w:pPr>
            <w:r>
              <w:rPr>
                <w:rFonts w:ascii="Times New Roman" w:hAnsi="Times New Roman"/>
                <w:noProof/>
              </w:rPr>
              <w:t>6 926</w:t>
            </w:r>
          </w:p>
        </w:tc>
        <w:tc>
          <w:tcPr>
            <w:tcW w:w="1390" w:type="dxa"/>
            <w:tcBorders>
              <w:bottom w:val="single" w:sz="4" w:space="0" w:color="auto"/>
            </w:tcBorders>
          </w:tcPr>
          <w:p w14:paraId="362083F0" w14:textId="6ECD5F65" w:rsidR="0023070A" w:rsidRPr="00F94926" w:rsidRDefault="007F21A5" w:rsidP="00C9666C">
            <w:pPr>
              <w:jc w:val="center"/>
              <w:rPr>
                <w:rFonts w:ascii="Times New Roman" w:hAnsi="Times New Roman"/>
                <w:noProof/>
              </w:rPr>
            </w:pPr>
            <w:r>
              <w:rPr>
                <w:rFonts w:ascii="Times New Roman" w:hAnsi="Times New Roman"/>
                <w:noProof/>
              </w:rPr>
              <w:t>1 492</w:t>
            </w:r>
          </w:p>
        </w:tc>
      </w:tr>
    </w:tbl>
    <w:p w14:paraId="5AF72CCA" w14:textId="77777777" w:rsidR="00CB19D5" w:rsidRDefault="00CB19D5" w:rsidP="5EB226E9">
      <w:pPr>
        <w:jc w:val="both"/>
        <w:rPr>
          <w:rFonts w:ascii="Times New Roman" w:hAnsi="Times New Roman"/>
          <w:i/>
          <w:noProof/>
          <w:lang w:val="en-IE"/>
        </w:rPr>
      </w:pPr>
    </w:p>
    <w:p w14:paraId="7E130AB4" w14:textId="5B73753A" w:rsidR="00B80E81" w:rsidRDefault="00883673" w:rsidP="4248EAFC">
      <w:pPr>
        <w:jc w:val="both"/>
        <w:rPr>
          <w:rFonts w:ascii="Times New Roman" w:hAnsi="Times New Roman" w:cs="Times New Roman"/>
          <w:noProof/>
        </w:rPr>
      </w:pPr>
      <w:r>
        <w:rPr>
          <w:rFonts w:ascii="Times New Roman" w:hAnsi="Times New Roman"/>
          <w:noProof/>
        </w:rPr>
        <w:t xml:space="preserve">Pour toutes les catégories, à l’exception des objets personnels connectés, des avantages environnementaux positifs sont mis en évidence. Ces avantages proviennent principalement de la dissociation du chargeur. Les objets personnels connectés sont déjà vendus sans chargeur, de sorte que les adaptations techniques nécessaires entraîneraient une augmentation des émissions de GES, des matériaux utilisés et des déchets électroniques. </w:t>
      </w:r>
    </w:p>
    <w:p w14:paraId="58D24DE1" w14:textId="58C90809" w:rsidR="00382E8D" w:rsidRPr="008C5DA4" w:rsidRDefault="00C241C2" w:rsidP="4248EAFC">
      <w:pPr>
        <w:jc w:val="both"/>
        <w:rPr>
          <w:rFonts w:ascii="Times New Roman" w:hAnsi="Times New Roman"/>
          <w:noProof/>
        </w:rPr>
      </w:pPr>
      <w:r>
        <w:rPr>
          <w:rFonts w:ascii="Times New Roman" w:hAnsi="Times New Roman"/>
          <w:noProof/>
        </w:rPr>
        <w:t xml:space="preserve">Pour les quatre catégories, les exigences relatives au chargeur universel permettraient aux consommateurs de réaliser des économies monétaires. Ces coûts sont supérieurs aux coûts monétaires supportés par les fabricants, notamment pour les casques de réalité augmentée/virtuelle et les objets personnels connectés. </w:t>
      </w:r>
    </w:p>
    <w:p w14:paraId="2FADD5A1" w14:textId="23F35ACA" w:rsidR="00916938" w:rsidRDefault="004E18E2" w:rsidP="4248EAFC">
      <w:pPr>
        <w:jc w:val="both"/>
        <w:rPr>
          <w:rFonts w:ascii="Times New Roman" w:hAnsi="Times New Roman"/>
          <w:noProof/>
        </w:rPr>
      </w:pPr>
      <w:r>
        <w:rPr>
          <w:rFonts w:ascii="Times New Roman" w:hAnsi="Times New Roman"/>
          <w:noProof/>
        </w:rPr>
        <w:t xml:space="preserve">Les incidences de l’application des exigences relatives au chargeur universel aux catégories recensées (tableau 2) sont limitées et représentent moins de 1,5 % des émissions globales de GES, de l’utilisation des matériaux, de la production de déchets électroniques, des dépenses des consommateurs et des coûts pour les fabricants (sans nouvelle intervention réglementaire) de smartphones, de tablettes, de dispositifs portés à l’oreille, de caméras numériques, de chargeurs autonomes et des quatre catégories recensées. </w:t>
      </w:r>
    </w:p>
    <w:p w14:paraId="176D74C4" w14:textId="43C54F25" w:rsidR="000323E0" w:rsidRPr="008C5DA4" w:rsidRDefault="00A9079F" w:rsidP="000323E0">
      <w:pPr>
        <w:jc w:val="both"/>
        <w:rPr>
          <w:rFonts w:ascii="Times New Roman" w:hAnsi="Times New Roman"/>
          <w:noProof/>
        </w:rPr>
      </w:pPr>
      <w:r>
        <w:rPr>
          <w:rFonts w:ascii="Times New Roman" w:hAnsi="Times New Roman"/>
          <w:noProof/>
        </w:rPr>
        <w:t>Au-delà des incidences attendues, les considérations suivantes pourraient justifier d’imposer l’application des exigences relatives au chargeur universel aux catégories susmentionnées.</w:t>
      </w:r>
    </w:p>
    <w:p w14:paraId="2F86D3F1" w14:textId="2B8D40C7" w:rsidR="001B7A81" w:rsidRDefault="000323E0" w:rsidP="000323E0">
      <w:pPr>
        <w:pStyle w:val="ListParagraph"/>
        <w:numPr>
          <w:ilvl w:val="0"/>
          <w:numId w:val="40"/>
        </w:numPr>
        <w:jc w:val="both"/>
        <w:rPr>
          <w:rFonts w:ascii="Times New Roman" w:hAnsi="Times New Roman"/>
          <w:noProof/>
        </w:rPr>
      </w:pPr>
      <w:r>
        <w:rPr>
          <w:rFonts w:ascii="Times New Roman" w:hAnsi="Times New Roman"/>
          <w:noProof/>
        </w:rPr>
        <w:t xml:space="preserve">En l’absence d’action législative, l’adoption serait laissée à la bonne volonté des fabricants, ce qui pourrait entraîner une adoption plus lente, voire une fragmentation accrue du marché, étant donné que rien n’empêcherait les fabricants de s’appuyer uniquement sur leurs propres solutions. </w:t>
      </w:r>
    </w:p>
    <w:p w14:paraId="5D252E49" w14:textId="56B93BB5" w:rsidR="000323E0" w:rsidRPr="008C5DA4" w:rsidRDefault="004E107A" w:rsidP="000323E0">
      <w:pPr>
        <w:pStyle w:val="ListParagraph"/>
        <w:numPr>
          <w:ilvl w:val="0"/>
          <w:numId w:val="40"/>
        </w:numPr>
        <w:jc w:val="both"/>
        <w:rPr>
          <w:rFonts w:ascii="Times New Roman" w:hAnsi="Times New Roman"/>
          <w:noProof/>
        </w:rPr>
      </w:pPr>
      <w:r>
        <w:rPr>
          <w:rFonts w:ascii="Times New Roman" w:hAnsi="Times New Roman"/>
          <w:noProof/>
        </w:rPr>
        <w:t>L’application des exigences relatives au chargeur universel compléterait le règlement établissant de nouvelles exigences en matière d’écoconception applicables aux SAE afin de garantir que seuls les connecteurs USB Type-C seraient utilisés sur les appareils, encourageant ainsi une adoption complète de la solution de chargeur universel.</w:t>
      </w:r>
    </w:p>
    <w:p w14:paraId="766D915D" w14:textId="1B34807F" w:rsidR="000323E0" w:rsidRPr="008C5DA4" w:rsidRDefault="00D343E3" w:rsidP="000323E0">
      <w:pPr>
        <w:pStyle w:val="ListParagraph"/>
        <w:numPr>
          <w:ilvl w:val="0"/>
          <w:numId w:val="40"/>
        </w:numPr>
        <w:jc w:val="both"/>
        <w:rPr>
          <w:rFonts w:ascii="Times New Roman" w:hAnsi="Times New Roman"/>
          <w:noProof/>
        </w:rPr>
      </w:pPr>
      <w:r>
        <w:rPr>
          <w:rFonts w:ascii="Times New Roman" w:hAnsi="Times New Roman"/>
          <w:noProof/>
        </w:rPr>
        <w:t xml:space="preserve">Bien que certains produits intègrent déjà le connecteur femelle USB Type-C ou le protocole de charge rapide USB PD, ils n’appliquent pas nécessairement strictement les spécifications USB (étant donné que celles-ci ne sont pas obligatoires), de sorte qu’ils peuvent ne pas être interopérables avec les chargeurs universels. </w:t>
      </w:r>
    </w:p>
    <w:p w14:paraId="066C62BF" w14:textId="14F544F6" w:rsidR="000323E0" w:rsidRPr="008C5DA4" w:rsidRDefault="00D343E3" w:rsidP="00035F20">
      <w:pPr>
        <w:pStyle w:val="ListParagraph"/>
        <w:numPr>
          <w:ilvl w:val="0"/>
          <w:numId w:val="40"/>
        </w:numPr>
        <w:jc w:val="both"/>
        <w:rPr>
          <w:rFonts w:ascii="Times New Roman" w:hAnsi="Times New Roman"/>
          <w:noProof/>
        </w:rPr>
      </w:pPr>
      <w:r>
        <w:rPr>
          <w:rFonts w:ascii="Times New Roman" w:hAnsi="Times New Roman"/>
          <w:noProof/>
        </w:rPr>
        <w:t>Si la dissociation du chargeur est déjà une réalité dans certaines catégories, les consommateurs ne reçoivent pas d’informations simples et harmonisées sur les exigences de charge de l’appareil, qui est l’une des exigences relatives au chargeur universel (voir section 1).</w:t>
      </w:r>
    </w:p>
    <w:p w14:paraId="1D434C2D" w14:textId="4D754F07" w:rsidR="00695A21" w:rsidRPr="008C5DA4" w:rsidRDefault="00695A21" w:rsidP="00AE47E8">
      <w:pPr>
        <w:pStyle w:val="Heading1"/>
        <w:jc w:val="both"/>
        <w:rPr>
          <w:rFonts w:ascii="Times New Roman" w:hAnsi="Times New Roman"/>
          <w:noProof/>
        </w:rPr>
      </w:pPr>
      <w:r>
        <w:rPr>
          <w:rFonts w:ascii="Times New Roman" w:hAnsi="Times New Roman"/>
          <w:noProof/>
        </w:rPr>
        <w:t>Conclusion</w:t>
      </w:r>
    </w:p>
    <w:p w14:paraId="5DA68B94" w14:textId="4A99F4EB" w:rsidR="007D5B2B" w:rsidRDefault="5921E658" w:rsidP="29912F81">
      <w:pPr>
        <w:jc w:val="both"/>
        <w:rPr>
          <w:rFonts w:ascii="Times New Roman" w:eastAsia="Times New Roman" w:hAnsi="Times New Roman" w:cs="Times New Roman"/>
          <w:noProof/>
        </w:rPr>
      </w:pPr>
      <w:r>
        <w:rPr>
          <w:rFonts w:ascii="Times New Roman" w:hAnsi="Times New Roman"/>
          <w:noProof/>
        </w:rPr>
        <w:t>Le présent rapport a évalué plusieurs catégories de produits qui ne sont actuellement pas couvertes par les exigences relatives au chargeur universel, conformément à l’article 3, paragraphe 4, de la directive relative aux équipements radioélectriques modifiée. Sur la base des critères d’inclusion présentés à la section 2, il recense plusieurs catégories de produits d’équipements radioélectriques pouvant être rechargés au moyen d’une recharge filaire dont l’inclusion dans la partie I de l’annexe I </w:t>
      </w:r>
      <w:r>
        <w:rPr>
          <w:rFonts w:ascii="Times New Roman" w:hAnsi="Times New Roman"/>
          <w:i/>
          <w:noProof/>
        </w:rPr>
        <w:t>bis</w:t>
      </w:r>
      <w:r>
        <w:rPr>
          <w:rFonts w:ascii="Times New Roman" w:hAnsi="Times New Roman"/>
          <w:noProof/>
        </w:rPr>
        <w:t xml:space="preserve"> de la directive relative aux équipements radioélectriques pourrait globalement améliorer le confort des consommateurs, permettre de réaliser des économies et avoir des avantages pour l’environnement. </w:t>
      </w:r>
    </w:p>
    <w:p w14:paraId="673029F9" w14:textId="01E0F312" w:rsidR="007A1E27" w:rsidRPr="008C5DA4" w:rsidRDefault="004D5848" w:rsidP="29912F81">
      <w:pPr>
        <w:jc w:val="both"/>
        <w:rPr>
          <w:rFonts w:ascii="Times New Roman" w:hAnsi="Times New Roman"/>
          <w:noProof/>
        </w:rPr>
      </w:pPr>
      <w:r>
        <w:rPr>
          <w:rFonts w:ascii="Times New Roman" w:hAnsi="Times New Roman"/>
          <w:noProof/>
        </w:rPr>
        <w:t xml:space="preserve">Pour toutes les catégories de produits, les économies réalisées par les consommateurs l’emportent sur les coûts de fabrication et, pour toutes les catégories, à l’exception des objets personnels connectés, l’incidence sur l’environnement est positive. Les catégories sont les suivantes: </w:t>
      </w:r>
    </w:p>
    <w:tbl>
      <w:tblPr>
        <w:tblStyle w:val="TableGrid"/>
        <w:tblpPr w:leftFromText="180" w:rightFromText="180" w:vertAnchor="text" w:horzAnchor="margin" w:tblpY="230"/>
        <w:tblW w:w="0" w:type="auto"/>
        <w:tblLook w:val="04A0" w:firstRow="1" w:lastRow="0" w:firstColumn="1" w:lastColumn="0" w:noHBand="0" w:noVBand="1"/>
      </w:tblPr>
      <w:tblGrid>
        <w:gridCol w:w="4675"/>
        <w:gridCol w:w="4675"/>
      </w:tblGrid>
      <w:tr w:rsidR="007A1E27" w:rsidRPr="008C5DA4" w14:paraId="39465D52" w14:textId="77777777" w:rsidTr="007A1E27">
        <w:tc>
          <w:tcPr>
            <w:tcW w:w="4675" w:type="dxa"/>
          </w:tcPr>
          <w:p w14:paraId="6196B183" w14:textId="77777777" w:rsidR="007A1E27" w:rsidRPr="008C5DA4" w:rsidRDefault="007A1E27" w:rsidP="007A1E27">
            <w:pPr>
              <w:jc w:val="both"/>
              <w:rPr>
                <w:rFonts w:ascii="Times New Roman" w:hAnsi="Times New Roman"/>
                <w:noProof/>
              </w:rPr>
            </w:pPr>
            <w:r>
              <w:rPr>
                <w:rFonts w:ascii="Times New Roman" w:hAnsi="Times New Roman"/>
                <w:noProof/>
              </w:rPr>
              <w:t>Électronique grand public</w:t>
            </w:r>
          </w:p>
        </w:tc>
        <w:tc>
          <w:tcPr>
            <w:tcW w:w="4675" w:type="dxa"/>
          </w:tcPr>
          <w:p w14:paraId="6D24D683" w14:textId="77777777" w:rsidR="007A1E27" w:rsidRPr="008C5DA4" w:rsidRDefault="007A1E27" w:rsidP="007A1E27">
            <w:pPr>
              <w:jc w:val="both"/>
              <w:rPr>
                <w:rFonts w:ascii="Times New Roman" w:hAnsi="Times New Roman"/>
                <w:noProof/>
              </w:rPr>
            </w:pPr>
            <w:r>
              <w:rPr>
                <w:rFonts w:ascii="Times New Roman" w:hAnsi="Times New Roman"/>
                <w:noProof/>
              </w:rPr>
              <w:t>Objets personnels connectés</w:t>
            </w:r>
          </w:p>
        </w:tc>
      </w:tr>
      <w:tr w:rsidR="007A1E27" w:rsidRPr="008C5DA4" w14:paraId="576B2FA7" w14:textId="77777777" w:rsidTr="007A1E27">
        <w:tc>
          <w:tcPr>
            <w:tcW w:w="4675" w:type="dxa"/>
          </w:tcPr>
          <w:p w14:paraId="5B76E4D6" w14:textId="77777777" w:rsidR="007A1E27" w:rsidRPr="008C5DA4" w:rsidRDefault="007A1E27" w:rsidP="00FB03C1">
            <w:pPr>
              <w:pStyle w:val="ListParagraph"/>
              <w:numPr>
                <w:ilvl w:val="0"/>
                <w:numId w:val="35"/>
              </w:numPr>
              <w:rPr>
                <w:rFonts w:ascii="Times New Roman" w:hAnsi="Times New Roman"/>
                <w:noProof/>
              </w:rPr>
            </w:pPr>
            <w:r>
              <w:rPr>
                <w:rFonts w:ascii="Times New Roman" w:hAnsi="Times New Roman"/>
                <w:noProof/>
              </w:rPr>
              <w:t>casques de réalité augmentée/virtuelle</w:t>
            </w:r>
          </w:p>
        </w:tc>
        <w:tc>
          <w:tcPr>
            <w:tcW w:w="4675" w:type="dxa"/>
          </w:tcPr>
          <w:p w14:paraId="7B35BB9B" w14:textId="2DD9A4ED"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montres intelligentes</w:t>
            </w:r>
          </w:p>
        </w:tc>
      </w:tr>
      <w:tr w:rsidR="007A1E27" w:rsidRPr="008C5DA4" w14:paraId="1B647DAE" w14:textId="77777777" w:rsidTr="007A1E27">
        <w:tc>
          <w:tcPr>
            <w:tcW w:w="4675" w:type="dxa"/>
          </w:tcPr>
          <w:p w14:paraId="46100DBB" w14:textId="77777777" w:rsidR="007A1E27" w:rsidRPr="008C5DA4" w:rsidRDefault="007A1E27" w:rsidP="00FB03C1">
            <w:pPr>
              <w:pStyle w:val="ListParagraph"/>
              <w:numPr>
                <w:ilvl w:val="0"/>
                <w:numId w:val="35"/>
              </w:numPr>
              <w:rPr>
                <w:rFonts w:ascii="Times New Roman" w:hAnsi="Times New Roman"/>
                <w:noProof/>
              </w:rPr>
            </w:pPr>
            <w:r>
              <w:rPr>
                <w:rFonts w:ascii="Times New Roman" w:hAnsi="Times New Roman"/>
                <w:noProof/>
              </w:rPr>
              <w:t>drones destinés à des fins personnelles</w:t>
            </w:r>
          </w:p>
        </w:tc>
        <w:tc>
          <w:tcPr>
            <w:tcW w:w="4675" w:type="dxa"/>
          </w:tcPr>
          <w:p w14:paraId="70EBA6A2" w14:textId="77777777"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dispositifs de suivi de la condition physique</w:t>
            </w:r>
          </w:p>
        </w:tc>
      </w:tr>
      <w:tr w:rsidR="007A1E27" w:rsidRPr="008C5DA4" w14:paraId="5F65BFA6" w14:textId="77777777" w:rsidTr="007A1E27">
        <w:tc>
          <w:tcPr>
            <w:tcW w:w="4675" w:type="dxa"/>
          </w:tcPr>
          <w:p w14:paraId="7936342E" w14:textId="77777777" w:rsidR="007A1E27" w:rsidRPr="008C5DA4" w:rsidRDefault="007A1E27" w:rsidP="00FB03C1">
            <w:pPr>
              <w:pStyle w:val="ListParagraph"/>
              <w:numPr>
                <w:ilvl w:val="0"/>
                <w:numId w:val="35"/>
              </w:numPr>
              <w:rPr>
                <w:rFonts w:ascii="Times New Roman" w:hAnsi="Times New Roman"/>
                <w:noProof/>
              </w:rPr>
            </w:pPr>
            <w:r>
              <w:rPr>
                <w:rFonts w:ascii="Times New Roman" w:hAnsi="Times New Roman"/>
                <w:noProof/>
              </w:rPr>
              <w:t>manettes de jeux vidéo, à l’exclusion des accessoires de consoles portatives</w:t>
            </w:r>
          </w:p>
        </w:tc>
        <w:tc>
          <w:tcPr>
            <w:tcW w:w="4675" w:type="dxa"/>
          </w:tcPr>
          <w:p w14:paraId="2F7CBCDA" w14:textId="77777777"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lunettes intelligentes</w:t>
            </w:r>
          </w:p>
        </w:tc>
      </w:tr>
      <w:tr w:rsidR="007A1E27" w:rsidRPr="008C5DA4" w14:paraId="77BBA9BB" w14:textId="77777777" w:rsidTr="007A1E27">
        <w:tc>
          <w:tcPr>
            <w:tcW w:w="4675" w:type="dxa"/>
          </w:tcPr>
          <w:p w14:paraId="5D7635F2" w14:textId="77777777" w:rsidR="007A1E27" w:rsidRPr="008C5DA4" w:rsidRDefault="007A1E27" w:rsidP="007A1E27">
            <w:pPr>
              <w:jc w:val="both"/>
              <w:rPr>
                <w:rFonts w:ascii="Times New Roman" w:hAnsi="Times New Roman"/>
                <w:noProof/>
                <w:lang w:val="en-IE"/>
              </w:rPr>
            </w:pPr>
          </w:p>
        </w:tc>
        <w:tc>
          <w:tcPr>
            <w:tcW w:w="4675" w:type="dxa"/>
          </w:tcPr>
          <w:p w14:paraId="1B005B4F" w14:textId="77777777" w:rsidR="007A1E27" w:rsidRPr="008C5DA4" w:rsidRDefault="007A1E27" w:rsidP="007A1E27">
            <w:pPr>
              <w:pStyle w:val="ListParagraph"/>
              <w:numPr>
                <w:ilvl w:val="0"/>
                <w:numId w:val="36"/>
              </w:numPr>
              <w:jc w:val="both"/>
              <w:rPr>
                <w:rFonts w:ascii="Times New Roman" w:hAnsi="Times New Roman"/>
                <w:noProof/>
              </w:rPr>
            </w:pPr>
            <w:r>
              <w:rPr>
                <w:rFonts w:ascii="Times New Roman" w:hAnsi="Times New Roman"/>
                <w:noProof/>
              </w:rPr>
              <w:t>bracelets de fitness</w:t>
            </w:r>
          </w:p>
        </w:tc>
      </w:tr>
    </w:tbl>
    <w:p w14:paraId="5EAAFCB5" w14:textId="77777777" w:rsidR="007A1E27" w:rsidRPr="008C5DA4" w:rsidRDefault="007A1E27" w:rsidP="00961240">
      <w:pPr>
        <w:jc w:val="both"/>
        <w:rPr>
          <w:rFonts w:ascii="Times New Roman" w:hAnsi="Times New Roman"/>
          <w:noProof/>
          <w:lang w:val="en-IE"/>
        </w:rPr>
      </w:pPr>
    </w:p>
    <w:p w14:paraId="031B0D07" w14:textId="5161968D" w:rsidR="00AD26C4" w:rsidRDefault="00265D8B" w:rsidP="00C36C1D">
      <w:pPr>
        <w:jc w:val="both"/>
        <w:rPr>
          <w:rFonts w:ascii="Times New Roman" w:hAnsi="Times New Roman"/>
          <w:noProof/>
        </w:rPr>
      </w:pPr>
      <w:bookmarkStart w:id="2" w:name="_Hlk219367682"/>
      <w:r>
        <w:rPr>
          <w:rFonts w:ascii="Times New Roman" w:hAnsi="Times New Roman"/>
          <w:noProof/>
        </w:rPr>
        <w:t>Les incidences de l’application des exigences relatives au chargeur universel à ces catégories sont limitées par rapport aux émissions globales de GES, à l’utilisation des matériaux, à la production de déchets électroniques, aux dépenses de consommation et aux coûts pour les fabricants du marché(</w:t>
      </w:r>
      <w:r>
        <w:rPr>
          <w:rStyle w:val="FootnoteReference"/>
          <w:rFonts w:ascii="Times New Roman" w:hAnsi="Times New Roman"/>
          <w:noProof/>
          <w:lang w:val="en-IE"/>
        </w:rPr>
        <w:footnoteReference w:id="24"/>
      </w:r>
      <w:r>
        <w:rPr>
          <w:rFonts w:ascii="Times New Roman" w:hAnsi="Times New Roman"/>
          <w:noProof/>
        </w:rPr>
        <w:t xml:space="preserve">) sans nouvelle intervention réglementaire. </w:t>
      </w:r>
    </w:p>
    <w:p w14:paraId="209B06E0" w14:textId="5E2F674E" w:rsidR="00CA2AA4" w:rsidRPr="008C5DA4" w:rsidRDefault="00335F41" w:rsidP="00C36C1D">
      <w:pPr>
        <w:jc w:val="both"/>
        <w:rPr>
          <w:rFonts w:ascii="Times New Roman" w:hAnsi="Times New Roman"/>
          <w:noProof/>
        </w:rPr>
      </w:pPr>
      <w:r>
        <w:rPr>
          <w:rFonts w:ascii="Times New Roman" w:hAnsi="Times New Roman"/>
          <w:noProof/>
        </w:rPr>
        <w:t>Ces catégories représentent une taille de marché plus petite (63,1 millions d’unités) que certaines des catégories déjà couvertes par les exigences relatives au chargeur universel (183,5 millions d’unités)(</w:t>
      </w:r>
      <w:r>
        <w:rPr>
          <w:rStyle w:val="FootnoteReference"/>
          <w:rFonts w:ascii="Times New Roman" w:hAnsi="Times New Roman"/>
          <w:noProof/>
          <w:lang w:val="en-IE"/>
        </w:rPr>
        <w:footnoteReference w:id="25"/>
      </w:r>
      <w:r>
        <w:rPr>
          <w:rFonts w:ascii="Times New Roman" w:hAnsi="Times New Roman"/>
          <w:noProof/>
        </w:rPr>
        <w:t xml:space="preserve">). Toutefois, étant donné que les ventes ont augmenté, les économies et le confort pour les consommateurs résultant de l’application des exigences relatives au chargeur universel à ces catégories pourraient être encore amplifiés. En outre, le rapport n’a pas mis en évidence d’obstacles technologiques ou de problèmes de sécurité liés à l’extension des exigences relatives au chargeur universel aux catégories susmentionnées. </w:t>
      </w:r>
    </w:p>
    <w:p w14:paraId="1BA0B6F2" w14:textId="580047AF" w:rsidR="000E4285" w:rsidRPr="008C5DA4" w:rsidRDefault="00DB6B15" w:rsidP="000E4285">
      <w:pPr>
        <w:jc w:val="both"/>
        <w:rPr>
          <w:rFonts w:ascii="Times New Roman" w:hAnsi="Times New Roman"/>
          <w:noProof/>
        </w:rPr>
      </w:pPr>
      <w:r>
        <w:rPr>
          <w:rFonts w:ascii="Times New Roman" w:hAnsi="Times New Roman"/>
          <w:noProof/>
        </w:rPr>
        <w:t xml:space="preserve">L’extension du champ d’application des exigences relatives au chargeur universel à ces catégories pourrait éliminer la fragmentation du marché, pour des coûts d’adaptation limités pour les constructeurs. Elle compléterait également la mise en œuvre du règlement établissant des exigences en matière d’écoconception applicables aux SAE, qui étendra l’utilisation du chargeur universel en garantissant une adoption plus large des connecteurs USB Type-C. </w:t>
      </w:r>
    </w:p>
    <w:p w14:paraId="1A0659FE" w14:textId="5B9AF1F4" w:rsidR="00467CF5" w:rsidRPr="008C5DA4" w:rsidRDefault="2D32EA4B" w:rsidP="00FD160D">
      <w:pPr>
        <w:jc w:val="both"/>
        <w:rPr>
          <w:rFonts w:ascii="Times New Roman" w:hAnsi="Times New Roman"/>
          <w:noProof/>
        </w:rPr>
      </w:pPr>
      <w:bookmarkStart w:id="3" w:name="_Hlk219367712"/>
      <w:bookmarkEnd w:id="2"/>
      <w:r>
        <w:rPr>
          <w:rFonts w:ascii="Times New Roman" w:hAnsi="Times New Roman"/>
          <w:noProof/>
        </w:rPr>
        <w:t>Dans un contexte général, il convient de noter que les consommateurs de l’Union sont généralement favorables à une éventuelle extension du champ d’application des exigences relatives au chargeur universel. Selon l’étude d’appui, 84 % des Européens ont exprimé un avis positif sur la directive sur le chargeur universel et la plupart des répondants (entre 55 % et 65 %) se sont déclarés favorables à l’extension de son champ d’application pour des raisons de sécurité et de coût.</w:t>
      </w:r>
      <w:bookmarkEnd w:id="3"/>
      <w:r>
        <w:rPr>
          <w:noProof/>
        </w:rPr>
        <w:br w:type="page"/>
      </w:r>
    </w:p>
    <w:p w14:paraId="623F72AF" w14:textId="1DD65A8E" w:rsidR="00EC6582" w:rsidRPr="008C5DA4" w:rsidRDefault="00EC6582" w:rsidP="00503E8E">
      <w:pPr>
        <w:pStyle w:val="Heading1"/>
        <w:rPr>
          <w:noProof/>
        </w:rPr>
      </w:pPr>
      <w:r>
        <w:rPr>
          <w:noProof/>
        </w:rPr>
        <w:t>Annexe</w:t>
      </w:r>
    </w:p>
    <w:p w14:paraId="5A9B3362" w14:textId="2B48E3E8" w:rsidR="00F0213A" w:rsidRPr="008C5DA4" w:rsidRDefault="00F0213A" w:rsidP="29912F81">
      <w:pPr>
        <w:rPr>
          <w:i/>
          <w:noProof/>
        </w:rPr>
      </w:pPr>
      <w:r>
        <w:rPr>
          <w:rFonts w:ascii="Times New Roman" w:hAnsi="Times New Roman"/>
          <w:i/>
          <w:noProof/>
        </w:rPr>
        <w:t xml:space="preserve">Figure 1 — Représentation graphique des catégories candidates à l’application des exigences relatives au chargeur universel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9"/>
        <w:gridCol w:w="7841"/>
      </w:tblGrid>
      <w:tr w:rsidR="009214ED" w:rsidRPr="008C5DA4" w14:paraId="3E4E0D8A" w14:textId="77777777" w:rsidTr="055FBC6D">
        <w:tc>
          <w:tcPr>
            <w:tcW w:w="9360" w:type="dxa"/>
            <w:gridSpan w:val="2"/>
          </w:tcPr>
          <w:p w14:paraId="25650147" w14:textId="3D466281" w:rsidR="000B569D" w:rsidRPr="008C5DA4" w:rsidRDefault="000B569D" w:rsidP="000B569D">
            <w:pPr>
              <w:rPr>
                <w:noProof/>
              </w:rPr>
            </w:pPr>
            <w:r>
              <w:rPr>
                <w:noProof/>
                <w:lang w:val="en-GB" w:eastAsia="en-GB"/>
              </w:rPr>
              <w:drawing>
                <wp:inline distT="0" distB="0" distL="0" distR="0" wp14:anchorId="44D201DB" wp14:editId="180A1E75">
                  <wp:extent cx="5708650" cy="6496050"/>
                  <wp:effectExtent l="0" t="0" r="0" b="19050"/>
                  <wp:docPr id="15941713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0BBF207D" w14:textId="18CE573A" w:rsidR="00660ED8" w:rsidRPr="008C5DA4" w:rsidRDefault="00660ED8" w:rsidP="00503E8E">
            <w:pPr>
              <w:jc w:val="center"/>
              <w:rPr>
                <w:rFonts w:ascii="Times New Roman" w:hAnsi="Times New Roman"/>
                <w:noProof/>
                <w:lang w:val="en-IE"/>
              </w:rPr>
            </w:pPr>
          </w:p>
        </w:tc>
      </w:tr>
      <w:tr w:rsidR="00822C0A" w:rsidRPr="004B6D42" w14:paraId="30DDEA39" w14:textId="77777777" w:rsidTr="055FBC6D">
        <w:trPr>
          <w:trHeight w:val="270"/>
        </w:trPr>
        <w:tc>
          <w:tcPr>
            <w:tcW w:w="1519" w:type="dxa"/>
            <w:shd w:val="clear" w:color="auto" w:fill="CAEDFB" w:themeFill="accent4" w:themeFillTint="33"/>
          </w:tcPr>
          <w:p w14:paraId="302F5F1E" w14:textId="77777777" w:rsidR="00822C0A" w:rsidRPr="008C5DA4" w:rsidRDefault="00822C0A">
            <w:pPr>
              <w:rPr>
                <w:rFonts w:ascii="Times New Roman" w:hAnsi="Times New Roman"/>
                <w:noProof/>
                <w:lang w:val="en-IE"/>
              </w:rPr>
            </w:pPr>
          </w:p>
        </w:tc>
        <w:tc>
          <w:tcPr>
            <w:tcW w:w="7841" w:type="dxa"/>
          </w:tcPr>
          <w:p w14:paraId="2460CE7A" w14:textId="77777777" w:rsidR="00822C0A" w:rsidRPr="008C5DA4" w:rsidRDefault="00822C0A">
            <w:pPr>
              <w:rPr>
                <w:rFonts w:ascii="Times New Roman" w:hAnsi="Times New Roman"/>
                <w:noProof/>
              </w:rPr>
            </w:pPr>
            <w:r>
              <w:rPr>
                <w:rFonts w:ascii="Times New Roman" w:hAnsi="Times New Roman"/>
                <w:noProof/>
              </w:rPr>
              <w:t>Catégories déjà couvertes par les exigences relatives au chargeur universel.</w:t>
            </w:r>
          </w:p>
        </w:tc>
      </w:tr>
      <w:tr w:rsidR="00ED304C" w:rsidRPr="004B6D42" w14:paraId="00E7AA33" w14:textId="77777777" w:rsidTr="055FBC6D">
        <w:tc>
          <w:tcPr>
            <w:tcW w:w="1519" w:type="dxa"/>
            <w:shd w:val="clear" w:color="auto" w:fill="FFFFFF" w:themeFill="background1"/>
          </w:tcPr>
          <w:p w14:paraId="6D55373C" w14:textId="77777777" w:rsidR="00ED304C" w:rsidRPr="00D429FF" w:rsidRDefault="00ED304C" w:rsidP="000B569D">
            <w:pPr>
              <w:rPr>
                <w:rFonts w:ascii="Times New Roman" w:hAnsi="Times New Roman"/>
                <w:noProof/>
                <w:lang w:val="fr-BE"/>
              </w:rPr>
            </w:pPr>
          </w:p>
        </w:tc>
        <w:tc>
          <w:tcPr>
            <w:tcW w:w="7841" w:type="dxa"/>
          </w:tcPr>
          <w:p w14:paraId="4D1A3171" w14:textId="7E2A3BE3" w:rsidR="00ED304C" w:rsidRPr="008C5DA4" w:rsidRDefault="008F64C8" w:rsidP="000B569D">
            <w:pPr>
              <w:rPr>
                <w:rFonts w:ascii="Times New Roman" w:hAnsi="Times New Roman"/>
                <w:noProof/>
              </w:rPr>
            </w:pPr>
            <w:r>
              <w:rPr>
                <w:rFonts w:ascii="Times New Roman" w:hAnsi="Times New Roman"/>
                <w:noProof/>
              </w:rPr>
              <w:t>Catégories ne répondant pas aux critères 1 et 2.</w:t>
            </w:r>
          </w:p>
        </w:tc>
      </w:tr>
      <w:tr w:rsidR="00822C0A" w:rsidRPr="004B6D42" w14:paraId="4C884B7A" w14:textId="77777777" w:rsidTr="055FBC6D">
        <w:trPr>
          <w:trHeight w:val="270"/>
        </w:trPr>
        <w:tc>
          <w:tcPr>
            <w:tcW w:w="1519" w:type="dxa"/>
            <w:shd w:val="clear" w:color="auto" w:fill="60CAF3" w:themeFill="accent4" w:themeFillTint="99"/>
          </w:tcPr>
          <w:p w14:paraId="4FCE63B5" w14:textId="77777777" w:rsidR="00822C0A" w:rsidRPr="00D429FF" w:rsidRDefault="00822C0A">
            <w:pPr>
              <w:rPr>
                <w:rFonts w:ascii="Times New Roman" w:hAnsi="Times New Roman"/>
                <w:noProof/>
                <w:lang w:val="fr-BE"/>
              </w:rPr>
            </w:pPr>
          </w:p>
        </w:tc>
        <w:tc>
          <w:tcPr>
            <w:tcW w:w="7841" w:type="dxa"/>
          </w:tcPr>
          <w:p w14:paraId="3BD3EF18" w14:textId="3FEA8F68" w:rsidR="00822C0A" w:rsidRPr="008C5DA4" w:rsidRDefault="00822C0A">
            <w:pPr>
              <w:rPr>
                <w:rFonts w:ascii="Times New Roman" w:hAnsi="Times New Roman"/>
                <w:noProof/>
              </w:rPr>
            </w:pPr>
            <w:r>
              <w:rPr>
                <w:rFonts w:ascii="Times New Roman" w:hAnsi="Times New Roman"/>
                <w:noProof/>
              </w:rPr>
              <w:t>Catégories répondant aux critères 1 et 2, mais non adaptées à l’application des exigences relatives au chargeur universel.</w:t>
            </w:r>
          </w:p>
        </w:tc>
      </w:tr>
      <w:tr w:rsidR="00EB2359" w:rsidRPr="004B6D42" w14:paraId="1D9071DE" w14:textId="77777777" w:rsidTr="055FBC6D">
        <w:trPr>
          <w:trHeight w:val="270"/>
        </w:trPr>
        <w:tc>
          <w:tcPr>
            <w:tcW w:w="1519" w:type="dxa"/>
            <w:shd w:val="clear" w:color="auto" w:fill="0B769F" w:themeFill="accent4" w:themeFillShade="BF"/>
          </w:tcPr>
          <w:p w14:paraId="58EA66A5" w14:textId="77777777" w:rsidR="00EB2359" w:rsidRPr="00D429FF" w:rsidRDefault="00EB2359" w:rsidP="000B569D">
            <w:pPr>
              <w:rPr>
                <w:rFonts w:ascii="Times New Roman" w:hAnsi="Times New Roman"/>
                <w:noProof/>
                <w:lang w:val="fr-BE"/>
              </w:rPr>
            </w:pPr>
          </w:p>
        </w:tc>
        <w:tc>
          <w:tcPr>
            <w:tcW w:w="7841" w:type="dxa"/>
          </w:tcPr>
          <w:p w14:paraId="0B92E60F" w14:textId="036394A8" w:rsidR="00EB2359" w:rsidRPr="008C5DA4" w:rsidRDefault="3FF2312A" w:rsidP="000B569D">
            <w:pPr>
              <w:rPr>
                <w:rFonts w:ascii="Times New Roman" w:hAnsi="Times New Roman"/>
                <w:noProof/>
              </w:rPr>
            </w:pPr>
            <w:r>
              <w:rPr>
                <w:rFonts w:ascii="Times New Roman" w:hAnsi="Times New Roman"/>
                <w:noProof/>
              </w:rPr>
              <w:t>Catégories répondant aux critères énoncés dans le présent rapport.</w:t>
            </w:r>
          </w:p>
        </w:tc>
      </w:tr>
    </w:tbl>
    <w:p w14:paraId="398660D7" w14:textId="17CB650D" w:rsidR="0035617A" w:rsidRPr="00D429FF" w:rsidRDefault="0035617A" w:rsidP="00062A23">
      <w:pPr>
        <w:jc w:val="both"/>
        <w:rPr>
          <w:rFonts w:ascii="Times New Roman" w:hAnsi="Times New Roman"/>
          <w:noProof/>
          <w:lang w:val="fr-BE"/>
        </w:rPr>
      </w:pPr>
    </w:p>
    <w:sectPr w:rsidR="0035617A" w:rsidRPr="00D429FF" w:rsidSect="00804298">
      <w:headerReference w:type="default" r:id="rId31"/>
      <w:footerReference w:type="default" r:id="rId3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A7DA6" w14:textId="77777777" w:rsidR="00BE06B1" w:rsidRDefault="00BE06B1" w:rsidP="00804298">
      <w:pPr>
        <w:spacing w:after="0" w:line="240" w:lineRule="auto"/>
      </w:pPr>
      <w:r>
        <w:separator/>
      </w:r>
    </w:p>
  </w:endnote>
  <w:endnote w:type="continuationSeparator" w:id="0">
    <w:p w14:paraId="33C490AE" w14:textId="77777777" w:rsidR="00BE06B1" w:rsidRDefault="00BE06B1" w:rsidP="00804298">
      <w:pPr>
        <w:spacing w:after="0" w:line="240" w:lineRule="auto"/>
      </w:pPr>
      <w:r>
        <w:continuationSeparator/>
      </w:r>
    </w:p>
  </w:endnote>
  <w:endnote w:type="continuationNotice" w:id="1">
    <w:p w14:paraId="7392C70E" w14:textId="77777777" w:rsidR="00BE06B1" w:rsidRDefault="00BE06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60E7" w14:textId="63D4E129" w:rsidR="00F27AD3" w:rsidRPr="00F27AD3" w:rsidRDefault="00F27AD3" w:rsidP="00F27AD3">
    <w:pPr>
      <w:pStyle w:val="FooterCoverPage"/>
      <w:rPr>
        <w:rFonts w:ascii="Arial" w:hAnsi="Arial" w:cs="Arial"/>
        <w:b/>
        <w:sz w:val="48"/>
      </w:rPr>
    </w:pPr>
    <w:r w:rsidRPr="00F27AD3">
      <w:rPr>
        <w:rFonts w:ascii="Arial" w:hAnsi="Arial" w:cs="Arial"/>
        <w:b/>
        <w:sz w:val="48"/>
      </w:rPr>
      <w:t>FR</w:t>
    </w:r>
    <w:r w:rsidRPr="00F27AD3">
      <w:rPr>
        <w:rFonts w:ascii="Arial" w:hAnsi="Arial" w:cs="Arial"/>
        <w:b/>
        <w:sz w:val="48"/>
      </w:rPr>
      <w:tab/>
    </w:r>
    <w:r w:rsidRPr="00F27AD3">
      <w:rPr>
        <w:rFonts w:ascii="Arial" w:hAnsi="Arial" w:cs="Arial"/>
        <w:b/>
        <w:sz w:val="48"/>
      </w:rPr>
      <w:tab/>
    </w:r>
    <w:r w:rsidRPr="00F27AD3">
      <w:tab/>
    </w:r>
    <w:r w:rsidRPr="00F27A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D1276" w14:textId="752F14C8" w:rsidR="00F27AD3" w:rsidRPr="00F27AD3" w:rsidRDefault="00F27AD3" w:rsidP="00F27AD3">
    <w:pPr>
      <w:pStyle w:val="FooterCoverPage"/>
      <w:rPr>
        <w:rFonts w:ascii="Arial" w:hAnsi="Arial" w:cs="Arial"/>
        <w:b/>
        <w:sz w:val="48"/>
      </w:rPr>
    </w:pPr>
    <w:r w:rsidRPr="00F27AD3">
      <w:rPr>
        <w:rFonts w:ascii="Arial" w:hAnsi="Arial" w:cs="Arial"/>
        <w:b/>
        <w:sz w:val="48"/>
      </w:rPr>
      <w:t>FR</w:t>
    </w:r>
    <w:r w:rsidRPr="00F27AD3">
      <w:rPr>
        <w:rFonts w:ascii="Arial" w:hAnsi="Arial" w:cs="Arial"/>
        <w:b/>
        <w:sz w:val="48"/>
      </w:rPr>
      <w:tab/>
    </w:r>
    <w:r w:rsidRPr="00F27AD3">
      <w:rPr>
        <w:rFonts w:ascii="Arial" w:hAnsi="Arial" w:cs="Arial"/>
        <w:b/>
        <w:sz w:val="48"/>
      </w:rPr>
      <w:tab/>
    </w:r>
    <w:r w:rsidRPr="00F27AD3">
      <w:tab/>
    </w:r>
    <w:r w:rsidRPr="00F27A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EA38F" w14:textId="77777777" w:rsidR="00F27AD3" w:rsidRPr="00F27AD3" w:rsidRDefault="00F27AD3" w:rsidP="00F27A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CA813" w14:textId="77777777" w:rsidR="00D429FF" w:rsidRPr="005424E8" w:rsidRDefault="00D429FF" w:rsidP="005424E8">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41801160"/>
      <w:docPartObj>
        <w:docPartGallery w:val="Page Numbers (Bottom of Page)"/>
        <w:docPartUnique/>
      </w:docPartObj>
    </w:sdtPr>
    <w:sdtEndPr>
      <w:rPr>
        <w:noProof/>
      </w:rPr>
    </w:sdtEndPr>
    <w:sdtContent>
      <w:p w14:paraId="4ACCD412" w14:textId="58971400" w:rsidR="007B5127" w:rsidRPr="001660FF" w:rsidRDefault="007B5127">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F27AD3">
          <w:rPr>
            <w:rFonts w:ascii="Times New Roman" w:hAnsi="Times New Roman" w:cs="Times New Roman"/>
            <w:noProof/>
          </w:rPr>
          <w:t>1</w:t>
        </w:r>
        <w:r>
          <w:rPr>
            <w:rFonts w:ascii="Times New Roman" w:hAnsi="Times New Roman" w:cs="Times New Roman"/>
          </w:rPr>
          <w:fldChar w:fldCharType="end"/>
        </w:r>
      </w:p>
    </w:sdtContent>
  </w:sdt>
  <w:p w14:paraId="2EF09998" w14:textId="77777777" w:rsidR="007B5127" w:rsidRPr="005A2CCA" w:rsidRDefault="007B5127">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68E3" w14:textId="77777777" w:rsidR="00D429FF" w:rsidRDefault="00D429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54751749"/>
      <w:docPartObj>
        <w:docPartGallery w:val="Page Numbers (Bottom of Page)"/>
        <w:docPartUnique/>
      </w:docPartObj>
    </w:sdtPr>
    <w:sdtEndPr>
      <w:rPr>
        <w:noProof/>
      </w:rPr>
    </w:sdtEndPr>
    <w:sdtContent>
      <w:p w14:paraId="3FD4AA84" w14:textId="75AE46C7" w:rsidR="007B5127" w:rsidRPr="001660FF" w:rsidRDefault="007B5127">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F27AD3">
          <w:rPr>
            <w:rFonts w:ascii="Times New Roman" w:hAnsi="Times New Roman" w:cs="Times New Roman"/>
            <w:noProof/>
          </w:rPr>
          <w:t>7</w:t>
        </w:r>
        <w:r>
          <w:rPr>
            <w:rFonts w:ascii="Times New Roman" w:hAnsi="Times New Roman" w:cs="Times New Roman"/>
          </w:rPr>
          <w:fldChar w:fldCharType="end"/>
        </w:r>
      </w:p>
    </w:sdtContent>
  </w:sdt>
  <w:p w14:paraId="5C9E5960" w14:textId="77777777" w:rsidR="007B5127" w:rsidRPr="005A2CCA" w:rsidRDefault="007B5127">
    <w:pPr>
      <w:pStyle w:val="Footer"/>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7357820"/>
      <w:docPartObj>
        <w:docPartGallery w:val="Page Numbers (Bottom of Page)"/>
        <w:docPartUnique/>
      </w:docPartObj>
    </w:sdtPr>
    <w:sdtEndPr>
      <w:rPr>
        <w:noProof/>
      </w:rPr>
    </w:sdtEndPr>
    <w:sdtContent>
      <w:p w14:paraId="2BE364A6" w14:textId="77777777" w:rsidR="007B5127" w:rsidRPr="001660FF" w:rsidRDefault="007B5127">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4D98F664" w14:textId="77777777" w:rsidR="007B5127" w:rsidRPr="005A2CCA" w:rsidRDefault="007B512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830DA" w14:textId="77777777" w:rsidR="00BE06B1" w:rsidRDefault="00BE06B1" w:rsidP="00804298">
      <w:pPr>
        <w:spacing w:after="0" w:line="240" w:lineRule="auto"/>
      </w:pPr>
      <w:r>
        <w:separator/>
      </w:r>
    </w:p>
  </w:footnote>
  <w:footnote w:type="continuationSeparator" w:id="0">
    <w:p w14:paraId="75A49099" w14:textId="77777777" w:rsidR="00BE06B1" w:rsidRDefault="00BE06B1" w:rsidP="00804298">
      <w:pPr>
        <w:spacing w:after="0" w:line="240" w:lineRule="auto"/>
      </w:pPr>
      <w:r>
        <w:continuationSeparator/>
      </w:r>
    </w:p>
  </w:footnote>
  <w:footnote w:type="continuationNotice" w:id="1">
    <w:p w14:paraId="1572E1CE" w14:textId="77777777" w:rsidR="00BE06B1" w:rsidRDefault="00BE06B1">
      <w:pPr>
        <w:spacing w:after="0" w:line="240" w:lineRule="auto"/>
      </w:pPr>
    </w:p>
  </w:footnote>
  <w:footnote w:id="2">
    <w:p w14:paraId="1A8133B4" w14:textId="5C96B80F" w:rsidR="008B6539" w:rsidRPr="00F07284" w:rsidRDefault="002537A1" w:rsidP="00FB03C1">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Directive 2014/53/UE du Parlement européen et du Conseil du 16 avril 2014 relative à l’harmonisation des législations des États membres concernant </w:t>
      </w:r>
      <w:r>
        <w:rPr>
          <w:rFonts w:ascii="Times New Roman" w:hAnsi="Times New Roman"/>
          <w:color w:val="000000" w:themeColor="text1"/>
        </w:rPr>
        <w:t xml:space="preserve">la mise à disposition sur le marché d’équipements radioélectriques et abrogeant la directive 1999/5/CE (JO L 153 du 22.5.2014, p. 62, ELI: </w:t>
      </w:r>
      <w:hyperlink r:id="rId1" w:history="1">
        <w:r>
          <w:rPr>
            <w:rStyle w:val="Hyperlink"/>
            <w:rFonts w:ascii="Times New Roman" w:hAnsi="Times New Roman"/>
            <w:color w:val="000000" w:themeColor="text1"/>
          </w:rPr>
          <w:t>http://data.europa.eu/eli/dir/2014/53/oj</w:t>
        </w:r>
      </w:hyperlink>
      <w:r>
        <w:rPr>
          <w:rFonts w:ascii="Times New Roman" w:hAnsi="Times New Roman"/>
          <w:color w:val="000000" w:themeColor="text1"/>
        </w:rPr>
        <w:t>).</w:t>
      </w:r>
    </w:p>
  </w:footnote>
  <w:footnote w:id="3">
    <w:p w14:paraId="4CF122DB" w14:textId="1D200153" w:rsidR="00610DCC" w:rsidRPr="00F07284"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 xml:space="preserve">Directive (UE) 2022/2380 du Parlement européen et du Conseil du 23 novembre 2022 modifiant la directive 2014/53/UE relative à l’harmonisation des législations des États membres concernant la mise à disposition sur le marché d’équipements radioélectriques (JO L 315 du 7.12.2022, p. 30, ELI: </w:t>
      </w:r>
      <w:hyperlink r:id="rId2" w:history="1">
        <w:r>
          <w:rPr>
            <w:rStyle w:val="Hyperlink"/>
            <w:rFonts w:ascii="Times New Roman" w:hAnsi="Times New Roman"/>
            <w:color w:val="000000" w:themeColor="text1"/>
          </w:rPr>
          <w:t>http://data.europa.eu/eli/dir/2022/2380/oj</w:t>
        </w:r>
      </w:hyperlink>
      <w:r>
        <w:rPr>
          <w:rFonts w:ascii="Times New Roman" w:hAnsi="Times New Roman"/>
          <w:color w:val="000000" w:themeColor="text1"/>
        </w:rPr>
        <w:t>).</w:t>
      </w:r>
    </w:p>
  </w:footnote>
  <w:footnote w:id="4">
    <w:p w14:paraId="45868A64" w14:textId="6FDF99E0" w:rsidR="00876392"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Dans la mesure où ils peuvent être rechargés au moyen d’une recharge filaire.</w:t>
      </w:r>
    </w:p>
  </w:footnote>
  <w:footnote w:id="5">
    <w:p w14:paraId="419CAA48" w14:textId="701F2693" w:rsidR="00980F4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Dans la mesure où ils peuvent être rechargés au moyen d’une recharge filaire.</w:t>
      </w:r>
    </w:p>
  </w:footnote>
  <w:footnote w:id="6">
    <w:p w14:paraId="59DDDF92" w14:textId="7617CD82" w:rsidR="00D259F7" w:rsidRPr="001E1D6D" w:rsidRDefault="002537A1" w:rsidP="0009123D">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Règlement (UE) 2025/2052 de la Commission du 13 octobre 2025 établissant des exigences en matière d’écoconception applicables aux sources d’alimentation externes, aux chargeurs sans fil, aux chargeurs à induction, aux chargeurs de batteries pour batteries portables d’utilisation courante et aux câbles USB Type-C, conformément à la </w:t>
      </w:r>
      <w:r>
        <w:rPr>
          <w:rFonts w:ascii="Times New Roman" w:hAnsi="Times New Roman"/>
          <w:color w:val="000000" w:themeColor="text1"/>
        </w:rPr>
        <w:t>directive nº 2009/125/CE du Parlement européen et du Conseil, et abrogeant le règlement (UE) 2019/1782 de la Commission (</w:t>
      </w:r>
      <w:r>
        <w:rPr>
          <w:rFonts w:ascii="Times New Roman" w:hAnsi="Times New Roman"/>
          <w:i/>
          <w:color w:val="000000" w:themeColor="text1"/>
        </w:rPr>
        <w:t>JO L, 2025/2052, 24.11.2025, ELI: </w:t>
      </w:r>
      <w:hyperlink r:id="rId3" w:tgtFrame="_blank" w:tooltip="Permet d’accéder à ce document par l’intermédiaire de son URI ELI." w:history="1">
        <w:r>
          <w:rPr>
            <w:rStyle w:val="Hyperlink"/>
            <w:rFonts w:ascii="Times New Roman" w:hAnsi="Times New Roman"/>
            <w:i/>
            <w:color w:val="000000" w:themeColor="text1"/>
          </w:rPr>
          <w:t>http://data.europa.eu/eli/reg/2025/2052/oj</w:t>
        </w:r>
      </w:hyperlink>
      <w:r>
        <w:rPr>
          <w:rFonts w:ascii="Times New Roman" w:hAnsi="Times New Roman"/>
          <w:color w:val="000000" w:themeColor="text1"/>
        </w:rPr>
        <w:t>).</w:t>
      </w:r>
    </w:p>
  </w:footnote>
  <w:footnote w:id="7">
    <w:p w14:paraId="3CB3A882" w14:textId="4F0E9000" w:rsidR="00143624" w:rsidRPr="00F07284"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i/>
          <w:color w:val="000000" w:themeColor="text1"/>
        </w:rPr>
        <w:t>Study analysing the possible application of common charger requirements to radio equipment not covered by the Directive — Final report</w:t>
      </w:r>
      <w:r>
        <w:rPr>
          <w:rFonts w:ascii="Times New Roman" w:hAnsi="Times New Roman"/>
          <w:color w:val="000000" w:themeColor="text1"/>
        </w:rPr>
        <w:t xml:space="preserve"> (Étude analysant l’application possible des exigences relatives au chargeur universel aux équipements radioélectriques non couverts par la directive — Rapport final), Office des publications de l’Union européenne, 2025, </w:t>
      </w:r>
      <w:hyperlink r:id="rId4" w:history="1">
        <w:r>
          <w:rPr>
            <w:rStyle w:val="Hyperlink"/>
            <w:rFonts w:ascii="Times New Roman" w:hAnsi="Times New Roman"/>
            <w:color w:val="000000" w:themeColor="text1"/>
          </w:rPr>
          <w:t>https://data.europa.eu/doi/10.2873/628130</w:t>
        </w:r>
      </w:hyperlink>
      <w:r>
        <w:rPr>
          <w:rFonts w:ascii="Times New Roman" w:hAnsi="Times New Roman"/>
        </w:rPr>
        <w:t>.</w:t>
      </w:r>
    </w:p>
  </w:footnote>
  <w:footnote w:id="8">
    <w:p w14:paraId="46C1F7D4" w14:textId="7CB72D0F" w:rsidR="009C02FE" w:rsidRPr="00F07284" w:rsidRDefault="002537A1" w:rsidP="000F6D9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Calculs de la Commission fondés sur les données de Statista.</w:t>
      </w:r>
    </w:p>
  </w:footnote>
  <w:footnote w:id="9">
    <w:p w14:paraId="742DFED4" w14:textId="7D961875" w:rsidR="009C02FE" w:rsidRPr="00D429FF" w:rsidRDefault="002537A1" w:rsidP="00FB03C1">
      <w:pPr>
        <w:pStyle w:val="FootnoteText"/>
        <w:ind w:left="425" w:hanging="425"/>
        <w:rPr>
          <w:rFonts w:ascii="Times New Roman" w:hAnsi="Times New Roman" w:cs="Times New Roman"/>
          <w:lang w:val="en-IE"/>
        </w:rPr>
      </w:pPr>
      <w:r w:rsidRPr="00D429FF">
        <w:rPr>
          <w:rFonts w:ascii="Times New Roman" w:hAnsi="Times New Roman"/>
          <w:lang w:val="en-IE"/>
        </w:rPr>
        <w:t>(</w:t>
      </w:r>
      <w:r>
        <w:rPr>
          <w:rStyle w:val="FootnoteReference"/>
          <w:rFonts w:ascii="Times New Roman" w:hAnsi="Times New Roman" w:cs="Times New Roman"/>
        </w:rPr>
        <w:footnoteRef/>
      </w:r>
      <w:r w:rsidRPr="00D429FF">
        <w:rPr>
          <w:rFonts w:ascii="Times New Roman" w:hAnsi="Times New Roman"/>
          <w:lang w:val="en-IE"/>
        </w:rPr>
        <w:t xml:space="preserve">) </w:t>
      </w:r>
      <w:r w:rsidRPr="00D429FF">
        <w:rPr>
          <w:lang w:val="en-IE"/>
        </w:rPr>
        <w:tab/>
      </w:r>
      <w:r w:rsidRPr="00D429FF">
        <w:rPr>
          <w:rFonts w:ascii="Times New Roman" w:hAnsi="Times New Roman"/>
          <w:lang w:val="en-IE"/>
        </w:rPr>
        <w:t>Ibid.</w:t>
      </w:r>
    </w:p>
  </w:footnote>
  <w:footnote w:id="10">
    <w:p w14:paraId="7C909D3D" w14:textId="02353B9E" w:rsidR="00F1479A" w:rsidRPr="00D429FF" w:rsidRDefault="002537A1" w:rsidP="00FB03C1">
      <w:pPr>
        <w:spacing w:after="0"/>
        <w:ind w:left="425" w:hanging="425"/>
        <w:jc w:val="both"/>
        <w:rPr>
          <w:rFonts w:ascii="Times New Roman" w:hAnsi="Times New Roman" w:cs="Times New Roman"/>
          <w:sz w:val="20"/>
          <w:lang w:val="en-IE"/>
        </w:rPr>
      </w:pPr>
      <w:r w:rsidRPr="00D429FF">
        <w:rPr>
          <w:rFonts w:ascii="Times New Roman" w:hAnsi="Times New Roman"/>
          <w:sz w:val="20"/>
          <w:lang w:val="en-IE"/>
        </w:rPr>
        <w:t>(</w:t>
      </w:r>
      <w:r>
        <w:rPr>
          <w:rStyle w:val="FootnoteReference"/>
          <w:rFonts w:ascii="Times New Roman" w:hAnsi="Times New Roman" w:cs="Times New Roman"/>
          <w:sz w:val="20"/>
          <w:szCs w:val="20"/>
        </w:rPr>
        <w:footnoteRef/>
      </w:r>
      <w:r w:rsidRPr="00D429FF">
        <w:rPr>
          <w:rFonts w:ascii="Times New Roman" w:hAnsi="Times New Roman"/>
          <w:sz w:val="20"/>
          <w:lang w:val="en-IE"/>
        </w:rPr>
        <w:t xml:space="preserve">) </w:t>
      </w:r>
      <w:r w:rsidRPr="00D429FF">
        <w:rPr>
          <w:lang w:val="en-IE"/>
        </w:rPr>
        <w:tab/>
      </w:r>
      <w:r w:rsidRPr="00D429FF">
        <w:rPr>
          <w:rFonts w:ascii="Times New Roman" w:hAnsi="Times New Roman"/>
          <w:sz w:val="20"/>
          <w:lang w:val="en-IE"/>
        </w:rPr>
        <w:t>Par exemple, Crayola Inspiration Art Case et Melissa &amp; Doug Deluxe Art Set.</w:t>
      </w:r>
    </w:p>
  </w:footnote>
  <w:footnote w:id="11">
    <w:p w14:paraId="52ED2B6A" w14:textId="703DCBA5" w:rsidR="00F1479A" w:rsidRPr="00D429FF" w:rsidRDefault="002537A1" w:rsidP="00FB03C1">
      <w:pPr>
        <w:pStyle w:val="FootnoteText"/>
        <w:ind w:left="425" w:hanging="425"/>
        <w:rPr>
          <w:rFonts w:ascii="Times New Roman" w:hAnsi="Times New Roman" w:cs="Times New Roman"/>
          <w:lang w:val="en-IE"/>
        </w:rPr>
      </w:pPr>
      <w:r w:rsidRPr="00D429FF">
        <w:rPr>
          <w:rFonts w:ascii="Times New Roman" w:hAnsi="Times New Roman"/>
          <w:lang w:val="en-IE"/>
        </w:rPr>
        <w:t>(</w:t>
      </w:r>
      <w:r>
        <w:rPr>
          <w:rStyle w:val="FootnoteReference"/>
          <w:rFonts w:ascii="Times New Roman" w:hAnsi="Times New Roman" w:cs="Times New Roman"/>
        </w:rPr>
        <w:footnoteRef/>
      </w:r>
      <w:r w:rsidRPr="00D429FF">
        <w:rPr>
          <w:rFonts w:ascii="Times New Roman" w:hAnsi="Times New Roman"/>
          <w:lang w:val="en-IE"/>
        </w:rPr>
        <w:t xml:space="preserve">) </w:t>
      </w:r>
      <w:r w:rsidRPr="00D429FF">
        <w:rPr>
          <w:lang w:val="en-IE"/>
        </w:rPr>
        <w:tab/>
      </w:r>
      <w:r w:rsidRPr="00D429FF">
        <w:rPr>
          <w:rFonts w:ascii="Times New Roman" w:hAnsi="Times New Roman"/>
          <w:lang w:val="en-IE"/>
        </w:rPr>
        <w:t>Par exemple, Klutz Make Clay Charms Kit et Alex Toys Simply needlepoint Craft Kit.</w:t>
      </w:r>
    </w:p>
  </w:footnote>
  <w:footnote w:id="12">
    <w:p w14:paraId="6FA75DE4" w14:textId="0DBA642B" w:rsidR="00F1479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balançoires, toboggans, trampolines, cadres d’escalade et maisons de jeu.</w:t>
      </w:r>
    </w:p>
  </w:footnote>
  <w:footnote w:id="13">
    <w:p w14:paraId="02C9F29C" w14:textId="42A17666" w:rsidR="00F1479A" w:rsidRPr="00F07284" w:rsidRDefault="002537A1" w:rsidP="00FB03C1">
      <w:pPr>
        <w:pStyle w:val="FootnoteText"/>
        <w:ind w:left="425" w:hanging="425"/>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les voitures et camions Maisto RC.</w:t>
      </w:r>
    </w:p>
  </w:footnote>
  <w:footnote w:id="14">
    <w:p w14:paraId="0DEA1C21" w14:textId="47480A69" w:rsidR="0044428E" w:rsidRPr="001E1D6D" w:rsidRDefault="002537A1" w:rsidP="00FB03C1">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Calculs de la Commission fondés sur les </w:t>
      </w:r>
      <w:r>
        <w:rPr>
          <w:rFonts w:ascii="Times New Roman" w:hAnsi="Times New Roman"/>
          <w:color w:val="000000" w:themeColor="text1"/>
        </w:rPr>
        <w:t>données de Statista.</w:t>
      </w:r>
    </w:p>
  </w:footnote>
  <w:footnote w:id="15">
    <w:p w14:paraId="6145A240" w14:textId="31C43271" w:rsidR="00C34D67" w:rsidRPr="001E1D6D"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Les dispositifs modulaires sont des dispositifs qui peuvent être portés sur le corps et qui sont composés de plusieurs éléments. Un exemple de dispositif modulaire est celui des bracelets composés de différents segments.</w:t>
      </w:r>
    </w:p>
  </w:footnote>
  <w:footnote w:id="16">
    <w:p w14:paraId="0A4DF296" w14:textId="4ECFD9CA" w:rsidR="0044428E" w:rsidRPr="001E1D6D"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Calculs de la Commission fondés sur les données de Statista.</w:t>
      </w:r>
    </w:p>
  </w:footnote>
  <w:footnote w:id="17">
    <w:p w14:paraId="68450328" w14:textId="16E2F1D4" w:rsidR="00CD2285" w:rsidRPr="005D2F17" w:rsidRDefault="00CD2285" w:rsidP="000F6D91">
      <w:pPr>
        <w:pStyle w:val="FootnoteText"/>
        <w:ind w:left="426" w:hanging="426"/>
        <w:rPr>
          <w:rFonts w:ascii="Times New Roman" w:hAnsi="Times New Roman" w:cs="Times New Roman"/>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r>
        <w:rPr>
          <w:rFonts w:ascii="Times New Roman" w:hAnsi="Times New Roman"/>
          <w:color w:val="000000" w:themeColor="text1"/>
        </w:rPr>
        <w:t>L’étude comprend des consultations (</w:t>
      </w:r>
      <w:hyperlink r:id="rId5" w:history="1">
        <w:r>
          <w:rPr>
            <w:rStyle w:val="Hyperlink"/>
            <w:rFonts w:ascii="Times New Roman" w:hAnsi="Times New Roman"/>
            <w:color w:val="000000" w:themeColor="text1"/>
          </w:rPr>
          <w:t>groupe d’experts</w:t>
        </w:r>
      </w:hyperlink>
      <w:r>
        <w:t xml:space="preserve">, </w:t>
      </w:r>
      <w:r>
        <w:rPr>
          <w:rFonts w:ascii="Times New Roman" w:hAnsi="Times New Roman"/>
          <w:color w:val="000000" w:themeColor="text1"/>
        </w:rPr>
        <w:t xml:space="preserve">entretiens avec </w:t>
      </w:r>
      <w:r>
        <w:rPr>
          <w:rFonts w:ascii="Times New Roman" w:hAnsi="Times New Roman"/>
        </w:rPr>
        <w:t>les parties prenantes concernées et enquête auprès des consommateurs).</w:t>
      </w:r>
    </w:p>
  </w:footnote>
  <w:footnote w:id="18">
    <w:p w14:paraId="57650BA1" w14:textId="04B27605" w:rsidR="00E16FF9" w:rsidRPr="000F6D91" w:rsidRDefault="002537A1" w:rsidP="00FB03C1">
      <w:pPr>
        <w:pStyle w:val="FootnoteText"/>
        <w:ind w:left="425" w:hanging="425"/>
        <w:rPr>
          <w:rFonts w:ascii="Times New Roman" w:hAnsi="Times New Roman" w:cs="Times New Roman"/>
          <w:color w:val="000000" w:themeColor="text1"/>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hyperlink r:id="rId6" w:anchor="produits" w:history="1">
        <w:r>
          <w:rPr>
            <w:rStyle w:val="Hyperlink"/>
            <w:rFonts w:ascii="Times New Roman" w:hAnsi="Times New Roman"/>
            <w:color w:val="000000" w:themeColor="text1"/>
          </w:rPr>
          <w:t>https://www.statista.com/outlook/amo/ar-vr/worldwide#revenue</w:t>
        </w:r>
      </w:hyperlink>
      <w:r>
        <w:rPr>
          <w:rFonts w:ascii="Times New Roman" w:hAnsi="Times New Roman"/>
          <w:color w:val="000000" w:themeColor="text1"/>
        </w:rPr>
        <w:t>.</w:t>
      </w:r>
    </w:p>
  </w:footnote>
  <w:footnote w:id="19">
    <w:p w14:paraId="79C0D1B0" w14:textId="6DF86AA2" w:rsidR="00F7042A" w:rsidRPr="000F6D91" w:rsidRDefault="002537A1" w:rsidP="00FB03C1">
      <w:pPr>
        <w:pStyle w:val="FootnoteText"/>
        <w:ind w:left="425" w:hanging="425"/>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hyperlink r:id="rId7" w:history="1">
        <w:r>
          <w:rPr>
            <w:rStyle w:val="Hyperlink"/>
            <w:rFonts w:ascii="Times New Roman" w:hAnsi="Times New Roman"/>
            <w:color w:val="000000" w:themeColor="text1"/>
          </w:rPr>
          <w:t>https://www.datainsightsmarket.com/reports/remote-control-toys-1917195</w:t>
        </w:r>
      </w:hyperlink>
      <w:r>
        <w:rPr>
          <w:rFonts w:ascii="Times New Roman" w:hAnsi="Times New Roman"/>
          <w:color w:val="000000" w:themeColor="text1"/>
        </w:rPr>
        <w:t>.</w:t>
      </w:r>
    </w:p>
  </w:footnote>
  <w:footnote w:id="20">
    <w:p w14:paraId="017F1631" w14:textId="2AA90E6A" w:rsidR="00046AC9" w:rsidRPr="001E1D6D" w:rsidRDefault="002537A1" w:rsidP="000F6D91">
      <w:pPr>
        <w:pStyle w:val="FootnoteText"/>
        <w:ind w:left="426" w:hanging="426"/>
        <w:rPr>
          <w:rFonts w:ascii="Times New Roman" w:hAnsi="Times New Roman" w:cs="Times New Roman"/>
          <w:color w:val="000000" w:themeColor="text1"/>
        </w:rPr>
      </w:pPr>
      <w:r>
        <w:rPr>
          <w:rFonts w:ascii="Times New Roman" w:hAnsi="Times New Roman"/>
          <w:color w:val="000000" w:themeColor="text1"/>
        </w:rPr>
        <w:t>(</w:t>
      </w: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w:t>
      </w:r>
      <w:r>
        <w:tab/>
      </w:r>
      <w:hyperlink r:id="rId8" w:history="1">
        <w:r>
          <w:rPr>
            <w:rStyle w:val="Hyperlink"/>
            <w:rFonts w:ascii="Times New Roman" w:hAnsi="Times New Roman"/>
            <w:color w:val="000000" w:themeColor="text1"/>
          </w:rPr>
          <w:t>https://www.grandviewresearch.com/industry-analysis/wearable-technology-market</w:t>
        </w:r>
      </w:hyperlink>
      <w:r>
        <w:rPr>
          <w:rFonts w:ascii="Times New Roman" w:hAnsi="Times New Roman"/>
          <w:color w:val="000000" w:themeColor="text1"/>
        </w:rPr>
        <w:t>.</w:t>
      </w:r>
    </w:p>
  </w:footnote>
  <w:footnote w:id="21">
    <w:p w14:paraId="67C3AC78" w14:textId="5EFAD6F3" w:rsidR="00135EEC" w:rsidRPr="00F07284" w:rsidRDefault="002537A1"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spécification USB PD est détaillée dans la norme EN IEC 62680-1-2 (actuellement mentionnée dans les exigences relatives au chargeur universel).</w:t>
      </w:r>
    </w:p>
  </w:footnote>
  <w:footnote w:id="22">
    <w:p w14:paraId="19453594" w14:textId="58151E5D" w:rsidR="00766ED3" w:rsidRPr="00D429FF" w:rsidRDefault="002537A1" w:rsidP="00FB03C1">
      <w:pPr>
        <w:pStyle w:val="FootnoteText"/>
        <w:ind w:left="426" w:hanging="426"/>
        <w:rPr>
          <w:rFonts w:ascii="Times New Roman" w:hAnsi="Times New Roman" w:cs="Times New Roman"/>
          <w:lang w:val="en-IE"/>
        </w:rPr>
      </w:pPr>
      <w:r w:rsidRPr="00D429FF">
        <w:rPr>
          <w:rFonts w:ascii="Times New Roman" w:hAnsi="Times New Roman"/>
          <w:lang w:val="en-IE"/>
        </w:rPr>
        <w:t>(</w:t>
      </w:r>
      <w:r>
        <w:rPr>
          <w:rStyle w:val="FootnoteReference"/>
          <w:rFonts w:ascii="Times New Roman" w:hAnsi="Times New Roman" w:cs="Times New Roman"/>
        </w:rPr>
        <w:footnoteRef/>
      </w:r>
      <w:r w:rsidRPr="00D429FF">
        <w:rPr>
          <w:rFonts w:ascii="Times New Roman" w:hAnsi="Times New Roman"/>
          <w:lang w:val="en-IE"/>
        </w:rPr>
        <w:t xml:space="preserve">) </w:t>
      </w:r>
      <w:r w:rsidRPr="00D429FF">
        <w:rPr>
          <w:lang w:val="en-IE"/>
        </w:rPr>
        <w:tab/>
      </w:r>
      <w:r w:rsidRPr="00D429FF">
        <w:rPr>
          <w:rFonts w:ascii="Times New Roman" w:hAnsi="Times New Roman"/>
          <w:lang w:val="en-IE"/>
        </w:rPr>
        <w:t>SuperPower Wall Charger (max. 88 W).</w:t>
      </w:r>
    </w:p>
  </w:footnote>
  <w:footnote w:id="23">
    <w:p w14:paraId="7CAE7296" w14:textId="7ACC74C9" w:rsidR="007F21A5" w:rsidRPr="00F07284" w:rsidRDefault="007F21A5"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Étude (données brutes).</w:t>
      </w:r>
    </w:p>
  </w:footnote>
  <w:footnote w:id="24">
    <w:p w14:paraId="4AA68123" w14:textId="33E5C5D9" w:rsidR="00F07284" w:rsidRPr="005D2F17" w:rsidRDefault="00F07284" w:rsidP="00FB03C1">
      <w:pPr>
        <w:pStyle w:val="FootnoteText"/>
        <w:ind w:left="426" w:hanging="426"/>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Ibid.</w:t>
      </w:r>
    </w:p>
  </w:footnote>
  <w:footnote w:id="25">
    <w:p w14:paraId="7595EC6A" w14:textId="49EECE13" w:rsidR="00335F41" w:rsidRPr="00F07284" w:rsidRDefault="00335F41" w:rsidP="00FB03C1">
      <w:pPr>
        <w:pStyle w:val="FootnoteText"/>
        <w:ind w:left="426" w:hanging="426"/>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Taille du marché en 2022 selon l’étude pour les smartphones, les tablettes, les dispositifs portés à l’oreille, les caméras numériques et les chargeurs autonomes.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6FA54" w14:textId="77777777" w:rsidR="00F27AD3" w:rsidRPr="00F27AD3" w:rsidRDefault="00F27AD3" w:rsidP="00F27A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C00C8" w14:textId="77777777" w:rsidR="00F27AD3" w:rsidRPr="00F27AD3" w:rsidRDefault="00F27AD3" w:rsidP="00F27A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361A2" w14:textId="77777777" w:rsidR="00F27AD3" w:rsidRPr="00F27AD3" w:rsidRDefault="00F27AD3" w:rsidP="00F27A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C986" w14:textId="77777777" w:rsidR="00D429FF" w:rsidRDefault="00D429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030F7" w14:textId="77777777" w:rsidR="007B5127" w:rsidRPr="00D128A2" w:rsidRDefault="007B512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8128C" w14:textId="77777777" w:rsidR="00D429FF" w:rsidRDefault="00D429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95E6F" w14:textId="77777777" w:rsidR="007B5127" w:rsidRPr="00D128A2" w:rsidRDefault="007B5127">
    <w:pPr>
      <w:pStyle w:val="Header"/>
      <w:rPr>
        <w:rFonts w:ascii="Times New Roman" w:hAnsi="Times New Roman" w:cs="Times New Roman"/>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D3A61" w14:textId="77777777" w:rsidR="007B5127" w:rsidRPr="00D128A2" w:rsidRDefault="007B512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37528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86B2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4096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158FA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A5A931C"/>
    <w:multiLevelType w:val="hybridMultilevel"/>
    <w:tmpl w:val="3C1EB2C6"/>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4637DF"/>
    <w:multiLevelType w:val="hybridMultilevel"/>
    <w:tmpl w:val="CC1CF4F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5640B04"/>
    <w:multiLevelType w:val="hybridMultilevel"/>
    <w:tmpl w:val="D974D6A0"/>
    <w:lvl w:ilvl="0" w:tplc="52C26054">
      <w:start w:val="1"/>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46741A"/>
    <w:multiLevelType w:val="hybridMultilevel"/>
    <w:tmpl w:val="C68EE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5120F0"/>
    <w:multiLevelType w:val="hybridMultilevel"/>
    <w:tmpl w:val="948A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29D47A4"/>
    <w:multiLevelType w:val="hybridMultilevel"/>
    <w:tmpl w:val="65D2B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4152C07"/>
    <w:multiLevelType w:val="hybridMultilevel"/>
    <w:tmpl w:val="D4D0DD36"/>
    <w:lvl w:ilvl="0" w:tplc="D3C84992">
      <w:start w:val="1"/>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E92CD2"/>
    <w:multiLevelType w:val="hybridMultilevel"/>
    <w:tmpl w:val="5D389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28644D"/>
    <w:multiLevelType w:val="hybridMultilevel"/>
    <w:tmpl w:val="56F43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42D18A4"/>
    <w:multiLevelType w:val="hybridMultilevel"/>
    <w:tmpl w:val="4F06EBEA"/>
    <w:lvl w:ilvl="0" w:tplc="18090001">
      <w:start w:val="1"/>
      <w:numFmt w:val="bullet"/>
      <w:lvlText w:val=""/>
      <w:lvlJc w:val="left"/>
      <w:pPr>
        <w:ind w:left="720" w:hanging="360"/>
      </w:pPr>
      <w:rPr>
        <w:rFonts w:ascii="Symbol" w:hAnsi="Symbol" w:hint="default"/>
      </w:rPr>
    </w:lvl>
    <w:lvl w:ilvl="1" w:tplc="BCE8ABB4">
      <w:numFmt w:val="bullet"/>
      <w:lvlText w:val="•"/>
      <w:lvlJc w:val="left"/>
      <w:pPr>
        <w:ind w:left="1440" w:hanging="36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4D6DCA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65C046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89A9A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ABC2FB3"/>
    <w:multiLevelType w:val="hybridMultilevel"/>
    <w:tmpl w:val="533A6B8A"/>
    <w:lvl w:ilvl="0" w:tplc="EB466E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26121F"/>
    <w:multiLevelType w:val="hybridMultilevel"/>
    <w:tmpl w:val="E2E2B40A"/>
    <w:lvl w:ilvl="0" w:tplc="18090001">
      <w:start w:val="1"/>
      <w:numFmt w:val="bullet"/>
      <w:lvlText w:val=""/>
      <w:lvlJc w:val="left"/>
      <w:pPr>
        <w:ind w:left="771" w:hanging="360"/>
      </w:pPr>
      <w:rPr>
        <w:rFonts w:ascii="Symbol" w:hAnsi="Symbol" w:hint="default"/>
      </w:rPr>
    </w:lvl>
    <w:lvl w:ilvl="1" w:tplc="18090003" w:tentative="1">
      <w:start w:val="1"/>
      <w:numFmt w:val="bullet"/>
      <w:lvlText w:val="o"/>
      <w:lvlJc w:val="left"/>
      <w:pPr>
        <w:ind w:left="1491" w:hanging="360"/>
      </w:pPr>
      <w:rPr>
        <w:rFonts w:ascii="Courier New" w:hAnsi="Courier New" w:cs="Courier New" w:hint="default"/>
      </w:rPr>
    </w:lvl>
    <w:lvl w:ilvl="2" w:tplc="18090005" w:tentative="1">
      <w:start w:val="1"/>
      <w:numFmt w:val="bullet"/>
      <w:lvlText w:val=""/>
      <w:lvlJc w:val="left"/>
      <w:pPr>
        <w:ind w:left="2211" w:hanging="360"/>
      </w:pPr>
      <w:rPr>
        <w:rFonts w:ascii="Wingdings" w:hAnsi="Wingdings" w:hint="default"/>
      </w:rPr>
    </w:lvl>
    <w:lvl w:ilvl="3" w:tplc="18090001" w:tentative="1">
      <w:start w:val="1"/>
      <w:numFmt w:val="bullet"/>
      <w:lvlText w:val=""/>
      <w:lvlJc w:val="left"/>
      <w:pPr>
        <w:ind w:left="2931" w:hanging="360"/>
      </w:pPr>
      <w:rPr>
        <w:rFonts w:ascii="Symbol" w:hAnsi="Symbol" w:hint="default"/>
      </w:rPr>
    </w:lvl>
    <w:lvl w:ilvl="4" w:tplc="18090003" w:tentative="1">
      <w:start w:val="1"/>
      <w:numFmt w:val="bullet"/>
      <w:lvlText w:val="o"/>
      <w:lvlJc w:val="left"/>
      <w:pPr>
        <w:ind w:left="3651" w:hanging="360"/>
      </w:pPr>
      <w:rPr>
        <w:rFonts w:ascii="Courier New" w:hAnsi="Courier New" w:cs="Courier New" w:hint="default"/>
      </w:rPr>
    </w:lvl>
    <w:lvl w:ilvl="5" w:tplc="18090005" w:tentative="1">
      <w:start w:val="1"/>
      <w:numFmt w:val="bullet"/>
      <w:lvlText w:val=""/>
      <w:lvlJc w:val="left"/>
      <w:pPr>
        <w:ind w:left="4371" w:hanging="360"/>
      </w:pPr>
      <w:rPr>
        <w:rFonts w:ascii="Wingdings" w:hAnsi="Wingdings" w:hint="default"/>
      </w:rPr>
    </w:lvl>
    <w:lvl w:ilvl="6" w:tplc="18090001" w:tentative="1">
      <w:start w:val="1"/>
      <w:numFmt w:val="bullet"/>
      <w:lvlText w:val=""/>
      <w:lvlJc w:val="left"/>
      <w:pPr>
        <w:ind w:left="5091" w:hanging="360"/>
      </w:pPr>
      <w:rPr>
        <w:rFonts w:ascii="Symbol" w:hAnsi="Symbol" w:hint="default"/>
      </w:rPr>
    </w:lvl>
    <w:lvl w:ilvl="7" w:tplc="18090003" w:tentative="1">
      <w:start w:val="1"/>
      <w:numFmt w:val="bullet"/>
      <w:lvlText w:val="o"/>
      <w:lvlJc w:val="left"/>
      <w:pPr>
        <w:ind w:left="5811" w:hanging="360"/>
      </w:pPr>
      <w:rPr>
        <w:rFonts w:ascii="Courier New" w:hAnsi="Courier New" w:cs="Courier New" w:hint="default"/>
      </w:rPr>
    </w:lvl>
    <w:lvl w:ilvl="8" w:tplc="18090005" w:tentative="1">
      <w:start w:val="1"/>
      <w:numFmt w:val="bullet"/>
      <w:lvlText w:val=""/>
      <w:lvlJc w:val="left"/>
      <w:pPr>
        <w:ind w:left="6531" w:hanging="360"/>
      </w:pPr>
      <w:rPr>
        <w:rFonts w:ascii="Wingdings" w:hAnsi="Wingdings" w:hint="default"/>
      </w:rPr>
    </w:lvl>
  </w:abstractNum>
  <w:abstractNum w:abstractNumId="19" w15:restartNumberingAfterBreak="0">
    <w:nsid w:val="372F3F24"/>
    <w:multiLevelType w:val="hybridMultilevel"/>
    <w:tmpl w:val="33EC4B68"/>
    <w:lvl w:ilvl="0" w:tplc="5024E7EE">
      <w:start w:val="1"/>
      <w:numFmt w:val="decimal"/>
      <w:lvlText w:val="%1)"/>
      <w:lvlJc w:val="left"/>
      <w:pPr>
        <w:ind w:left="720" w:hanging="360"/>
      </w:pPr>
      <w:rPr>
        <w:rFonts w:hint="default"/>
        <w:b w:val="0"/>
        <w:bCs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CBA0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CEA2EFA"/>
    <w:multiLevelType w:val="hybridMultilevel"/>
    <w:tmpl w:val="EE942D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010BD1"/>
    <w:multiLevelType w:val="hybridMultilevel"/>
    <w:tmpl w:val="FA203254"/>
    <w:lvl w:ilvl="0" w:tplc="EB466E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2C6471"/>
    <w:multiLevelType w:val="hybridMultilevel"/>
    <w:tmpl w:val="A454D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69868A4"/>
    <w:multiLevelType w:val="hybridMultilevel"/>
    <w:tmpl w:val="783862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95E5CBF"/>
    <w:multiLevelType w:val="hybridMultilevel"/>
    <w:tmpl w:val="3D5079AC"/>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E4165A4"/>
    <w:multiLevelType w:val="hybridMultilevel"/>
    <w:tmpl w:val="19F881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F146C54"/>
    <w:multiLevelType w:val="multilevel"/>
    <w:tmpl w:val="59244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0B2A30"/>
    <w:multiLevelType w:val="multilevel"/>
    <w:tmpl w:val="3B1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E403C"/>
    <w:multiLevelType w:val="hybridMultilevel"/>
    <w:tmpl w:val="0DD271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831C5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A5402EA"/>
    <w:multiLevelType w:val="hybridMultilevel"/>
    <w:tmpl w:val="CFFEBF6E"/>
    <w:lvl w:ilvl="0" w:tplc="670242EC">
      <w:start w:val="1"/>
      <w:numFmt w:val="bullet"/>
      <w:lvlText w:val=""/>
      <w:lvlJc w:val="left"/>
      <w:pPr>
        <w:ind w:left="720" w:hanging="360"/>
      </w:pPr>
      <w:rPr>
        <w:rFonts w:ascii="Symbol" w:hAnsi="Symbol"/>
      </w:rPr>
    </w:lvl>
    <w:lvl w:ilvl="1" w:tplc="EC7A8C56">
      <w:start w:val="1"/>
      <w:numFmt w:val="bullet"/>
      <w:lvlText w:val=""/>
      <w:lvlJc w:val="left"/>
      <w:pPr>
        <w:ind w:left="720" w:hanging="360"/>
      </w:pPr>
      <w:rPr>
        <w:rFonts w:ascii="Symbol" w:hAnsi="Symbol"/>
      </w:rPr>
    </w:lvl>
    <w:lvl w:ilvl="2" w:tplc="5A0E5A48">
      <w:start w:val="1"/>
      <w:numFmt w:val="bullet"/>
      <w:lvlText w:val=""/>
      <w:lvlJc w:val="left"/>
      <w:pPr>
        <w:ind w:left="720" w:hanging="360"/>
      </w:pPr>
      <w:rPr>
        <w:rFonts w:ascii="Symbol" w:hAnsi="Symbol"/>
      </w:rPr>
    </w:lvl>
    <w:lvl w:ilvl="3" w:tplc="EFDA2F2A">
      <w:start w:val="1"/>
      <w:numFmt w:val="bullet"/>
      <w:lvlText w:val=""/>
      <w:lvlJc w:val="left"/>
      <w:pPr>
        <w:ind w:left="720" w:hanging="360"/>
      </w:pPr>
      <w:rPr>
        <w:rFonts w:ascii="Symbol" w:hAnsi="Symbol"/>
      </w:rPr>
    </w:lvl>
    <w:lvl w:ilvl="4" w:tplc="D5B2CD0E">
      <w:start w:val="1"/>
      <w:numFmt w:val="bullet"/>
      <w:lvlText w:val=""/>
      <w:lvlJc w:val="left"/>
      <w:pPr>
        <w:ind w:left="720" w:hanging="360"/>
      </w:pPr>
      <w:rPr>
        <w:rFonts w:ascii="Symbol" w:hAnsi="Symbol"/>
      </w:rPr>
    </w:lvl>
    <w:lvl w:ilvl="5" w:tplc="3D381EBE">
      <w:start w:val="1"/>
      <w:numFmt w:val="bullet"/>
      <w:lvlText w:val=""/>
      <w:lvlJc w:val="left"/>
      <w:pPr>
        <w:ind w:left="720" w:hanging="360"/>
      </w:pPr>
      <w:rPr>
        <w:rFonts w:ascii="Symbol" w:hAnsi="Symbol"/>
      </w:rPr>
    </w:lvl>
    <w:lvl w:ilvl="6" w:tplc="A09283C8">
      <w:start w:val="1"/>
      <w:numFmt w:val="bullet"/>
      <w:lvlText w:val=""/>
      <w:lvlJc w:val="left"/>
      <w:pPr>
        <w:ind w:left="720" w:hanging="360"/>
      </w:pPr>
      <w:rPr>
        <w:rFonts w:ascii="Symbol" w:hAnsi="Symbol"/>
      </w:rPr>
    </w:lvl>
    <w:lvl w:ilvl="7" w:tplc="16BEB8C8">
      <w:start w:val="1"/>
      <w:numFmt w:val="bullet"/>
      <w:lvlText w:val=""/>
      <w:lvlJc w:val="left"/>
      <w:pPr>
        <w:ind w:left="720" w:hanging="360"/>
      </w:pPr>
      <w:rPr>
        <w:rFonts w:ascii="Symbol" w:hAnsi="Symbol"/>
      </w:rPr>
    </w:lvl>
    <w:lvl w:ilvl="8" w:tplc="6186AEFA">
      <w:start w:val="1"/>
      <w:numFmt w:val="bullet"/>
      <w:lvlText w:val=""/>
      <w:lvlJc w:val="left"/>
      <w:pPr>
        <w:ind w:left="720" w:hanging="360"/>
      </w:pPr>
      <w:rPr>
        <w:rFonts w:ascii="Symbol" w:hAnsi="Symbol"/>
      </w:rPr>
    </w:lvl>
  </w:abstractNum>
  <w:abstractNum w:abstractNumId="32" w15:restartNumberingAfterBreak="0">
    <w:nsid w:val="5EAA6E89"/>
    <w:multiLevelType w:val="multilevel"/>
    <w:tmpl w:val="7A0E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EF3F2D"/>
    <w:multiLevelType w:val="hybridMultilevel"/>
    <w:tmpl w:val="E14A6B60"/>
    <w:lvl w:ilvl="0" w:tplc="B05419AE">
      <w:start w:val="1"/>
      <w:numFmt w:val="bullet"/>
      <w:lvlText w:val=""/>
      <w:lvlJc w:val="left"/>
      <w:pPr>
        <w:ind w:left="720" w:hanging="360"/>
      </w:pPr>
      <w:rPr>
        <w:rFonts w:ascii="Symbol" w:hAnsi="Symbol"/>
      </w:rPr>
    </w:lvl>
    <w:lvl w:ilvl="1" w:tplc="A482C042">
      <w:start w:val="1"/>
      <w:numFmt w:val="bullet"/>
      <w:lvlText w:val=""/>
      <w:lvlJc w:val="left"/>
      <w:pPr>
        <w:ind w:left="720" w:hanging="360"/>
      </w:pPr>
      <w:rPr>
        <w:rFonts w:ascii="Symbol" w:hAnsi="Symbol"/>
      </w:rPr>
    </w:lvl>
    <w:lvl w:ilvl="2" w:tplc="4F6A09E6">
      <w:start w:val="1"/>
      <w:numFmt w:val="bullet"/>
      <w:lvlText w:val=""/>
      <w:lvlJc w:val="left"/>
      <w:pPr>
        <w:ind w:left="720" w:hanging="360"/>
      </w:pPr>
      <w:rPr>
        <w:rFonts w:ascii="Symbol" w:hAnsi="Symbol"/>
      </w:rPr>
    </w:lvl>
    <w:lvl w:ilvl="3" w:tplc="3E720516">
      <w:start w:val="1"/>
      <w:numFmt w:val="bullet"/>
      <w:lvlText w:val=""/>
      <w:lvlJc w:val="left"/>
      <w:pPr>
        <w:ind w:left="720" w:hanging="360"/>
      </w:pPr>
      <w:rPr>
        <w:rFonts w:ascii="Symbol" w:hAnsi="Symbol"/>
      </w:rPr>
    </w:lvl>
    <w:lvl w:ilvl="4" w:tplc="922AC6BA">
      <w:start w:val="1"/>
      <w:numFmt w:val="bullet"/>
      <w:lvlText w:val=""/>
      <w:lvlJc w:val="left"/>
      <w:pPr>
        <w:ind w:left="720" w:hanging="360"/>
      </w:pPr>
      <w:rPr>
        <w:rFonts w:ascii="Symbol" w:hAnsi="Symbol"/>
      </w:rPr>
    </w:lvl>
    <w:lvl w:ilvl="5" w:tplc="68B6A186">
      <w:start w:val="1"/>
      <w:numFmt w:val="bullet"/>
      <w:lvlText w:val=""/>
      <w:lvlJc w:val="left"/>
      <w:pPr>
        <w:ind w:left="720" w:hanging="360"/>
      </w:pPr>
      <w:rPr>
        <w:rFonts w:ascii="Symbol" w:hAnsi="Symbol"/>
      </w:rPr>
    </w:lvl>
    <w:lvl w:ilvl="6" w:tplc="41DE5574">
      <w:start w:val="1"/>
      <w:numFmt w:val="bullet"/>
      <w:lvlText w:val=""/>
      <w:lvlJc w:val="left"/>
      <w:pPr>
        <w:ind w:left="720" w:hanging="360"/>
      </w:pPr>
      <w:rPr>
        <w:rFonts w:ascii="Symbol" w:hAnsi="Symbol"/>
      </w:rPr>
    </w:lvl>
    <w:lvl w:ilvl="7" w:tplc="D6E8F930">
      <w:start w:val="1"/>
      <w:numFmt w:val="bullet"/>
      <w:lvlText w:val=""/>
      <w:lvlJc w:val="left"/>
      <w:pPr>
        <w:ind w:left="720" w:hanging="360"/>
      </w:pPr>
      <w:rPr>
        <w:rFonts w:ascii="Symbol" w:hAnsi="Symbol"/>
      </w:rPr>
    </w:lvl>
    <w:lvl w:ilvl="8" w:tplc="2ECA61F2">
      <w:start w:val="1"/>
      <w:numFmt w:val="bullet"/>
      <w:lvlText w:val=""/>
      <w:lvlJc w:val="left"/>
      <w:pPr>
        <w:ind w:left="720" w:hanging="360"/>
      </w:pPr>
      <w:rPr>
        <w:rFonts w:ascii="Symbol" w:hAnsi="Symbol"/>
      </w:rPr>
    </w:lvl>
  </w:abstractNum>
  <w:abstractNum w:abstractNumId="34" w15:restartNumberingAfterBreak="0">
    <w:nsid w:val="5F661E82"/>
    <w:multiLevelType w:val="hybridMultilevel"/>
    <w:tmpl w:val="2B42DA1C"/>
    <w:lvl w:ilvl="0" w:tplc="18090001">
      <w:start w:val="1"/>
      <w:numFmt w:val="bullet"/>
      <w:lvlText w:val=""/>
      <w:lvlJc w:val="left"/>
      <w:pPr>
        <w:ind w:left="1068" w:hanging="360"/>
      </w:pPr>
      <w:rPr>
        <w:rFonts w:ascii="Symbol" w:hAnsi="Symbol" w:hint="default"/>
      </w:rPr>
    </w:lvl>
    <w:lvl w:ilvl="1" w:tplc="18090003">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35" w15:restartNumberingAfterBreak="0">
    <w:nsid w:val="618A2824"/>
    <w:multiLevelType w:val="hybridMultilevel"/>
    <w:tmpl w:val="3E549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41F46FC"/>
    <w:multiLevelType w:val="hybridMultilevel"/>
    <w:tmpl w:val="C4CC541A"/>
    <w:lvl w:ilvl="0" w:tplc="EB466E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54B2BC5"/>
    <w:multiLevelType w:val="multilevel"/>
    <w:tmpl w:val="D5B894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56CFD"/>
    <w:multiLevelType w:val="hybridMultilevel"/>
    <w:tmpl w:val="E98AE12E"/>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39" w15:restartNumberingAfterBreak="0">
    <w:nsid w:val="72CD7C09"/>
    <w:multiLevelType w:val="multilevel"/>
    <w:tmpl w:val="CCD478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4265"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7486180"/>
    <w:multiLevelType w:val="hybridMultilevel"/>
    <w:tmpl w:val="5516C8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77D3DA9"/>
    <w:multiLevelType w:val="hybridMultilevel"/>
    <w:tmpl w:val="721E42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DF02885"/>
    <w:multiLevelType w:val="hybridMultilevel"/>
    <w:tmpl w:val="477CF616"/>
    <w:lvl w:ilvl="0" w:tplc="47B68A2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F4D0530"/>
    <w:multiLevelType w:val="hybridMultilevel"/>
    <w:tmpl w:val="5C7C81EA"/>
    <w:lvl w:ilvl="0" w:tplc="8E82AC86">
      <w:start w:val="1"/>
      <w:numFmt w:val="bullet"/>
      <w:lvlText w:val=""/>
      <w:lvlJc w:val="left"/>
      <w:pPr>
        <w:ind w:left="720" w:hanging="360"/>
      </w:pPr>
      <w:rPr>
        <w:rFonts w:ascii="Symbol" w:hAnsi="Symbol"/>
      </w:rPr>
    </w:lvl>
    <w:lvl w:ilvl="1" w:tplc="13F87BAC">
      <w:start w:val="1"/>
      <w:numFmt w:val="bullet"/>
      <w:lvlText w:val=""/>
      <w:lvlJc w:val="left"/>
      <w:pPr>
        <w:ind w:left="720" w:hanging="360"/>
      </w:pPr>
      <w:rPr>
        <w:rFonts w:ascii="Symbol" w:hAnsi="Symbol"/>
      </w:rPr>
    </w:lvl>
    <w:lvl w:ilvl="2" w:tplc="130CF4F4">
      <w:start w:val="1"/>
      <w:numFmt w:val="bullet"/>
      <w:lvlText w:val=""/>
      <w:lvlJc w:val="left"/>
      <w:pPr>
        <w:ind w:left="720" w:hanging="360"/>
      </w:pPr>
      <w:rPr>
        <w:rFonts w:ascii="Symbol" w:hAnsi="Symbol"/>
      </w:rPr>
    </w:lvl>
    <w:lvl w:ilvl="3" w:tplc="DDAEEF5E">
      <w:start w:val="1"/>
      <w:numFmt w:val="bullet"/>
      <w:lvlText w:val=""/>
      <w:lvlJc w:val="left"/>
      <w:pPr>
        <w:ind w:left="720" w:hanging="360"/>
      </w:pPr>
      <w:rPr>
        <w:rFonts w:ascii="Symbol" w:hAnsi="Symbol"/>
      </w:rPr>
    </w:lvl>
    <w:lvl w:ilvl="4" w:tplc="B30E8C7E">
      <w:start w:val="1"/>
      <w:numFmt w:val="bullet"/>
      <w:lvlText w:val=""/>
      <w:lvlJc w:val="left"/>
      <w:pPr>
        <w:ind w:left="720" w:hanging="360"/>
      </w:pPr>
      <w:rPr>
        <w:rFonts w:ascii="Symbol" w:hAnsi="Symbol"/>
      </w:rPr>
    </w:lvl>
    <w:lvl w:ilvl="5" w:tplc="69B60660">
      <w:start w:val="1"/>
      <w:numFmt w:val="bullet"/>
      <w:lvlText w:val=""/>
      <w:lvlJc w:val="left"/>
      <w:pPr>
        <w:ind w:left="720" w:hanging="360"/>
      </w:pPr>
      <w:rPr>
        <w:rFonts w:ascii="Symbol" w:hAnsi="Symbol"/>
      </w:rPr>
    </w:lvl>
    <w:lvl w:ilvl="6" w:tplc="EF3EA1D8">
      <w:start w:val="1"/>
      <w:numFmt w:val="bullet"/>
      <w:lvlText w:val=""/>
      <w:lvlJc w:val="left"/>
      <w:pPr>
        <w:ind w:left="720" w:hanging="360"/>
      </w:pPr>
      <w:rPr>
        <w:rFonts w:ascii="Symbol" w:hAnsi="Symbol"/>
      </w:rPr>
    </w:lvl>
    <w:lvl w:ilvl="7" w:tplc="6D805B28">
      <w:start w:val="1"/>
      <w:numFmt w:val="bullet"/>
      <w:lvlText w:val=""/>
      <w:lvlJc w:val="left"/>
      <w:pPr>
        <w:ind w:left="720" w:hanging="360"/>
      </w:pPr>
      <w:rPr>
        <w:rFonts w:ascii="Symbol" w:hAnsi="Symbol"/>
      </w:rPr>
    </w:lvl>
    <w:lvl w:ilvl="8" w:tplc="A15489C4">
      <w:start w:val="1"/>
      <w:numFmt w:val="bullet"/>
      <w:lvlText w:val=""/>
      <w:lvlJc w:val="left"/>
      <w:pPr>
        <w:ind w:left="720" w:hanging="360"/>
      </w:pPr>
      <w:rPr>
        <w:rFonts w:ascii="Symbol" w:hAnsi="Symbol"/>
      </w:rPr>
    </w:lvl>
  </w:abstractNum>
  <w:num w:numId="1">
    <w:abstractNumId w:val="39"/>
  </w:num>
  <w:num w:numId="2">
    <w:abstractNumId w:val="15"/>
  </w:num>
  <w:num w:numId="3">
    <w:abstractNumId w:val="25"/>
  </w:num>
  <w:num w:numId="4">
    <w:abstractNumId w:val="28"/>
  </w:num>
  <w:num w:numId="5">
    <w:abstractNumId w:val="22"/>
  </w:num>
  <w:num w:numId="6">
    <w:abstractNumId w:val="36"/>
  </w:num>
  <w:num w:numId="7">
    <w:abstractNumId w:val="27"/>
  </w:num>
  <w:num w:numId="8">
    <w:abstractNumId w:val="37"/>
  </w:num>
  <w:num w:numId="9">
    <w:abstractNumId w:val="32"/>
  </w:num>
  <w:num w:numId="10">
    <w:abstractNumId w:val="7"/>
  </w:num>
  <w:num w:numId="11">
    <w:abstractNumId w:val="3"/>
  </w:num>
  <w:num w:numId="12">
    <w:abstractNumId w:val="13"/>
  </w:num>
  <w:num w:numId="13">
    <w:abstractNumId w:val="26"/>
  </w:num>
  <w:num w:numId="14">
    <w:abstractNumId w:val="34"/>
  </w:num>
  <w:num w:numId="15">
    <w:abstractNumId w:val="1"/>
  </w:num>
  <w:num w:numId="16">
    <w:abstractNumId w:val="20"/>
  </w:num>
  <w:num w:numId="17">
    <w:abstractNumId w:val="0"/>
  </w:num>
  <w:num w:numId="18">
    <w:abstractNumId w:val="16"/>
  </w:num>
  <w:num w:numId="19">
    <w:abstractNumId w:val="30"/>
  </w:num>
  <w:num w:numId="20">
    <w:abstractNumId w:val="2"/>
  </w:num>
  <w:num w:numId="21">
    <w:abstractNumId w:val="14"/>
  </w:num>
  <w:num w:numId="22">
    <w:abstractNumId w:val="5"/>
  </w:num>
  <w:num w:numId="23">
    <w:abstractNumId w:val="4"/>
  </w:num>
  <w:num w:numId="24">
    <w:abstractNumId w:val="10"/>
  </w:num>
  <w:num w:numId="25">
    <w:abstractNumId w:val="6"/>
  </w:num>
  <w:num w:numId="26">
    <w:abstractNumId w:val="11"/>
  </w:num>
  <w:num w:numId="27">
    <w:abstractNumId w:val="29"/>
  </w:num>
  <w:num w:numId="28">
    <w:abstractNumId w:val="33"/>
  </w:num>
  <w:num w:numId="29">
    <w:abstractNumId w:val="43"/>
  </w:num>
  <w:num w:numId="30">
    <w:abstractNumId w:val="31"/>
  </w:num>
  <w:num w:numId="31">
    <w:abstractNumId w:val="21"/>
  </w:num>
  <w:num w:numId="32">
    <w:abstractNumId w:val="8"/>
  </w:num>
  <w:num w:numId="33">
    <w:abstractNumId w:val="39"/>
  </w:num>
  <w:num w:numId="34">
    <w:abstractNumId w:val="19"/>
  </w:num>
  <w:num w:numId="35">
    <w:abstractNumId w:val="41"/>
  </w:num>
  <w:num w:numId="36">
    <w:abstractNumId w:val="24"/>
  </w:num>
  <w:num w:numId="37">
    <w:abstractNumId w:val="40"/>
  </w:num>
  <w:num w:numId="38">
    <w:abstractNumId w:val="35"/>
  </w:num>
  <w:num w:numId="39">
    <w:abstractNumId w:val="17"/>
  </w:num>
  <w:num w:numId="40">
    <w:abstractNumId w:val="42"/>
  </w:num>
  <w:num w:numId="41">
    <w:abstractNumId w:val="38"/>
  </w:num>
  <w:num w:numId="42">
    <w:abstractNumId w:val="23"/>
  </w:num>
  <w:num w:numId="43">
    <w:abstractNumId w:val="12"/>
  </w:num>
  <w:num w:numId="44">
    <w:abstractNumId w:val="9"/>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34F17AE-78F2-42C1-92EE-93394B7794A6"/>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évolution du marché, la fragmentation du marché et les progrès technologiques en matière de recharge filaire pour les équipements radioélectriques"/>
    <w:docVar w:name="LW_TYPE.DOC.CP" w:val="RAPPORT DE LA COMMISSION AU PARLEMENT EUROPÉEN ET AU CONSEIL"/>
    <w:docVar w:name="LwApiVersions" w:val="LW4CoDe 1.24.5.0; LW 9.2, Build 20251112"/>
  </w:docVars>
  <w:rsids>
    <w:rsidRoot w:val="00804298"/>
    <w:rsid w:val="00000267"/>
    <w:rsid w:val="000002C1"/>
    <w:rsid w:val="000003ED"/>
    <w:rsid w:val="00000C78"/>
    <w:rsid w:val="000011A4"/>
    <w:rsid w:val="0000151A"/>
    <w:rsid w:val="00001584"/>
    <w:rsid w:val="00001E71"/>
    <w:rsid w:val="00001E7E"/>
    <w:rsid w:val="00001E89"/>
    <w:rsid w:val="00002702"/>
    <w:rsid w:val="00002DA2"/>
    <w:rsid w:val="00002E8C"/>
    <w:rsid w:val="00002E9B"/>
    <w:rsid w:val="000031DE"/>
    <w:rsid w:val="000034E9"/>
    <w:rsid w:val="000035C1"/>
    <w:rsid w:val="000039E5"/>
    <w:rsid w:val="00003A69"/>
    <w:rsid w:val="00003CD9"/>
    <w:rsid w:val="00003CE7"/>
    <w:rsid w:val="00004096"/>
    <w:rsid w:val="00004168"/>
    <w:rsid w:val="000041A1"/>
    <w:rsid w:val="00004F91"/>
    <w:rsid w:val="0000546B"/>
    <w:rsid w:val="000059AA"/>
    <w:rsid w:val="00005D3B"/>
    <w:rsid w:val="0000613B"/>
    <w:rsid w:val="00007145"/>
    <w:rsid w:val="00010592"/>
    <w:rsid w:val="0001088A"/>
    <w:rsid w:val="00010B5C"/>
    <w:rsid w:val="00010F04"/>
    <w:rsid w:val="0001114A"/>
    <w:rsid w:val="0001182E"/>
    <w:rsid w:val="00011F46"/>
    <w:rsid w:val="00011F58"/>
    <w:rsid w:val="00012531"/>
    <w:rsid w:val="00012592"/>
    <w:rsid w:val="000125FC"/>
    <w:rsid w:val="00012A09"/>
    <w:rsid w:val="00012A2E"/>
    <w:rsid w:val="0001370A"/>
    <w:rsid w:val="000137A9"/>
    <w:rsid w:val="00013F47"/>
    <w:rsid w:val="000140A2"/>
    <w:rsid w:val="00014499"/>
    <w:rsid w:val="000154C3"/>
    <w:rsid w:val="000157FA"/>
    <w:rsid w:val="000159EC"/>
    <w:rsid w:val="00015AF9"/>
    <w:rsid w:val="00015B65"/>
    <w:rsid w:val="00015C73"/>
    <w:rsid w:val="000160F1"/>
    <w:rsid w:val="000164EB"/>
    <w:rsid w:val="0001650A"/>
    <w:rsid w:val="00016699"/>
    <w:rsid w:val="00016760"/>
    <w:rsid w:val="00016CCB"/>
    <w:rsid w:val="00016CD4"/>
    <w:rsid w:val="00016EF0"/>
    <w:rsid w:val="0001752F"/>
    <w:rsid w:val="00017A07"/>
    <w:rsid w:val="00017CE5"/>
    <w:rsid w:val="00017D4E"/>
    <w:rsid w:val="00017E37"/>
    <w:rsid w:val="00020153"/>
    <w:rsid w:val="000203AC"/>
    <w:rsid w:val="0002045E"/>
    <w:rsid w:val="00020BAD"/>
    <w:rsid w:val="0002124B"/>
    <w:rsid w:val="0002149E"/>
    <w:rsid w:val="0002156C"/>
    <w:rsid w:val="00021586"/>
    <w:rsid w:val="00021655"/>
    <w:rsid w:val="00021D41"/>
    <w:rsid w:val="00021FC8"/>
    <w:rsid w:val="0002208E"/>
    <w:rsid w:val="00022376"/>
    <w:rsid w:val="00022569"/>
    <w:rsid w:val="0002258C"/>
    <w:rsid w:val="0002266C"/>
    <w:rsid w:val="000227B7"/>
    <w:rsid w:val="00022A58"/>
    <w:rsid w:val="00022FD0"/>
    <w:rsid w:val="00023510"/>
    <w:rsid w:val="000236A4"/>
    <w:rsid w:val="0002385A"/>
    <w:rsid w:val="00023B8E"/>
    <w:rsid w:val="00023C8E"/>
    <w:rsid w:val="00023D34"/>
    <w:rsid w:val="00023D4F"/>
    <w:rsid w:val="000242FD"/>
    <w:rsid w:val="0002439D"/>
    <w:rsid w:val="00024542"/>
    <w:rsid w:val="0002467C"/>
    <w:rsid w:val="00024D02"/>
    <w:rsid w:val="00024EDD"/>
    <w:rsid w:val="0002506D"/>
    <w:rsid w:val="00025285"/>
    <w:rsid w:val="00025A87"/>
    <w:rsid w:val="00025E07"/>
    <w:rsid w:val="0002652B"/>
    <w:rsid w:val="00026A17"/>
    <w:rsid w:val="00027851"/>
    <w:rsid w:val="000278EA"/>
    <w:rsid w:val="00027954"/>
    <w:rsid w:val="000304AD"/>
    <w:rsid w:val="000305C1"/>
    <w:rsid w:val="00030933"/>
    <w:rsid w:val="00030AE6"/>
    <w:rsid w:val="00030B2A"/>
    <w:rsid w:val="00030B8F"/>
    <w:rsid w:val="00030D80"/>
    <w:rsid w:val="00031582"/>
    <w:rsid w:val="0003161F"/>
    <w:rsid w:val="00031743"/>
    <w:rsid w:val="00031974"/>
    <w:rsid w:val="000319B1"/>
    <w:rsid w:val="000319DC"/>
    <w:rsid w:val="000319E0"/>
    <w:rsid w:val="00031B88"/>
    <w:rsid w:val="0003216B"/>
    <w:rsid w:val="000323A8"/>
    <w:rsid w:val="000323E0"/>
    <w:rsid w:val="00032491"/>
    <w:rsid w:val="000329AB"/>
    <w:rsid w:val="00032BD5"/>
    <w:rsid w:val="00032C7D"/>
    <w:rsid w:val="000336BE"/>
    <w:rsid w:val="0003393F"/>
    <w:rsid w:val="000339CA"/>
    <w:rsid w:val="00033F88"/>
    <w:rsid w:val="0003443D"/>
    <w:rsid w:val="0003458D"/>
    <w:rsid w:val="000347B2"/>
    <w:rsid w:val="00034FB2"/>
    <w:rsid w:val="00035931"/>
    <w:rsid w:val="0003599B"/>
    <w:rsid w:val="00035CA2"/>
    <w:rsid w:val="00035F20"/>
    <w:rsid w:val="000366F0"/>
    <w:rsid w:val="00036936"/>
    <w:rsid w:val="00036EF8"/>
    <w:rsid w:val="0003712B"/>
    <w:rsid w:val="000371EB"/>
    <w:rsid w:val="000376AB"/>
    <w:rsid w:val="0003794E"/>
    <w:rsid w:val="00037956"/>
    <w:rsid w:val="00037A78"/>
    <w:rsid w:val="00037AF9"/>
    <w:rsid w:val="000400A8"/>
    <w:rsid w:val="000405BA"/>
    <w:rsid w:val="00040702"/>
    <w:rsid w:val="00040983"/>
    <w:rsid w:val="00040AD6"/>
    <w:rsid w:val="0004104A"/>
    <w:rsid w:val="00041769"/>
    <w:rsid w:val="000418A1"/>
    <w:rsid w:val="00041CD3"/>
    <w:rsid w:val="00041EA5"/>
    <w:rsid w:val="0004207B"/>
    <w:rsid w:val="000427C6"/>
    <w:rsid w:val="000428DE"/>
    <w:rsid w:val="00042F98"/>
    <w:rsid w:val="00043160"/>
    <w:rsid w:val="00043423"/>
    <w:rsid w:val="000436FA"/>
    <w:rsid w:val="0004373C"/>
    <w:rsid w:val="0004391B"/>
    <w:rsid w:val="00043A23"/>
    <w:rsid w:val="00043C17"/>
    <w:rsid w:val="0004405D"/>
    <w:rsid w:val="00044739"/>
    <w:rsid w:val="00044B6A"/>
    <w:rsid w:val="00044CB5"/>
    <w:rsid w:val="0004513C"/>
    <w:rsid w:val="000454B7"/>
    <w:rsid w:val="000456BD"/>
    <w:rsid w:val="000458C7"/>
    <w:rsid w:val="00045B56"/>
    <w:rsid w:val="00045FCD"/>
    <w:rsid w:val="00046579"/>
    <w:rsid w:val="000465B1"/>
    <w:rsid w:val="00046859"/>
    <w:rsid w:val="0004698B"/>
    <w:rsid w:val="00046A09"/>
    <w:rsid w:val="00046AC9"/>
    <w:rsid w:val="00046C29"/>
    <w:rsid w:val="00046D8B"/>
    <w:rsid w:val="00047259"/>
    <w:rsid w:val="00047335"/>
    <w:rsid w:val="000505D1"/>
    <w:rsid w:val="00050A42"/>
    <w:rsid w:val="00050BB1"/>
    <w:rsid w:val="00050FCC"/>
    <w:rsid w:val="0005158A"/>
    <w:rsid w:val="00051639"/>
    <w:rsid w:val="000519B5"/>
    <w:rsid w:val="00051DDB"/>
    <w:rsid w:val="00051F44"/>
    <w:rsid w:val="00052103"/>
    <w:rsid w:val="000523B8"/>
    <w:rsid w:val="0005248A"/>
    <w:rsid w:val="000524FB"/>
    <w:rsid w:val="00052A63"/>
    <w:rsid w:val="00052C3A"/>
    <w:rsid w:val="00053124"/>
    <w:rsid w:val="000532B9"/>
    <w:rsid w:val="00053473"/>
    <w:rsid w:val="0005366D"/>
    <w:rsid w:val="00053FCC"/>
    <w:rsid w:val="00054662"/>
    <w:rsid w:val="0005499E"/>
    <w:rsid w:val="00054C81"/>
    <w:rsid w:val="00054D97"/>
    <w:rsid w:val="00054E98"/>
    <w:rsid w:val="00055257"/>
    <w:rsid w:val="000553DC"/>
    <w:rsid w:val="00055559"/>
    <w:rsid w:val="00055719"/>
    <w:rsid w:val="00055867"/>
    <w:rsid w:val="00055C01"/>
    <w:rsid w:val="00055C98"/>
    <w:rsid w:val="00056308"/>
    <w:rsid w:val="00056FDA"/>
    <w:rsid w:val="00057243"/>
    <w:rsid w:val="0005731A"/>
    <w:rsid w:val="0005754E"/>
    <w:rsid w:val="000578B0"/>
    <w:rsid w:val="00057CE7"/>
    <w:rsid w:val="0006025A"/>
    <w:rsid w:val="00060346"/>
    <w:rsid w:val="00060683"/>
    <w:rsid w:val="000609CC"/>
    <w:rsid w:val="00060BD1"/>
    <w:rsid w:val="00060D0E"/>
    <w:rsid w:val="00061062"/>
    <w:rsid w:val="000613F5"/>
    <w:rsid w:val="000617A6"/>
    <w:rsid w:val="000618CC"/>
    <w:rsid w:val="0006190E"/>
    <w:rsid w:val="00061C4F"/>
    <w:rsid w:val="00061CA2"/>
    <w:rsid w:val="0006238D"/>
    <w:rsid w:val="000623F6"/>
    <w:rsid w:val="00062549"/>
    <w:rsid w:val="0006299E"/>
    <w:rsid w:val="00062A23"/>
    <w:rsid w:val="0006343A"/>
    <w:rsid w:val="0006370F"/>
    <w:rsid w:val="00063BF5"/>
    <w:rsid w:val="00064196"/>
    <w:rsid w:val="00064E05"/>
    <w:rsid w:val="0006504C"/>
    <w:rsid w:val="0006525C"/>
    <w:rsid w:val="00065569"/>
    <w:rsid w:val="00065644"/>
    <w:rsid w:val="00065C73"/>
    <w:rsid w:val="00066353"/>
    <w:rsid w:val="00066622"/>
    <w:rsid w:val="000666EB"/>
    <w:rsid w:val="00067150"/>
    <w:rsid w:val="0006727E"/>
    <w:rsid w:val="00067DEA"/>
    <w:rsid w:val="0007006E"/>
    <w:rsid w:val="000700BE"/>
    <w:rsid w:val="00070200"/>
    <w:rsid w:val="00070619"/>
    <w:rsid w:val="00070B2E"/>
    <w:rsid w:val="00070D27"/>
    <w:rsid w:val="00070E62"/>
    <w:rsid w:val="000714F7"/>
    <w:rsid w:val="00071534"/>
    <w:rsid w:val="000715FD"/>
    <w:rsid w:val="0007173B"/>
    <w:rsid w:val="00071C1B"/>
    <w:rsid w:val="0007255B"/>
    <w:rsid w:val="000725B9"/>
    <w:rsid w:val="000727A4"/>
    <w:rsid w:val="000727A6"/>
    <w:rsid w:val="00072802"/>
    <w:rsid w:val="000728BD"/>
    <w:rsid w:val="00072982"/>
    <w:rsid w:val="00072ED2"/>
    <w:rsid w:val="00073134"/>
    <w:rsid w:val="000733BA"/>
    <w:rsid w:val="00073AD7"/>
    <w:rsid w:val="00073DDE"/>
    <w:rsid w:val="00074187"/>
    <w:rsid w:val="00074570"/>
    <w:rsid w:val="000748E9"/>
    <w:rsid w:val="000756E3"/>
    <w:rsid w:val="00075875"/>
    <w:rsid w:val="00075C53"/>
    <w:rsid w:val="00075F78"/>
    <w:rsid w:val="00076191"/>
    <w:rsid w:val="0007653E"/>
    <w:rsid w:val="00076989"/>
    <w:rsid w:val="00077D8E"/>
    <w:rsid w:val="0008024A"/>
    <w:rsid w:val="000803D8"/>
    <w:rsid w:val="000803F1"/>
    <w:rsid w:val="0008056F"/>
    <w:rsid w:val="00080696"/>
    <w:rsid w:val="000806E1"/>
    <w:rsid w:val="00080B85"/>
    <w:rsid w:val="00080C69"/>
    <w:rsid w:val="00080D36"/>
    <w:rsid w:val="00080DD7"/>
    <w:rsid w:val="00080E17"/>
    <w:rsid w:val="0008135E"/>
    <w:rsid w:val="000813A7"/>
    <w:rsid w:val="00081400"/>
    <w:rsid w:val="000814E5"/>
    <w:rsid w:val="0008171F"/>
    <w:rsid w:val="00082244"/>
    <w:rsid w:val="000823A4"/>
    <w:rsid w:val="000825EF"/>
    <w:rsid w:val="0008278C"/>
    <w:rsid w:val="000828CF"/>
    <w:rsid w:val="00082AFA"/>
    <w:rsid w:val="00082BE6"/>
    <w:rsid w:val="00083178"/>
    <w:rsid w:val="000838FF"/>
    <w:rsid w:val="000845FD"/>
    <w:rsid w:val="000847ED"/>
    <w:rsid w:val="00084EDE"/>
    <w:rsid w:val="000850CF"/>
    <w:rsid w:val="000858A6"/>
    <w:rsid w:val="00085C08"/>
    <w:rsid w:val="000860B1"/>
    <w:rsid w:val="000866F1"/>
    <w:rsid w:val="00086956"/>
    <w:rsid w:val="00086B85"/>
    <w:rsid w:val="00086CED"/>
    <w:rsid w:val="00086EE5"/>
    <w:rsid w:val="0008722A"/>
    <w:rsid w:val="0008759A"/>
    <w:rsid w:val="0008791F"/>
    <w:rsid w:val="00087A97"/>
    <w:rsid w:val="000901D1"/>
    <w:rsid w:val="0009123D"/>
    <w:rsid w:val="0009133C"/>
    <w:rsid w:val="00091897"/>
    <w:rsid w:val="00091D0C"/>
    <w:rsid w:val="00091D8A"/>
    <w:rsid w:val="00091DDD"/>
    <w:rsid w:val="000928D4"/>
    <w:rsid w:val="000929A6"/>
    <w:rsid w:val="0009396D"/>
    <w:rsid w:val="00094049"/>
    <w:rsid w:val="00094303"/>
    <w:rsid w:val="00094397"/>
    <w:rsid w:val="000947BC"/>
    <w:rsid w:val="00094A88"/>
    <w:rsid w:val="00094B12"/>
    <w:rsid w:val="000950B5"/>
    <w:rsid w:val="00095337"/>
    <w:rsid w:val="000955F8"/>
    <w:rsid w:val="00095B96"/>
    <w:rsid w:val="00095BA9"/>
    <w:rsid w:val="00095DCA"/>
    <w:rsid w:val="0009603F"/>
    <w:rsid w:val="000960DD"/>
    <w:rsid w:val="00096B34"/>
    <w:rsid w:val="00096B7E"/>
    <w:rsid w:val="00096C07"/>
    <w:rsid w:val="00096DAA"/>
    <w:rsid w:val="00097141"/>
    <w:rsid w:val="000971EC"/>
    <w:rsid w:val="0009727D"/>
    <w:rsid w:val="000974CF"/>
    <w:rsid w:val="00097B1A"/>
    <w:rsid w:val="00097B3C"/>
    <w:rsid w:val="000A0944"/>
    <w:rsid w:val="000A0A19"/>
    <w:rsid w:val="000A0B19"/>
    <w:rsid w:val="000A0D7F"/>
    <w:rsid w:val="000A0D82"/>
    <w:rsid w:val="000A1755"/>
    <w:rsid w:val="000A1C99"/>
    <w:rsid w:val="000A1D38"/>
    <w:rsid w:val="000A23CF"/>
    <w:rsid w:val="000A253E"/>
    <w:rsid w:val="000A28CD"/>
    <w:rsid w:val="000A2A3B"/>
    <w:rsid w:val="000A2BBC"/>
    <w:rsid w:val="000A2BE9"/>
    <w:rsid w:val="000A2C0B"/>
    <w:rsid w:val="000A2C34"/>
    <w:rsid w:val="000A331E"/>
    <w:rsid w:val="000A36B3"/>
    <w:rsid w:val="000A37D4"/>
    <w:rsid w:val="000A38C2"/>
    <w:rsid w:val="000A3915"/>
    <w:rsid w:val="000A3DD2"/>
    <w:rsid w:val="000A40F0"/>
    <w:rsid w:val="000A496A"/>
    <w:rsid w:val="000A4C2C"/>
    <w:rsid w:val="000A57BE"/>
    <w:rsid w:val="000A5C38"/>
    <w:rsid w:val="000A5FFA"/>
    <w:rsid w:val="000A6664"/>
    <w:rsid w:val="000A67F9"/>
    <w:rsid w:val="000A6E45"/>
    <w:rsid w:val="000A78B4"/>
    <w:rsid w:val="000A7C2F"/>
    <w:rsid w:val="000B0411"/>
    <w:rsid w:val="000B07BF"/>
    <w:rsid w:val="000B094F"/>
    <w:rsid w:val="000B09D3"/>
    <w:rsid w:val="000B0A91"/>
    <w:rsid w:val="000B0BFA"/>
    <w:rsid w:val="000B0C28"/>
    <w:rsid w:val="000B19D2"/>
    <w:rsid w:val="000B2654"/>
    <w:rsid w:val="000B2AFD"/>
    <w:rsid w:val="000B3A6A"/>
    <w:rsid w:val="000B3FCC"/>
    <w:rsid w:val="000B42DF"/>
    <w:rsid w:val="000B4476"/>
    <w:rsid w:val="000B4660"/>
    <w:rsid w:val="000B4AC4"/>
    <w:rsid w:val="000B53EC"/>
    <w:rsid w:val="000B569D"/>
    <w:rsid w:val="000B59F9"/>
    <w:rsid w:val="000B5CDE"/>
    <w:rsid w:val="000B5F8B"/>
    <w:rsid w:val="000B74E9"/>
    <w:rsid w:val="000B7D19"/>
    <w:rsid w:val="000B7E15"/>
    <w:rsid w:val="000C0FBC"/>
    <w:rsid w:val="000C11C0"/>
    <w:rsid w:val="000C191D"/>
    <w:rsid w:val="000C19AB"/>
    <w:rsid w:val="000C23DB"/>
    <w:rsid w:val="000C2C96"/>
    <w:rsid w:val="000C3A59"/>
    <w:rsid w:val="000C3BAD"/>
    <w:rsid w:val="000C3E9D"/>
    <w:rsid w:val="000C3FE2"/>
    <w:rsid w:val="000C4AEB"/>
    <w:rsid w:val="000C4B98"/>
    <w:rsid w:val="000C4D50"/>
    <w:rsid w:val="000C4FE1"/>
    <w:rsid w:val="000C50E6"/>
    <w:rsid w:val="000C5596"/>
    <w:rsid w:val="000C5698"/>
    <w:rsid w:val="000C5963"/>
    <w:rsid w:val="000C5AF8"/>
    <w:rsid w:val="000C5D08"/>
    <w:rsid w:val="000C5DAB"/>
    <w:rsid w:val="000C6073"/>
    <w:rsid w:val="000C62C2"/>
    <w:rsid w:val="000C62CB"/>
    <w:rsid w:val="000C64D8"/>
    <w:rsid w:val="000C6712"/>
    <w:rsid w:val="000C68D4"/>
    <w:rsid w:val="000C6A9A"/>
    <w:rsid w:val="000C6CAE"/>
    <w:rsid w:val="000C6DBD"/>
    <w:rsid w:val="000C711C"/>
    <w:rsid w:val="000C7215"/>
    <w:rsid w:val="000C76DC"/>
    <w:rsid w:val="000C7824"/>
    <w:rsid w:val="000C78C3"/>
    <w:rsid w:val="000C79DA"/>
    <w:rsid w:val="000C7A76"/>
    <w:rsid w:val="000C7BB7"/>
    <w:rsid w:val="000C7D47"/>
    <w:rsid w:val="000D03EA"/>
    <w:rsid w:val="000D0402"/>
    <w:rsid w:val="000D0563"/>
    <w:rsid w:val="000D05C1"/>
    <w:rsid w:val="000D0D2A"/>
    <w:rsid w:val="000D0E61"/>
    <w:rsid w:val="000D1958"/>
    <w:rsid w:val="000D1A95"/>
    <w:rsid w:val="000D205A"/>
    <w:rsid w:val="000D2275"/>
    <w:rsid w:val="000D29ED"/>
    <w:rsid w:val="000D2A78"/>
    <w:rsid w:val="000D2C3D"/>
    <w:rsid w:val="000D335E"/>
    <w:rsid w:val="000D362A"/>
    <w:rsid w:val="000D3886"/>
    <w:rsid w:val="000D38F6"/>
    <w:rsid w:val="000D40DB"/>
    <w:rsid w:val="000D439E"/>
    <w:rsid w:val="000D46B0"/>
    <w:rsid w:val="000D4ADE"/>
    <w:rsid w:val="000D4F4F"/>
    <w:rsid w:val="000D512D"/>
    <w:rsid w:val="000D516D"/>
    <w:rsid w:val="000D54C0"/>
    <w:rsid w:val="000D58F7"/>
    <w:rsid w:val="000D5C7A"/>
    <w:rsid w:val="000D662F"/>
    <w:rsid w:val="000D6757"/>
    <w:rsid w:val="000D67EB"/>
    <w:rsid w:val="000D68AD"/>
    <w:rsid w:val="000D70DE"/>
    <w:rsid w:val="000D7368"/>
    <w:rsid w:val="000D775D"/>
    <w:rsid w:val="000D78C7"/>
    <w:rsid w:val="000D7AFD"/>
    <w:rsid w:val="000D7BE5"/>
    <w:rsid w:val="000D7CB2"/>
    <w:rsid w:val="000D7DE4"/>
    <w:rsid w:val="000D7EAC"/>
    <w:rsid w:val="000E01A3"/>
    <w:rsid w:val="000E0C03"/>
    <w:rsid w:val="000E106E"/>
    <w:rsid w:val="000E18EE"/>
    <w:rsid w:val="000E1E50"/>
    <w:rsid w:val="000E2ADA"/>
    <w:rsid w:val="000E2E5E"/>
    <w:rsid w:val="000E3073"/>
    <w:rsid w:val="000E3854"/>
    <w:rsid w:val="000E3EC1"/>
    <w:rsid w:val="000E4285"/>
    <w:rsid w:val="000E4464"/>
    <w:rsid w:val="000E50A2"/>
    <w:rsid w:val="000E518F"/>
    <w:rsid w:val="000E5686"/>
    <w:rsid w:val="000E5D24"/>
    <w:rsid w:val="000E60D3"/>
    <w:rsid w:val="000E60D7"/>
    <w:rsid w:val="000E6171"/>
    <w:rsid w:val="000E62AB"/>
    <w:rsid w:val="000E66AC"/>
    <w:rsid w:val="000E72E1"/>
    <w:rsid w:val="000E73A5"/>
    <w:rsid w:val="000E75EF"/>
    <w:rsid w:val="000E7B21"/>
    <w:rsid w:val="000F00A2"/>
    <w:rsid w:val="000F0296"/>
    <w:rsid w:val="000F092D"/>
    <w:rsid w:val="000F0B6B"/>
    <w:rsid w:val="000F0BD2"/>
    <w:rsid w:val="000F0EC8"/>
    <w:rsid w:val="000F14E1"/>
    <w:rsid w:val="000F154C"/>
    <w:rsid w:val="000F16AA"/>
    <w:rsid w:val="000F1BE2"/>
    <w:rsid w:val="000F221E"/>
    <w:rsid w:val="000F267C"/>
    <w:rsid w:val="000F29F0"/>
    <w:rsid w:val="000F34B2"/>
    <w:rsid w:val="000F3B79"/>
    <w:rsid w:val="000F481C"/>
    <w:rsid w:val="000F51C0"/>
    <w:rsid w:val="000F5739"/>
    <w:rsid w:val="000F5A1A"/>
    <w:rsid w:val="000F5BD9"/>
    <w:rsid w:val="000F68E3"/>
    <w:rsid w:val="000F6D91"/>
    <w:rsid w:val="000F7035"/>
    <w:rsid w:val="000F726C"/>
    <w:rsid w:val="000F737B"/>
    <w:rsid w:val="000F7D2F"/>
    <w:rsid w:val="000F7E97"/>
    <w:rsid w:val="000F7F82"/>
    <w:rsid w:val="000F7FC4"/>
    <w:rsid w:val="00100000"/>
    <w:rsid w:val="001009F2"/>
    <w:rsid w:val="00100F77"/>
    <w:rsid w:val="00101027"/>
    <w:rsid w:val="00101196"/>
    <w:rsid w:val="001013A1"/>
    <w:rsid w:val="0010144D"/>
    <w:rsid w:val="0010157E"/>
    <w:rsid w:val="00102036"/>
    <w:rsid w:val="00102955"/>
    <w:rsid w:val="001030D9"/>
    <w:rsid w:val="0010323F"/>
    <w:rsid w:val="001035BA"/>
    <w:rsid w:val="0010378C"/>
    <w:rsid w:val="00103F44"/>
    <w:rsid w:val="00103FC3"/>
    <w:rsid w:val="00103FEA"/>
    <w:rsid w:val="00104016"/>
    <w:rsid w:val="0010417E"/>
    <w:rsid w:val="001044E0"/>
    <w:rsid w:val="00104529"/>
    <w:rsid w:val="00104844"/>
    <w:rsid w:val="00104885"/>
    <w:rsid w:val="00104BE7"/>
    <w:rsid w:val="00104CDF"/>
    <w:rsid w:val="00104F1C"/>
    <w:rsid w:val="0010521F"/>
    <w:rsid w:val="00105863"/>
    <w:rsid w:val="00105B66"/>
    <w:rsid w:val="00105C53"/>
    <w:rsid w:val="0010623F"/>
    <w:rsid w:val="001064CF"/>
    <w:rsid w:val="001069EC"/>
    <w:rsid w:val="00106A76"/>
    <w:rsid w:val="00106EA5"/>
    <w:rsid w:val="001074CC"/>
    <w:rsid w:val="00107B2A"/>
    <w:rsid w:val="00107D79"/>
    <w:rsid w:val="0011013F"/>
    <w:rsid w:val="00110327"/>
    <w:rsid w:val="00110A89"/>
    <w:rsid w:val="00110AB4"/>
    <w:rsid w:val="00110E24"/>
    <w:rsid w:val="00110FAE"/>
    <w:rsid w:val="00111635"/>
    <w:rsid w:val="00111EA5"/>
    <w:rsid w:val="00112073"/>
    <w:rsid w:val="00112278"/>
    <w:rsid w:val="00112303"/>
    <w:rsid w:val="0011276F"/>
    <w:rsid w:val="001127EA"/>
    <w:rsid w:val="00112943"/>
    <w:rsid w:val="001129B2"/>
    <w:rsid w:val="00112A29"/>
    <w:rsid w:val="00113309"/>
    <w:rsid w:val="0011338A"/>
    <w:rsid w:val="00113697"/>
    <w:rsid w:val="00113E63"/>
    <w:rsid w:val="00114089"/>
    <w:rsid w:val="00114428"/>
    <w:rsid w:val="00114676"/>
    <w:rsid w:val="001146DE"/>
    <w:rsid w:val="001149A5"/>
    <w:rsid w:val="00115ED8"/>
    <w:rsid w:val="001161D2"/>
    <w:rsid w:val="001162A5"/>
    <w:rsid w:val="00116827"/>
    <w:rsid w:val="00116996"/>
    <w:rsid w:val="00116A88"/>
    <w:rsid w:val="00117082"/>
    <w:rsid w:val="001178EC"/>
    <w:rsid w:val="00117DE8"/>
    <w:rsid w:val="00117E63"/>
    <w:rsid w:val="00117E74"/>
    <w:rsid w:val="00120125"/>
    <w:rsid w:val="00120360"/>
    <w:rsid w:val="001208B9"/>
    <w:rsid w:val="00120C3A"/>
    <w:rsid w:val="00120D20"/>
    <w:rsid w:val="001210AD"/>
    <w:rsid w:val="00121687"/>
    <w:rsid w:val="00121BA6"/>
    <w:rsid w:val="00121E86"/>
    <w:rsid w:val="0012201F"/>
    <w:rsid w:val="00122219"/>
    <w:rsid w:val="0012264C"/>
    <w:rsid w:val="00122847"/>
    <w:rsid w:val="00122C7A"/>
    <w:rsid w:val="00122F1A"/>
    <w:rsid w:val="00123168"/>
    <w:rsid w:val="00123333"/>
    <w:rsid w:val="00124253"/>
    <w:rsid w:val="001243B9"/>
    <w:rsid w:val="001243EE"/>
    <w:rsid w:val="001244E1"/>
    <w:rsid w:val="001246CA"/>
    <w:rsid w:val="0012505C"/>
    <w:rsid w:val="001255D9"/>
    <w:rsid w:val="00125820"/>
    <w:rsid w:val="0012596A"/>
    <w:rsid w:val="00125E61"/>
    <w:rsid w:val="00126162"/>
    <w:rsid w:val="001265C4"/>
    <w:rsid w:val="00126797"/>
    <w:rsid w:val="001268DF"/>
    <w:rsid w:val="001271CC"/>
    <w:rsid w:val="001274A8"/>
    <w:rsid w:val="001275AE"/>
    <w:rsid w:val="0012774B"/>
    <w:rsid w:val="00127D7C"/>
    <w:rsid w:val="00127FAE"/>
    <w:rsid w:val="0013037F"/>
    <w:rsid w:val="001310E7"/>
    <w:rsid w:val="001313D2"/>
    <w:rsid w:val="00131546"/>
    <w:rsid w:val="001318C7"/>
    <w:rsid w:val="001319AD"/>
    <w:rsid w:val="00131FB3"/>
    <w:rsid w:val="001322E4"/>
    <w:rsid w:val="0013293F"/>
    <w:rsid w:val="00132C3F"/>
    <w:rsid w:val="00132D6E"/>
    <w:rsid w:val="00132E0C"/>
    <w:rsid w:val="00133160"/>
    <w:rsid w:val="00133172"/>
    <w:rsid w:val="001332BC"/>
    <w:rsid w:val="0013349E"/>
    <w:rsid w:val="00133A0A"/>
    <w:rsid w:val="00133E0B"/>
    <w:rsid w:val="0013448C"/>
    <w:rsid w:val="00134798"/>
    <w:rsid w:val="00134826"/>
    <w:rsid w:val="0013485F"/>
    <w:rsid w:val="00135064"/>
    <w:rsid w:val="0013506C"/>
    <w:rsid w:val="00135103"/>
    <w:rsid w:val="001351FC"/>
    <w:rsid w:val="00135460"/>
    <w:rsid w:val="00135660"/>
    <w:rsid w:val="00135B94"/>
    <w:rsid w:val="00135EEC"/>
    <w:rsid w:val="00136211"/>
    <w:rsid w:val="001365BB"/>
    <w:rsid w:val="0013675D"/>
    <w:rsid w:val="0013684B"/>
    <w:rsid w:val="00136B89"/>
    <w:rsid w:val="00136BF7"/>
    <w:rsid w:val="00136E7D"/>
    <w:rsid w:val="00137759"/>
    <w:rsid w:val="00137C3E"/>
    <w:rsid w:val="00140650"/>
    <w:rsid w:val="0014076F"/>
    <w:rsid w:val="00140DD0"/>
    <w:rsid w:val="00140DDF"/>
    <w:rsid w:val="00141840"/>
    <w:rsid w:val="00141D97"/>
    <w:rsid w:val="001427F4"/>
    <w:rsid w:val="00142A77"/>
    <w:rsid w:val="00143624"/>
    <w:rsid w:val="0014436D"/>
    <w:rsid w:val="0014438E"/>
    <w:rsid w:val="00144840"/>
    <w:rsid w:val="00144CB8"/>
    <w:rsid w:val="00145650"/>
    <w:rsid w:val="00145654"/>
    <w:rsid w:val="00145D7D"/>
    <w:rsid w:val="00146341"/>
    <w:rsid w:val="0014677E"/>
    <w:rsid w:val="00147B69"/>
    <w:rsid w:val="00147C22"/>
    <w:rsid w:val="001505A9"/>
    <w:rsid w:val="00150A4B"/>
    <w:rsid w:val="00150AE6"/>
    <w:rsid w:val="00150D9E"/>
    <w:rsid w:val="00150E13"/>
    <w:rsid w:val="00151222"/>
    <w:rsid w:val="00151439"/>
    <w:rsid w:val="001519A8"/>
    <w:rsid w:val="00151A60"/>
    <w:rsid w:val="00151CE6"/>
    <w:rsid w:val="00152D46"/>
    <w:rsid w:val="00152D5F"/>
    <w:rsid w:val="00152F25"/>
    <w:rsid w:val="00152FDF"/>
    <w:rsid w:val="001535F8"/>
    <w:rsid w:val="00153708"/>
    <w:rsid w:val="00153B09"/>
    <w:rsid w:val="00153C96"/>
    <w:rsid w:val="00153CBE"/>
    <w:rsid w:val="00153CCB"/>
    <w:rsid w:val="00153DFF"/>
    <w:rsid w:val="0015401F"/>
    <w:rsid w:val="001548C6"/>
    <w:rsid w:val="00154A1C"/>
    <w:rsid w:val="00154D89"/>
    <w:rsid w:val="00154FED"/>
    <w:rsid w:val="001551DB"/>
    <w:rsid w:val="00155735"/>
    <w:rsid w:val="00155A5E"/>
    <w:rsid w:val="00155A65"/>
    <w:rsid w:val="00155B1A"/>
    <w:rsid w:val="0015608D"/>
    <w:rsid w:val="00156AA8"/>
    <w:rsid w:val="00156E17"/>
    <w:rsid w:val="0015704D"/>
    <w:rsid w:val="00157BC2"/>
    <w:rsid w:val="00157CF7"/>
    <w:rsid w:val="00157E1F"/>
    <w:rsid w:val="00157EE2"/>
    <w:rsid w:val="001600A9"/>
    <w:rsid w:val="00160121"/>
    <w:rsid w:val="00160F47"/>
    <w:rsid w:val="001616F0"/>
    <w:rsid w:val="00161800"/>
    <w:rsid w:val="00161861"/>
    <w:rsid w:val="00161A50"/>
    <w:rsid w:val="00161F96"/>
    <w:rsid w:val="00162C65"/>
    <w:rsid w:val="00162CCB"/>
    <w:rsid w:val="001630BF"/>
    <w:rsid w:val="0016317C"/>
    <w:rsid w:val="0016370A"/>
    <w:rsid w:val="00163793"/>
    <w:rsid w:val="001638F7"/>
    <w:rsid w:val="00163D88"/>
    <w:rsid w:val="00163E8F"/>
    <w:rsid w:val="001640E8"/>
    <w:rsid w:val="00164429"/>
    <w:rsid w:val="001645BC"/>
    <w:rsid w:val="0016472D"/>
    <w:rsid w:val="001649E7"/>
    <w:rsid w:val="00164B6D"/>
    <w:rsid w:val="00164CAD"/>
    <w:rsid w:val="00164CF1"/>
    <w:rsid w:val="00164F30"/>
    <w:rsid w:val="00165325"/>
    <w:rsid w:val="0016533F"/>
    <w:rsid w:val="001654FF"/>
    <w:rsid w:val="00165579"/>
    <w:rsid w:val="001656FF"/>
    <w:rsid w:val="00165C1B"/>
    <w:rsid w:val="001660FF"/>
    <w:rsid w:val="0016644A"/>
    <w:rsid w:val="001665D0"/>
    <w:rsid w:val="00166827"/>
    <w:rsid w:val="00166A69"/>
    <w:rsid w:val="001670D4"/>
    <w:rsid w:val="00167302"/>
    <w:rsid w:val="00167A77"/>
    <w:rsid w:val="00170188"/>
    <w:rsid w:val="001706CE"/>
    <w:rsid w:val="00170EE5"/>
    <w:rsid w:val="00171145"/>
    <w:rsid w:val="0017118D"/>
    <w:rsid w:val="00171CF0"/>
    <w:rsid w:val="00171E6E"/>
    <w:rsid w:val="00171EE0"/>
    <w:rsid w:val="00171FD9"/>
    <w:rsid w:val="00172452"/>
    <w:rsid w:val="0017274F"/>
    <w:rsid w:val="0017293D"/>
    <w:rsid w:val="001729AB"/>
    <w:rsid w:val="00172EFC"/>
    <w:rsid w:val="00173C58"/>
    <w:rsid w:val="00173DC5"/>
    <w:rsid w:val="00173E89"/>
    <w:rsid w:val="00174099"/>
    <w:rsid w:val="00174420"/>
    <w:rsid w:val="00174C08"/>
    <w:rsid w:val="001757C6"/>
    <w:rsid w:val="00175893"/>
    <w:rsid w:val="001758E0"/>
    <w:rsid w:val="00175EC9"/>
    <w:rsid w:val="0017617A"/>
    <w:rsid w:val="00176328"/>
    <w:rsid w:val="0017725B"/>
    <w:rsid w:val="0017732D"/>
    <w:rsid w:val="00177339"/>
    <w:rsid w:val="00177A2B"/>
    <w:rsid w:val="00177A48"/>
    <w:rsid w:val="0018024B"/>
    <w:rsid w:val="00180458"/>
    <w:rsid w:val="001811D4"/>
    <w:rsid w:val="0018196C"/>
    <w:rsid w:val="00181A19"/>
    <w:rsid w:val="00181D63"/>
    <w:rsid w:val="00181D8E"/>
    <w:rsid w:val="00181EE1"/>
    <w:rsid w:val="00181F65"/>
    <w:rsid w:val="00181FC3"/>
    <w:rsid w:val="0018222C"/>
    <w:rsid w:val="00182444"/>
    <w:rsid w:val="00182594"/>
    <w:rsid w:val="001826A0"/>
    <w:rsid w:val="00182871"/>
    <w:rsid w:val="00182C29"/>
    <w:rsid w:val="00182CD8"/>
    <w:rsid w:val="00182D29"/>
    <w:rsid w:val="00182D6A"/>
    <w:rsid w:val="00182E9F"/>
    <w:rsid w:val="00183153"/>
    <w:rsid w:val="0018327F"/>
    <w:rsid w:val="001837C4"/>
    <w:rsid w:val="00183A84"/>
    <w:rsid w:val="00183C6C"/>
    <w:rsid w:val="00183D84"/>
    <w:rsid w:val="001842CD"/>
    <w:rsid w:val="00184316"/>
    <w:rsid w:val="00184322"/>
    <w:rsid w:val="001843A6"/>
    <w:rsid w:val="0018469F"/>
    <w:rsid w:val="0018471F"/>
    <w:rsid w:val="00184DA2"/>
    <w:rsid w:val="00185AE9"/>
    <w:rsid w:val="00185E1A"/>
    <w:rsid w:val="001864ED"/>
    <w:rsid w:val="00186546"/>
    <w:rsid w:val="00186CE7"/>
    <w:rsid w:val="00186D83"/>
    <w:rsid w:val="00187196"/>
    <w:rsid w:val="00187306"/>
    <w:rsid w:val="001876A1"/>
    <w:rsid w:val="001877BF"/>
    <w:rsid w:val="00187A8A"/>
    <w:rsid w:val="00190027"/>
    <w:rsid w:val="00190030"/>
    <w:rsid w:val="00190ADA"/>
    <w:rsid w:val="00190F4B"/>
    <w:rsid w:val="001910BC"/>
    <w:rsid w:val="001913DB"/>
    <w:rsid w:val="001914FD"/>
    <w:rsid w:val="00191A13"/>
    <w:rsid w:val="00191ADD"/>
    <w:rsid w:val="00191E6F"/>
    <w:rsid w:val="0019223E"/>
    <w:rsid w:val="001926B1"/>
    <w:rsid w:val="00193223"/>
    <w:rsid w:val="0019335F"/>
    <w:rsid w:val="001933D1"/>
    <w:rsid w:val="00193709"/>
    <w:rsid w:val="00193715"/>
    <w:rsid w:val="00193E7E"/>
    <w:rsid w:val="0019456B"/>
    <w:rsid w:val="00194CDE"/>
    <w:rsid w:val="00194E00"/>
    <w:rsid w:val="001953FF"/>
    <w:rsid w:val="0019567A"/>
    <w:rsid w:val="0019619A"/>
    <w:rsid w:val="001961E6"/>
    <w:rsid w:val="00196407"/>
    <w:rsid w:val="00196FFB"/>
    <w:rsid w:val="001970B5"/>
    <w:rsid w:val="001971A6"/>
    <w:rsid w:val="001976D8"/>
    <w:rsid w:val="001977A9"/>
    <w:rsid w:val="0019797F"/>
    <w:rsid w:val="00197C40"/>
    <w:rsid w:val="001A0661"/>
    <w:rsid w:val="001A074E"/>
    <w:rsid w:val="001A07EB"/>
    <w:rsid w:val="001A0C53"/>
    <w:rsid w:val="001A16CB"/>
    <w:rsid w:val="001A184C"/>
    <w:rsid w:val="001A1BC4"/>
    <w:rsid w:val="001A1C92"/>
    <w:rsid w:val="001A1F57"/>
    <w:rsid w:val="001A210B"/>
    <w:rsid w:val="001A4130"/>
    <w:rsid w:val="001A4E97"/>
    <w:rsid w:val="001A550F"/>
    <w:rsid w:val="001A5522"/>
    <w:rsid w:val="001A5A73"/>
    <w:rsid w:val="001A5ACF"/>
    <w:rsid w:val="001A5FF4"/>
    <w:rsid w:val="001A6091"/>
    <w:rsid w:val="001A6352"/>
    <w:rsid w:val="001A66FD"/>
    <w:rsid w:val="001A68A4"/>
    <w:rsid w:val="001A68BD"/>
    <w:rsid w:val="001A6B19"/>
    <w:rsid w:val="001A6B52"/>
    <w:rsid w:val="001A6B73"/>
    <w:rsid w:val="001A7315"/>
    <w:rsid w:val="001A743D"/>
    <w:rsid w:val="001A7641"/>
    <w:rsid w:val="001A797F"/>
    <w:rsid w:val="001A7E4B"/>
    <w:rsid w:val="001B0034"/>
    <w:rsid w:val="001B0D40"/>
    <w:rsid w:val="001B0DF3"/>
    <w:rsid w:val="001B0F00"/>
    <w:rsid w:val="001B19D6"/>
    <w:rsid w:val="001B1E64"/>
    <w:rsid w:val="001B21EC"/>
    <w:rsid w:val="001B2271"/>
    <w:rsid w:val="001B294C"/>
    <w:rsid w:val="001B3B53"/>
    <w:rsid w:val="001B3BE5"/>
    <w:rsid w:val="001B3CDF"/>
    <w:rsid w:val="001B3D48"/>
    <w:rsid w:val="001B3E0B"/>
    <w:rsid w:val="001B3EBC"/>
    <w:rsid w:val="001B3F7F"/>
    <w:rsid w:val="001B44E7"/>
    <w:rsid w:val="001B4941"/>
    <w:rsid w:val="001B5729"/>
    <w:rsid w:val="001B5BF2"/>
    <w:rsid w:val="001B5E33"/>
    <w:rsid w:val="001B6233"/>
    <w:rsid w:val="001B647C"/>
    <w:rsid w:val="001B64A4"/>
    <w:rsid w:val="001B7A46"/>
    <w:rsid w:val="001B7A81"/>
    <w:rsid w:val="001B7AFA"/>
    <w:rsid w:val="001B7BFD"/>
    <w:rsid w:val="001C0271"/>
    <w:rsid w:val="001C0277"/>
    <w:rsid w:val="001C0306"/>
    <w:rsid w:val="001C0F43"/>
    <w:rsid w:val="001C1234"/>
    <w:rsid w:val="001C14F6"/>
    <w:rsid w:val="001C19B4"/>
    <w:rsid w:val="001C19F5"/>
    <w:rsid w:val="001C1F9A"/>
    <w:rsid w:val="001C2297"/>
    <w:rsid w:val="001C2715"/>
    <w:rsid w:val="001C2943"/>
    <w:rsid w:val="001C2F01"/>
    <w:rsid w:val="001C2F19"/>
    <w:rsid w:val="001C304C"/>
    <w:rsid w:val="001C309F"/>
    <w:rsid w:val="001C3783"/>
    <w:rsid w:val="001C383E"/>
    <w:rsid w:val="001C3905"/>
    <w:rsid w:val="001C39FD"/>
    <w:rsid w:val="001C3E9D"/>
    <w:rsid w:val="001C42E2"/>
    <w:rsid w:val="001C44EB"/>
    <w:rsid w:val="001C46B2"/>
    <w:rsid w:val="001C4883"/>
    <w:rsid w:val="001C4986"/>
    <w:rsid w:val="001C4ED2"/>
    <w:rsid w:val="001C50D4"/>
    <w:rsid w:val="001C5128"/>
    <w:rsid w:val="001C5537"/>
    <w:rsid w:val="001C5567"/>
    <w:rsid w:val="001C57EB"/>
    <w:rsid w:val="001C5C32"/>
    <w:rsid w:val="001C5D6E"/>
    <w:rsid w:val="001C5FCB"/>
    <w:rsid w:val="001C60FC"/>
    <w:rsid w:val="001C60FF"/>
    <w:rsid w:val="001C627C"/>
    <w:rsid w:val="001C6822"/>
    <w:rsid w:val="001C6A02"/>
    <w:rsid w:val="001C6FED"/>
    <w:rsid w:val="001C704E"/>
    <w:rsid w:val="001C743E"/>
    <w:rsid w:val="001C746E"/>
    <w:rsid w:val="001C77D8"/>
    <w:rsid w:val="001C78CA"/>
    <w:rsid w:val="001D0300"/>
    <w:rsid w:val="001D05B2"/>
    <w:rsid w:val="001D0678"/>
    <w:rsid w:val="001D0AEE"/>
    <w:rsid w:val="001D0B0D"/>
    <w:rsid w:val="001D0EE1"/>
    <w:rsid w:val="001D1C01"/>
    <w:rsid w:val="001D1E40"/>
    <w:rsid w:val="001D1F4B"/>
    <w:rsid w:val="001D2173"/>
    <w:rsid w:val="001D2290"/>
    <w:rsid w:val="001D2D55"/>
    <w:rsid w:val="001D2DCE"/>
    <w:rsid w:val="001D2E88"/>
    <w:rsid w:val="001D31B5"/>
    <w:rsid w:val="001D3DD9"/>
    <w:rsid w:val="001D431A"/>
    <w:rsid w:val="001D4E73"/>
    <w:rsid w:val="001D5022"/>
    <w:rsid w:val="001D52CE"/>
    <w:rsid w:val="001D6376"/>
    <w:rsid w:val="001D638D"/>
    <w:rsid w:val="001D69AF"/>
    <w:rsid w:val="001D6B06"/>
    <w:rsid w:val="001D6B8D"/>
    <w:rsid w:val="001D6CE6"/>
    <w:rsid w:val="001D6E6E"/>
    <w:rsid w:val="001D71C7"/>
    <w:rsid w:val="001D729D"/>
    <w:rsid w:val="001D7431"/>
    <w:rsid w:val="001D7853"/>
    <w:rsid w:val="001D79D3"/>
    <w:rsid w:val="001D7B05"/>
    <w:rsid w:val="001D7DA3"/>
    <w:rsid w:val="001D7FE6"/>
    <w:rsid w:val="001E004C"/>
    <w:rsid w:val="001E02F1"/>
    <w:rsid w:val="001E063F"/>
    <w:rsid w:val="001E067D"/>
    <w:rsid w:val="001E0DD0"/>
    <w:rsid w:val="001E128D"/>
    <w:rsid w:val="001E12D9"/>
    <w:rsid w:val="001E198B"/>
    <w:rsid w:val="001E1D22"/>
    <w:rsid w:val="001E1D6D"/>
    <w:rsid w:val="001E20D0"/>
    <w:rsid w:val="001E20E2"/>
    <w:rsid w:val="001E26E1"/>
    <w:rsid w:val="001E347F"/>
    <w:rsid w:val="001E3524"/>
    <w:rsid w:val="001E38D9"/>
    <w:rsid w:val="001E3CCD"/>
    <w:rsid w:val="001E3ED3"/>
    <w:rsid w:val="001E4208"/>
    <w:rsid w:val="001E46A4"/>
    <w:rsid w:val="001E479A"/>
    <w:rsid w:val="001E48E0"/>
    <w:rsid w:val="001E49DD"/>
    <w:rsid w:val="001E570E"/>
    <w:rsid w:val="001E57D8"/>
    <w:rsid w:val="001E593D"/>
    <w:rsid w:val="001E59C8"/>
    <w:rsid w:val="001E5B5D"/>
    <w:rsid w:val="001E5DB6"/>
    <w:rsid w:val="001E66ED"/>
    <w:rsid w:val="001E6B45"/>
    <w:rsid w:val="001E6DF3"/>
    <w:rsid w:val="001E6E8D"/>
    <w:rsid w:val="001E7694"/>
    <w:rsid w:val="001E7C85"/>
    <w:rsid w:val="001E7DD5"/>
    <w:rsid w:val="001F0119"/>
    <w:rsid w:val="001F078E"/>
    <w:rsid w:val="001F12A4"/>
    <w:rsid w:val="001F1470"/>
    <w:rsid w:val="001F1CEA"/>
    <w:rsid w:val="001F27F5"/>
    <w:rsid w:val="001F2930"/>
    <w:rsid w:val="001F2FB1"/>
    <w:rsid w:val="001F2FC1"/>
    <w:rsid w:val="001F3037"/>
    <w:rsid w:val="001F303E"/>
    <w:rsid w:val="001F33F0"/>
    <w:rsid w:val="001F34E3"/>
    <w:rsid w:val="001F3AFE"/>
    <w:rsid w:val="001F3EEB"/>
    <w:rsid w:val="001F408B"/>
    <w:rsid w:val="001F4170"/>
    <w:rsid w:val="001F4613"/>
    <w:rsid w:val="001F4652"/>
    <w:rsid w:val="001F485F"/>
    <w:rsid w:val="001F4918"/>
    <w:rsid w:val="001F4C64"/>
    <w:rsid w:val="001F4D0D"/>
    <w:rsid w:val="001F500E"/>
    <w:rsid w:val="001F512B"/>
    <w:rsid w:val="001F52D5"/>
    <w:rsid w:val="001F548E"/>
    <w:rsid w:val="001F588D"/>
    <w:rsid w:val="001F59F6"/>
    <w:rsid w:val="001F5B0D"/>
    <w:rsid w:val="001F5E63"/>
    <w:rsid w:val="001F679E"/>
    <w:rsid w:val="001F6C6A"/>
    <w:rsid w:val="001F6D35"/>
    <w:rsid w:val="001F71BE"/>
    <w:rsid w:val="001F74E5"/>
    <w:rsid w:val="001F767C"/>
    <w:rsid w:val="001F7C89"/>
    <w:rsid w:val="00200753"/>
    <w:rsid w:val="00200CF7"/>
    <w:rsid w:val="0020105C"/>
    <w:rsid w:val="00201120"/>
    <w:rsid w:val="002013DB"/>
    <w:rsid w:val="00201F21"/>
    <w:rsid w:val="00201F8F"/>
    <w:rsid w:val="002020DC"/>
    <w:rsid w:val="00202219"/>
    <w:rsid w:val="002022B4"/>
    <w:rsid w:val="002023CF"/>
    <w:rsid w:val="002027AD"/>
    <w:rsid w:val="00202887"/>
    <w:rsid w:val="0020294F"/>
    <w:rsid w:val="00202C02"/>
    <w:rsid w:val="00203315"/>
    <w:rsid w:val="00203435"/>
    <w:rsid w:val="00203CA4"/>
    <w:rsid w:val="00203D3E"/>
    <w:rsid w:val="00203E81"/>
    <w:rsid w:val="00204017"/>
    <w:rsid w:val="00204860"/>
    <w:rsid w:val="00204B81"/>
    <w:rsid w:val="00204BCA"/>
    <w:rsid w:val="00204D9B"/>
    <w:rsid w:val="00204EC8"/>
    <w:rsid w:val="002053A7"/>
    <w:rsid w:val="00205514"/>
    <w:rsid w:val="00205A90"/>
    <w:rsid w:val="00205FA2"/>
    <w:rsid w:val="00205FF5"/>
    <w:rsid w:val="0020631C"/>
    <w:rsid w:val="002067B8"/>
    <w:rsid w:val="0020680E"/>
    <w:rsid w:val="00206972"/>
    <w:rsid w:val="00206D3D"/>
    <w:rsid w:val="00206F04"/>
    <w:rsid w:val="002070C1"/>
    <w:rsid w:val="0020730C"/>
    <w:rsid w:val="0020748E"/>
    <w:rsid w:val="002079B2"/>
    <w:rsid w:val="00207ABD"/>
    <w:rsid w:val="00207CAC"/>
    <w:rsid w:val="00207CCB"/>
    <w:rsid w:val="002102E7"/>
    <w:rsid w:val="0021062E"/>
    <w:rsid w:val="002108C4"/>
    <w:rsid w:val="00210D69"/>
    <w:rsid w:val="002110D6"/>
    <w:rsid w:val="002111B5"/>
    <w:rsid w:val="00211250"/>
    <w:rsid w:val="0021125F"/>
    <w:rsid w:val="002112AD"/>
    <w:rsid w:val="00211A76"/>
    <w:rsid w:val="00211B48"/>
    <w:rsid w:val="00211D1A"/>
    <w:rsid w:val="00211DC1"/>
    <w:rsid w:val="00212583"/>
    <w:rsid w:val="002125E9"/>
    <w:rsid w:val="002128C9"/>
    <w:rsid w:val="00212AD1"/>
    <w:rsid w:val="00212BA8"/>
    <w:rsid w:val="0021345F"/>
    <w:rsid w:val="0021369B"/>
    <w:rsid w:val="00213CE5"/>
    <w:rsid w:val="00213D14"/>
    <w:rsid w:val="002145F2"/>
    <w:rsid w:val="00214A9D"/>
    <w:rsid w:val="002158A1"/>
    <w:rsid w:val="00215B0B"/>
    <w:rsid w:val="00215B9A"/>
    <w:rsid w:val="0021632A"/>
    <w:rsid w:val="00216519"/>
    <w:rsid w:val="0021720B"/>
    <w:rsid w:val="002177CB"/>
    <w:rsid w:val="0021790F"/>
    <w:rsid w:val="0022054F"/>
    <w:rsid w:val="00220833"/>
    <w:rsid w:val="00220ACC"/>
    <w:rsid w:val="00220B43"/>
    <w:rsid w:val="00220FDB"/>
    <w:rsid w:val="0022110B"/>
    <w:rsid w:val="002213C0"/>
    <w:rsid w:val="00221D06"/>
    <w:rsid w:val="00222966"/>
    <w:rsid w:val="00223002"/>
    <w:rsid w:val="00223168"/>
    <w:rsid w:val="0022329E"/>
    <w:rsid w:val="002233CD"/>
    <w:rsid w:val="0022352B"/>
    <w:rsid w:val="002235CA"/>
    <w:rsid w:val="0022363A"/>
    <w:rsid w:val="00223739"/>
    <w:rsid w:val="00223A9D"/>
    <w:rsid w:val="00225483"/>
    <w:rsid w:val="002255FA"/>
    <w:rsid w:val="0022583A"/>
    <w:rsid w:val="002258FC"/>
    <w:rsid w:val="002259B0"/>
    <w:rsid w:val="002259CF"/>
    <w:rsid w:val="00225CD9"/>
    <w:rsid w:val="00225DEC"/>
    <w:rsid w:val="00225F3F"/>
    <w:rsid w:val="002261AD"/>
    <w:rsid w:val="0022657D"/>
    <w:rsid w:val="00226DD5"/>
    <w:rsid w:val="00227088"/>
    <w:rsid w:val="002271D6"/>
    <w:rsid w:val="002272E6"/>
    <w:rsid w:val="0022736D"/>
    <w:rsid w:val="002276AA"/>
    <w:rsid w:val="00227CC4"/>
    <w:rsid w:val="00227F40"/>
    <w:rsid w:val="0023070A"/>
    <w:rsid w:val="00230884"/>
    <w:rsid w:val="00230915"/>
    <w:rsid w:val="00231161"/>
    <w:rsid w:val="002311CC"/>
    <w:rsid w:val="0023141E"/>
    <w:rsid w:val="0023232A"/>
    <w:rsid w:val="0023235A"/>
    <w:rsid w:val="002326C0"/>
    <w:rsid w:val="00232CA8"/>
    <w:rsid w:val="002338AF"/>
    <w:rsid w:val="00233E93"/>
    <w:rsid w:val="00234182"/>
    <w:rsid w:val="00234843"/>
    <w:rsid w:val="00234936"/>
    <w:rsid w:val="00234F56"/>
    <w:rsid w:val="00235379"/>
    <w:rsid w:val="00235872"/>
    <w:rsid w:val="00235ABA"/>
    <w:rsid w:val="0023607C"/>
    <w:rsid w:val="00236612"/>
    <w:rsid w:val="00236723"/>
    <w:rsid w:val="00236EF9"/>
    <w:rsid w:val="00237261"/>
    <w:rsid w:val="0023774E"/>
    <w:rsid w:val="00237B89"/>
    <w:rsid w:val="00237E04"/>
    <w:rsid w:val="00237E5B"/>
    <w:rsid w:val="00240369"/>
    <w:rsid w:val="00240385"/>
    <w:rsid w:val="002405C5"/>
    <w:rsid w:val="00240779"/>
    <w:rsid w:val="00240BE7"/>
    <w:rsid w:val="00241CC4"/>
    <w:rsid w:val="002427D3"/>
    <w:rsid w:val="00242CC5"/>
    <w:rsid w:val="00243709"/>
    <w:rsid w:val="00243C03"/>
    <w:rsid w:val="00243D23"/>
    <w:rsid w:val="00244018"/>
    <w:rsid w:val="0024430C"/>
    <w:rsid w:val="002447AE"/>
    <w:rsid w:val="00244822"/>
    <w:rsid w:val="00244B03"/>
    <w:rsid w:val="00244CD2"/>
    <w:rsid w:val="002457D5"/>
    <w:rsid w:val="00245AF3"/>
    <w:rsid w:val="00245B6F"/>
    <w:rsid w:val="00245C3C"/>
    <w:rsid w:val="00245E02"/>
    <w:rsid w:val="00246118"/>
    <w:rsid w:val="00246735"/>
    <w:rsid w:val="002468EC"/>
    <w:rsid w:val="0024696C"/>
    <w:rsid w:val="002473DB"/>
    <w:rsid w:val="00247583"/>
    <w:rsid w:val="00247ECE"/>
    <w:rsid w:val="0025040B"/>
    <w:rsid w:val="002508AF"/>
    <w:rsid w:val="00251347"/>
    <w:rsid w:val="00251494"/>
    <w:rsid w:val="002514E6"/>
    <w:rsid w:val="00251A2B"/>
    <w:rsid w:val="00251D2A"/>
    <w:rsid w:val="00252304"/>
    <w:rsid w:val="0025266F"/>
    <w:rsid w:val="002526F3"/>
    <w:rsid w:val="00252839"/>
    <w:rsid w:val="00252881"/>
    <w:rsid w:val="00252F9F"/>
    <w:rsid w:val="002531DE"/>
    <w:rsid w:val="002535C4"/>
    <w:rsid w:val="002537A1"/>
    <w:rsid w:val="00253DE6"/>
    <w:rsid w:val="00253F88"/>
    <w:rsid w:val="00254134"/>
    <w:rsid w:val="00254CB9"/>
    <w:rsid w:val="002551D6"/>
    <w:rsid w:val="00255415"/>
    <w:rsid w:val="002556F2"/>
    <w:rsid w:val="00255875"/>
    <w:rsid w:val="00255A14"/>
    <w:rsid w:val="00255B84"/>
    <w:rsid w:val="00255CFE"/>
    <w:rsid w:val="00255DA7"/>
    <w:rsid w:val="00255E57"/>
    <w:rsid w:val="00256044"/>
    <w:rsid w:val="0025605C"/>
    <w:rsid w:val="00256C88"/>
    <w:rsid w:val="00257019"/>
    <w:rsid w:val="0025732A"/>
    <w:rsid w:val="00257761"/>
    <w:rsid w:val="00259D11"/>
    <w:rsid w:val="00260672"/>
    <w:rsid w:val="002607B9"/>
    <w:rsid w:val="00260C88"/>
    <w:rsid w:val="0026173D"/>
    <w:rsid w:val="002619DA"/>
    <w:rsid w:val="00261AB3"/>
    <w:rsid w:val="00261B5F"/>
    <w:rsid w:val="00261BDE"/>
    <w:rsid w:val="00261FD0"/>
    <w:rsid w:val="0026214D"/>
    <w:rsid w:val="00262245"/>
    <w:rsid w:val="002628BF"/>
    <w:rsid w:val="0026294C"/>
    <w:rsid w:val="00262B37"/>
    <w:rsid w:val="00262BBE"/>
    <w:rsid w:val="00262E00"/>
    <w:rsid w:val="00262F61"/>
    <w:rsid w:val="00263245"/>
    <w:rsid w:val="002632D5"/>
    <w:rsid w:val="00263350"/>
    <w:rsid w:val="002636B2"/>
    <w:rsid w:val="0026374B"/>
    <w:rsid w:val="00263B29"/>
    <w:rsid w:val="00263DC6"/>
    <w:rsid w:val="00263F8C"/>
    <w:rsid w:val="002645F2"/>
    <w:rsid w:val="00264953"/>
    <w:rsid w:val="00264DB2"/>
    <w:rsid w:val="00264E94"/>
    <w:rsid w:val="00264ECC"/>
    <w:rsid w:val="002651C9"/>
    <w:rsid w:val="002651D7"/>
    <w:rsid w:val="0026532E"/>
    <w:rsid w:val="00265588"/>
    <w:rsid w:val="00265C52"/>
    <w:rsid w:val="00265D8B"/>
    <w:rsid w:val="002664C3"/>
    <w:rsid w:val="0026663D"/>
    <w:rsid w:val="00266744"/>
    <w:rsid w:val="0026686E"/>
    <w:rsid w:val="00266874"/>
    <w:rsid w:val="00266AE0"/>
    <w:rsid w:val="00266AEF"/>
    <w:rsid w:val="00267076"/>
    <w:rsid w:val="002671A3"/>
    <w:rsid w:val="002671CE"/>
    <w:rsid w:val="00267356"/>
    <w:rsid w:val="00267521"/>
    <w:rsid w:val="00267615"/>
    <w:rsid w:val="002678F1"/>
    <w:rsid w:val="002700E4"/>
    <w:rsid w:val="00270436"/>
    <w:rsid w:val="002704D8"/>
    <w:rsid w:val="00270522"/>
    <w:rsid w:val="00270B9F"/>
    <w:rsid w:val="00271368"/>
    <w:rsid w:val="00271516"/>
    <w:rsid w:val="00271CCE"/>
    <w:rsid w:val="00272175"/>
    <w:rsid w:val="0027219A"/>
    <w:rsid w:val="00272776"/>
    <w:rsid w:val="00272EB1"/>
    <w:rsid w:val="00272ED3"/>
    <w:rsid w:val="00273194"/>
    <w:rsid w:val="00273203"/>
    <w:rsid w:val="002732DB"/>
    <w:rsid w:val="002733E0"/>
    <w:rsid w:val="00273565"/>
    <w:rsid w:val="00273E30"/>
    <w:rsid w:val="002744F7"/>
    <w:rsid w:val="0027478B"/>
    <w:rsid w:val="00274FB3"/>
    <w:rsid w:val="00275016"/>
    <w:rsid w:val="00275126"/>
    <w:rsid w:val="0027518A"/>
    <w:rsid w:val="0027527D"/>
    <w:rsid w:val="0027593B"/>
    <w:rsid w:val="00275ECB"/>
    <w:rsid w:val="00276356"/>
    <w:rsid w:val="00276EDE"/>
    <w:rsid w:val="00277391"/>
    <w:rsid w:val="002774FD"/>
    <w:rsid w:val="0027765D"/>
    <w:rsid w:val="00277C76"/>
    <w:rsid w:val="00277D19"/>
    <w:rsid w:val="0028052B"/>
    <w:rsid w:val="002805D1"/>
    <w:rsid w:val="00280747"/>
    <w:rsid w:val="00280E8E"/>
    <w:rsid w:val="00280F02"/>
    <w:rsid w:val="00280F74"/>
    <w:rsid w:val="0028168A"/>
    <w:rsid w:val="002819D4"/>
    <w:rsid w:val="00281DEB"/>
    <w:rsid w:val="00282790"/>
    <w:rsid w:val="00282CDE"/>
    <w:rsid w:val="00282F44"/>
    <w:rsid w:val="00282F96"/>
    <w:rsid w:val="0028306C"/>
    <w:rsid w:val="002831E2"/>
    <w:rsid w:val="00283526"/>
    <w:rsid w:val="00283A3D"/>
    <w:rsid w:val="00283F84"/>
    <w:rsid w:val="002841E1"/>
    <w:rsid w:val="002844AB"/>
    <w:rsid w:val="00285280"/>
    <w:rsid w:val="002852D8"/>
    <w:rsid w:val="0028538B"/>
    <w:rsid w:val="00285A13"/>
    <w:rsid w:val="00285E23"/>
    <w:rsid w:val="002860E3"/>
    <w:rsid w:val="002862DD"/>
    <w:rsid w:val="0028634B"/>
    <w:rsid w:val="002866C9"/>
    <w:rsid w:val="0028679B"/>
    <w:rsid w:val="002867DC"/>
    <w:rsid w:val="002868A4"/>
    <w:rsid w:val="002868F1"/>
    <w:rsid w:val="00286CDE"/>
    <w:rsid w:val="00287853"/>
    <w:rsid w:val="002878A5"/>
    <w:rsid w:val="00287ACC"/>
    <w:rsid w:val="00287BC7"/>
    <w:rsid w:val="00287F21"/>
    <w:rsid w:val="00287F6D"/>
    <w:rsid w:val="00290330"/>
    <w:rsid w:val="002903C7"/>
    <w:rsid w:val="00290C0D"/>
    <w:rsid w:val="00290CED"/>
    <w:rsid w:val="0029131B"/>
    <w:rsid w:val="00291690"/>
    <w:rsid w:val="0029197C"/>
    <w:rsid w:val="00292F6D"/>
    <w:rsid w:val="0029303B"/>
    <w:rsid w:val="00293260"/>
    <w:rsid w:val="0029369B"/>
    <w:rsid w:val="00293A81"/>
    <w:rsid w:val="00293CE6"/>
    <w:rsid w:val="00293FF7"/>
    <w:rsid w:val="002942CE"/>
    <w:rsid w:val="0029501E"/>
    <w:rsid w:val="00295799"/>
    <w:rsid w:val="002958B8"/>
    <w:rsid w:val="00295A26"/>
    <w:rsid w:val="00295E0F"/>
    <w:rsid w:val="00295E8B"/>
    <w:rsid w:val="00296297"/>
    <w:rsid w:val="002962B8"/>
    <w:rsid w:val="00296B32"/>
    <w:rsid w:val="00296B69"/>
    <w:rsid w:val="00296EFA"/>
    <w:rsid w:val="00297465"/>
    <w:rsid w:val="00297848"/>
    <w:rsid w:val="00297A33"/>
    <w:rsid w:val="002A029A"/>
    <w:rsid w:val="002A0524"/>
    <w:rsid w:val="002A07B7"/>
    <w:rsid w:val="002A090E"/>
    <w:rsid w:val="002A0ADA"/>
    <w:rsid w:val="002A0C25"/>
    <w:rsid w:val="002A0CDE"/>
    <w:rsid w:val="002A18D4"/>
    <w:rsid w:val="002A1D45"/>
    <w:rsid w:val="002A1D9F"/>
    <w:rsid w:val="002A1F1B"/>
    <w:rsid w:val="002A204A"/>
    <w:rsid w:val="002A20BE"/>
    <w:rsid w:val="002A218F"/>
    <w:rsid w:val="002A2260"/>
    <w:rsid w:val="002A2281"/>
    <w:rsid w:val="002A25B7"/>
    <w:rsid w:val="002A28E3"/>
    <w:rsid w:val="002A296F"/>
    <w:rsid w:val="002A2C8E"/>
    <w:rsid w:val="002A3728"/>
    <w:rsid w:val="002A3786"/>
    <w:rsid w:val="002A37EC"/>
    <w:rsid w:val="002A3856"/>
    <w:rsid w:val="002A3E62"/>
    <w:rsid w:val="002A40BF"/>
    <w:rsid w:val="002A40D5"/>
    <w:rsid w:val="002A43ED"/>
    <w:rsid w:val="002A43F3"/>
    <w:rsid w:val="002A46CE"/>
    <w:rsid w:val="002A5518"/>
    <w:rsid w:val="002A57A5"/>
    <w:rsid w:val="002A587A"/>
    <w:rsid w:val="002A5D45"/>
    <w:rsid w:val="002A5DF3"/>
    <w:rsid w:val="002A675B"/>
    <w:rsid w:val="002A6AD7"/>
    <w:rsid w:val="002A703D"/>
    <w:rsid w:val="002A7078"/>
    <w:rsid w:val="002A7224"/>
    <w:rsid w:val="002A75AD"/>
    <w:rsid w:val="002A75F3"/>
    <w:rsid w:val="002A7749"/>
    <w:rsid w:val="002B00DC"/>
    <w:rsid w:val="002B0519"/>
    <w:rsid w:val="002B0772"/>
    <w:rsid w:val="002B093F"/>
    <w:rsid w:val="002B09FB"/>
    <w:rsid w:val="002B0B27"/>
    <w:rsid w:val="002B0F70"/>
    <w:rsid w:val="002B1035"/>
    <w:rsid w:val="002B1400"/>
    <w:rsid w:val="002B22AE"/>
    <w:rsid w:val="002B2812"/>
    <w:rsid w:val="002B33F0"/>
    <w:rsid w:val="002B3A38"/>
    <w:rsid w:val="002B3AAF"/>
    <w:rsid w:val="002B48C4"/>
    <w:rsid w:val="002B494A"/>
    <w:rsid w:val="002B51F6"/>
    <w:rsid w:val="002B52AF"/>
    <w:rsid w:val="002B567F"/>
    <w:rsid w:val="002B585D"/>
    <w:rsid w:val="002B5860"/>
    <w:rsid w:val="002B5A0A"/>
    <w:rsid w:val="002B5B3C"/>
    <w:rsid w:val="002B5D25"/>
    <w:rsid w:val="002B5E94"/>
    <w:rsid w:val="002B5F70"/>
    <w:rsid w:val="002B618D"/>
    <w:rsid w:val="002B619E"/>
    <w:rsid w:val="002B6AD7"/>
    <w:rsid w:val="002B6CDF"/>
    <w:rsid w:val="002B6FCE"/>
    <w:rsid w:val="002B7170"/>
    <w:rsid w:val="002B72BC"/>
    <w:rsid w:val="002B7502"/>
    <w:rsid w:val="002B7972"/>
    <w:rsid w:val="002B7BE3"/>
    <w:rsid w:val="002B7E21"/>
    <w:rsid w:val="002BA726"/>
    <w:rsid w:val="002C0432"/>
    <w:rsid w:val="002C0562"/>
    <w:rsid w:val="002C0E5D"/>
    <w:rsid w:val="002C1608"/>
    <w:rsid w:val="002C1E0D"/>
    <w:rsid w:val="002C1E91"/>
    <w:rsid w:val="002C1FF7"/>
    <w:rsid w:val="002C245E"/>
    <w:rsid w:val="002C2620"/>
    <w:rsid w:val="002C277B"/>
    <w:rsid w:val="002C2883"/>
    <w:rsid w:val="002C2BE6"/>
    <w:rsid w:val="002C3032"/>
    <w:rsid w:val="002C3101"/>
    <w:rsid w:val="002C32DA"/>
    <w:rsid w:val="002C3DC7"/>
    <w:rsid w:val="002C41B6"/>
    <w:rsid w:val="002C4666"/>
    <w:rsid w:val="002C486C"/>
    <w:rsid w:val="002C49A4"/>
    <w:rsid w:val="002C4A32"/>
    <w:rsid w:val="002C4D67"/>
    <w:rsid w:val="002C5221"/>
    <w:rsid w:val="002C5573"/>
    <w:rsid w:val="002C5C66"/>
    <w:rsid w:val="002C5ECF"/>
    <w:rsid w:val="002C68A0"/>
    <w:rsid w:val="002C6E2A"/>
    <w:rsid w:val="002C6F33"/>
    <w:rsid w:val="002C7188"/>
    <w:rsid w:val="002C7667"/>
    <w:rsid w:val="002C78FE"/>
    <w:rsid w:val="002C7CE0"/>
    <w:rsid w:val="002C7E1D"/>
    <w:rsid w:val="002D0325"/>
    <w:rsid w:val="002D0328"/>
    <w:rsid w:val="002D0889"/>
    <w:rsid w:val="002D097F"/>
    <w:rsid w:val="002D0C6E"/>
    <w:rsid w:val="002D12C5"/>
    <w:rsid w:val="002D13DB"/>
    <w:rsid w:val="002D1B56"/>
    <w:rsid w:val="002D1CB1"/>
    <w:rsid w:val="002D2095"/>
    <w:rsid w:val="002D2190"/>
    <w:rsid w:val="002D28FD"/>
    <w:rsid w:val="002D2D49"/>
    <w:rsid w:val="002D3029"/>
    <w:rsid w:val="002D30CD"/>
    <w:rsid w:val="002D3409"/>
    <w:rsid w:val="002D34E2"/>
    <w:rsid w:val="002D35D0"/>
    <w:rsid w:val="002D375A"/>
    <w:rsid w:val="002D3A6A"/>
    <w:rsid w:val="002D3DFA"/>
    <w:rsid w:val="002D3F7B"/>
    <w:rsid w:val="002D4125"/>
    <w:rsid w:val="002D47D0"/>
    <w:rsid w:val="002D4FDA"/>
    <w:rsid w:val="002D53F7"/>
    <w:rsid w:val="002D56BC"/>
    <w:rsid w:val="002D5C9B"/>
    <w:rsid w:val="002D5CB5"/>
    <w:rsid w:val="002D5CDA"/>
    <w:rsid w:val="002D5FD8"/>
    <w:rsid w:val="002D60EF"/>
    <w:rsid w:val="002D653A"/>
    <w:rsid w:val="002D6993"/>
    <w:rsid w:val="002D6E9B"/>
    <w:rsid w:val="002D70BA"/>
    <w:rsid w:val="002D7395"/>
    <w:rsid w:val="002D7628"/>
    <w:rsid w:val="002D76F0"/>
    <w:rsid w:val="002D7751"/>
    <w:rsid w:val="002D7BB0"/>
    <w:rsid w:val="002E0159"/>
    <w:rsid w:val="002E0186"/>
    <w:rsid w:val="002E02C7"/>
    <w:rsid w:val="002E02C8"/>
    <w:rsid w:val="002E0838"/>
    <w:rsid w:val="002E0E01"/>
    <w:rsid w:val="002E1C9B"/>
    <w:rsid w:val="002E1D39"/>
    <w:rsid w:val="002E1D5C"/>
    <w:rsid w:val="002E20B9"/>
    <w:rsid w:val="002E2341"/>
    <w:rsid w:val="002E28C9"/>
    <w:rsid w:val="002E2938"/>
    <w:rsid w:val="002E2BE7"/>
    <w:rsid w:val="002E2EBE"/>
    <w:rsid w:val="002E37F1"/>
    <w:rsid w:val="002E3AA2"/>
    <w:rsid w:val="002E3C1D"/>
    <w:rsid w:val="002E3D4A"/>
    <w:rsid w:val="002E3E45"/>
    <w:rsid w:val="002E3F6C"/>
    <w:rsid w:val="002E3FBC"/>
    <w:rsid w:val="002E43DF"/>
    <w:rsid w:val="002E456B"/>
    <w:rsid w:val="002E46FA"/>
    <w:rsid w:val="002E47F4"/>
    <w:rsid w:val="002E4948"/>
    <w:rsid w:val="002E4E13"/>
    <w:rsid w:val="002E580D"/>
    <w:rsid w:val="002E5905"/>
    <w:rsid w:val="002E5EB8"/>
    <w:rsid w:val="002E6477"/>
    <w:rsid w:val="002E67BA"/>
    <w:rsid w:val="002E6ADF"/>
    <w:rsid w:val="002E6C95"/>
    <w:rsid w:val="002E6D31"/>
    <w:rsid w:val="002E6DF8"/>
    <w:rsid w:val="002E7477"/>
    <w:rsid w:val="002E76E8"/>
    <w:rsid w:val="002F04C7"/>
    <w:rsid w:val="002F0BC5"/>
    <w:rsid w:val="002F1A33"/>
    <w:rsid w:val="002F1B89"/>
    <w:rsid w:val="002F230F"/>
    <w:rsid w:val="002F2370"/>
    <w:rsid w:val="002F2667"/>
    <w:rsid w:val="002F2800"/>
    <w:rsid w:val="002F2B50"/>
    <w:rsid w:val="002F2EB6"/>
    <w:rsid w:val="002F3132"/>
    <w:rsid w:val="002F3A6E"/>
    <w:rsid w:val="002F3F0A"/>
    <w:rsid w:val="002F4083"/>
    <w:rsid w:val="002F4375"/>
    <w:rsid w:val="002F4541"/>
    <w:rsid w:val="002F495F"/>
    <w:rsid w:val="002F4F40"/>
    <w:rsid w:val="002F51FB"/>
    <w:rsid w:val="002F52A1"/>
    <w:rsid w:val="002F53EA"/>
    <w:rsid w:val="002F5444"/>
    <w:rsid w:val="002F54A9"/>
    <w:rsid w:val="002F565A"/>
    <w:rsid w:val="002F5A3E"/>
    <w:rsid w:val="002F5BC8"/>
    <w:rsid w:val="002F5E91"/>
    <w:rsid w:val="002F5F5D"/>
    <w:rsid w:val="002F60BA"/>
    <w:rsid w:val="002F6620"/>
    <w:rsid w:val="002F746F"/>
    <w:rsid w:val="002F7A58"/>
    <w:rsid w:val="002F7B65"/>
    <w:rsid w:val="002F7FB7"/>
    <w:rsid w:val="0030076E"/>
    <w:rsid w:val="003008BD"/>
    <w:rsid w:val="00300F42"/>
    <w:rsid w:val="0030116C"/>
    <w:rsid w:val="003016F5"/>
    <w:rsid w:val="0030180E"/>
    <w:rsid w:val="003018DE"/>
    <w:rsid w:val="003019DA"/>
    <w:rsid w:val="00301B53"/>
    <w:rsid w:val="00302468"/>
    <w:rsid w:val="00302BB4"/>
    <w:rsid w:val="00302C2D"/>
    <w:rsid w:val="00302C71"/>
    <w:rsid w:val="00302E09"/>
    <w:rsid w:val="00303483"/>
    <w:rsid w:val="003036CB"/>
    <w:rsid w:val="0030372A"/>
    <w:rsid w:val="00304298"/>
    <w:rsid w:val="00304CA2"/>
    <w:rsid w:val="003051C0"/>
    <w:rsid w:val="00305301"/>
    <w:rsid w:val="0030565C"/>
    <w:rsid w:val="00305D4C"/>
    <w:rsid w:val="003062FB"/>
    <w:rsid w:val="003063BF"/>
    <w:rsid w:val="0030690C"/>
    <w:rsid w:val="00306C1B"/>
    <w:rsid w:val="00306C48"/>
    <w:rsid w:val="00306D1C"/>
    <w:rsid w:val="00307016"/>
    <w:rsid w:val="0030713E"/>
    <w:rsid w:val="0030730F"/>
    <w:rsid w:val="0030737C"/>
    <w:rsid w:val="00307548"/>
    <w:rsid w:val="003075F1"/>
    <w:rsid w:val="00307975"/>
    <w:rsid w:val="00307E0C"/>
    <w:rsid w:val="00307E32"/>
    <w:rsid w:val="00310442"/>
    <w:rsid w:val="00310764"/>
    <w:rsid w:val="0031088E"/>
    <w:rsid w:val="003112D3"/>
    <w:rsid w:val="00311C2B"/>
    <w:rsid w:val="003122B0"/>
    <w:rsid w:val="00312494"/>
    <w:rsid w:val="0031264A"/>
    <w:rsid w:val="003128E8"/>
    <w:rsid w:val="003128F6"/>
    <w:rsid w:val="00312A50"/>
    <w:rsid w:val="00312ED7"/>
    <w:rsid w:val="00313095"/>
    <w:rsid w:val="0031316A"/>
    <w:rsid w:val="003132B0"/>
    <w:rsid w:val="003132C5"/>
    <w:rsid w:val="00313331"/>
    <w:rsid w:val="003134E8"/>
    <w:rsid w:val="003136C1"/>
    <w:rsid w:val="00314011"/>
    <w:rsid w:val="00314542"/>
    <w:rsid w:val="00314601"/>
    <w:rsid w:val="00314891"/>
    <w:rsid w:val="00315031"/>
    <w:rsid w:val="003151AE"/>
    <w:rsid w:val="003152D8"/>
    <w:rsid w:val="00315320"/>
    <w:rsid w:val="0031534E"/>
    <w:rsid w:val="00315580"/>
    <w:rsid w:val="00315999"/>
    <w:rsid w:val="00315C7B"/>
    <w:rsid w:val="00316047"/>
    <w:rsid w:val="00316167"/>
    <w:rsid w:val="003162EE"/>
    <w:rsid w:val="003163E2"/>
    <w:rsid w:val="00316A1B"/>
    <w:rsid w:val="00316D47"/>
    <w:rsid w:val="00316D7D"/>
    <w:rsid w:val="0031708B"/>
    <w:rsid w:val="00317365"/>
    <w:rsid w:val="00320258"/>
    <w:rsid w:val="0032027E"/>
    <w:rsid w:val="0032047F"/>
    <w:rsid w:val="00320494"/>
    <w:rsid w:val="003205F3"/>
    <w:rsid w:val="00320839"/>
    <w:rsid w:val="00320B2B"/>
    <w:rsid w:val="003211AD"/>
    <w:rsid w:val="00321209"/>
    <w:rsid w:val="003212BB"/>
    <w:rsid w:val="003214E2"/>
    <w:rsid w:val="003215C1"/>
    <w:rsid w:val="003215F5"/>
    <w:rsid w:val="003216E5"/>
    <w:rsid w:val="00321CC0"/>
    <w:rsid w:val="00322798"/>
    <w:rsid w:val="003229F4"/>
    <w:rsid w:val="00322BC0"/>
    <w:rsid w:val="00322DFA"/>
    <w:rsid w:val="0032315E"/>
    <w:rsid w:val="00323293"/>
    <w:rsid w:val="003232AC"/>
    <w:rsid w:val="003232F8"/>
    <w:rsid w:val="003233EA"/>
    <w:rsid w:val="003234BA"/>
    <w:rsid w:val="003242B6"/>
    <w:rsid w:val="00324B0E"/>
    <w:rsid w:val="00324B85"/>
    <w:rsid w:val="00324C90"/>
    <w:rsid w:val="00324EB6"/>
    <w:rsid w:val="00324EC2"/>
    <w:rsid w:val="0032594A"/>
    <w:rsid w:val="003259F7"/>
    <w:rsid w:val="00325D78"/>
    <w:rsid w:val="00325E28"/>
    <w:rsid w:val="00326845"/>
    <w:rsid w:val="00327216"/>
    <w:rsid w:val="003276F1"/>
    <w:rsid w:val="00327AAD"/>
    <w:rsid w:val="00327B07"/>
    <w:rsid w:val="00327BC2"/>
    <w:rsid w:val="00327E28"/>
    <w:rsid w:val="00330017"/>
    <w:rsid w:val="0033013C"/>
    <w:rsid w:val="00330323"/>
    <w:rsid w:val="0033039D"/>
    <w:rsid w:val="00330E45"/>
    <w:rsid w:val="003310F3"/>
    <w:rsid w:val="003312AC"/>
    <w:rsid w:val="003312F2"/>
    <w:rsid w:val="00331360"/>
    <w:rsid w:val="00331B9A"/>
    <w:rsid w:val="00331DF5"/>
    <w:rsid w:val="00332264"/>
    <w:rsid w:val="00332294"/>
    <w:rsid w:val="00332691"/>
    <w:rsid w:val="003326EC"/>
    <w:rsid w:val="0033278C"/>
    <w:rsid w:val="003327E2"/>
    <w:rsid w:val="00332B1F"/>
    <w:rsid w:val="00332B51"/>
    <w:rsid w:val="003331F5"/>
    <w:rsid w:val="003334DE"/>
    <w:rsid w:val="00333811"/>
    <w:rsid w:val="00333AD2"/>
    <w:rsid w:val="00334301"/>
    <w:rsid w:val="00334972"/>
    <w:rsid w:val="00334DCA"/>
    <w:rsid w:val="00334ED2"/>
    <w:rsid w:val="00334FA5"/>
    <w:rsid w:val="00335121"/>
    <w:rsid w:val="00335145"/>
    <w:rsid w:val="00335162"/>
    <w:rsid w:val="003351D5"/>
    <w:rsid w:val="003357E7"/>
    <w:rsid w:val="00335EF2"/>
    <w:rsid w:val="00335EFF"/>
    <w:rsid w:val="00335F41"/>
    <w:rsid w:val="0033626B"/>
    <w:rsid w:val="003364B0"/>
    <w:rsid w:val="0033690F"/>
    <w:rsid w:val="003373B2"/>
    <w:rsid w:val="00337615"/>
    <w:rsid w:val="0033762A"/>
    <w:rsid w:val="00337751"/>
    <w:rsid w:val="00337962"/>
    <w:rsid w:val="00337F9B"/>
    <w:rsid w:val="0034014A"/>
    <w:rsid w:val="00340406"/>
    <w:rsid w:val="0034044B"/>
    <w:rsid w:val="003405F9"/>
    <w:rsid w:val="0034071A"/>
    <w:rsid w:val="00340910"/>
    <w:rsid w:val="00340D0C"/>
    <w:rsid w:val="00341057"/>
    <w:rsid w:val="003414DD"/>
    <w:rsid w:val="003417C0"/>
    <w:rsid w:val="00341A26"/>
    <w:rsid w:val="00341EC2"/>
    <w:rsid w:val="0034285E"/>
    <w:rsid w:val="00342950"/>
    <w:rsid w:val="00342F0C"/>
    <w:rsid w:val="00343015"/>
    <w:rsid w:val="003431B9"/>
    <w:rsid w:val="003431EC"/>
    <w:rsid w:val="00343663"/>
    <w:rsid w:val="003437DA"/>
    <w:rsid w:val="00343B5C"/>
    <w:rsid w:val="00343CD5"/>
    <w:rsid w:val="00343E36"/>
    <w:rsid w:val="00343FB9"/>
    <w:rsid w:val="00344043"/>
    <w:rsid w:val="003448E0"/>
    <w:rsid w:val="0034497C"/>
    <w:rsid w:val="00344B3F"/>
    <w:rsid w:val="00344EE9"/>
    <w:rsid w:val="00345AD8"/>
    <w:rsid w:val="003460CC"/>
    <w:rsid w:val="0034683E"/>
    <w:rsid w:val="00346BB7"/>
    <w:rsid w:val="00346DE4"/>
    <w:rsid w:val="003471CE"/>
    <w:rsid w:val="003475D6"/>
    <w:rsid w:val="0034771F"/>
    <w:rsid w:val="00347807"/>
    <w:rsid w:val="00347C29"/>
    <w:rsid w:val="00347CFC"/>
    <w:rsid w:val="00347F44"/>
    <w:rsid w:val="00350416"/>
    <w:rsid w:val="0035070C"/>
    <w:rsid w:val="00350A6D"/>
    <w:rsid w:val="00350B69"/>
    <w:rsid w:val="00350EA4"/>
    <w:rsid w:val="003512E7"/>
    <w:rsid w:val="0035132C"/>
    <w:rsid w:val="00351477"/>
    <w:rsid w:val="00352259"/>
    <w:rsid w:val="0035250C"/>
    <w:rsid w:val="00352C4E"/>
    <w:rsid w:val="00353157"/>
    <w:rsid w:val="003532A6"/>
    <w:rsid w:val="003535C0"/>
    <w:rsid w:val="00353C45"/>
    <w:rsid w:val="00353D1B"/>
    <w:rsid w:val="00354225"/>
    <w:rsid w:val="00354412"/>
    <w:rsid w:val="003547D4"/>
    <w:rsid w:val="00354A0F"/>
    <w:rsid w:val="00355171"/>
    <w:rsid w:val="003554E1"/>
    <w:rsid w:val="00355674"/>
    <w:rsid w:val="0035573C"/>
    <w:rsid w:val="00355BA7"/>
    <w:rsid w:val="00355CC0"/>
    <w:rsid w:val="003560E8"/>
    <w:rsid w:val="0035617A"/>
    <w:rsid w:val="003561DA"/>
    <w:rsid w:val="00356840"/>
    <w:rsid w:val="00356CD8"/>
    <w:rsid w:val="0035742C"/>
    <w:rsid w:val="003574FB"/>
    <w:rsid w:val="003575A7"/>
    <w:rsid w:val="003577F4"/>
    <w:rsid w:val="00357A6F"/>
    <w:rsid w:val="00357E69"/>
    <w:rsid w:val="0036074A"/>
    <w:rsid w:val="00361032"/>
    <w:rsid w:val="00361318"/>
    <w:rsid w:val="003613AE"/>
    <w:rsid w:val="00361B63"/>
    <w:rsid w:val="00361D91"/>
    <w:rsid w:val="003621C0"/>
    <w:rsid w:val="00362260"/>
    <w:rsid w:val="00362759"/>
    <w:rsid w:val="0036281B"/>
    <w:rsid w:val="00362830"/>
    <w:rsid w:val="00362F6A"/>
    <w:rsid w:val="00363261"/>
    <w:rsid w:val="003635C6"/>
    <w:rsid w:val="00363631"/>
    <w:rsid w:val="0036418F"/>
    <w:rsid w:val="003642FC"/>
    <w:rsid w:val="0036456D"/>
    <w:rsid w:val="0036459C"/>
    <w:rsid w:val="003646A5"/>
    <w:rsid w:val="00364B53"/>
    <w:rsid w:val="00365AE7"/>
    <w:rsid w:val="00365C86"/>
    <w:rsid w:val="00366851"/>
    <w:rsid w:val="00366A25"/>
    <w:rsid w:val="00366A5F"/>
    <w:rsid w:val="00366A86"/>
    <w:rsid w:val="00366C75"/>
    <w:rsid w:val="00366DBB"/>
    <w:rsid w:val="00366FF8"/>
    <w:rsid w:val="0036701A"/>
    <w:rsid w:val="003673DA"/>
    <w:rsid w:val="003677C2"/>
    <w:rsid w:val="00367D08"/>
    <w:rsid w:val="00367E62"/>
    <w:rsid w:val="0037010E"/>
    <w:rsid w:val="00370A11"/>
    <w:rsid w:val="00370C0B"/>
    <w:rsid w:val="00370CD8"/>
    <w:rsid w:val="00370D51"/>
    <w:rsid w:val="00370DA7"/>
    <w:rsid w:val="003719E3"/>
    <w:rsid w:val="00371D64"/>
    <w:rsid w:val="00371D9D"/>
    <w:rsid w:val="00372104"/>
    <w:rsid w:val="0037224A"/>
    <w:rsid w:val="003726A7"/>
    <w:rsid w:val="00372F9F"/>
    <w:rsid w:val="0037301A"/>
    <w:rsid w:val="0037348B"/>
    <w:rsid w:val="00373C6A"/>
    <w:rsid w:val="00373E98"/>
    <w:rsid w:val="00374501"/>
    <w:rsid w:val="0037452A"/>
    <w:rsid w:val="0037497B"/>
    <w:rsid w:val="00374BD8"/>
    <w:rsid w:val="003750B4"/>
    <w:rsid w:val="003751D1"/>
    <w:rsid w:val="003754FC"/>
    <w:rsid w:val="00375748"/>
    <w:rsid w:val="00375891"/>
    <w:rsid w:val="00375E6D"/>
    <w:rsid w:val="0037606E"/>
    <w:rsid w:val="00376531"/>
    <w:rsid w:val="003769E5"/>
    <w:rsid w:val="0037734F"/>
    <w:rsid w:val="003778F2"/>
    <w:rsid w:val="00377E0F"/>
    <w:rsid w:val="00380595"/>
    <w:rsid w:val="00380598"/>
    <w:rsid w:val="0038083D"/>
    <w:rsid w:val="00380900"/>
    <w:rsid w:val="003809D3"/>
    <w:rsid w:val="00381297"/>
    <w:rsid w:val="0038138B"/>
    <w:rsid w:val="00381C2D"/>
    <w:rsid w:val="00381D24"/>
    <w:rsid w:val="00381DB4"/>
    <w:rsid w:val="00381F0B"/>
    <w:rsid w:val="00382155"/>
    <w:rsid w:val="003822AB"/>
    <w:rsid w:val="0038236B"/>
    <w:rsid w:val="00382AB8"/>
    <w:rsid w:val="00382D1C"/>
    <w:rsid w:val="00382E8D"/>
    <w:rsid w:val="00382F0C"/>
    <w:rsid w:val="00382FBA"/>
    <w:rsid w:val="00383552"/>
    <w:rsid w:val="0038382E"/>
    <w:rsid w:val="00384678"/>
    <w:rsid w:val="003846FE"/>
    <w:rsid w:val="00384764"/>
    <w:rsid w:val="00384879"/>
    <w:rsid w:val="003849DA"/>
    <w:rsid w:val="00384C1A"/>
    <w:rsid w:val="003852E7"/>
    <w:rsid w:val="003856E9"/>
    <w:rsid w:val="00385E92"/>
    <w:rsid w:val="00385FA6"/>
    <w:rsid w:val="003863D7"/>
    <w:rsid w:val="00386F79"/>
    <w:rsid w:val="003871AD"/>
    <w:rsid w:val="003871E6"/>
    <w:rsid w:val="0038739B"/>
    <w:rsid w:val="00387A24"/>
    <w:rsid w:val="003906F4"/>
    <w:rsid w:val="003907E0"/>
    <w:rsid w:val="0039096F"/>
    <w:rsid w:val="00390B82"/>
    <w:rsid w:val="00390C11"/>
    <w:rsid w:val="003910BC"/>
    <w:rsid w:val="00391426"/>
    <w:rsid w:val="003918C8"/>
    <w:rsid w:val="00391B8D"/>
    <w:rsid w:val="00391CF6"/>
    <w:rsid w:val="00391DFA"/>
    <w:rsid w:val="0039226A"/>
    <w:rsid w:val="0039289D"/>
    <w:rsid w:val="00392A43"/>
    <w:rsid w:val="00392A44"/>
    <w:rsid w:val="00392F27"/>
    <w:rsid w:val="003932F8"/>
    <w:rsid w:val="0039351F"/>
    <w:rsid w:val="00393712"/>
    <w:rsid w:val="00393C20"/>
    <w:rsid w:val="00393C6C"/>
    <w:rsid w:val="00393EDC"/>
    <w:rsid w:val="00394007"/>
    <w:rsid w:val="0039448B"/>
    <w:rsid w:val="00394557"/>
    <w:rsid w:val="003951E6"/>
    <w:rsid w:val="003954F8"/>
    <w:rsid w:val="00395A23"/>
    <w:rsid w:val="00395ACB"/>
    <w:rsid w:val="00395C94"/>
    <w:rsid w:val="003961D5"/>
    <w:rsid w:val="003964D4"/>
    <w:rsid w:val="0039664C"/>
    <w:rsid w:val="0039682E"/>
    <w:rsid w:val="00396E92"/>
    <w:rsid w:val="00396EF0"/>
    <w:rsid w:val="00396F46"/>
    <w:rsid w:val="0039714A"/>
    <w:rsid w:val="00397238"/>
    <w:rsid w:val="00397241"/>
    <w:rsid w:val="00397402"/>
    <w:rsid w:val="003979C7"/>
    <w:rsid w:val="00397E5E"/>
    <w:rsid w:val="003A0326"/>
    <w:rsid w:val="003A03C7"/>
    <w:rsid w:val="003A098C"/>
    <w:rsid w:val="003A0E91"/>
    <w:rsid w:val="003A0F03"/>
    <w:rsid w:val="003A110E"/>
    <w:rsid w:val="003A112C"/>
    <w:rsid w:val="003A1390"/>
    <w:rsid w:val="003A162E"/>
    <w:rsid w:val="003A17A6"/>
    <w:rsid w:val="003A244B"/>
    <w:rsid w:val="003A26DA"/>
    <w:rsid w:val="003A29D8"/>
    <w:rsid w:val="003A30C9"/>
    <w:rsid w:val="003A34C7"/>
    <w:rsid w:val="003A3742"/>
    <w:rsid w:val="003A3EFE"/>
    <w:rsid w:val="003A404A"/>
    <w:rsid w:val="003A40D9"/>
    <w:rsid w:val="003A412C"/>
    <w:rsid w:val="003A482C"/>
    <w:rsid w:val="003A490B"/>
    <w:rsid w:val="003A4B34"/>
    <w:rsid w:val="003A4D10"/>
    <w:rsid w:val="003A521D"/>
    <w:rsid w:val="003A553B"/>
    <w:rsid w:val="003A5554"/>
    <w:rsid w:val="003A55ED"/>
    <w:rsid w:val="003A5AE6"/>
    <w:rsid w:val="003A5B9A"/>
    <w:rsid w:val="003A7323"/>
    <w:rsid w:val="003A73D2"/>
    <w:rsid w:val="003A75B7"/>
    <w:rsid w:val="003A76E1"/>
    <w:rsid w:val="003A7ABA"/>
    <w:rsid w:val="003A7D4A"/>
    <w:rsid w:val="003A7DE7"/>
    <w:rsid w:val="003B06DE"/>
    <w:rsid w:val="003B0C95"/>
    <w:rsid w:val="003B0DF1"/>
    <w:rsid w:val="003B1148"/>
    <w:rsid w:val="003B124F"/>
    <w:rsid w:val="003B1285"/>
    <w:rsid w:val="003B1658"/>
    <w:rsid w:val="003B16DC"/>
    <w:rsid w:val="003B18A7"/>
    <w:rsid w:val="003B1C75"/>
    <w:rsid w:val="003B1D49"/>
    <w:rsid w:val="003B24E0"/>
    <w:rsid w:val="003B26CE"/>
    <w:rsid w:val="003B2BF8"/>
    <w:rsid w:val="003B2F8C"/>
    <w:rsid w:val="003B34EB"/>
    <w:rsid w:val="003B383C"/>
    <w:rsid w:val="003B3930"/>
    <w:rsid w:val="003B3CA6"/>
    <w:rsid w:val="003B3D95"/>
    <w:rsid w:val="003B4005"/>
    <w:rsid w:val="003B47A8"/>
    <w:rsid w:val="003B483F"/>
    <w:rsid w:val="003B495E"/>
    <w:rsid w:val="003B4DDC"/>
    <w:rsid w:val="003B5068"/>
    <w:rsid w:val="003B50B4"/>
    <w:rsid w:val="003B5564"/>
    <w:rsid w:val="003B5C7B"/>
    <w:rsid w:val="003B60D9"/>
    <w:rsid w:val="003B675A"/>
    <w:rsid w:val="003B6904"/>
    <w:rsid w:val="003B726E"/>
    <w:rsid w:val="003B7654"/>
    <w:rsid w:val="003B78AE"/>
    <w:rsid w:val="003B7C18"/>
    <w:rsid w:val="003C023D"/>
    <w:rsid w:val="003C0816"/>
    <w:rsid w:val="003C11C6"/>
    <w:rsid w:val="003C12E2"/>
    <w:rsid w:val="003C1384"/>
    <w:rsid w:val="003C1393"/>
    <w:rsid w:val="003C1ADB"/>
    <w:rsid w:val="003C1D05"/>
    <w:rsid w:val="003C1E2C"/>
    <w:rsid w:val="003C22D4"/>
    <w:rsid w:val="003C2436"/>
    <w:rsid w:val="003C253A"/>
    <w:rsid w:val="003C2545"/>
    <w:rsid w:val="003C26E0"/>
    <w:rsid w:val="003C279D"/>
    <w:rsid w:val="003C2A7D"/>
    <w:rsid w:val="003C2B79"/>
    <w:rsid w:val="003C2F6B"/>
    <w:rsid w:val="003C3508"/>
    <w:rsid w:val="003C3866"/>
    <w:rsid w:val="003C399D"/>
    <w:rsid w:val="003C3A28"/>
    <w:rsid w:val="003C3B7F"/>
    <w:rsid w:val="003C3FE3"/>
    <w:rsid w:val="003C40D7"/>
    <w:rsid w:val="003C4175"/>
    <w:rsid w:val="003C42DA"/>
    <w:rsid w:val="003C46A1"/>
    <w:rsid w:val="003C48E6"/>
    <w:rsid w:val="003C4A03"/>
    <w:rsid w:val="003C4BCE"/>
    <w:rsid w:val="003C4DB1"/>
    <w:rsid w:val="003C501F"/>
    <w:rsid w:val="003C51CA"/>
    <w:rsid w:val="003C58D3"/>
    <w:rsid w:val="003C5C96"/>
    <w:rsid w:val="003C5CF9"/>
    <w:rsid w:val="003C6310"/>
    <w:rsid w:val="003C6887"/>
    <w:rsid w:val="003C6A58"/>
    <w:rsid w:val="003C7423"/>
    <w:rsid w:val="003C74C9"/>
    <w:rsid w:val="003C7734"/>
    <w:rsid w:val="003D0163"/>
    <w:rsid w:val="003D071D"/>
    <w:rsid w:val="003D0AFF"/>
    <w:rsid w:val="003D11CF"/>
    <w:rsid w:val="003D1B0A"/>
    <w:rsid w:val="003D1C26"/>
    <w:rsid w:val="003D1D73"/>
    <w:rsid w:val="003D1F0C"/>
    <w:rsid w:val="003D2197"/>
    <w:rsid w:val="003D23A8"/>
    <w:rsid w:val="003D2635"/>
    <w:rsid w:val="003D2814"/>
    <w:rsid w:val="003D2B39"/>
    <w:rsid w:val="003D2CA7"/>
    <w:rsid w:val="003D34B6"/>
    <w:rsid w:val="003D39F9"/>
    <w:rsid w:val="003D3B84"/>
    <w:rsid w:val="003D3BE8"/>
    <w:rsid w:val="003D3D6F"/>
    <w:rsid w:val="003D4184"/>
    <w:rsid w:val="003D47D3"/>
    <w:rsid w:val="003D47FB"/>
    <w:rsid w:val="003D49FB"/>
    <w:rsid w:val="003D4B11"/>
    <w:rsid w:val="003D4BC7"/>
    <w:rsid w:val="003D5446"/>
    <w:rsid w:val="003D5648"/>
    <w:rsid w:val="003D5B26"/>
    <w:rsid w:val="003D5B92"/>
    <w:rsid w:val="003D5D74"/>
    <w:rsid w:val="003D5F04"/>
    <w:rsid w:val="003D632F"/>
    <w:rsid w:val="003D637A"/>
    <w:rsid w:val="003D66E6"/>
    <w:rsid w:val="003D673E"/>
    <w:rsid w:val="003D6C4A"/>
    <w:rsid w:val="003D7115"/>
    <w:rsid w:val="003D7577"/>
    <w:rsid w:val="003D7A39"/>
    <w:rsid w:val="003D7C9D"/>
    <w:rsid w:val="003D7D52"/>
    <w:rsid w:val="003E02FF"/>
    <w:rsid w:val="003E041D"/>
    <w:rsid w:val="003E0A9B"/>
    <w:rsid w:val="003E0D08"/>
    <w:rsid w:val="003E1048"/>
    <w:rsid w:val="003E10FF"/>
    <w:rsid w:val="003E1446"/>
    <w:rsid w:val="003E1575"/>
    <w:rsid w:val="003E16CE"/>
    <w:rsid w:val="003E1788"/>
    <w:rsid w:val="003E1B5B"/>
    <w:rsid w:val="003E1C35"/>
    <w:rsid w:val="003E2036"/>
    <w:rsid w:val="003E28E0"/>
    <w:rsid w:val="003E2CC1"/>
    <w:rsid w:val="003E3541"/>
    <w:rsid w:val="003E39C2"/>
    <w:rsid w:val="003E4339"/>
    <w:rsid w:val="003E4370"/>
    <w:rsid w:val="003E443C"/>
    <w:rsid w:val="003E47D4"/>
    <w:rsid w:val="003E4A32"/>
    <w:rsid w:val="003E4E0C"/>
    <w:rsid w:val="003E4FC9"/>
    <w:rsid w:val="003E50BF"/>
    <w:rsid w:val="003E5B20"/>
    <w:rsid w:val="003E5DF4"/>
    <w:rsid w:val="003E5F8C"/>
    <w:rsid w:val="003E5FE4"/>
    <w:rsid w:val="003E6141"/>
    <w:rsid w:val="003E6147"/>
    <w:rsid w:val="003E6382"/>
    <w:rsid w:val="003E6BF4"/>
    <w:rsid w:val="003E6D79"/>
    <w:rsid w:val="003E6E9F"/>
    <w:rsid w:val="003E703D"/>
    <w:rsid w:val="003E77AC"/>
    <w:rsid w:val="003E7AE5"/>
    <w:rsid w:val="003E7CB1"/>
    <w:rsid w:val="003F018D"/>
    <w:rsid w:val="003F04B8"/>
    <w:rsid w:val="003F0807"/>
    <w:rsid w:val="003F0BEE"/>
    <w:rsid w:val="003F0F3A"/>
    <w:rsid w:val="003F1202"/>
    <w:rsid w:val="003F15CB"/>
    <w:rsid w:val="003F163E"/>
    <w:rsid w:val="003F16D4"/>
    <w:rsid w:val="003F16DA"/>
    <w:rsid w:val="003F1EBC"/>
    <w:rsid w:val="003F2081"/>
    <w:rsid w:val="003F2735"/>
    <w:rsid w:val="003F2DA8"/>
    <w:rsid w:val="003F2FCB"/>
    <w:rsid w:val="003F3BF6"/>
    <w:rsid w:val="003F3CC3"/>
    <w:rsid w:val="003F3DFB"/>
    <w:rsid w:val="003F3F0B"/>
    <w:rsid w:val="003F4D24"/>
    <w:rsid w:val="003F4E31"/>
    <w:rsid w:val="003F52EC"/>
    <w:rsid w:val="003F557D"/>
    <w:rsid w:val="003F580A"/>
    <w:rsid w:val="003F5888"/>
    <w:rsid w:val="003F5975"/>
    <w:rsid w:val="003F59B5"/>
    <w:rsid w:val="003F5C78"/>
    <w:rsid w:val="003F5DB6"/>
    <w:rsid w:val="003F6422"/>
    <w:rsid w:val="003F6618"/>
    <w:rsid w:val="003F6676"/>
    <w:rsid w:val="003F6BA3"/>
    <w:rsid w:val="003F6C89"/>
    <w:rsid w:val="003F6E8A"/>
    <w:rsid w:val="003F75D6"/>
    <w:rsid w:val="003F75E7"/>
    <w:rsid w:val="003F765B"/>
    <w:rsid w:val="003F7984"/>
    <w:rsid w:val="00400197"/>
    <w:rsid w:val="00400641"/>
    <w:rsid w:val="00400979"/>
    <w:rsid w:val="00400DA3"/>
    <w:rsid w:val="00400ED1"/>
    <w:rsid w:val="004015EE"/>
    <w:rsid w:val="00401BAB"/>
    <w:rsid w:val="00401BF6"/>
    <w:rsid w:val="00401F6F"/>
    <w:rsid w:val="00402856"/>
    <w:rsid w:val="0040287F"/>
    <w:rsid w:val="00402901"/>
    <w:rsid w:val="00402B90"/>
    <w:rsid w:val="00402BA2"/>
    <w:rsid w:val="00402E77"/>
    <w:rsid w:val="00403037"/>
    <w:rsid w:val="004034BE"/>
    <w:rsid w:val="004036A7"/>
    <w:rsid w:val="004038E8"/>
    <w:rsid w:val="00403DD5"/>
    <w:rsid w:val="00403ED1"/>
    <w:rsid w:val="00404178"/>
    <w:rsid w:val="004041D5"/>
    <w:rsid w:val="00404C5D"/>
    <w:rsid w:val="00405215"/>
    <w:rsid w:val="0040529E"/>
    <w:rsid w:val="00405A52"/>
    <w:rsid w:val="00405B24"/>
    <w:rsid w:val="0040614E"/>
    <w:rsid w:val="00406886"/>
    <w:rsid w:val="00406A0F"/>
    <w:rsid w:val="00406A18"/>
    <w:rsid w:val="004075DD"/>
    <w:rsid w:val="00407712"/>
    <w:rsid w:val="00407739"/>
    <w:rsid w:val="004078A2"/>
    <w:rsid w:val="00407A5F"/>
    <w:rsid w:val="00407D7C"/>
    <w:rsid w:val="00407DD2"/>
    <w:rsid w:val="00410126"/>
    <w:rsid w:val="0041019E"/>
    <w:rsid w:val="004102DA"/>
    <w:rsid w:val="00410324"/>
    <w:rsid w:val="004105CF"/>
    <w:rsid w:val="004106AC"/>
    <w:rsid w:val="0041074A"/>
    <w:rsid w:val="00410B86"/>
    <w:rsid w:val="0041112D"/>
    <w:rsid w:val="00411615"/>
    <w:rsid w:val="0041194F"/>
    <w:rsid w:val="004122CC"/>
    <w:rsid w:val="0041278A"/>
    <w:rsid w:val="00412B3E"/>
    <w:rsid w:val="00412CB5"/>
    <w:rsid w:val="004130A8"/>
    <w:rsid w:val="004134E2"/>
    <w:rsid w:val="00413682"/>
    <w:rsid w:val="00413875"/>
    <w:rsid w:val="00413F06"/>
    <w:rsid w:val="00414E28"/>
    <w:rsid w:val="004150F2"/>
    <w:rsid w:val="004153CF"/>
    <w:rsid w:val="004156C4"/>
    <w:rsid w:val="00415A5D"/>
    <w:rsid w:val="00415DBB"/>
    <w:rsid w:val="00415F09"/>
    <w:rsid w:val="00415FAD"/>
    <w:rsid w:val="00416073"/>
    <w:rsid w:val="004162FB"/>
    <w:rsid w:val="00416AD2"/>
    <w:rsid w:val="004177C3"/>
    <w:rsid w:val="00417B9F"/>
    <w:rsid w:val="00417BF8"/>
    <w:rsid w:val="00420274"/>
    <w:rsid w:val="004209E2"/>
    <w:rsid w:val="00420ADB"/>
    <w:rsid w:val="00420D5E"/>
    <w:rsid w:val="00420E3B"/>
    <w:rsid w:val="00420F10"/>
    <w:rsid w:val="00420FFA"/>
    <w:rsid w:val="00421A38"/>
    <w:rsid w:val="00421AA3"/>
    <w:rsid w:val="00421B59"/>
    <w:rsid w:val="00421C84"/>
    <w:rsid w:val="00421FA5"/>
    <w:rsid w:val="00422243"/>
    <w:rsid w:val="004226E2"/>
    <w:rsid w:val="004228B0"/>
    <w:rsid w:val="004229E5"/>
    <w:rsid w:val="0042346A"/>
    <w:rsid w:val="00423630"/>
    <w:rsid w:val="004236E8"/>
    <w:rsid w:val="00423FDC"/>
    <w:rsid w:val="00424480"/>
    <w:rsid w:val="004244BB"/>
    <w:rsid w:val="00424687"/>
    <w:rsid w:val="00424950"/>
    <w:rsid w:val="00424B63"/>
    <w:rsid w:val="00425013"/>
    <w:rsid w:val="0042521D"/>
    <w:rsid w:val="004253BB"/>
    <w:rsid w:val="00425779"/>
    <w:rsid w:val="004258B1"/>
    <w:rsid w:val="00425B72"/>
    <w:rsid w:val="0042608A"/>
    <w:rsid w:val="00426365"/>
    <w:rsid w:val="0042656E"/>
    <w:rsid w:val="004267DA"/>
    <w:rsid w:val="00426A3E"/>
    <w:rsid w:val="00426A4B"/>
    <w:rsid w:val="00426D81"/>
    <w:rsid w:val="00426E8D"/>
    <w:rsid w:val="004270B1"/>
    <w:rsid w:val="00427396"/>
    <w:rsid w:val="00427397"/>
    <w:rsid w:val="00427D8F"/>
    <w:rsid w:val="00427FB6"/>
    <w:rsid w:val="00427FE7"/>
    <w:rsid w:val="004301C1"/>
    <w:rsid w:val="0043074C"/>
    <w:rsid w:val="00430AF1"/>
    <w:rsid w:val="00430E68"/>
    <w:rsid w:val="00430F72"/>
    <w:rsid w:val="004311D1"/>
    <w:rsid w:val="00431234"/>
    <w:rsid w:val="00431542"/>
    <w:rsid w:val="004318EF"/>
    <w:rsid w:val="00431A3F"/>
    <w:rsid w:val="00431A6B"/>
    <w:rsid w:val="00431B87"/>
    <w:rsid w:val="00431EEA"/>
    <w:rsid w:val="004323B6"/>
    <w:rsid w:val="004339C6"/>
    <w:rsid w:val="00433D32"/>
    <w:rsid w:val="00434345"/>
    <w:rsid w:val="00434870"/>
    <w:rsid w:val="00435034"/>
    <w:rsid w:val="00435500"/>
    <w:rsid w:val="0043557D"/>
    <w:rsid w:val="00435731"/>
    <w:rsid w:val="00435787"/>
    <w:rsid w:val="00435CB6"/>
    <w:rsid w:val="00435CD6"/>
    <w:rsid w:val="00436223"/>
    <w:rsid w:val="004365AC"/>
    <w:rsid w:val="00436CC9"/>
    <w:rsid w:val="00436F55"/>
    <w:rsid w:val="00437065"/>
    <w:rsid w:val="0043750C"/>
    <w:rsid w:val="0043767F"/>
    <w:rsid w:val="004379F9"/>
    <w:rsid w:val="00437B7F"/>
    <w:rsid w:val="00437CD4"/>
    <w:rsid w:val="0044021A"/>
    <w:rsid w:val="004404B0"/>
    <w:rsid w:val="0044053D"/>
    <w:rsid w:val="004406E1"/>
    <w:rsid w:val="00440770"/>
    <w:rsid w:val="00441122"/>
    <w:rsid w:val="004412B3"/>
    <w:rsid w:val="00441496"/>
    <w:rsid w:val="00441655"/>
    <w:rsid w:val="004416EF"/>
    <w:rsid w:val="00441FB9"/>
    <w:rsid w:val="00442436"/>
    <w:rsid w:val="00442C51"/>
    <w:rsid w:val="00442CA4"/>
    <w:rsid w:val="00442F38"/>
    <w:rsid w:val="0044341A"/>
    <w:rsid w:val="004437EC"/>
    <w:rsid w:val="00443DD4"/>
    <w:rsid w:val="0044428E"/>
    <w:rsid w:val="004442BF"/>
    <w:rsid w:val="004442CD"/>
    <w:rsid w:val="004446F6"/>
    <w:rsid w:val="00444776"/>
    <w:rsid w:val="00444A6F"/>
    <w:rsid w:val="00444E47"/>
    <w:rsid w:val="004450E2"/>
    <w:rsid w:val="004458E8"/>
    <w:rsid w:val="00445DAC"/>
    <w:rsid w:val="00445F84"/>
    <w:rsid w:val="004465D2"/>
    <w:rsid w:val="00447028"/>
    <w:rsid w:val="004479F7"/>
    <w:rsid w:val="00447C4F"/>
    <w:rsid w:val="00447E3B"/>
    <w:rsid w:val="0045039B"/>
    <w:rsid w:val="0045053B"/>
    <w:rsid w:val="004508D0"/>
    <w:rsid w:val="004509A8"/>
    <w:rsid w:val="004510C5"/>
    <w:rsid w:val="00451554"/>
    <w:rsid w:val="0045197C"/>
    <w:rsid w:val="0045234A"/>
    <w:rsid w:val="00452418"/>
    <w:rsid w:val="0045294F"/>
    <w:rsid w:val="004529CA"/>
    <w:rsid w:val="00452B54"/>
    <w:rsid w:val="00452B59"/>
    <w:rsid w:val="00453700"/>
    <w:rsid w:val="00453C5E"/>
    <w:rsid w:val="00453CA0"/>
    <w:rsid w:val="00453F5C"/>
    <w:rsid w:val="0045446C"/>
    <w:rsid w:val="00454625"/>
    <w:rsid w:val="00454898"/>
    <w:rsid w:val="00454BB8"/>
    <w:rsid w:val="004551F1"/>
    <w:rsid w:val="0045545E"/>
    <w:rsid w:val="004559A4"/>
    <w:rsid w:val="00455B78"/>
    <w:rsid w:val="00455CCD"/>
    <w:rsid w:val="004563F8"/>
    <w:rsid w:val="0045694D"/>
    <w:rsid w:val="00456DB9"/>
    <w:rsid w:val="00456F29"/>
    <w:rsid w:val="00456F92"/>
    <w:rsid w:val="004570F1"/>
    <w:rsid w:val="00457205"/>
    <w:rsid w:val="00457249"/>
    <w:rsid w:val="004576B5"/>
    <w:rsid w:val="0045785A"/>
    <w:rsid w:val="0045792C"/>
    <w:rsid w:val="00457B33"/>
    <w:rsid w:val="00457B6D"/>
    <w:rsid w:val="00457D5E"/>
    <w:rsid w:val="004600B9"/>
    <w:rsid w:val="0046097D"/>
    <w:rsid w:val="00460A07"/>
    <w:rsid w:val="00460DA8"/>
    <w:rsid w:val="004613C9"/>
    <w:rsid w:val="00461874"/>
    <w:rsid w:val="00461A38"/>
    <w:rsid w:val="00462099"/>
    <w:rsid w:val="0046232F"/>
    <w:rsid w:val="004624DC"/>
    <w:rsid w:val="004627BB"/>
    <w:rsid w:val="004627D2"/>
    <w:rsid w:val="004628AF"/>
    <w:rsid w:val="004629C0"/>
    <w:rsid w:val="00462AE8"/>
    <w:rsid w:val="00463069"/>
    <w:rsid w:val="00463167"/>
    <w:rsid w:val="00464812"/>
    <w:rsid w:val="0046487B"/>
    <w:rsid w:val="0046588E"/>
    <w:rsid w:val="00465E21"/>
    <w:rsid w:val="004662F9"/>
    <w:rsid w:val="00466B1F"/>
    <w:rsid w:val="00466C25"/>
    <w:rsid w:val="00467AA8"/>
    <w:rsid w:val="00467CF5"/>
    <w:rsid w:val="00467F25"/>
    <w:rsid w:val="00467F9D"/>
    <w:rsid w:val="004701B4"/>
    <w:rsid w:val="0047024E"/>
    <w:rsid w:val="00470511"/>
    <w:rsid w:val="004708A0"/>
    <w:rsid w:val="00470A5B"/>
    <w:rsid w:val="004714E8"/>
    <w:rsid w:val="004715B8"/>
    <w:rsid w:val="004715E1"/>
    <w:rsid w:val="004715FB"/>
    <w:rsid w:val="004718D0"/>
    <w:rsid w:val="00471C08"/>
    <w:rsid w:val="0047243D"/>
    <w:rsid w:val="00472610"/>
    <w:rsid w:val="004726E7"/>
    <w:rsid w:val="00472958"/>
    <w:rsid w:val="004730E9"/>
    <w:rsid w:val="0047343B"/>
    <w:rsid w:val="004734C7"/>
    <w:rsid w:val="004735F5"/>
    <w:rsid w:val="00473994"/>
    <w:rsid w:val="004741C2"/>
    <w:rsid w:val="00474241"/>
    <w:rsid w:val="00474436"/>
    <w:rsid w:val="0047472B"/>
    <w:rsid w:val="004751CD"/>
    <w:rsid w:val="004752A2"/>
    <w:rsid w:val="00475B8B"/>
    <w:rsid w:val="00475C34"/>
    <w:rsid w:val="004761BE"/>
    <w:rsid w:val="004766E2"/>
    <w:rsid w:val="004768D9"/>
    <w:rsid w:val="00476975"/>
    <w:rsid w:val="00476F2F"/>
    <w:rsid w:val="00476FA2"/>
    <w:rsid w:val="00477283"/>
    <w:rsid w:val="004772E9"/>
    <w:rsid w:val="004773EE"/>
    <w:rsid w:val="0047745E"/>
    <w:rsid w:val="00477732"/>
    <w:rsid w:val="004777C5"/>
    <w:rsid w:val="00477DDA"/>
    <w:rsid w:val="00480081"/>
    <w:rsid w:val="00480764"/>
    <w:rsid w:val="0048078A"/>
    <w:rsid w:val="004807A0"/>
    <w:rsid w:val="004808D8"/>
    <w:rsid w:val="00481206"/>
    <w:rsid w:val="004817D8"/>
    <w:rsid w:val="00481A22"/>
    <w:rsid w:val="00481BEE"/>
    <w:rsid w:val="00481E96"/>
    <w:rsid w:val="00482417"/>
    <w:rsid w:val="00482BCA"/>
    <w:rsid w:val="004835B2"/>
    <w:rsid w:val="00483C89"/>
    <w:rsid w:val="004840A7"/>
    <w:rsid w:val="00484324"/>
    <w:rsid w:val="004843B3"/>
    <w:rsid w:val="0048475D"/>
    <w:rsid w:val="0048485F"/>
    <w:rsid w:val="00484A88"/>
    <w:rsid w:val="00484AE4"/>
    <w:rsid w:val="00484B7C"/>
    <w:rsid w:val="00484D2A"/>
    <w:rsid w:val="00484EA4"/>
    <w:rsid w:val="00485664"/>
    <w:rsid w:val="00485806"/>
    <w:rsid w:val="00485EE1"/>
    <w:rsid w:val="0048624A"/>
    <w:rsid w:val="004868F0"/>
    <w:rsid w:val="00486A7D"/>
    <w:rsid w:val="0048719A"/>
    <w:rsid w:val="004875A1"/>
    <w:rsid w:val="00487612"/>
    <w:rsid w:val="004877EF"/>
    <w:rsid w:val="00487AE4"/>
    <w:rsid w:val="00487B93"/>
    <w:rsid w:val="00487D40"/>
    <w:rsid w:val="00487FD8"/>
    <w:rsid w:val="0049016D"/>
    <w:rsid w:val="0049062A"/>
    <w:rsid w:val="00490840"/>
    <w:rsid w:val="0049092B"/>
    <w:rsid w:val="00490B09"/>
    <w:rsid w:val="00490C59"/>
    <w:rsid w:val="00490DCA"/>
    <w:rsid w:val="00490E76"/>
    <w:rsid w:val="00490ECD"/>
    <w:rsid w:val="00491B55"/>
    <w:rsid w:val="00491CF3"/>
    <w:rsid w:val="00492200"/>
    <w:rsid w:val="004923CE"/>
    <w:rsid w:val="00492696"/>
    <w:rsid w:val="00492F0E"/>
    <w:rsid w:val="004930AC"/>
    <w:rsid w:val="004930D7"/>
    <w:rsid w:val="00493345"/>
    <w:rsid w:val="00493698"/>
    <w:rsid w:val="00493BB8"/>
    <w:rsid w:val="00494286"/>
    <w:rsid w:val="0049457D"/>
    <w:rsid w:val="00494EE3"/>
    <w:rsid w:val="00495506"/>
    <w:rsid w:val="0049566A"/>
    <w:rsid w:val="00495CB3"/>
    <w:rsid w:val="004961B6"/>
    <w:rsid w:val="004965C9"/>
    <w:rsid w:val="00496610"/>
    <w:rsid w:val="004966A0"/>
    <w:rsid w:val="00496731"/>
    <w:rsid w:val="00496E12"/>
    <w:rsid w:val="00496F30"/>
    <w:rsid w:val="00496F3A"/>
    <w:rsid w:val="0049705B"/>
    <w:rsid w:val="0049760C"/>
    <w:rsid w:val="004979AF"/>
    <w:rsid w:val="00497BB0"/>
    <w:rsid w:val="00497FED"/>
    <w:rsid w:val="004A0095"/>
    <w:rsid w:val="004A0674"/>
    <w:rsid w:val="004A07D5"/>
    <w:rsid w:val="004A0E58"/>
    <w:rsid w:val="004A11B1"/>
    <w:rsid w:val="004A14D0"/>
    <w:rsid w:val="004A17A2"/>
    <w:rsid w:val="004A1801"/>
    <w:rsid w:val="004A1978"/>
    <w:rsid w:val="004A1A90"/>
    <w:rsid w:val="004A1C0A"/>
    <w:rsid w:val="004A1F41"/>
    <w:rsid w:val="004A25DE"/>
    <w:rsid w:val="004A2857"/>
    <w:rsid w:val="004A2F40"/>
    <w:rsid w:val="004A2F6F"/>
    <w:rsid w:val="004A345B"/>
    <w:rsid w:val="004A3BC9"/>
    <w:rsid w:val="004A3C24"/>
    <w:rsid w:val="004A3F45"/>
    <w:rsid w:val="004A3F8B"/>
    <w:rsid w:val="004A46A2"/>
    <w:rsid w:val="004A4874"/>
    <w:rsid w:val="004A48B4"/>
    <w:rsid w:val="004A4A4B"/>
    <w:rsid w:val="004A4BF5"/>
    <w:rsid w:val="004A4FA1"/>
    <w:rsid w:val="004A528D"/>
    <w:rsid w:val="004A532B"/>
    <w:rsid w:val="004A5EF2"/>
    <w:rsid w:val="004A667C"/>
    <w:rsid w:val="004A6776"/>
    <w:rsid w:val="004A6C2F"/>
    <w:rsid w:val="004A6E22"/>
    <w:rsid w:val="004A720E"/>
    <w:rsid w:val="004A7449"/>
    <w:rsid w:val="004A752C"/>
    <w:rsid w:val="004A7945"/>
    <w:rsid w:val="004A7A76"/>
    <w:rsid w:val="004B04F4"/>
    <w:rsid w:val="004B09F7"/>
    <w:rsid w:val="004B0BFB"/>
    <w:rsid w:val="004B1671"/>
    <w:rsid w:val="004B1865"/>
    <w:rsid w:val="004B19D5"/>
    <w:rsid w:val="004B1ADC"/>
    <w:rsid w:val="004B1C7D"/>
    <w:rsid w:val="004B1CB6"/>
    <w:rsid w:val="004B1CE7"/>
    <w:rsid w:val="004B23F8"/>
    <w:rsid w:val="004B244B"/>
    <w:rsid w:val="004B2964"/>
    <w:rsid w:val="004B30CD"/>
    <w:rsid w:val="004B3323"/>
    <w:rsid w:val="004B33F6"/>
    <w:rsid w:val="004B35CE"/>
    <w:rsid w:val="004B3988"/>
    <w:rsid w:val="004B3DA1"/>
    <w:rsid w:val="004B3EFC"/>
    <w:rsid w:val="004B4358"/>
    <w:rsid w:val="004B45A1"/>
    <w:rsid w:val="004B47DE"/>
    <w:rsid w:val="004B4C2E"/>
    <w:rsid w:val="004B4F8F"/>
    <w:rsid w:val="004B51E7"/>
    <w:rsid w:val="004B593B"/>
    <w:rsid w:val="004B597D"/>
    <w:rsid w:val="004B5D78"/>
    <w:rsid w:val="004B614D"/>
    <w:rsid w:val="004B618C"/>
    <w:rsid w:val="004B6315"/>
    <w:rsid w:val="004B6C3B"/>
    <w:rsid w:val="004B6D42"/>
    <w:rsid w:val="004B6E28"/>
    <w:rsid w:val="004B7293"/>
    <w:rsid w:val="004B7297"/>
    <w:rsid w:val="004B7423"/>
    <w:rsid w:val="004B745F"/>
    <w:rsid w:val="004C0490"/>
    <w:rsid w:val="004C207E"/>
    <w:rsid w:val="004C20FB"/>
    <w:rsid w:val="004C26DC"/>
    <w:rsid w:val="004C28E2"/>
    <w:rsid w:val="004C290B"/>
    <w:rsid w:val="004C2B22"/>
    <w:rsid w:val="004C31F0"/>
    <w:rsid w:val="004C3220"/>
    <w:rsid w:val="004C32A9"/>
    <w:rsid w:val="004C332C"/>
    <w:rsid w:val="004C34F6"/>
    <w:rsid w:val="004C34F9"/>
    <w:rsid w:val="004C38B5"/>
    <w:rsid w:val="004C3A55"/>
    <w:rsid w:val="004C3B11"/>
    <w:rsid w:val="004C3D2E"/>
    <w:rsid w:val="004C3D8D"/>
    <w:rsid w:val="004C3F24"/>
    <w:rsid w:val="004C3F46"/>
    <w:rsid w:val="004C40AE"/>
    <w:rsid w:val="004C40FC"/>
    <w:rsid w:val="004C434A"/>
    <w:rsid w:val="004C460B"/>
    <w:rsid w:val="004C46F7"/>
    <w:rsid w:val="004C517F"/>
    <w:rsid w:val="004C5320"/>
    <w:rsid w:val="004C552C"/>
    <w:rsid w:val="004C5591"/>
    <w:rsid w:val="004C59C9"/>
    <w:rsid w:val="004C5FF0"/>
    <w:rsid w:val="004C6077"/>
    <w:rsid w:val="004C6DB3"/>
    <w:rsid w:val="004C71FF"/>
    <w:rsid w:val="004C72E4"/>
    <w:rsid w:val="004C7327"/>
    <w:rsid w:val="004C7588"/>
    <w:rsid w:val="004C778F"/>
    <w:rsid w:val="004C79D9"/>
    <w:rsid w:val="004C7CB1"/>
    <w:rsid w:val="004C7EE1"/>
    <w:rsid w:val="004C7FA6"/>
    <w:rsid w:val="004D00CF"/>
    <w:rsid w:val="004D00FA"/>
    <w:rsid w:val="004D020D"/>
    <w:rsid w:val="004D039A"/>
    <w:rsid w:val="004D03D5"/>
    <w:rsid w:val="004D0475"/>
    <w:rsid w:val="004D05D0"/>
    <w:rsid w:val="004D073A"/>
    <w:rsid w:val="004D0920"/>
    <w:rsid w:val="004D1114"/>
    <w:rsid w:val="004D138F"/>
    <w:rsid w:val="004D1394"/>
    <w:rsid w:val="004D1D79"/>
    <w:rsid w:val="004D242E"/>
    <w:rsid w:val="004D25B1"/>
    <w:rsid w:val="004D2920"/>
    <w:rsid w:val="004D2921"/>
    <w:rsid w:val="004D2B4D"/>
    <w:rsid w:val="004D3372"/>
    <w:rsid w:val="004D342F"/>
    <w:rsid w:val="004D35C6"/>
    <w:rsid w:val="004D367B"/>
    <w:rsid w:val="004D3EF1"/>
    <w:rsid w:val="004D408E"/>
    <w:rsid w:val="004D498B"/>
    <w:rsid w:val="004D4CBA"/>
    <w:rsid w:val="004D5368"/>
    <w:rsid w:val="004D5679"/>
    <w:rsid w:val="004D5848"/>
    <w:rsid w:val="004D59CB"/>
    <w:rsid w:val="004D5AB0"/>
    <w:rsid w:val="004D5C06"/>
    <w:rsid w:val="004D5CBD"/>
    <w:rsid w:val="004D5EA2"/>
    <w:rsid w:val="004D6458"/>
    <w:rsid w:val="004D67B8"/>
    <w:rsid w:val="004D69D5"/>
    <w:rsid w:val="004D6DDF"/>
    <w:rsid w:val="004D7236"/>
    <w:rsid w:val="004D7457"/>
    <w:rsid w:val="004D7466"/>
    <w:rsid w:val="004D7B20"/>
    <w:rsid w:val="004D7CE0"/>
    <w:rsid w:val="004D7FAD"/>
    <w:rsid w:val="004E007C"/>
    <w:rsid w:val="004E0B18"/>
    <w:rsid w:val="004E0BD4"/>
    <w:rsid w:val="004E0DC5"/>
    <w:rsid w:val="004E107A"/>
    <w:rsid w:val="004E17DA"/>
    <w:rsid w:val="004E18E2"/>
    <w:rsid w:val="004E19E5"/>
    <w:rsid w:val="004E1AA3"/>
    <w:rsid w:val="004E1AC2"/>
    <w:rsid w:val="004E1DF8"/>
    <w:rsid w:val="004E204A"/>
    <w:rsid w:val="004E2339"/>
    <w:rsid w:val="004E2436"/>
    <w:rsid w:val="004E27E2"/>
    <w:rsid w:val="004E2AB9"/>
    <w:rsid w:val="004E2D5D"/>
    <w:rsid w:val="004E3396"/>
    <w:rsid w:val="004E344F"/>
    <w:rsid w:val="004E3700"/>
    <w:rsid w:val="004E38E7"/>
    <w:rsid w:val="004E393C"/>
    <w:rsid w:val="004E3B95"/>
    <w:rsid w:val="004E3F8C"/>
    <w:rsid w:val="004E4020"/>
    <w:rsid w:val="004E431E"/>
    <w:rsid w:val="004E4345"/>
    <w:rsid w:val="004E4383"/>
    <w:rsid w:val="004E48B2"/>
    <w:rsid w:val="004E4A46"/>
    <w:rsid w:val="004E4BDA"/>
    <w:rsid w:val="004E5319"/>
    <w:rsid w:val="004E5EDF"/>
    <w:rsid w:val="004E5F44"/>
    <w:rsid w:val="004E6211"/>
    <w:rsid w:val="004E645E"/>
    <w:rsid w:val="004E66B4"/>
    <w:rsid w:val="004E6C93"/>
    <w:rsid w:val="004E7362"/>
    <w:rsid w:val="004E7861"/>
    <w:rsid w:val="004E7862"/>
    <w:rsid w:val="004E79BA"/>
    <w:rsid w:val="004E7C80"/>
    <w:rsid w:val="004E7E27"/>
    <w:rsid w:val="004E7EEC"/>
    <w:rsid w:val="004E7F43"/>
    <w:rsid w:val="004F09D8"/>
    <w:rsid w:val="004F0D25"/>
    <w:rsid w:val="004F0F3A"/>
    <w:rsid w:val="004F15E3"/>
    <w:rsid w:val="004F1781"/>
    <w:rsid w:val="004F2070"/>
    <w:rsid w:val="004F230F"/>
    <w:rsid w:val="004F24E7"/>
    <w:rsid w:val="004F2F77"/>
    <w:rsid w:val="004F3079"/>
    <w:rsid w:val="004F3909"/>
    <w:rsid w:val="004F3BEC"/>
    <w:rsid w:val="004F43E0"/>
    <w:rsid w:val="004F4487"/>
    <w:rsid w:val="004F4548"/>
    <w:rsid w:val="004F4B0B"/>
    <w:rsid w:val="004F5026"/>
    <w:rsid w:val="004F510C"/>
    <w:rsid w:val="004F5208"/>
    <w:rsid w:val="004F59EF"/>
    <w:rsid w:val="004F5BCE"/>
    <w:rsid w:val="004F5E1B"/>
    <w:rsid w:val="004F5FFA"/>
    <w:rsid w:val="004F6686"/>
    <w:rsid w:val="004F74E1"/>
    <w:rsid w:val="004F79E1"/>
    <w:rsid w:val="004F7F74"/>
    <w:rsid w:val="004F7FF5"/>
    <w:rsid w:val="005000E1"/>
    <w:rsid w:val="00500EFC"/>
    <w:rsid w:val="00501141"/>
    <w:rsid w:val="005012DF"/>
    <w:rsid w:val="00501A81"/>
    <w:rsid w:val="00502427"/>
    <w:rsid w:val="00502590"/>
    <w:rsid w:val="0050291B"/>
    <w:rsid w:val="005029DF"/>
    <w:rsid w:val="00502AE2"/>
    <w:rsid w:val="00502B35"/>
    <w:rsid w:val="005031F6"/>
    <w:rsid w:val="00503313"/>
    <w:rsid w:val="0050365B"/>
    <w:rsid w:val="0050370E"/>
    <w:rsid w:val="00503797"/>
    <w:rsid w:val="00503E8E"/>
    <w:rsid w:val="00504007"/>
    <w:rsid w:val="005040F5"/>
    <w:rsid w:val="00504210"/>
    <w:rsid w:val="00504AF4"/>
    <w:rsid w:val="00504BB6"/>
    <w:rsid w:val="005050CE"/>
    <w:rsid w:val="00505173"/>
    <w:rsid w:val="00505174"/>
    <w:rsid w:val="005056D3"/>
    <w:rsid w:val="005057D6"/>
    <w:rsid w:val="00505AAE"/>
    <w:rsid w:val="00505B03"/>
    <w:rsid w:val="00506046"/>
    <w:rsid w:val="0050619F"/>
    <w:rsid w:val="005063B8"/>
    <w:rsid w:val="0050666B"/>
    <w:rsid w:val="005069AA"/>
    <w:rsid w:val="005069CE"/>
    <w:rsid w:val="0050745B"/>
    <w:rsid w:val="005076B6"/>
    <w:rsid w:val="00507C26"/>
    <w:rsid w:val="00507C88"/>
    <w:rsid w:val="00507CC4"/>
    <w:rsid w:val="00507D59"/>
    <w:rsid w:val="00507F24"/>
    <w:rsid w:val="00510204"/>
    <w:rsid w:val="00510868"/>
    <w:rsid w:val="00510A03"/>
    <w:rsid w:val="00511304"/>
    <w:rsid w:val="00511698"/>
    <w:rsid w:val="0051182F"/>
    <w:rsid w:val="005119A0"/>
    <w:rsid w:val="00511A1B"/>
    <w:rsid w:val="00511B80"/>
    <w:rsid w:val="00511E69"/>
    <w:rsid w:val="00512121"/>
    <w:rsid w:val="0051248D"/>
    <w:rsid w:val="00512847"/>
    <w:rsid w:val="00512914"/>
    <w:rsid w:val="005129FA"/>
    <w:rsid w:val="00512B46"/>
    <w:rsid w:val="00512DAB"/>
    <w:rsid w:val="005131DC"/>
    <w:rsid w:val="00513238"/>
    <w:rsid w:val="005133EF"/>
    <w:rsid w:val="0051341E"/>
    <w:rsid w:val="005135DF"/>
    <w:rsid w:val="00513ED8"/>
    <w:rsid w:val="00513EDD"/>
    <w:rsid w:val="00514035"/>
    <w:rsid w:val="00514382"/>
    <w:rsid w:val="00514966"/>
    <w:rsid w:val="005149B4"/>
    <w:rsid w:val="00514CC8"/>
    <w:rsid w:val="0051505A"/>
    <w:rsid w:val="00515101"/>
    <w:rsid w:val="00515168"/>
    <w:rsid w:val="005151E9"/>
    <w:rsid w:val="0051580D"/>
    <w:rsid w:val="005167DD"/>
    <w:rsid w:val="00516C73"/>
    <w:rsid w:val="00517184"/>
    <w:rsid w:val="00517AAF"/>
    <w:rsid w:val="00517B0D"/>
    <w:rsid w:val="005204F0"/>
    <w:rsid w:val="00520D4F"/>
    <w:rsid w:val="00520DC1"/>
    <w:rsid w:val="00521191"/>
    <w:rsid w:val="005211D1"/>
    <w:rsid w:val="00521765"/>
    <w:rsid w:val="00521960"/>
    <w:rsid w:val="0052196B"/>
    <w:rsid w:val="005221A2"/>
    <w:rsid w:val="005222AF"/>
    <w:rsid w:val="005232D9"/>
    <w:rsid w:val="00523451"/>
    <w:rsid w:val="00523628"/>
    <w:rsid w:val="00523921"/>
    <w:rsid w:val="00524573"/>
    <w:rsid w:val="00524586"/>
    <w:rsid w:val="0052475D"/>
    <w:rsid w:val="00524CC4"/>
    <w:rsid w:val="005259AC"/>
    <w:rsid w:val="00525B29"/>
    <w:rsid w:val="00525BD4"/>
    <w:rsid w:val="00525C6E"/>
    <w:rsid w:val="00525C74"/>
    <w:rsid w:val="0052669E"/>
    <w:rsid w:val="00526BC8"/>
    <w:rsid w:val="00526C52"/>
    <w:rsid w:val="005271DC"/>
    <w:rsid w:val="00527294"/>
    <w:rsid w:val="0052762F"/>
    <w:rsid w:val="005278FF"/>
    <w:rsid w:val="00527915"/>
    <w:rsid w:val="00527E04"/>
    <w:rsid w:val="00527F2B"/>
    <w:rsid w:val="00530106"/>
    <w:rsid w:val="005301F8"/>
    <w:rsid w:val="005304F3"/>
    <w:rsid w:val="005309EB"/>
    <w:rsid w:val="00530DF9"/>
    <w:rsid w:val="00530E63"/>
    <w:rsid w:val="00530E92"/>
    <w:rsid w:val="0053122B"/>
    <w:rsid w:val="0053153E"/>
    <w:rsid w:val="00531DDB"/>
    <w:rsid w:val="00531FA8"/>
    <w:rsid w:val="0053212A"/>
    <w:rsid w:val="00532286"/>
    <w:rsid w:val="00532CA3"/>
    <w:rsid w:val="00532D7A"/>
    <w:rsid w:val="00533563"/>
    <w:rsid w:val="005337B3"/>
    <w:rsid w:val="00533AE8"/>
    <w:rsid w:val="00533EC1"/>
    <w:rsid w:val="00533F8C"/>
    <w:rsid w:val="0053464B"/>
    <w:rsid w:val="00534A02"/>
    <w:rsid w:val="00534DC9"/>
    <w:rsid w:val="0053515C"/>
    <w:rsid w:val="005356A1"/>
    <w:rsid w:val="005361E7"/>
    <w:rsid w:val="00536493"/>
    <w:rsid w:val="0053658A"/>
    <w:rsid w:val="005366C8"/>
    <w:rsid w:val="00536B79"/>
    <w:rsid w:val="00537288"/>
    <w:rsid w:val="00537330"/>
    <w:rsid w:val="005374D8"/>
    <w:rsid w:val="005377C1"/>
    <w:rsid w:val="00537814"/>
    <w:rsid w:val="0053790C"/>
    <w:rsid w:val="0053799A"/>
    <w:rsid w:val="00537CD0"/>
    <w:rsid w:val="00537D52"/>
    <w:rsid w:val="00537FCC"/>
    <w:rsid w:val="0054042C"/>
    <w:rsid w:val="00540639"/>
    <w:rsid w:val="00540996"/>
    <w:rsid w:val="00540EFE"/>
    <w:rsid w:val="005410B7"/>
    <w:rsid w:val="005413C7"/>
    <w:rsid w:val="00541564"/>
    <w:rsid w:val="00541F34"/>
    <w:rsid w:val="005424E8"/>
    <w:rsid w:val="00542717"/>
    <w:rsid w:val="0054292F"/>
    <w:rsid w:val="005433E4"/>
    <w:rsid w:val="005437AE"/>
    <w:rsid w:val="005437B5"/>
    <w:rsid w:val="00544D23"/>
    <w:rsid w:val="005451FE"/>
    <w:rsid w:val="00545309"/>
    <w:rsid w:val="005453E1"/>
    <w:rsid w:val="00545431"/>
    <w:rsid w:val="005457FD"/>
    <w:rsid w:val="00545A3B"/>
    <w:rsid w:val="005464F9"/>
    <w:rsid w:val="00546CDF"/>
    <w:rsid w:val="00547267"/>
    <w:rsid w:val="00547926"/>
    <w:rsid w:val="005479C4"/>
    <w:rsid w:val="00547D73"/>
    <w:rsid w:val="00547DA4"/>
    <w:rsid w:val="005507CE"/>
    <w:rsid w:val="00550E0A"/>
    <w:rsid w:val="00550E6A"/>
    <w:rsid w:val="0055126D"/>
    <w:rsid w:val="0055135C"/>
    <w:rsid w:val="00551D48"/>
    <w:rsid w:val="00551E51"/>
    <w:rsid w:val="00551FB8"/>
    <w:rsid w:val="005529E1"/>
    <w:rsid w:val="00552BC4"/>
    <w:rsid w:val="005532D7"/>
    <w:rsid w:val="00553751"/>
    <w:rsid w:val="00553A71"/>
    <w:rsid w:val="00553F43"/>
    <w:rsid w:val="005543AB"/>
    <w:rsid w:val="0055446D"/>
    <w:rsid w:val="005549DE"/>
    <w:rsid w:val="00554A88"/>
    <w:rsid w:val="00554E7C"/>
    <w:rsid w:val="00555238"/>
    <w:rsid w:val="005554D5"/>
    <w:rsid w:val="0055579F"/>
    <w:rsid w:val="0055582F"/>
    <w:rsid w:val="005558EC"/>
    <w:rsid w:val="005559A9"/>
    <w:rsid w:val="005559C7"/>
    <w:rsid w:val="005559FE"/>
    <w:rsid w:val="00555A63"/>
    <w:rsid w:val="00555BDB"/>
    <w:rsid w:val="005565E2"/>
    <w:rsid w:val="00556BEE"/>
    <w:rsid w:val="00556C6F"/>
    <w:rsid w:val="00556F23"/>
    <w:rsid w:val="00556FE0"/>
    <w:rsid w:val="0055773F"/>
    <w:rsid w:val="00557859"/>
    <w:rsid w:val="00557F97"/>
    <w:rsid w:val="00560044"/>
    <w:rsid w:val="00560366"/>
    <w:rsid w:val="0056077B"/>
    <w:rsid w:val="0056101D"/>
    <w:rsid w:val="0056156E"/>
    <w:rsid w:val="005619CB"/>
    <w:rsid w:val="00561E50"/>
    <w:rsid w:val="00561EC9"/>
    <w:rsid w:val="005620B1"/>
    <w:rsid w:val="0056230A"/>
    <w:rsid w:val="005623B8"/>
    <w:rsid w:val="005623C7"/>
    <w:rsid w:val="0056280F"/>
    <w:rsid w:val="005631D6"/>
    <w:rsid w:val="00563425"/>
    <w:rsid w:val="0056360E"/>
    <w:rsid w:val="00563A15"/>
    <w:rsid w:val="00563B3C"/>
    <w:rsid w:val="00563E39"/>
    <w:rsid w:val="0056404D"/>
    <w:rsid w:val="005643D6"/>
    <w:rsid w:val="005644DD"/>
    <w:rsid w:val="005648FE"/>
    <w:rsid w:val="00564BAE"/>
    <w:rsid w:val="00564F26"/>
    <w:rsid w:val="00564F8C"/>
    <w:rsid w:val="00565122"/>
    <w:rsid w:val="00565586"/>
    <w:rsid w:val="00565778"/>
    <w:rsid w:val="0056595F"/>
    <w:rsid w:val="00565967"/>
    <w:rsid w:val="00566692"/>
    <w:rsid w:val="005666C9"/>
    <w:rsid w:val="0056670A"/>
    <w:rsid w:val="0056675C"/>
    <w:rsid w:val="00566BBB"/>
    <w:rsid w:val="00567451"/>
    <w:rsid w:val="005678DE"/>
    <w:rsid w:val="00567A69"/>
    <w:rsid w:val="00567A84"/>
    <w:rsid w:val="00570130"/>
    <w:rsid w:val="0057029D"/>
    <w:rsid w:val="005703D8"/>
    <w:rsid w:val="00570547"/>
    <w:rsid w:val="00570560"/>
    <w:rsid w:val="005709FB"/>
    <w:rsid w:val="005711C0"/>
    <w:rsid w:val="00571923"/>
    <w:rsid w:val="005719C7"/>
    <w:rsid w:val="00571E18"/>
    <w:rsid w:val="00571FE0"/>
    <w:rsid w:val="0057215D"/>
    <w:rsid w:val="0057284B"/>
    <w:rsid w:val="00572FDA"/>
    <w:rsid w:val="0057351C"/>
    <w:rsid w:val="00573536"/>
    <w:rsid w:val="0057367B"/>
    <w:rsid w:val="00573A24"/>
    <w:rsid w:val="00573C78"/>
    <w:rsid w:val="00573F3F"/>
    <w:rsid w:val="00574EDF"/>
    <w:rsid w:val="00575100"/>
    <w:rsid w:val="005752EF"/>
    <w:rsid w:val="0057556E"/>
    <w:rsid w:val="0057562D"/>
    <w:rsid w:val="005759BE"/>
    <w:rsid w:val="00575D72"/>
    <w:rsid w:val="00576044"/>
    <w:rsid w:val="005763C9"/>
    <w:rsid w:val="005770FC"/>
    <w:rsid w:val="00577577"/>
    <w:rsid w:val="00577685"/>
    <w:rsid w:val="00577852"/>
    <w:rsid w:val="00577AA6"/>
    <w:rsid w:val="00577B51"/>
    <w:rsid w:val="00577C47"/>
    <w:rsid w:val="00577CBD"/>
    <w:rsid w:val="0058008A"/>
    <w:rsid w:val="0058030B"/>
    <w:rsid w:val="0058048F"/>
    <w:rsid w:val="00580637"/>
    <w:rsid w:val="0058084A"/>
    <w:rsid w:val="00581416"/>
    <w:rsid w:val="00581546"/>
    <w:rsid w:val="005816A1"/>
    <w:rsid w:val="00581BFD"/>
    <w:rsid w:val="00581F30"/>
    <w:rsid w:val="005822BD"/>
    <w:rsid w:val="005825EB"/>
    <w:rsid w:val="0058268A"/>
    <w:rsid w:val="005827C8"/>
    <w:rsid w:val="00582CC1"/>
    <w:rsid w:val="00583270"/>
    <w:rsid w:val="005834EC"/>
    <w:rsid w:val="0058351E"/>
    <w:rsid w:val="00583A9E"/>
    <w:rsid w:val="00583AA2"/>
    <w:rsid w:val="00583B65"/>
    <w:rsid w:val="005840C8"/>
    <w:rsid w:val="00584130"/>
    <w:rsid w:val="0058434C"/>
    <w:rsid w:val="005844D9"/>
    <w:rsid w:val="00584608"/>
    <w:rsid w:val="00584661"/>
    <w:rsid w:val="005849A5"/>
    <w:rsid w:val="00584C9D"/>
    <w:rsid w:val="00584D00"/>
    <w:rsid w:val="00584DE6"/>
    <w:rsid w:val="00584E8B"/>
    <w:rsid w:val="0058524A"/>
    <w:rsid w:val="005861BC"/>
    <w:rsid w:val="005861C4"/>
    <w:rsid w:val="00586221"/>
    <w:rsid w:val="00586252"/>
    <w:rsid w:val="0058644F"/>
    <w:rsid w:val="00586623"/>
    <w:rsid w:val="0058666F"/>
    <w:rsid w:val="005868D9"/>
    <w:rsid w:val="00586B58"/>
    <w:rsid w:val="00586C55"/>
    <w:rsid w:val="00587A7D"/>
    <w:rsid w:val="00587E94"/>
    <w:rsid w:val="0059034F"/>
    <w:rsid w:val="005905B1"/>
    <w:rsid w:val="00590800"/>
    <w:rsid w:val="00590862"/>
    <w:rsid w:val="00590961"/>
    <w:rsid w:val="00590B83"/>
    <w:rsid w:val="00590DC5"/>
    <w:rsid w:val="00590F8D"/>
    <w:rsid w:val="005911DF"/>
    <w:rsid w:val="005912EE"/>
    <w:rsid w:val="005918A2"/>
    <w:rsid w:val="00591EC8"/>
    <w:rsid w:val="00592154"/>
    <w:rsid w:val="005921CD"/>
    <w:rsid w:val="00592B42"/>
    <w:rsid w:val="00592CB3"/>
    <w:rsid w:val="00592CD1"/>
    <w:rsid w:val="00592F09"/>
    <w:rsid w:val="00593374"/>
    <w:rsid w:val="00593491"/>
    <w:rsid w:val="005934F7"/>
    <w:rsid w:val="0059371D"/>
    <w:rsid w:val="00593985"/>
    <w:rsid w:val="00593B61"/>
    <w:rsid w:val="0059488E"/>
    <w:rsid w:val="005950B8"/>
    <w:rsid w:val="005951FC"/>
    <w:rsid w:val="005955DA"/>
    <w:rsid w:val="00595681"/>
    <w:rsid w:val="00595F59"/>
    <w:rsid w:val="00596707"/>
    <w:rsid w:val="00596C2C"/>
    <w:rsid w:val="00596E83"/>
    <w:rsid w:val="005971F9"/>
    <w:rsid w:val="00597306"/>
    <w:rsid w:val="0059737F"/>
    <w:rsid w:val="00597438"/>
    <w:rsid w:val="0059749D"/>
    <w:rsid w:val="0059749E"/>
    <w:rsid w:val="005975D2"/>
    <w:rsid w:val="005A03FB"/>
    <w:rsid w:val="005A069E"/>
    <w:rsid w:val="005A0E08"/>
    <w:rsid w:val="005A11BA"/>
    <w:rsid w:val="005A1ACC"/>
    <w:rsid w:val="005A1F1A"/>
    <w:rsid w:val="005A244E"/>
    <w:rsid w:val="005A2ACF"/>
    <w:rsid w:val="005A2CCA"/>
    <w:rsid w:val="005A2F23"/>
    <w:rsid w:val="005A30C6"/>
    <w:rsid w:val="005A30E3"/>
    <w:rsid w:val="005A31B0"/>
    <w:rsid w:val="005A35C7"/>
    <w:rsid w:val="005A36B5"/>
    <w:rsid w:val="005A3741"/>
    <w:rsid w:val="005A399B"/>
    <w:rsid w:val="005A3D38"/>
    <w:rsid w:val="005A41AE"/>
    <w:rsid w:val="005A4270"/>
    <w:rsid w:val="005A427E"/>
    <w:rsid w:val="005A4627"/>
    <w:rsid w:val="005A4FD0"/>
    <w:rsid w:val="005A52F4"/>
    <w:rsid w:val="005A597A"/>
    <w:rsid w:val="005A5C98"/>
    <w:rsid w:val="005A63D4"/>
    <w:rsid w:val="005A6BEB"/>
    <w:rsid w:val="005A6CF6"/>
    <w:rsid w:val="005A732F"/>
    <w:rsid w:val="005A74C3"/>
    <w:rsid w:val="005A785A"/>
    <w:rsid w:val="005A7CDB"/>
    <w:rsid w:val="005B01DE"/>
    <w:rsid w:val="005B050A"/>
    <w:rsid w:val="005B09BB"/>
    <w:rsid w:val="005B0A00"/>
    <w:rsid w:val="005B0BAE"/>
    <w:rsid w:val="005B0BD6"/>
    <w:rsid w:val="005B0D92"/>
    <w:rsid w:val="005B113B"/>
    <w:rsid w:val="005B1176"/>
    <w:rsid w:val="005B11BE"/>
    <w:rsid w:val="005B174E"/>
    <w:rsid w:val="005B1787"/>
    <w:rsid w:val="005B184E"/>
    <w:rsid w:val="005B1AC0"/>
    <w:rsid w:val="005B225D"/>
    <w:rsid w:val="005B2453"/>
    <w:rsid w:val="005B2A19"/>
    <w:rsid w:val="005B2C31"/>
    <w:rsid w:val="005B2C40"/>
    <w:rsid w:val="005B3277"/>
    <w:rsid w:val="005B3330"/>
    <w:rsid w:val="005B348B"/>
    <w:rsid w:val="005B351F"/>
    <w:rsid w:val="005B37D3"/>
    <w:rsid w:val="005B3ABC"/>
    <w:rsid w:val="005B3B5D"/>
    <w:rsid w:val="005B3C42"/>
    <w:rsid w:val="005B40E4"/>
    <w:rsid w:val="005B40EC"/>
    <w:rsid w:val="005B44BF"/>
    <w:rsid w:val="005B469E"/>
    <w:rsid w:val="005B483D"/>
    <w:rsid w:val="005B4B92"/>
    <w:rsid w:val="005B4CAF"/>
    <w:rsid w:val="005B5259"/>
    <w:rsid w:val="005B52C4"/>
    <w:rsid w:val="005B55C5"/>
    <w:rsid w:val="005B5959"/>
    <w:rsid w:val="005B5EB7"/>
    <w:rsid w:val="005B60EB"/>
    <w:rsid w:val="005B642F"/>
    <w:rsid w:val="005B6D76"/>
    <w:rsid w:val="005B6F2E"/>
    <w:rsid w:val="005B7008"/>
    <w:rsid w:val="005B79DA"/>
    <w:rsid w:val="005C01D0"/>
    <w:rsid w:val="005C029D"/>
    <w:rsid w:val="005C07D2"/>
    <w:rsid w:val="005C1501"/>
    <w:rsid w:val="005C23BB"/>
    <w:rsid w:val="005C246A"/>
    <w:rsid w:val="005C2612"/>
    <w:rsid w:val="005C2662"/>
    <w:rsid w:val="005C2B36"/>
    <w:rsid w:val="005C2C27"/>
    <w:rsid w:val="005C2D01"/>
    <w:rsid w:val="005C2DFD"/>
    <w:rsid w:val="005C3030"/>
    <w:rsid w:val="005C37DA"/>
    <w:rsid w:val="005C3929"/>
    <w:rsid w:val="005C3EB9"/>
    <w:rsid w:val="005C3F7B"/>
    <w:rsid w:val="005C470F"/>
    <w:rsid w:val="005C4DD3"/>
    <w:rsid w:val="005C4E3D"/>
    <w:rsid w:val="005C56E2"/>
    <w:rsid w:val="005C5736"/>
    <w:rsid w:val="005C5B81"/>
    <w:rsid w:val="005C5CFC"/>
    <w:rsid w:val="005C5E52"/>
    <w:rsid w:val="005C6234"/>
    <w:rsid w:val="005C638E"/>
    <w:rsid w:val="005C652F"/>
    <w:rsid w:val="005C76DE"/>
    <w:rsid w:val="005C794A"/>
    <w:rsid w:val="005C7D8E"/>
    <w:rsid w:val="005C7EEF"/>
    <w:rsid w:val="005D02A8"/>
    <w:rsid w:val="005D0CC2"/>
    <w:rsid w:val="005D12A7"/>
    <w:rsid w:val="005D19F0"/>
    <w:rsid w:val="005D1CE7"/>
    <w:rsid w:val="005D1D98"/>
    <w:rsid w:val="005D2324"/>
    <w:rsid w:val="005D251F"/>
    <w:rsid w:val="005D2C05"/>
    <w:rsid w:val="005D2D45"/>
    <w:rsid w:val="005D2F17"/>
    <w:rsid w:val="005D2F9B"/>
    <w:rsid w:val="005D33C1"/>
    <w:rsid w:val="005D3A88"/>
    <w:rsid w:val="005D3AFC"/>
    <w:rsid w:val="005D3B93"/>
    <w:rsid w:val="005D43BC"/>
    <w:rsid w:val="005D4617"/>
    <w:rsid w:val="005D470F"/>
    <w:rsid w:val="005D4DED"/>
    <w:rsid w:val="005D4F46"/>
    <w:rsid w:val="005D51B9"/>
    <w:rsid w:val="005D53BA"/>
    <w:rsid w:val="005D59FA"/>
    <w:rsid w:val="005D5A31"/>
    <w:rsid w:val="005D615B"/>
    <w:rsid w:val="005D66B5"/>
    <w:rsid w:val="005D6DCC"/>
    <w:rsid w:val="005D744D"/>
    <w:rsid w:val="005D7847"/>
    <w:rsid w:val="005D7FBE"/>
    <w:rsid w:val="005E01F6"/>
    <w:rsid w:val="005E046A"/>
    <w:rsid w:val="005E06C1"/>
    <w:rsid w:val="005E0AE3"/>
    <w:rsid w:val="005E0BD3"/>
    <w:rsid w:val="005E0D74"/>
    <w:rsid w:val="005E11D4"/>
    <w:rsid w:val="005E123B"/>
    <w:rsid w:val="005E1B04"/>
    <w:rsid w:val="005E246B"/>
    <w:rsid w:val="005E277E"/>
    <w:rsid w:val="005E287E"/>
    <w:rsid w:val="005E295D"/>
    <w:rsid w:val="005E34C0"/>
    <w:rsid w:val="005E3A37"/>
    <w:rsid w:val="005E3D36"/>
    <w:rsid w:val="005E3E17"/>
    <w:rsid w:val="005E3E36"/>
    <w:rsid w:val="005E3FBC"/>
    <w:rsid w:val="005E4021"/>
    <w:rsid w:val="005E4894"/>
    <w:rsid w:val="005E4A23"/>
    <w:rsid w:val="005E4E65"/>
    <w:rsid w:val="005E51BD"/>
    <w:rsid w:val="005E58CC"/>
    <w:rsid w:val="005E5A00"/>
    <w:rsid w:val="005E62C6"/>
    <w:rsid w:val="005E642C"/>
    <w:rsid w:val="005E6904"/>
    <w:rsid w:val="005E6C7E"/>
    <w:rsid w:val="005E6E09"/>
    <w:rsid w:val="005E717C"/>
    <w:rsid w:val="005E72F6"/>
    <w:rsid w:val="005E768F"/>
    <w:rsid w:val="005E77E7"/>
    <w:rsid w:val="005E79E4"/>
    <w:rsid w:val="005E7B36"/>
    <w:rsid w:val="005F0236"/>
    <w:rsid w:val="005F061F"/>
    <w:rsid w:val="005F0CA4"/>
    <w:rsid w:val="005F102C"/>
    <w:rsid w:val="005F2586"/>
    <w:rsid w:val="005F25F2"/>
    <w:rsid w:val="005F2D65"/>
    <w:rsid w:val="005F3351"/>
    <w:rsid w:val="005F350A"/>
    <w:rsid w:val="005F3754"/>
    <w:rsid w:val="005F3823"/>
    <w:rsid w:val="005F3941"/>
    <w:rsid w:val="005F39B0"/>
    <w:rsid w:val="005F4298"/>
    <w:rsid w:val="005F4515"/>
    <w:rsid w:val="005F4597"/>
    <w:rsid w:val="005F4EC5"/>
    <w:rsid w:val="005F4EF5"/>
    <w:rsid w:val="005F51A3"/>
    <w:rsid w:val="005F5452"/>
    <w:rsid w:val="005F54F6"/>
    <w:rsid w:val="005F550A"/>
    <w:rsid w:val="005F5680"/>
    <w:rsid w:val="005F5744"/>
    <w:rsid w:val="005F5B8E"/>
    <w:rsid w:val="005F5BEF"/>
    <w:rsid w:val="005F600A"/>
    <w:rsid w:val="005F601A"/>
    <w:rsid w:val="005F611B"/>
    <w:rsid w:val="005F6233"/>
    <w:rsid w:val="005F6391"/>
    <w:rsid w:val="005F6ACA"/>
    <w:rsid w:val="005F6C7C"/>
    <w:rsid w:val="005F6F3E"/>
    <w:rsid w:val="005F704D"/>
    <w:rsid w:val="005F79A7"/>
    <w:rsid w:val="00600207"/>
    <w:rsid w:val="006002BA"/>
    <w:rsid w:val="00600CC1"/>
    <w:rsid w:val="0060110B"/>
    <w:rsid w:val="00601930"/>
    <w:rsid w:val="00601D75"/>
    <w:rsid w:val="006023EC"/>
    <w:rsid w:val="00602CB2"/>
    <w:rsid w:val="00602EF1"/>
    <w:rsid w:val="006031FF"/>
    <w:rsid w:val="006035EC"/>
    <w:rsid w:val="006047BA"/>
    <w:rsid w:val="00604AD9"/>
    <w:rsid w:val="00604C15"/>
    <w:rsid w:val="00605018"/>
    <w:rsid w:val="00605592"/>
    <w:rsid w:val="006060AE"/>
    <w:rsid w:val="006063D6"/>
    <w:rsid w:val="0060651B"/>
    <w:rsid w:val="00606553"/>
    <w:rsid w:val="00606AF0"/>
    <w:rsid w:val="00606BAE"/>
    <w:rsid w:val="00606BCF"/>
    <w:rsid w:val="00606C84"/>
    <w:rsid w:val="00606F4D"/>
    <w:rsid w:val="00607596"/>
    <w:rsid w:val="00607F78"/>
    <w:rsid w:val="00610528"/>
    <w:rsid w:val="00610CCB"/>
    <w:rsid w:val="00610DCC"/>
    <w:rsid w:val="0061128F"/>
    <w:rsid w:val="006113A1"/>
    <w:rsid w:val="00611681"/>
    <w:rsid w:val="00611A31"/>
    <w:rsid w:val="00611A34"/>
    <w:rsid w:val="00611D42"/>
    <w:rsid w:val="00611EEA"/>
    <w:rsid w:val="006123CE"/>
    <w:rsid w:val="00612707"/>
    <w:rsid w:val="00612CA2"/>
    <w:rsid w:val="006131AA"/>
    <w:rsid w:val="0061361E"/>
    <w:rsid w:val="006137F8"/>
    <w:rsid w:val="00613B6B"/>
    <w:rsid w:val="00614409"/>
    <w:rsid w:val="006144DE"/>
    <w:rsid w:val="00614734"/>
    <w:rsid w:val="00614A77"/>
    <w:rsid w:val="00614C50"/>
    <w:rsid w:val="00614CF9"/>
    <w:rsid w:val="00615169"/>
    <w:rsid w:val="00615175"/>
    <w:rsid w:val="006153D9"/>
    <w:rsid w:val="00615428"/>
    <w:rsid w:val="006155F4"/>
    <w:rsid w:val="00617855"/>
    <w:rsid w:val="0062008F"/>
    <w:rsid w:val="006200FA"/>
    <w:rsid w:val="00620397"/>
    <w:rsid w:val="00621164"/>
    <w:rsid w:val="00621312"/>
    <w:rsid w:val="0062172A"/>
    <w:rsid w:val="00621A77"/>
    <w:rsid w:val="00621F4C"/>
    <w:rsid w:val="0062201C"/>
    <w:rsid w:val="006224FE"/>
    <w:rsid w:val="00622623"/>
    <w:rsid w:val="0062267F"/>
    <w:rsid w:val="0062276C"/>
    <w:rsid w:val="006227BA"/>
    <w:rsid w:val="006227C2"/>
    <w:rsid w:val="006229CC"/>
    <w:rsid w:val="00622CA6"/>
    <w:rsid w:val="00622D69"/>
    <w:rsid w:val="0062305E"/>
    <w:rsid w:val="00623152"/>
    <w:rsid w:val="0062352A"/>
    <w:rsid w:val="0062352D"/>
    <w:rsid w:val="0062382E"/>
    <w:rsid w:val="006238A7"/>
    <w:rsid w:val="006239BC"/>
    <w:rsid w:val="00623C39"/>
    <w:rsid w:val="00623E77"/>
    <w:rsid w:val="0062430E"/>
    <w:rsid w:val="00624589"/>
    <w:rsid w:val="0062487C"/>
    <w:rsid w:val="00624A75"/>
    <w:rsid w:val="00624D75"/>
    <w:rsid w:val="00624EAD"/>
    <w:rsid w:val="00624FF6"/>
    <w:rsid w:val="00625180"/>
    <w:rsid w:val="00625484"/>
    <w:rsid w:val="006254B6"/>
    <w:rsid w:val="006259DA"/>
    <w:rsid w:val="0062632E"/>
    <w:rsid w:val="00626566"/>
    <w:rsid w:val="00626902"/>
    <w:rsid w:val="00626C52"/>
    <w:rsid w:val="00626E12"/>
    <w:rsid w:val="00626FCF"/>
    <w:rsid w:val="0062763C"/>
    <w:rsid w:val="00627701"/>
    <w:rsid w:val="00627848"/>
    <w:rsid w:val="00627983"/>
    <w:rsid w:val="00630129"/>
    <w:rsid w:val="006301B9"/>
    <w:rsid w:val="00630353"/>
    <w:rsid w:val="006307ED"/>
    <w:rsid w:val="00630817"/>
    <w:rsid w:val="006309E4"/>
    <w:rsid w:val="00630BC9"/>
    <w:rsid w:val="00630BCD"/>
    <w:rsid w:val="00630F91"/>
    <w:rsid w:val="00631306"/>
    <w:rsid w:val="006313E9"/>
    <w:rsid w:val="00631837"/>
    <w:rsid w:val="00631FCC"/>
    <w:rsid w:val="0063210C"/>
    <w:rsid w:val="006323BC"/>
    <w:rsid w:val="0063241D"/>
    <w:rsid w:val="006328E2"/>
    <w:rsid w:val="00632CA6"/>
    <w:rsid w:val="006332B5"/>
    <w:rsid w:val="006333FE"/>
    <w:rsid w:val="00633563"/>
    <w:rsid w:val="0063373A"/>
    <w:rsid w:val="006339E6"/>
    <w:rsid w:val="00633F8F"/>
    <w:rsid w:val="00634164"/>
    <w:rsid w:val="00634E47"/>
    <w:rsid w:val="00634ED7"/>
    <w:rsid w:val="00634F90"/>
    <w:rsid w:val="00635171"/>
    <w:rsid w:val="0063553F"/>
    <w:rsid w:val="00635810"/>
    <w:rsid w:val="00635E39"/>
    <w:rsid w:val="00635E53"/>
    <w:rsid w:val="00635F99"/>
    <w:rsid w:val="006361B7"/>
    <w:rsid w:val="00636326"/>
    <w:rsid w:val="00636344"/>
    <w:rsid w:val="00636688"/>
    <w:rsid w:val="00636C39"/>
    <w:rsid w:val="00637038"/>
    <w:rsid w:val="00637CBB"/>
    <w:rsid w:val="00640288"/>
    <w:rsid w:val="00640683"/>
    <w:rsid w:val="00640A5C"/>
    <w:rsid w:val="00640C2B"/>
    <w:rsid w:val="00641181"/>
    <w:rsid w:val="00641283"/>
    <w:rsid w:val="0064144C"/>
    <w:rsid w:val="00641775"/>
    <w:rsid w:val="00641BAD"/>
    <w:rsid w:val="00641F44"/>
    <w:rsid w:val="00642548"/>
    <w:rsid w:val="00642AD8"/>
    <w:rsid w:val="00642CB8"/>
    <w:rsid w:val="00643DF2"/>
    <w:rsid w:val="00643E01"/>
    <w:rsid w:val="00644579"/>
    <w:rsid w:val="00644932"/>
    <w:rsid w:val="00644D41"/>
    <w:rsid w:val="00644DEA"/>
    <w:rsid w:val="006455A2"/>
    <w:rsid w:val="0064563E"/>
    <w:rsid w:val="00645B70"/>
    <w:rsid w:val="00646556"/>
    <w:rsid w:val="006468BA"/>
    <w:rsid w:val="00646D29"/>
    <w:rsid w:val="006474A1"/>
    <w:rsid w:val="00647699"/>
    <w:rsid w:val="006477C2"/>
    <w:rsid w:val="00647A5D"/>
    <w:rsid w:val="00647EDF"/>
    <w:rsid w:val="006500F4"/>
    <w:rsid w:val="00650225"/>
    <w:rsid w:val="006502F8"/>
    <w:rsid w:val="006504E6"/>
    <w:rsid w:val="00650988"/>
    <w:rsid w:val="006519BD"/>
    <w:rsid w:val="00652240"/>
    <w:rsid w:val="0065239B"/>
    <w:rsid w:val="00652496"/>
    <w:rsid w:val="006525BD"/>
    <w:rsid w:val="0065271C"/>
    <w:rsid w:val="006533AF"/>
    <w:rsid w:val="0065380E"/>
    <w:rsid w:val="00653821"/>
    <w:rsid w:val="0065398D"/>
    <w:rsid w:val="00653ABC"/>
    <w:rsid w:val="00653B2A"/>
    <w:rsid w:val="00653DA4"/>
    <w:rsid w:val="00654015"/>
    <w:rsid w:val="006540AC"/>
    <w:rsid w:val="0065422E"/>
    <w:rsid w:val="00654987"/>
    <w:rsid w:val="00654A8C"/>
    <w:rsid w:val="00654BAB"/>
    <w:rsid w:val="00654FA2"/>
    <w:rsid w:val="00655A4F"/>
    <w:rsid w:val="00655A59"/>
    <w:rsid w:val="00655AAE"/>
    <w:rsid w:val="00655BDA"/>
    <w:rsid w:val="00655CB3"/>
    <w:rsid w:val="00655F3B"/>
    <w:rsid w:val="0065602D"/>
    <w:rsid w:val="006560DB"/>
    <w:rsid w:val="006563B8"/>
    <w:rsid w:val="006565C9"/>
    <w:rsid w:val="00656696"/>
    <w:rsid w:val="00656AF9"/>
    <w:rsid w:val="00657065"/>
    <w:rsid w:val="006571DC"/>
    <w:rsid w:val="006575AA"/>
    <w:rsid w:val="00657BEC"/>
    <w:rsid w:val="00657EA0"/>
    <w:rsid w:val="006607E1"/>
    <w:rsid w:val="00660CA0"/>
    <w:rsid w:val="00660E1E"/>
    <w:rsid w:val="00660E7B"/>
    <w:rsid w:val="00660ED8"/>
    <w:rsid w:val="0066166F"/>
    <w:rsid w:val="00661745"/>
    <w:rsid w:val="0066215C"/>
    <w:rsid w:val="00662291"/>
    <w:rsid w:val="0066237C"/>
    <w:rsid w:val="0066243E"/>
    <w:rsid w:val="00662C74"/>
    <w:rsid w:val="00662EE6"/>
    <w:rsid w:val="006630D4"/>
    <w:rsid w:val="00663315"/>
    <w:rsid w:val="006636FE"/>
    <w:rsid w:val="006638BC"/>
    <w:rsid w:val="00663F2E"/>
    <w:rsid w:val="00663F62"/>
    <w:rsid w:val="0066431F"/>
    <w:rsid w:val="00664405"/>
    <w:rsid w:val="0066458F"/>
    <w:rsid w:val="00665321"/>
    <w:rsid w:val="00665484"/>
    <w:rsid w:val="006657B3"/>
    <w:rsid w:val="00665894"/>
    <w:rsid w:val="00665EC6"/>
    <w:rsid w:val="00665F1C"/>
    <w:rsid w:val="00666390"/>
    <w:rsid w:val="006666E8"/>
    <w:rsid w:val="0066676A"/>
    <w:rsid w:val="00666A63"/>
    <w:rsid w:val="00666C3D"/>
    <w:rsid w:val="0066704F"/>
    <w:rsid w:val="00667136"/>
    <w:rsid w:val="00667265"/>
    <w:rsid w:val="00667369"/>
    <w:rsid w:val="00667553"/>
    <w:rsid w:val="006676E7"/>
    <w:rsid w:val="006703AA"/>
    <w:rsid w:val="0067054C"/>
    <w:rsid w:val="00670B0A"/>
    <w:rsid w:val="00670CC2"/>
    <w:rsid w:val="00670E4B"/>
    <w:rsid w:val="00670F48"/>
    <w:rsid w:val="00671148"/>
    <w:rsid w:val="0067199D"/>
    <w:rsid w:val="00671B9B"/>
    <w:rsid w:val="00671CCA"/>
    <w:rsid w:val="00671FB6"/>
    <w:rsid w:val="006720AA"/>
    <w:rsid w:val="00672152"/>
    <w:rsid w:val="00672227"/>
    <w:rsid w:val="0067226A"/>
    <w:rsid w:val="0067252B"/>
    <w:rsid w:val="00672806"/>
    <w:rsid w:val="00672865"/>
    <w:rsid w:val="00672A20"/>
    <w:rsid w:val="00672D78"/>
    <w:rsid w:val="00672F1A"/>
    <w:rsid w:val="00673148"/>
    <w:rsid w:val="006733DD"/>
    <w:rsid w:val="00673406"/>
    <w:rsid w:val="006737E5"/>
    <w:rsid w:val="00673AC2"/>
    <w:rsid w:val="00673CC1"/>
    <w:rsid w:val="00674679"/>
    <w:rsid w:val="00674C7E"/>
    <w:rsid w:val="00674E15"/>
    <w:rsid w:val="00675051"/>
    <w:rsid w:val="00675573"/>
    <w:rsid w:val="006758C3"/>
    <w:rsid w:val="006759AE"/>
    <w:rsid w:val="00675F34"/>
    <w:rsid w:val="0067617B"/>
    <w:rsid w:val="006763FA"/>
    <w:rsid w:val="00676613"/>
    <w:rsid w:val="00676A2E"/>
    <w:rsid w:val="00676C07"/>
    <w:rsid w:val="00676F76"/>
    <w:rsid w:val="0067718E"/>
    <w:rsid w:val="006778B6"/>
    <w:rsid w:val="00677931"/>
    <w:rsid w:val="00677A4C"/>
    <w:rsid w:val="00677ADF"/>
    <w:rsid w:val="00677E6A"/>
    <w:rsid w:val="00677F8E"/>
    <w:rsid w:val="00680738"/>
    <w:rsid w:val="00680FEB"/>
    <w:rsid w:val="00681239"/>
    <w:rsid w:val="00681454"/>
    <w:rsid w:val="006814B8"/>
    <w:rsid w:val="006818DE"/>
    <w:rsid w:val="006819B7"/>
    <w:rsid w:val="00681AEA"/>
    <w:rsid w:val="00682289"/>
    <w:rsid w:val="006823CE"/>
    <w:rsid w:val="00682AC8"/>
    <w:rsid w:val="00682BE8"/>
    <w:rsid w:val="00682BFD"/>
    <w:rsid w:val="00682D77"/>
    <w:rsid w:val="006834BF"/>
    <w:rsid w:val="00683532"/>
    <w:rsid w:val="00683552"/>
    <w:rsid w:val="00683BE1"/>
    <w:rsid w:val="00684AA0"/>
    <w:rsid w:val="00684BF7"/>
    <w:rsid w:val="0068509C"/>
    <w:rsid w:val="006850E5"/>
    <w:rsid w:val="006850FD"/>
    <w:rsid w:val="006851E0"/>
    <w:rsid w:val="0068563C"/>
    <w:rsid w:val="0068587F"/>
    <w:rsid w:val="00685A6E"/>
    <w:rsid w:val="00685C2A"/>
    <w:rsid w:val="00685E5B"/>
    <w:rsid w:val="0068649E"/>
    <w:rsid w:val="00686DB4"/>
    <w:rsid w:val="00686E09"/>
    <w:rsid w:val="00686E2D"/>
    <w:rsid w:val="00686F5D"/>
    <w:rsid w:val="00686FBB"/>
    <w:rsid w:val="006874D7"/>
    <w:rsid w:val="00687594"/>
    <w:rsid w:val="00690010"/>
    <w:rsid w:val="0069028B"/>
    <w:rsid w:val="0069030A"/>
    <w:rsid w:val="006907A3"/>
    <w:rsid w:val="00690996"/>
    <w:rsid w:val="00690BD7"/>
    <w:rsid w:val="0069104D"/>
    <w:rsid w:val="00691143"/>
    <w:rsid w:val="00691185"/>
    <w:rsid w:val="006911CA"/>
    <w:rsid w:val="0069129C"/>
    <w:rsid w:val="006912BC"/>
    <w:rsid w:val="006913E6"/>
    <w:rsid w:val="00691483"/>
    <w:rsid w:val="00691C0F"/>
    <w:rsid w:val="00691DC6"/>
    <w:rsid w:val="00691ED8"/>
    <w:rsid w:val="00691FE6"/>
    <w:rsid w:val="00692003"/>
    <w:rsid w:val="006922D5"/>
    <w:rsid w:val="0069232E"/>
    <w:rsid w:val="00692929"/>
    <w:rsid w:val="00692996"/>
    <w:rsid w:val="00692BE0"/>
    <w:rsid w:val="00693161"/>
    <w:rsid w:val="006931AC"/>
    <w:rsid w:val="0069372C"/>
    <w:rsid w:val="006939A0"/>
    <w:rsid w:val="00693A00"/>
    <w:rsid w:val="00693CC2"/>
    <w:rsid w:val="00693F47"/>
    <w:rsid w:val="00694087"/>
    <w:rsid w:val="00694275"/>
    <w:rsid w:val="00694337"/>
    <w:rsid w:val="00694492"/>
    <w:rsid w:val="006947ED"/>
    <w:rsid w:val="00694A21"/>
    <w:rsid w:val="00694BA1"/>
    <w:rsid w:val="00694DC8"/>
    <w:rsid w:val="00694E74"/>
    <w:rsid w:val="00695A21"/>
    <w:rsid w:val="00695AFC"/>
    <w:rsid w:val="00695B79"/>
    <w:rsid w:val="0069606E"/>
    <w:rsid w:val="00696227"/>
    <w:rsid w:val="0069655A"/>
    <w:rsid w:val="006966E7"/>
    <w:rsid w:val="006967BF"/>
    <w:rsid w:val="006967DD"/>
    <w:rsid w:val="00697002"/>
    <w:rsid w:val="006972E3"/>
    <w:rsid w:val="006973D2"/>
    <w:rsid w:val="00697417"/>
    <w:rsid w:val="006974B8"/>
    <w:rsid w:val="00697927"/>
    <w:rsid w:val="00697C99"/>
    <w:rsid w:val="00697FE7"/>
    <w:rsid w:val="006A0277"/>
    <w:rsid w:val="006A0318"/>
    <w:rsid w:val="006A0418"/>
    <w:rsid w:val="006A05CD"/>
    <w:rsid w:val="006A0651"/>
    <w:rsid w:val="006A084C"/>
    <w:rsid w:val="006A0A7E"/>
    <w:rsid w:val="006A0B94"/>
    <w:rsid w:val="006A0CF6"/>
    <w:rsid w:val="006A0D14"/>
    <w:rsid w:val="006A176F"/>
    <w:rsid w:val="006A1CFF"/>
    <w:rsid w:val="006A23E1"/>
    <w:rsid w:val="006A2621"/>
    <w:rsid w:val="006A279C"/>
    <w:rsid w:val="006A281D"/>
    <w:rsid w:val="006A28F2"/>
    <w:rsid w:val="006A2C2C"/>
    <w:rsid w:val="006A2F78"/>
    <w:rsid w:val="006A378F"/>
    <w:rsid w:val="006A3F4B"/>
    <w:rsid w:val="006A4970"/>
    <w:rsid w:val="006A4DA9"/>
    <w:rsid w:val="006A5627"/>
    <w:rsid w:val="006A5846"/>
    <w:rsid w:val="006A5949"/>
    <w:rsid w:val="006A64C4"/>
    <w:rsid w:val="006A6727"/>
    <w:rsid w:val="006A6936"/>
    <w:rsid w:val="006A6CAA"/>
    <w:rsid w:val="006A6CF5"/>
    <w:rsid w:val="006A71E0"/>
    <w:rsid w:val="006A7A74"/>
    <w:rsid w:val="006A7C3E"/>
    <w:rsid w:val="006B02F2"/>
    <w:rsid w:val="006B0766"/>
    <w:rsid w:val="006B086D"/>
    <w:rsid w:val="006B095C"/>
    <w:rsid w:val="006B096C"/>
    <w:rsid w:val="006B0C19"/>
    <w:rsid w:val="006B0DB0"/>
    <w:rsid w:val="006B0FCF"/>
    <w:rsid w:val="006B1524"/>
    <w:rsid w:val="006B184B"/>
    <w:rsid w:val="006B1894"/>
    <w:rsid w:val="006B1D42"/>
    <w:rsid w:val="006B1DE7"/>
    <w:rsid w:val="006B2547"/>
    <w:rsid w:val="006B266D"/>
    <w:rsid w:val="006B2AAE"/>
    <w:rsid w:val="006B2D0C"/>
    <w:rsid w:val="006B3212"/>
    <w:rsid w:val="006B3259"/>
    <w:rsid w:val="006B3CFC"/>
    <w:rsid w:val="006B3E41"/>
    <w:rsid w:val="006B4372"/>
    <w:rsid w:val="006B4400"/>
    <w:rsid w:val="006B4EDF"/>
    <w:rsid w:val="006B4FC3"/>
    <w:rsid w:val="006B561A"/>
    <w:rsid w:val="006B5D10"/>
    <w:rsid w:val="006B5F6B"/>
    <w:rsid w:val="006B6771"/>
    <w:rsid w:val="006B6F46"/>
    <w:rsid w:val="006B6F49"/>
    <w:rsid w:val="006B7258"/>
    <w:rsid w:val="006B7855"/>
    <w:rsid w:val="006B785F"/>
    <w:rsid w:val="006B78B3"/>
    <w:rsid w:val="006B7934"/>
    <w:rsid w:val="006B7B3A"/>
    <w:rsid w:val="006B7FC0"/>
    <w:rsid w:val="006C0120"/>
    <w:rsid w:val="006C05C5"/>
    <w:rsid w:val="006C06AD"/>
    <w:rsid w:val="006C0C71"/>
    <w:rsid w:val="006C0D1B"/>
    <w:rsid w:val="006C0E06"/>
    <w:rsid w:val="006C0EA5"/>
    <w:rsid w:val="006C11B5"/>
    <w:rsid w:val="006C151A"/>
    <w:rsid w:val="006C166C"/>
    <w:rsid w:val="006C1883"/>
    <w:rsid w:val="006C18BE"/>
    <w:rsid w:val="006C1957"/>
    <w:rsid w:val="006C23C6"/>
    <w:rsid w:val="006C2613"/>
    <w:rsid w:val="006C2687"/>
    <w:rsid w:val="006C276E"/>
    <w:rsid w:val="006C2D73"/>
    <w:rsid w:val="006C37C9"/>
    <w:rsid w:val="006C3BB9"/>
    <w:rsid w:val="006C3EFE"/>
    <w:rsid w:val="006C40C7"/>
    <w:rsid w:val="006C4F6F"/>
    <w:rsid w:val="006C50D3"/>
    <w:rsid w:val="006C50E1"/>
    <w:rsid w:val="006C5292"/>
    <w:rsid w:val="006C55C9"/>
    <w:rsid w:val="006C5E12"/>
    <w:rsid w:val="006C5FB3"/>
    <w:rsid w:val="006C62EA"/>
    <w:rsid w:val="006C658C"/>
    <w:rsid w:val="006C67AB"/>
    <w:rsid w:val="006C6E61"/>
    <w:rsid w:val="006C733E"/>
    <w:rsid w:val="006C7921"/>
    <w:rsid w:val="006C7B52"/>
    <w:rsid w:val="006D0269"/>
    <w:rsid w:val="006D039E"/>
    <w:rsid w:val="006D0A0E"/>
    <w:rsid w:val="006D0A99"/>
    <w:rsid w:val="006D0B3A"/>
    <w:rsid w:val="006D0C26"/>
    <w:rsid w:val="006D1084"/>
    <w:rsid w:val="006D1111"/>
    <w:rsid w:val="006D125A"/>
    <w:rsid w:val="006D131B"/>
    <w:rsid w:val="006D13EF"/>
    <w:rsid w:val="006D1DC6"/>
    <w:rsid w:val="006D1EF9"/>
    <w:rsid w:val="006D2426"/>
    <w:rsid w:val="006D29B8"/>
    <w:rsid w:val="006D2B9A"/>
    <w:rsid w:val="006D2C01"/>
    <w:rsid w:val="006D3192"/>
    <w:rsid w:val="006D361D"/>
    <w:rsid w:val="006D4143"/>
    <w:rsid w:val="006D4333"/>
    <w:rsid w:val="006D4349"/>
    <w:rsid w:val="006D461F"/>
    <w:rsid w:val="006D46D1"/>
    <w:rsid w:val="006D46EA"/>
    <w:rsid w:val="006D4F0F"/>
    <w:rsid w:val="006D4FCE"/>
    <w:rsid w:val="006D52F1"/>
    <w:rsid w:val="006D58A8"/>
    <w:rsid w:val="006D5C0A"/>
    <w:rsid w:val="006D5C3D"/>
    <w:rsid w:val="006D5C82"/>
    <w:rsid w:val="006D6200"/>
    <w:rsid w:val="006D628F"/>
    <w:rsid w:val="006D68EB"/>
    <w:rsid w:val="006D6C5A"/>
    <w:rsid w:val="006D72F4"/>
    <w:rsid w:val="006D768A"/>
    <w:rsid w:val="006D7D41"/>
    <w:rsid w:val="006D7EFA"/>
    <w:rsid w:val="006E0230"/>
    <w:rsid w:val="006E0326"/>
    <w:rsid w:val="006E03EB"/>
    <w:rsid w:val="006E093B"/>
    <w:rsid w:val="006E0DF4"/>
    <w:rsid w:val="006E1210"/>
    <w:rsid w:val="006E170F"/>
    <w:rsid w:val="006E1AC3"/>
    <w:rsid w:val="006E1C4B"/>
    <w:rsid w:val="006E20A1"/>
    <w:rsid w:val="006E215B"/>
    <w:rsid w:val="006E2347"/>
    <w:rsid w:val="006E2852"/>
    <w:rsid w:val="006E2BF1"/>
    <w:rsid w:val="006E2D8F"/>
    <w:rsid w:val="006E3048"/>
    <w:rsid w:val="006E3301"/>
    <w:rsid w:val="006E3419"/>
    <w:rsid w:val="006E3655"/>
    <w:rsid w:val="006E3B6F"/>
    <w:rsid w:val="006E3D49"/>
    <w:rsid w:val="006E3F41"/>
    <w:rsid w:val="006E4338"/>
    <w:rsid w:val="006E433A"/>
    <w:rsid w:val="006E4574"/>
    <w:rsid w:val="006E4F62"/>
    <w:rsid w:val="006E50B2"/>
    <w:rsid w:val="006E55EE"/>
    <w:rsid w:val="006E56C7"/>
    <w:rsid w:val="006E596A"/>
    <w:rsid w:val="006E5A43"/>
    <w:rsid w:val="006E5ACD"/>
    <w:rsid w:val="006E5EEF"/>
    <w:rsid w:val="006E6732"/>
    <w:rsid w:val="006E6AE9"/>
    <w:rsid w:val="006E7125"/>
    <w:rsid w:val="006E73DB"/>
    <w:rsid w:val="006E7680"/>
    <w:rsid w:val="006E7BB7"/>
    <w:rsid w:val="006F017C"/>
    <w:rsid w:val="006F1D84"/>
    <w:rsid w:val="006F308F"/>
    <w:rsid w:val="006F3135"/>
    <w:rsid w:val="006F31D9"/>
    <w:rsid w:val="006F325B"/>
    <w:rsid w:val="006F33CA"/>
    <w:rsid w:val="006F3653"/>
    <w:rsid w:val="006F3736"/>
    <w:rsid w:val="006F399A"/>
    <w:rsid w:val="006F39E0"/>
    <w:rsid w:val="006F3B1E"/>
    <w:rsid w:val="006F3D53"/>
    <w:rsid w:val="006F3FD4"/>
    <w:rsid w:val="006F4DB8"/>
    <w:rsid w:val="006F4EE5"/>
    <w:rsid w:val="006F50CC"/>
    <w:rsid w:val="006F5329"/>
    <w:rsid w:val="006F587D"/>
    <w:rsid w:val="006F5DA6"/>
    <w:rsid w:val="006F6040"/>
    <w:rsid w:val="006F66B5"/>
    <w:rsid w:val="006F6D48"/>
    <w:rsid w:val="006F6DA3"/>
    <w:rsid w:val="006F6FF8"/>
    <w:rsid w:val="006F74F3"/>
    <w:rsid w:val="006F7A67"/>
    <w:rsid w:val="006F7BD3"/>
    <w:rsid w:val="006F7D87"/>
    <w:rsid w:val="00700196"/>
    <w:rsid w:val="0070023C"/>
    <w:rsid w:val="007003F6"/>
    <w:rsid w:val="00700AB9"/>
    <w:rsid w:val="007010E0"/>
    <w:rsid w:val="007011EE"/>
    <w:rsid w:val="00701A17"/>
    <w:rsid w:val="00701A2F"/>
    <w:rsid w:val="00701D43"/>
    <w:rsid w:val="00701E29"/>
    <w:rsid w:val="00701FE2"/>
    <w:rsid w:val="00702096"/>
    <w:rsid w:val="00702209"/>
    <w:rsid w:val="0070234F"/>
    <w:rsid w:val="007033AA"/>
    <w:rsid w:val="007036B2"/>
    <w:rsid w:val="007037CE"/>
    <w:rsid w:val="00703C47"/>
    <w:rsid w:val="00704756"/>
    <w:rsid w:val="00704C32"/>
    <w:rsid w:val="00704C41"/>
    <w:rsid w:val="007056C3"/>
    <w:rsid w:val="00705746"/>
    <w:rsid w:val="00705CA7"/>
    <w:rsid w:val="00705D94"/>
    <w:rsid w:val="007061AB"/>
    <w:rsid w:val="007066D1"/>
    <w:rsid w:val="0070703D"/>
    <w:rsid w:val="007076DB"/>
    <w:rsid w:val="00707C57"/>
    <w:rsid w:val="00707DFA"/>
    <w:rsid w:val="00707F4A"/>
    <w:rsid w:val="00707FCF"/>
    <w:rsid w:val="0071125E"/>
    <w:rsid w:val="007115BE"/>
    <w:rsid w:val="007115E4"/>
    <w:rsid w:val="0071171E"/>
    <w:rsid w:val="00711946"/>
    <w:rsid w:val="00711A26"/>
    <w:rsid w:val="00711A54"/>
    <w:rsid w:val="00712403"/>
    <w:rsid w:val="007126C0"/>
    <w:rsid w:val="0071287C"/>
    <w:rsid w:val="00712DAA"/>
    <w:rsid w:val="007130CD"/>
    <w:rsid w:val="00713B8C"/>
    <w:rsid w:val="00714007"/>
    <w:rsid w:val="00714064"/>
    <w:rsid w:val="0071426C"/>
    <w:rsid w:val="00714288"/>
    <w:rsid w:val="007146B6"/>
    <w:rsid w:val="00714926"/>
    <w:rsid w:val="00715264"/>
    <w:rsid w:val="00715458"/>
    <w:rsid w:val="007157C8"/>
    <w:rsid w:val="00715BE7"/>
    <w:rsid w:val="00715CBF"/>
    <w:rsid w:val="00715E45"/>
    <w:rsid w:val="00716071"/>
    <w:rsid w:val="00716151"/>
    <w:rsid w:val="00716565"/>
    <w:rsid w:val="007165A2"/>
    <w:rsid w:val="00716C83"/>
    <w:rsid w:val="00717166"/>
    <w:rsid w:val="007171B2"/>
    <w:rsid w:val="00717243"/>
    <w:rsid w:val="00717A32"/>
    <w:rsid w:val="00717BCA"/>
    <w:rsid w:val="00717D0D"/>
    <w:rsid w:val="00717E27"/>
    <w:rsid w:val="0072012E"/>
    <w:rsid w:val="0072051B"/>
    <w:rsid w:val="00720852"/>
    <w:rsid w:val="00720B62"/>
    <w:rsid w:val="0072116D"/>
    <w:rsid w:val="007211D8"/>
    <w:rsid w:val="00721F00"/>
    <w:rsid w:val="0072203C"/>
    <w:rsid w:val="00722179"/>
    <w:rsid w:val="007223F3"/>
    <w:rsid w:val="007228D4"/>
    <w:rsid w:val="007229A3"/>
    <w:rsid w:val="00722A78"/>
    <w:rsid w:val="00722BAC"/>
    <w:rsid w:val="00722E7B"/>
    <w:rsid w:val="00722FC9"/>
    <w:rsid w:val="0072333C"/>
    <w:rsid w:val="007236D5"/>
    <w:rsid w:val="007237A1"/>
    <w:rsid w:val="007239E9"/>
    <w:rsid w:val="0072475B"/>
    <w:rsid w:val="0072483B"/>
    <w:rsid w:val="00724B18"/>
    <w:rsid w:val="007251E5"/>
    <w:rsid w:val="007254F4"/>
    <w:rsid w:val="007255C7"/>
    <w:rsid w:val="00725638"/>
    <w:rsid w:val="00725738"/>
    <w:rsid w:val="0072603F"/>
    <w:rsid w:val="00726A09"/>
    <w:rsid w:val="00726A67"/>
    <w:rsid w:val="00726A9E"/>
    <w:rsid w:val="00726AC2"/>
    <w:rsid w:val="00726B39"/>
    <w:rsid w:val="00726E05"/>
    <w:rsid w:val="0072725B"/>
    <w:rsid w:val="0072796D"/>
    <w:rsid w:val="00727AA7"/>
    <w:rsid w:val="00727D6D"/>
    <w:rsid w:val="00727DA1"/>
    <w:rsid w:val="00727F54"/>
    <w:rsid w:val="00727FA7"/>
    <w:rsid w:val="00730564"/>
    <w:rsid w:val="007307E3"/>
    <w:rsid w:val="00730F1D"/>
    <w:rsid w:val="00730F35"/>
    <w:rsid w:val="007311AE"/>
    <w:rsid w:val="007311BF"/>
    <w:rsid w:val="00731649"/>
    <w:rsid w:val="00731D7C"/>
    <w:rsid w:val="00732052"/>
    <w:rsid w:val="00732129"/>
    <w:rsid w:val="007323AC"/>
    <w:rsid w:val="007324EA"/>
    <w:rsid w:val="007324F4"/>
    <w:rsid w:val="00732AFC"/>
    <w:rsid w:val="00732BBF"/>
    <w:rsid w:val="00732CD9"/>
    <w:rsid w:val="00732D44"/>
    <w:rsid w:val="007335E8"/>
    <w:rsid w:val="0073398B"/>
    <w:rsid w:val="00734429"/>
    <w:rsid w:val="0073445D"/>
    <w:rsid w:val="00734E40"/>
    <w:rsid w:val="00734F36"/>
    <w:rsid w:val="00734FDC"/>
    <w:rsid w:val="00735303"/>
    <w:rsid w:val="0073553C"/>
    <w:rsid w:val="0073567A"/>
    <w:rsid w:val="00735DFB"/>
    <w:rsid w:val="00736288"/>
    <w:rsid w:val="007364C2"/>
    <w:rsid w:val="007371E2"/>
    <w:rsid w:val="0073750C"/>
    <w:rsid w:val="007378E6"/>
    <w:rsid w:val="00737AFA"/>
    <w:rsid w:val="00737E63"/>
    <w:rsid w:val="00740A2F"/>
    <w:rsid w:val="00740D25"/>
    <w:rsid w:val="00740E63"/>
    <w:rsid w:val="00741049"/>
    <w:rsid w:val="007411DF"/>
    <w:rsid w:val="00741653"/>
    <w:rsid w:val="007417B7"/>
    <w:rsid w:val="007418D7"/>
    <w:rsid w:val="0074196C"/>
    <w:rsid w:val="00741CEA"/>
    <w:rsid w:val="007422E2"/>
    <w:rsid w:val="007429A6"/>
    <w:rsid w:val="007433E3"/>
    <w:rsid w:val="007436E3"/>
    <w:rsid w:val="0074389F"/>
    <w:rsid w:val="00743B85"/>
    <w:rsid w:val="00743DD0"/>
    <w:rsid w:val="007444EF"/>
    <w:rsid w:val="00744731"/>
    <w:rsid w:val="007447AE"/>
    <w:rsid w:val="00744800"/>
    <w:rsid w:val="007448C3"/>
    <w:rsid w:val="007449FD"/>
    <w:rsid w:val="00745113"/>
    <w:rsid w:val="007453FD"/>
    <w:rsid w:val="007455DE"/>
    <w:rsid w:val="00745AEE"/>
    <w:rsid w:val="00746159"/>
    <w:rsid w:val="00746742"/>
    <w:rsid w:val="00746ADA"/>
    <w:rsid w:val="00746FA2"/>
    <w:rsid w:val="007477DB"/>
    <w:rsid w:val="00747B16"/>
    <w:rsid w:val="00747F13"/>
    <w:rsid w:val="00750985"/>
    <w:rsid w:val="007509C6"/>
    <w:rsid w:val="00750F22"/>
    <w:rsid w:val="0075111D"/>
    <w:rsid w:val="007511C6"/>
    <w:rsid w:val="007514E4"/>
    <w:rsid w:val="007518D3"/>
    <w:rsid w:val="007526AC"/>
    <w:rsid w:val="00752B00"/>
    <w:rsid w:val="00752C40"/>
    <w:rsid w:val="00752CBF"/>
    <w:rsid w:val="007530E7"/>
    <w:rsid w:val="00753506"/>
    <w:rsid w:val="00753801"/>
    <w:rsid w:val="0075386A"/>
    <w:rsid w:val="00753B94"/>
    <w:rsid w:val="00753CB5"/>
    <w:rsid w:val="007540AE"/>
    <w:rsid w:val="007540CD"/>
    <w:rsid w:val="00754130"/>
    <w:rsid w:val="007546CB"/>
    <w:rsid w:val="0075509A"/>
    <w:rsid w:val="00755354"/>
    <w:rsid w:val="00755417"/>
    <w:rsid w:val="007556F2"/>
    <w:rsid w:val="0075570C"/>
    <w:rsid w:val="007557AC"/>
    <w:rsid w:val="00755906"/>
    <w:rsid w:val="00755C3E"/>
    <w:rsid w:val="00755D28"/>
    <w:rsid w:val="00755DEB"/>
    <w:rsid w:val="00755EF1"/>
    <w:rsid w:val="00756520"/>
    <w:rsid w:val="007567B4"/>
    <w:rsid w:val="00756E3A"/>
    <w:rsid w:val="00757002"/>
    <w:rsid w:val="0075718A"/>
    <w:rsid w:val="007574D7"/>
    <w:rsid w:val="0075787A"/>
    <w:rsid w:val="00757965"/>
    <w:rsid w:val="00760293"/>
    <w:rsid w:val="007607DB"/>
    <w:rsid w:val="00760A02"/>
    <w:rsid w:val="00760A3A"/>
    <w:rsid w:val="00760CB0"/>
    <w:rsid w:val="00760F6A"/>
    <w:rsid w:val="00760F6B"/>
    <w:rsid w:val="00761169"/>
    <w:rsid w:val="00761286"/>
    <w:rsid w:val="007613CD"/>
    <w:rsid w:val="0076197C"/>
    <w:rsid w:val="00761996"/>
    <w:rsid w:val="00761CEE"/>
    <w:rsid w:val="0076261D"/>
    <w:rsid w:val="00762CAB"/>
    <w:rsid w:val="00762E21"/>
    <w:rsid w:val="007640A3"/>
    <w:rsid w:val="00764286"/>
    <w:rsid w:val="007645A6"/>
    <w:rsid w:val="007645BA"/>
    <w:rsid w:val="00764CC6"/>
    <w:rsid w:val="00764F7B"/>
    <w:rsid w:val="007651E4"/>
    <w:rsid w:val="00765322"/>
    <w:rsid w:val="0076539D"/>
    <w:rsid w:val="007654D8"/>
    <w:rsid w:val="00765566"/>
    <w:rsid w:val="00765BCD"/>
    <w:rsid w:val="00766765"/>
    <w:rsid w:val="00766ED3"/>
    <w:rsid w:val="00767EF5"/>
    <w:rsid w:val="00767F48"/>
    <w:rsid w:val="00770055"/>
    <w:rsid w:val="00770217"/>
    <w:rsid w:val="007704C2"/>
    <w:rsid w:val="0077081F"/>
    <w:rsid w:val="00770A6E"/>
    <w:rsid w:val="00770C95"/>
    <w:rsid w:val="007711B1"/>
    <w:rsid w:val="00771995"/>
    <w:rsid w:val="007720AC"/>
    <w:rsid w:val="00772382"/>
    <w:rsid w:val="00772D2C"/>
    <w:rsid w:val="00772E0F"/>
    <w:rsid w:val="0077313C"/>
    <w:rsid w:val="007731FD"/>
    <w:rsid w:val="007732EC"/>
    <w:rsid w:val="00773CC3"/>
    <w:rsid w:val="00774528"/>
    <w:rsid w:val="00774A08"/>
    <w:rsid w:val="00774D98"/>
    <w:rsid w:val="00775034"/>
    <w:rsid w:val="007750EC"/>
    <w:rsid w:val="0077534F"/>
    <w:rsid w:val="007759BC"/>
    <w:rsid w:val="007761F6"/>
    <w:rsid w:val="00776567"/>
    <w:rsid w:val="00776FD1"/>
    <w:rsid w:val="00777311"/>
    <w:rsid w:val="0077752F"/>
    <w:rsid w:val="007775FC"/>
    <w:rsid w:val="00777912"/>
    <w:rsid w:val="00777C00"/>
    <w:rsid w:val="007807C8"/>
    <w:rsid w:val="00780BC0"/>
    <w:rsid w:val="00780FB9"/>
    <w:rsid w:val="007812A2"/>
    <w:rsid w:val="007812F4"/>
    <w:rsid w:val="007815C9"/>
    <w:rsid w:val="007818A9"/>
    <w:rsid w:val="00781908"/>
    <w:rsid w:val="007819B4"/>
    <w:rsid w:val="00781BDB"/>
    <w:rsid w:val="00781D6A"/>
    <w:rsid w:val="00781F90"/>
    <w:rsid w:val="00782062"/>
    <w:rsid w:val="0078224F"/>
    <w:rsid w:val="007825DD"/>
    <w:rsid w:val="00782A3E"/>
    <w:rsid w:val="0078311B"/>
    <w:rsid w:val="00783237"/>
    <w:rsid w:val="0078325A"/>
    <w:rsid w:val="00783426"/>
    <w:rsid w:val="0078365D"/>
    <w:rsid w:val="00783848"/>
    <w:rsid w:val="007838DF"/>
    <w:rsid w:val="00783A37"/>
    <w:rsid w:val="00783A99"/>
    <w:rsid w:val="00783B51"/>
    <w:rsid w:val="00783E53"/>
    <w:rsid w:val="00783F2F"/>
    <w:rsid w:val="0078435C"/>
    <w:rsid w:val="00784B9B"/>
    <w:rsid w:val="00784BFF"/>
    <w:rsid w:val="00784D2F"/>
    <w:rsid w:val="007854C8"/>
    <w:rsid w:val="007855AD"/>
    <w:rsid w:val="0078577D"/>
    <w:rsid w:val="00785C3F"/>
    <w:rsid w:val="00785EE1"/>
    <w:rsid w:val="00786421"/>
    <w:rsid w:val="00786814"/>
    <w:rsid w:val="007869E7"/>
    <w:rsid w:val="00786A97"/>
    <w:rsid w:val="0078704C"/>
    <w:rsid w:val="00787093"/>
    <w:rsid w:val="00787338"/>
    <w:rsid w:val="007873A2"/>
    <w:rsid w:val="00787ABD"/>
    <w:rsid w:val="00787D59"/>
    <w:rsid w:val="00787D9A"/>
    <w:rsid w:val="007906CB"/>
    <w:rsid w:val="00790A59"/>
    <w:rsid w:val="007925BA"/>
    <w:rsid w:val="007926F4"/>
    <w:rsid w:val="0079277E"/>
    <w:rsid w:val="00792A26"/>
    <w:rsid w:val="00792A78"/>
    <w:rsid w:val="00792A96"/>
    <w:rsid w:val="00793316"/>
    <w:rsid w:val="0079363B"/>
    <w:rsid w:val="0079370D"/>
    <w:rsid w:val="00793943"/>
    <w:rsid w:val="00793BD0"/>
    <w:rsid w:val="00793F03"/>
    <w:rsid w:val="00794541"/>
    <w:rsid w:val="00794BA1"/>
    <w:rsid w:val="00794CA5"/>
    <w:rsid w:val="00794DD7"/>
    <w:rsid w:val="00795032"/>
    <w:rsid w:val="00795331"/>
    <w:rsid w:val="00795C2F"/>
    <w:rsid w:val="007963CD"/>
    <w:rsid w:val="00796407"/>
    <w:rsid w:val="00796A14"/>
    <w:rsid w:val="00796EC0"/>
    <w:rsid w:val="00797016"/>
    <w:rsid w:val="007973BA"/>
    <w:rsid w:val="007974C5"/>
    <w:rsid w:val="00797826"/>
    <w:rsid w:val="00797842"/>
    <w:rsid w:val="007978C4"/>
    <w:rsid w:val="00797ECD"/>
    <w:rsid w:val="007A04D0"/>
    <w:rsid w:val="007A0C50"/>
    <w:rsid w:val="007A0EAF"/>
    <w:rsid w:val="007A1235"/>
    <w:rsid w:val="007A1327"/>
    <w:rsid w:val="007A1B79"/>
    <w:rsid w:val="007A1C74"/>
    <w:rsid w:val="007A1D23"/>
    <w:rsid w:val="007A1E27"/>
    <w:rsid w:val="007A1F1E"/>
    <w:rsid w:val="007A23AB"/>
    <w:rsid w:val="007A2AE6"/>
    <w:rsid w:val="007A327D"/>
    <w:rsid w:val="007A33D0"/>
    <w:rsid w:val="007A352A"/>
    <w:rsid w:val="007A3626"/>
    <w:rsid w:val="007A375E"/>
    <w:rsid w:val="007A3B2A"/>
    <w:rsid w:val="007A4672"/>
    <w:rsid w:val="007A4920"/>
    <w:rsid w:val="007A493C"/>
    <w:rsid w:val="007A4FDF"/>
    <w:rsid w:val="007A52C5"/>
    <w:rsid w:val="007A570E"/>
    <w:rsid w:val="007A57A8"/>
    <w:rsid w:val="007A57CB"/>
    <w:rsid w:val="007A5C4E"/>
    <w:rsid w:val="007A5F42"/>
    <w:rsid w:val="007A612A"/>
    <w:rsid w:val="007A616B"/>
    <w:rsid w:val="007A647D"/>
    <w:rsid w:val="007A6482"/>
    <w:rsid w:val="007A6824"/>
    <w:rsid w:val="007A6A2C"/>
    <w:rsid w:val="007A6B02"/>
    <w:rsid w:val="007A6C77"/>
    <w:rsid w:val="007A6D4D"/>
    <w:rsid w:val="007A7114"/>
    <w:rsid w:val="007A7728"/>
    <w:rsid w:val="007A7CD1"/>
    <w:rsid w:val="007A7F18"/>
    <w:rsid w:val="007B0242"/>
    <w:rsid w:val="007B0343"/>
    <w:rsid w:val="007B0359"/>
    <w:rsid w:val="007B0598"/>
    <w:rsid w:val="007B0711"/>
    <w:rsid w:val="007B1028"/>
    <w:rsid w:val="007B1036"/>
    <w:rsid w:val="007B1051"/>
    <w:rsid w:val="007B14A9"/>
    <w:rsid w:val="007B16CE"/>
    <w:rsid w:val="007B1A8A"/>
    <w:rsid w:val="007B1CD4"/>
    <w:rsid w:val="007B225C"/>
    <w:rsid w:val="007B24A0"/>
    <w:rsid w:val="007B28F4"/>
    <w:rsid w:val="007B2CE6"/>
    <w:rsid w:val="007B38AE"/>
    <w:rsid w:val="007B38D2"/>
    <w:rsid w:val="007B4241"/>
    <w:rsid w:val="007B42C9"/>
    <w:rsid w:val="007B4776"/>
    <w:rsid w:val="007B499E"/>
    <w:rsid w:val="007B4C70"/>
    <w:rsid w:val="007B5127"/>
    <w:rsid w:val="007B5EB9"/>
    <w:rsid w:val="007B6681"/>
    <w:rsid w:val="007B68C1"/>
    <w:rsid w:val="007B6C5C"/>
    <w:rsid w:val="007B6C66"/>
    <w:rsid w:val="007B6CFA"/>
    <w:rsid w:val="007B73AB"/>
    <w:rsid w:val="007B756B"/>
    <w:rsid w:val="007B75D2"/>
    <w:rsid w:val="007B7F89"/>
    <w:rsid w:val="007C01B7"/>
    <w:rsid w:val="007C052A"/>
    <w:rsid w:val="007C08D5"/>
    <w:rsid w:val="007C0AA8"/>
    <w:rsid w:val="007C0E43"/>
    <w:rsid w:val="007C107B"/>
    <w:rsid w:val="007C1152"/>
    <w:rsid w:val="007C1165"/>
    <w:rsid w:val="007C1811"/>
    <w:rsid w:val="007C21A1"/>
    <w:rsid w:val="007C27D6"/>
    <w:rsid w:val="007C2E5E"/>
    <w:rsid w:val="007C2E94"/>
    <w:rsid w:val="007C3062"/>
    <w:rsid w:val="007C3504"/>
    <w:rsid w:val="007C4C0E"/>
    <w:rsid w:val="007C5035"/>
    <w:rsid w:val="007C642F"/>
    <w:rsid w:val="007C6B65"/>
    <w:rsid w:val="007C6C11"/>
    <w:rsid w:val="007C6D11"/>
    <w:rsid w:val="007C6D7A"/>
    <w:rsid w:val="007C7355"/>
    <w:rsid w:val="007C756C"/>
    <w:rsid w:val="007C7648"/>
    <w:rsid w:val="007C7B7C"/>
    <w:rsid w:val="007C7D94"/>
    <w:rsid w:val="007D02D7"/>
    <w:rsid w:val="007D033E"/>
    <w:rsid w:val="007D048D"/>
    <w:rsid w:val="007D06E9"/>
    <w:rsid w:val="007D08BF"/>
    <w:rsid w:val="007D095F"/>
    <w:rsid w:val="007D0EB7"/>
    <w:rsid w:val="007D138F"/>
    <w:rsid w:val="007D183C"/>
    <w:rsid w:val="007D2627"/>
    <w:rsid w:val="007D2659"/>
    <w:rsid w:val="007D29A6"/>
    <w:rsid w:val="007D29C8"/>
    <w:rsid w:val="007D31C3"/>
    <w:rsid w:val="007D37A7"/>
    <w:rsid w:val="007D3B3A"/>
    <w:rsid w:val="007D42E4"/>
    <w:rsid w:val="007D4AB1"/>
    <w:rsid w:val="007D51DA"/>
    <w:rsid w:val="007D5516"/>
    <w:rsid w:val="007D56D3"/>
    <w:rsid w:val="007D58F2"/>
    <w:rsid w:val="007D5A2B"/>
    <w:rsid w:val="007D5B2B"/>
    <w:rsid w:val="007D5B57"/>
    <w:rsid w:val="007D6C45"/>
    <w:rsid w:val="007D6DD7"/>
    <w:rsid w:val="007D6F2B"/>
    <w:rsid w:val="007D765A"/>
    <w:rsid w:val="007D7A42"/>
    <w:rsid w:val="007D7C65"/>
    <w:rsid w:val="007E043E"/>
    <w:rsid w:val="007E04DE"/>
    <w:rsid w:val="007E136C"/>
    <w:rsid w:val="007E15EE"/>
    <w:rsid w:val="007E1C18"/>
    <w:rsid w:val="007E2169"/>
    <w:rsid w:val="007E243D"/>
    <w:rsid w:val="007E255D"/>
    <w:rsid w:val="007E2858"/>
    <w:rsid w:val="007E2A21"/>
    <w:rsid w:val="007E2C4F"/>
    <w:rsid w:val="007E2C8C"/>
    <w:rsid w:val="007E3013"/>
    <w:rsid w:val="007E31A7"/>
    <w:rsid w:val="007E33FE"/>
    <w:rsid w:val="007E3505"/>
    <w:rsid w:val="007E3714"/>
    <w:rsid w:val="007E3975"/>
    <w:rsid w:val="007E39FB"/>
    <w:rsid w:val="007E3AA6"/>
    <w:rsid w:val="007E3CCC"/>
    <w:rsid w:val="007E3E3E"/>
    <w:rsid w:val="007E3F3A"/>
    <w:rsid w:val="007E40FC"/>
    <w:rsid w:val="007E4120"/>
    <w:rsid w:val="007E45D3"/>
    <w:rsid w:val="007E47DE"/>
    <w:rsid w:val="007E4847"/>
    <w:rsid w:val="007E48E3"/>
    <w:rsid w:val="007E4A67"/>
    <w:rsid w:val="007E507A"/>
    <w:rsid w:val="007E571C"/>
    <w:rsid w:val="007E5880"/>
    <w:rsid w:val="007E6559"/>
    <w:rsid w:val="007E6577"/>
    <w:rsid w:val="007E68B6"/>
    <w:rsid w:val="007E6AC1"/>
    <w:rsid w:val="007E7086"/>
    <w:rsid w:val="007E72CE"/>
    <w:rsid w:val="007E73A7"/>
    <w:rsid w:val="007E7555"/>
    <w:rsid w:val="007E79EC"/>
    <w:rsid w:val="007E7A28"/>
    <w:rsid w:val="007E7A8A"/>
    <w:rsid w:val="007F02E2"/>
    <w:rsid w:val="007F05B1"/>
    <w:rsid w:val="007F0921"/>
    <w:rsid w:val="007F0CCE"/>
    <w:rsid w:val="007F0D61"/>
    <w:rsid w:val="007F0D8D"/>
    <w:rsid w:val="007F1017"/>
    <w:rsid w:val="007F11A1"/>
    <w:rsid w:val="007F1541"/>
    <w:rsid w:val="007F160A"/>
    <w:rsid w:val="007F179B"/>
    <w:rsid w:val="007F1EC9"/>
    <w:rsid w:val="007F1EE1"/>
    <w:rsid w:val="007F2004"/>
    <w:rsid w:val="007F21A5"/>
    <w:rsid w:val="007F2389"/>
    <w:rsid w:val="007F241C"/>
    <w:rsid w:val="007F2E34"/>
    <w:rsid w:val="007F3224"/>
    <w:rsid w:val="007F3850"/>
    <w:rsid w:val="007F3B5D"/>
    <w:rsid w:val="007F428C"/>
    <w:rsid w:val="007F450A"/>
    <w:rsid w:val="007F4BD9"/>
    <w:rsid w:val="007F4F9C"/>
    <w:rsid w:val="007F52AA"/>
    <w:rsid w:val="007F55DA"/>
    <w:rsid w:val="007F566F"/>
    <w:rsid w:val="007F5C2E"/>
    <w:rsid w:val="007F5EC5"/>
    <w:rsid w:val="007F672A"/>
    <w:rsid w:val="007F682F"/>
    <w:rsid w:val="007F69C9"/>
    <w:rsid w:val="007F6AED"/>
    <w:rsid w:val="007F6B04"/>
    <w:rsid w:val="007F6B38"/>
    <w:rsid w:val="007F75EA"/>
    <w:rsid w:val="007F7886"/>
    <w:rsid w:val="007F79AF"/>
    <w:rsid w:val="0080040C"/>
    <w:rsid w:val="008005DB"/>
    <w:rsid w:val="0080085E"/>
    <w:rsid w:val="00800B87"/>
    <w:rsid w:val="00800E86"/>
    <w:rsid w:val="0080103D"/>
    <w:rsid w:val="00801435"/>
    <w:rsid w:val="00801513"/>
    <w:rsid w:val="00801528"/>
    <w:rsid w:val="00801C91"/>
    <w:rsid w:val="00801EEA"/>
    <w:rsid w:val="00801FE4"/>
    <w:rsid w:val="008021D2"/>
    <w:rsid w:val="0080232C"/>
    <w:rsid w:val="00802AC3"/>
    <w:rsid w:val="00802E66"/>
    <w:rsid w:val="00802F8D"/>
    <w:rsid w:val="00803538"/>
    <w:rsid w:val="00803A01"/>
    <w:rsid w:val="00804298"/>
    <w:rsid w:val="0080429A"/>
    <w:rsid w:val="008045F2"/>
    <w:rsid w:val="00804863"/>
    <w:rsid w:val="008048FF"/>
    <w:rsid w:val="00804CB4"/>
    <w:rsid w:val="008051D6"/>
    <w:rsid w:val="00805292"/>
    <w:rsid w:val="008057C8"/>
    <w:rsid w:val="008058F9"/>
    <w:rsid w:val="0080640F"/>
    <w:rsid w:val="008064A2"/>
    <w:rsid w:val="00807F34"/>
    <w:rsid w:val="0081028A"/>
    <w:rsid w:val="00810396"/>
    <w:rsid w:val="00811216"/>
    <w:rsid w:val="008113EA"/>
    <w:rsid w:val="00811406"/>
    <w:rsid w:val="0081158F"/>
    <w:rsid w:val="00811B2F"/>
    <w:rsid w:val="00811E38"/>
    <w:rsid w:val="0081211A"/>
    <w:rsid w:val="00812445"/>
    <w:rsid w:val="00812553"/>
    <w:rsid w:val="00812586"/>
    <w:rsid w:val="00813698"/>
    <w:rsid w:val="00813720"/>
    <w:rsid w:val="00814209"/>
    <w:rsid w:val="00814D8B"/>
    <w:rsid w:val="00814DB0"/>
    <w:rsid w:val="00814DDA"/>
    <w:rsid w:val="00815195"/>
    <w:rsid w:val="008154BE"/>
    <w:rsid w:val="008157A6"/>
    <w:rsid w:val="0081585A"/>
    <w:rsid w:val="00815ECB"/>
    <w:rsid w:val="00815F0D"/>
    <w:rsid w:val="0081609E"/>
    <w:rsid w:val="008161D4"/>
    <w:rsid w:val="0081678A"/>
    <w:rsid w:val="00816962"/>
    <w:rsid w:val="00817039"/>
    <w:rsid w:val="00817084"/>
    <w:rsid w:val="00817194"/>
    <w:rsid w:val="00817903"/>
    <w:rsid w:val="00817941"/>
    <w:rsid w:val="00817D87"/>
    <w:rsid w:val="00817E31"/>
    <w:rsid w:val="00820000"/>
    <w:rsid w:val="00820474"/>
    <w:rsid w:val="0082061B"/>
    <w:rsid w:val="00820A2F"/>
    <w:rsid w:val="00820C34"/>
    <w:rsid w:val="008210F8"/>
    <w:rsid w:val="00821113"/>
    <w:rsid w:val="008215C1"/>
    <w:rsid w:val="00821EC6"/>
    <w:rsid w:val="00821EE5"/>
    <w:rsid w:val="00821FB1"/>
    <w:rsid w:val="00822576"/>
    <w:rsid w:val="00822600"/>
    <w:rsid w:val="00822660"/>
    <w:rsid w:val="00822968"/>
    <w:rsid w:val="008229C8"/>
    <w:rsid w:val="00822C0A"/>
    <w:rsid w:val="00822D30"/>
    <w:rsid w:val="00822D6A"/>
    <w:rsid w:val="00822DA1"/>
    <w:rsid w:val="00822EF1"/>
    <w:rsid w:val="00822F13"/>
    <w:rsid w:val="008230CA"/>
    <w:rsid w:val="00823B0C"/>
    <w:rsid w:val="00823E13"/>
    <w:rsid w:val="00823F32"/>
    <w:rsid w:val="00823F5C"/>
    <w:rsid w:val="008240C5"/>
    <w:rsid w:val="00824160"/>
    <w:rsid w:val="0082443D"/>
    <w:rsid w:val="00824A78"/>
    <w:rsid w:val="00824A8C"/>
    <w:rsid w:val="00824F25"/>
    <w:rsid w:val="008252CB"/>
    <w:rsid w:val="00825382"/>
    <w:rsid w:val="00825883"/>
    <w:rsid w:val="00825A95"/>
    <w:rsid w:val="00825C13"/>
    <w:rsid w:val="00825ED4"/>
    <w:rsid w:val="00825EF0"/>
    <w:rsid w:val="0082624B"/>
    <w:rsid w:val="008262CD"/>
    <w:rsid w:val="008267AC"/>
    <w:rsid w:val="008267FC"/>
    <w:rsid w:val="00826818"/>
    <w:rsid w:val="00826919"/>
    <w:rsid w:val="00826B82"/>
    <w:rsid w:val="00827306"/>
    <w:rsid w:val="00827421"/>
    <w:rsid w:val="00827C30"/>
    <w:rsid w:val="00830605"/>
    <w:rsid w:val="00830A49"/>
    <w:rsid w:val="00830BC6"/>
    <w:rsid w:val="00830D7C"/>
    <w:rsid w:val="00830F60"/>
    <w:rsid w:val="0083101F"/>
    <w:rsid w:val="00831B73"/>
    <w:rsid w:val="00831C2E"/>
    <w:rsid w:val="00832009"/>
    <w:rsid w:val="0083234A"/>
    <w:rsid w:val="008323D4"/>
    <w:rsid w:val="0083240D"/>
    <w:rsid w:val="008329AA"/>
    <w:rsid w:val="00832A55"/>
    <w:rsid w:val="00832B06"/>
    <w:rsid w:val="00832CD8"/>
    <w:rsid w:val="00833153"/>
    <w:rsid w:val="00833536"/>
    <w:rsid w:val="008335BA"/>
    <w:rsid w:val="00833755"/>
    <w:rsid w:val="00833957"/>
    <w:rsid w:val="0083405D"/>
    <w:rsid w:val="0083438A"/>
    <w:rsid w:val="008347D8"/>
    <w:rsid w:val="008347DF"/>
    <w:rsid w:val="00834A87"/>
    <w:rsid w:val="00834CD2"/>
    <w:rsid w:val="00834EB5"/>
    <w:rsid w:val="00834FD6"/>
    <w:rsid w:val="00834FE2"/>
    <w:rsid w:val="0083559D"/>
    <w:rsid w:val="00835A6B"/>
    <w:rsid w:val="00836185"/>
    <w:rsid w:val="008364CC"/>
    <w:rsid w:val="008368E6"/>
    <w:rsid w:val="00836D39"/>
    <w:rsid w:val="00837009"/>
    <w:rsid w:val="00837018"/>
    <w:rsid w:val="0083729D"/>
    <w:rsid w:val="0083767C"/>
    <w:rsid w:val="00837869"/>
    <w:rsid w:val="00837B5C"/>
    <w:rsid w:val="00837E13"/>
    <w:rsid w:val="00840722"/>
    <w:rsid w:val="00840816"/>
    <w:rsid w:val="00840B3C"/>
    <w:rsid w:val="00840E10"/>
    <w:rsid w:val="0084128B"/>
    <w:rsid w:val="008416B5"/>
    <w:rsid w:val="00841791"/>
    <w:rsid w:val="00842643"/>
    <w:rsid w:val="00842862"/>
    <w:rsid w:val="00842B69"/>
    <w:rsid w:val="00842B7E"/>
    <w:rsid w:val="00842C7B"/>
    <w:rsid w:val="00843B08"/>
    <w:rsid w:val="00843DD9"/>
    <w:rsid w:val="00843E1E"/>
    <w:rsid w:val="008441BB"/>
    <w:rsid w:val="008441C5"/>
    <w:rsid w:val="00844532"/>
    <w:rsid w:val="0084453A"/>
    <w:rsid w:val="00844A48"/>
    <w:rsid w:val="00844B6D"/>
    <w:rsid w:val="00844D7B"/>
    <w:rsid w:val="008451D3"/>
    <w:rsid w:val="00845400"/>
    <w:rsid w:val="008455A9"/>
    <w:rsid w:val="00845694"/>
    <w:rsid w:val="00845981"/>
    <w:rsid w:val="00845CB7"/>
    <w:rsid w:val="00845D4D"/>
    <w:rsid w:val="00845DEE"/>
    <w:rsid w:val="008461B4"/>
    <w:rsid w:val="00846516"/>
    <w:rsid w:val="0084677A"/>
    <w:rsid w:val="00846DD9"/>
    <w:rsid w:val="0084705C"/>
    <w:rsid w:val="008476A8"/>
    <w:rsid w:val="00847719"/>
    <w:rsid w:val="008477AF"/>
    <w:rsid w:val="008477DB"/>
    <w:rsid w:val="00847B7A"/>
    <w:rsid w:val="00847E93"/>
    <w:rsid w:val="00847F13"/>
    <w:rsid w:val="00850522"/>
    <w:rsid w:val="008506D7"/>
    <w:rsid w:val="00850FC0"/>
    <w:rsid w:val="00851747"/>
    <w:rsid w:val="00851913"/>
    <w:rsid w:val="00851B5A"/>
    <w:rsid w:val="00851F0F"/>
    <w:rsid w:val="00852200"/>
    <w:rsid w:val="008523EB"/>
    <w:rsid w:val="008524ED"/>
    <w:rsid w:val="00852B5B"/>
    <w:rsid w:val="00852D52"/>
    <w:rsid w:val="00852F7F"/>
    <w:rsid w:val="00853002"/>
    <w:rsid w:val="008536DF"/>
    <w:rsid w:val="00853BAE"/>
    <w:rsid w:val="00853D00"/>
    <w:rsid w:val="00853D48"/>
    <w:rsid w:val="00853F07"/>
    <w:rsid w:val="00854048"/>
    <w:rsid w:val="008540E2"/>
    <w:rsid w:val="00854749"/>
    <w:rsid w:val="00854F2D"/>
    <w:rsid w:val="008552BC"/>
    <w:rsid w:val="008556FE"/>
    <w:rsid w:val="0085597D"/>
    <w:rsid w:val="00855C5A"/>
    <w:rsid w:val="008560D5"/>
    <w:rsid w:val="00856C1C"/>
    <w:rsid w:val="00857911"/>
    <w:rsid w:val="00857F78"/>
    <w:rsid w:val="00860249"/>
    <w:rsid w:val="00860674"/>
    <w:rsid w:val="008606B8"/>
    <w:rsid w:val="0086078D"/>
    <w:rsid w:val="00860DE7"/>
    <w:rsid w:val="00861104"/>
    <w:rsid w:val="008614C5"/>
    <w:rsid w:val="0086174E"/>
    <w:rsid w:val="00861869"/>
    <w:rsid w:val="00862584"/>
    <w:rsid w:val="0086277E"/>
    <w:rsid w:val="00862D68"/>
    <w:rsid w:val="00863201"/>
    <w:rsid w:val="00863294"/>
    <w:rsid w:val="008634CF"/>
    <w:rsid w:val="008636B4"/>
    <w:rsid w:val="00863A07"/>
    <w:rsid w:val="00863B94"/>
    <w:rsid w:val="00863EBF"/>
    <w:rsid w:val="00864C8D"/>
    <w:rsid w:val="00864E1A"/>
    <w:rsid w:val="00864EE6"/>
    <w:rsid w:val="008655DB"/>
    <w:rsid w:val="008657D8"/>
    <w:rsid w:val="00865A60"/>
    <w:rsid w:val="00865AF1"/>
    <w:rsid w:val="00865EF3"/>
    <w:rsid w:val="00866208"/>
    <w:rsid w:val="008662C4"/>
    <w:rsid w:val="008668FA"/>
    <w:rsid w:val="00866DE7"/>
    <w:rsid w:val="00866E9A"/>
    <w:rsid w:val="00867418"/>
    <w:rsid w:val="0086760A"/>
    <w:rsid w:val="00867652"/>
    <w:rsid w:val="008676F5"/>
    <w:rsid w:val="0086780A"/>
    <w:rsid w:val="00867FEE"/>
    <w:rsid w:val="00870105"/>
    <w:rsid w:val="008701D1"/>
    <w:rsid w:val="00870225"/>
    <w:rsid w:val="00870376"/>
    <w:rsid w:val="008705D9"/>
    <w:rsid w:val="00872346"/>
    <w:rsid w:val="00872499"/>
    <w:rsid w:val="008725C5"/>
    <w:rsid w:val="00872EA3"/>
    <w:rsid w:val="0087317E"/>
    <w:rsid w:val="008734A9"/>
    <w:rsid w:val="0087404C"/>
    <w:rsid w:val="0087414D"/>
    <w:rsid w:val="00874177"/>
    <w:rsid w:val="00874524"/>
    <w:rsid w:val="00875036"/>
    <w:rsid w:val="00875107"/>
    <w:rsid w:val="00875186"/>
    <w:rsid w:val="00875DB2"/>
    <w:rsid w:val="0087606C"/>
    <w:rsid w:val="00876392"/>
    <w:rsid w:val="0087677E"/>
    <w:rsid w:val="00876DF2"/>
    <w:rsid w:val="00877212"/>
    <w:rsid w:val="00877723"/>
    <w:rsid w:val="00877928"/>
    <w:rsid w:val="00877A32"/>
    <w:rsid w:val="00877A81"/>
    <w:rsid w:val="00877CCF"/>
    <w:rsid w:val="00877CE4"/>
    <w:rsid w:val="00877DDF"/>
    <w:rsid w:val="00880053"/>
    <w:rsid w:val="008808D5"/>
    <w:rsid w:val="00880AE1"/>
    <w:rsid w:val="00881189"/>
    <w:rsid w:val="0088164D"/>
    <w:rsid w:val="008823FF"/>
    <w:rsid w:val="00882D9F"/>
    <w:rsid w:val="008834F6"/>
    <w:rsid w:val="00883673"/>
    <w:rsid w:val="00883F14"/>
    <w:rsid w:val="008841A2"/>
    <w:rsid w:val="00884555"/>
    <w:rsid w:val="00884F7E"/>
    <w:rsid w:val="00885791"/>
    <w:rsid w:val="00885847"/>
    <w:rsid w:val="00885862"/>
    <w:rsid w:val="008858E3"/>
    <w:rsid w:val="00885B6B"/>
    <w:rsid w:val="00886355"/>
    <w:rsid w:val="0088686B"/>
    <w:rsid w:val="008870F1"/>
    <w:rsid w:val="008872E9"/>
    <w:rsid w:val="00887689"/>
    <w:rsid w:val="00887BF9"/>
    <w:rsid w:val="00887D20"/>
    <w:rsid w:val="00887EFA"/>
    <w:rsid w:val="00887F03"/>
    <w:rsid w:val="00890ACF"/>
    <w:rsid w:val="00890D96"/>
    <w:rsid w:val="00891597"/>
    <w:rsid w:val="00891AA4"/>
    <w:rsid w:val="00891D47"/>
    <w:rsid w:val="00892128"/>
    <w:rsid w:val="008922C3"/>
    <w:rsid w:val="00892AF9"/>
    <w:rsid w:val="00892B2C"/>
    <w:rsid w:val="00892C6E"/>
    <w:rsid w:val="00892FA4"/>
    <w:rsid w:val="00893396"/>
    <w:rsid w:val="008933D8"/>
    <w:rsid w:val="00893ADC"/>
    <w:rsid w:val="00894196"/>
    <w:rsid w:val="00894BCD"/>
    <w:rsid w:val="00894FFB"/>
    <w:rsid w:val="008950DA"/>
    <w:rsid w:val="00895273"/>
    <w:rsid w:val="00895A49"/>
    <w:rsid w:val="00895BED"/>
    <w:rsid w:val="008963C3"/>
    <w:rsid w:val="0089642F"/>
    <w:rsid w:val="00896582"/>
    <w:rsid w:val="00896687"/>
    <w:rsid w:val="00896707"/>
    <w:rsid w:val="008969F1"/>
    <w:rsid w:val="00896A33"/>
    <w:rsid w:val="00896B6B"/>
    <w:rsid w:val="00896BD4"/>
    <w:rsid w:val="00896BFB"/>
    <w:rsid w:val="0089711C"/>
    <w:rsid w:val="0089762F"/>
    <w:rsid w:val="00897EDD"/>
    <w:rsid w:val="00897F19"/>
    <w:rsid w:val="008A017A"/>
    <w:rsid w:val="008A0545"/>
    <w:rsid w:val="008A0565"/>
    <w:rsid w:val="008A0796"/>
    <w:rsid w:val="008A081C"/>
    <w:rsid w:val="008A0F32"/>
    <w:rsid w:val="008A1150"/>
    <w:rsid w:val="008A12FC"/>
    <w:rsid w:val="008A1477"/>
    <w:rsid w:val="008A1499"/>
    <w:rsid w:val="008A1502"/>
    <w:rsid w:val="008A18BC"/>
    <w:rsid w:val="008A1958"/>
    <w:rsid w:val="008A22D7"/>
    <w:rsid w:val="008A2718"/>
    <w:rsid w:val="008A2DF9"/>
    <w:rsid w:val="008A2E38"/>
    <w:rsid w:val="008A2F64"/>
    <w:rsid w:val="008A308D"/>
    <w:rsid w:val="008A36D6"/>
    <w:rsid w:val="008A454E"/>
    <w:rsid w:val="008A4FD4"/>
    <w:rsid w:val="008A523D"/>
    <w:rsid w:val="008A566E"/>
    <w:rsid w:val="008A56E0"/>
    <w:rsid w:val="008A5829"/>
    <w:rsid w:val="008A586F"/>
    <w:rsid w:val="008A5C7B"/>
    <w:rsid w:val="008A60A7"/>
    <w:rsid w:val="008A61A5"/>
    <w:rsid w:val="008A6209"/>
    <w:rsid w:val="008A6479"/>
    <w:rsid w:val="008A66BC"/>
    <w:rsid w:val="008A70EC"/>
    <w:rsid w:val="008A7A19"/>
    <w:rsid w:val="008A7B95"/>
    <w:rsid w:val="008A7BE4"/>
    <w:rsid w:val="008B0254"/>
    <w:rsid w:val="008B075D"/>
    <w:rsid w:val="008B07BB"/>
    <w:rsid w:val="008B0897"/>
    <w:rsid w:val="008B0D05"/>
    <w:rsid w:val="008B0E1D"/>
    <w:rsid w:val="008B0F51"/>
    <w:rsid w:val="008B1486"/>
    <w:rsid w:val="008B1932"/>
    <w:rsid w:val="008B1C99"/>
    <w:rsid w:val="008B2648"/>
    <w:rsid w:val="008B32A9"/>
    <w:rsid w:val="008B34DB"/>
    <w:rsid w:val="008B3811"/>
    <w:rsid w:val="008B3C82"/>
    <w:rsid w:val="008B40B5"/>
    <w:rsid w:val="008B452D"/>
    <w:rsid w:val="008B471A"/>
    <w:rsid w:val="008B4956"/>
    <w:rsid w:val="008B5141"/>
    <w:rsid w:val="008B52A3"/>
    <w:rsid w:val="008B5552"/>
    <w:rsid w:val="008B5ECE"/>
    <w:rsid w:val="008B5EE1"/>
    <w:rsid w:val="008B6539"/>
    <w:rsid w:val="008B69EA"/>
    <w:rsid w:val="008B712A"/>
    <w:rsid w:val="008B744E"/>
    <w:rsid w:val="008C01BB"/>
    <w:rsid w:val="008C0498"/>
    <w:rsid w:val="008C06DC"/>
    <w:rsid w:val="008C0946"/>
    <w:rsid w:val="008C0E6F"/>
    <w:rsid w:val="008C0EBF"/>
    <w:rsid w:val="008C1179"/>
    <w:rsid w:val="008C1BF5"/>
    <w:rsid w:val="008C2043"/>
    <w:rsid w:val="008C269A"/>
    <w:rsid w:val="008C292A"/>
    <w:rsid w:val="008C2B0C"/>
    <w:rsid w:val="008C2D69"/>
    <w:rsid w:val="008C2FBE"/>
    <w:rsid w:val="008C32EF"/>
    <w:rsid w:val="008C383C"/>
    <w:rsid w:val="008C3A07"/>
    <w:rsid w:val="008C3ABF"/>
    <w:rsid w:val="008C3B88"/>
    <w:rsid w:val="008C3E36"/>
    <w:rsid w:val="008C3E4D"/>
    <w:rsid w:val="008C411F"/>
    <w:rsid w:val="008C41CB"/>
    <w:rsid w:val="008C420B"/>
    <w:rsid w:val="008C43D3"/>
    <w:rsid w:val="008C4444"/>
    <w:rsid w:val="008C4D56"/>
    <w:rsid w:val="008C4DE6"/>
    <w:rsid w:val="008C4EA1"/>
    <w:rsid w:val="008C5061"/>
    <w:rsid w:val="008C522A"/>
    <w:rsid w:val="008C54AD"/>
    <w:rsid w:val="008C5644"/>
    <w:rsid w:val="008C58BB"/>
    <w:rsid w:val="008C599E"/>
    <w:rsid w:val="008C5BA3"/>
    <w:rsid w:val="008C5D0A"/>
    <w:rsid w:val="008C5D29"/>
    <w:rsid w:val="008C5DA4"/>
    <w:rsid w:val="008C5E29"/>
    <w:rsid w:val="008C5E76"/>
    <w:rsid w:val="008C60D6"/>
    <w:rsid w:val="008C6126"/>
    <w:rsid w:val="008C641A"/>
    <w:rsid w:val="008C6437"/>
    <w:rsid w:val="008C6569"/>
    <w:rsid w:val="008C68D8"/>
    <w:rsid w:val="008C724A"/>
    <w:rsid w:val="008C72EE"/>
    <w:rsid w:val="008C734F"/>
    <w:rsid w:val="008C7BDC"/>
    <w:rsid w:val="008D0761"/>
    <w:rsid w:val="008D09D8"/>
    <w:rsid w:val="008D0B39"/>
    <w:rsid w:val="008D1819"/>
    <w:rsid w:val="008D193C"/>
    <w:rsid w:val="008D1D24"/>
    <w:rsid w:val="008D215A"/>
    <w:rsid w:val="008D261B"/>
    <w:rsid w:val="008D28AF"/>
    <w:rsid w:val="008D2A25"/>
    <w:rsid w:val="008D2C43"/>
    <w:rsid w:val="008D3019"/>
    <w:rsid w:val="008D3031"/>
    <w:rsid w:val="008D34A2"/>
    <w:rsid w:val="008D42F5"/>
    <w:rsid w:val="008D4638"/>
    <w:rsid w:val="008D4876"/>
    <w:rsid w:val="008D4BB6"/>
    <w:rsid w:val="008D4C00"/>
    <w:rsid w:val="008D53FA"/>
    <w:rsid w:val="008D5E19"/>
    <w:rsid w:val="008D5F15"/>
    <w:rsid w:val="008D6167"/>
    <w:rsid w:val="008D635F"/>
    <w:rsid w:val="008D6F88"/>
    <w:rsid w:val="008D7097"/>
    <w:rsid w:val="008D7126"/>
    <w:rsid w:val="008D7309"/>
    <w:rsid w:val="008D73DB"/>
    <w:rsid w:val="008D77A6"/>
    <w:rsid w:val="008D77AB"/>
    <w:rsid w:val="008D78A2"/>
    <w:rsid w:val="008E0015"/>
    <w:rsid w:val="008E00F4"/>
    <w:rsid w:val="008E01B2"/>
    <w:rsid w:val="008E0272"/>
    <w:rsid w:val="008E03BA"/>
    <w:rsid w:val="008E06DD"/>
    <w:rsid w:val="008E06E1"/>
    <w:rsid w:val="008E0A32"/>
    <w:rsid w:val="008E0C24"/>
    <w:rsid w:val="008E0C8E"/>
    <w:rsid w:val="008E199F"/>
    <w:rsid w:val="008E21A6"/>
    <w:rsid w:val="008E26AF"/>
    <w:rsid w:val="008E26EA"/>
    <w:rsid w:val="008E2A9A"/>
    <w:rsid w:val="008E2AD1"/>
    <w:rsid w:val="008E2F4C"/>
    <w:rsid w:val="008E354F"/>
    <w:rsid w:val="008E362F"/>
    <w:rsid w:val="008E367C"/>
    <w:rsid w:val="008E412F"/>
    <w:rsid w:val="008E430B"/>
    <w:rsid w:val="008E45D1"/>
    <w:rsid w:val="008E4605"/>
    <w:rsid w:val="008E48F3"/>
    <w:rsid w:val="008E558D"/>
    <w:rsid w:val="008E5982"/>
    <w:rsid w:val="008E5E62"/>
    <w:rsid w:val="008E5F6C"/>
    <w:rsid w:val="008E61CB"/>
    <w:rsid w:val="008E62EA"/>
    <w:rsid w:val="008E6FFA"/>
    <w:rsid w:val="008E6FFE"/>
    <w:rsid w:val="008E7C0D"/>
    <w:rsid w:val="008F056A"/>
    <w:rsid w:val="008F0B87"/>
    <w:rsid w:val="008F0D2F"/>
    <w:rsid w:val="008F0E9F"/>
    <w:rsid w:val="008F15EF"/>
    <w:rsid w:val="008F16E1"/>
    <w:rsid w:val="008F1765"/>
    <w:rsid w:val="008F1788"/>
    <w:rsid w:val="008F1C96"/>
    <w:rsid w:val="008F228C"/>
    <w:rsid w:val="008F22AF"/>
    <w:rsid w:val="008F22DE"/>
    <w:rsid w:val="008F2785"/>
    <w:rsid w:val="008F2804"/>
    <w:rsid w:val="008F2984"/>
    <w:rsid w:val="008F29E9"/>
    <w:rsid w:val="008F2AFC"/>
    <w:rsid w:val="008F2EBA"/>
    <w:rsid w:val="008F2FB3"/>
    <w:rsid w:val="008F3204"/>
    <w:rsid w:val="008F32FE"/>
    <w:rsid w:val="008F367E"/>
    <w:rsid w:val="008F3C16"/>
    <w:rsid w:val="008F42C0"/>
    <w:rsid w:val="008F430B"/>
    <w:rsid w:val="008F481D"/>
    <w:rsid w:val="008F4887"/>
    <w:rsid w:val="008F49BC"/>
    <w:rsid w:val="008F4B2E"/>
    <w:rsid w:val="008F4CF5"/>
    <w:rsid w:val="008F4FFC"/>
    <w:rsid w:val="008F51C9"/>
    <w:rsid w:val="008F56D2"/>
    <w:rsid w:val="008F5EC8"/>
    <w:rsid w:val="008F61C3"/>
    <w:rsid w:val="008F64C8"/>
    <w:rsid w:val="008F6912"/>
    <w:rsid w:val="008F6C52"/>
    <w:rsid w:val="008F6D82"/>
    <w:rsid w:val="008F72D8"/>
    <w:rsid w:val="008F7372"/>
    <w:rsid w:val="008F737D"/>
    <w:rsid w:val="00900685"/>
    <w:rsid w:val="009007EC"/>
    <w:rsid w:val="00900A54"/>
    <w:rsid w:val="00900EF4"/>
    <w:rsid w:val="00900EFC"/>
    <w:rsid w:val="00900FE0"/>
    <w:rsid w:val="009012C4"/>
    <w:rsid w:val="009012E1"/>
    <w:rsid w:val="0090146F"/>
    <w:rsid w:val="00901667"/>
    <w:rsid w:val="0090166F"/>
    <w:rsid w:val="009019E5"/>
    <w:rsid w:val="00901B03"/>
    <w:rsid w:val="00901FC0"/>
    <w:rsid w:val="0090219A"/>
    <w:rsid w:val="00902BC8"/>
    <w:rsid w:val="00902C3A"/>
    <w:rsid w:val="00902D10"/>
    <w:rsid w:val="00903381"/>
    <w:rsid w:val="009035F2"/>
    <w:rsid w:val="0090383B"/>
    <w:rsid w:val="00903898"/>
    <w:rsid w:val="00903A3D"/>
    <w:rsid w:val="00903C1A"/>
    <w:rsid w:val="00903FAC"/>
    <w:rsid w:val="0090410C"/>
    <w:rsid w:val="00904BF4"/>
    <w:rsid w:val="00904C96"/>
    <w:rsid w:val="00904CD3"/>
    <w:rsid w:val="00904E18"/>
    <w:rsid w:val="00904FB0"/>
    <w:rsid w:val="0090517B"/>
    <w:rsid w:val="0090557E"/>
    <w:rsid w:val="009055D5"/>
    <w:rsid w:val="009057B7"/>
    <w:rsid w:val="0090582E"/>
    <w:rsid w:val="009062D7"/>
    <w:rsid w:val="00906593"/>
    <w:rsid w:val="0090672A"/>
    <w:rsid w:val="009069ED"/>
    <w:rsid w:val="009069F7"/>
    <w:rsid w:val="00906BD9"/>
    <w:rsid w:val="0090702E"/>
    <w:rsid w:val="009071F7"/>
    <w:rsid w:val="00907494"/>
    <w:rsid w:val="00907730"/>
    <w:rsid w:val="009077C3"/>
    <w:rsid w:val="00907872"/>
    <w:rsid w:val="00907911"/>
    <w:rsid w:val="00907D7C"/>
    <w:rsid w:val="00907E29"/>
    <w:rsid w:val="00907F07"/>
    <w:rsid w:val="00907F10"/>
    <w:rsid w:val="009101D2"/>
    <w:rsid w:val="00910310"/>
    <w:rsid w:val="009104D5"/>
    <w:rsid w:val="0091052D"/>
    <w:rsid w:val="009108C1"/>
    <w:rsid w:val="00910917"/>
    <w:rsid w:val="00910981"/>
    <w:rsid w:val="00910F38"/>
    <w:rsid w:val="009111AC"/>
    <w:rsid w:val="00911269"/>
    <w:rsid w:val="0091135E"/>
    <w:rsid w:val="009117BF"/>
    <w:rsid w:val="0091182B"/>
    <w:rsid w:val="00912270"/>
    <w:rsid w:val="00912307"/>
    <w:rsid w:val="009125E2"/>
    <w:rsid w:val="00912F9D"/>
    <w:rsid w:val="0091321B"/>
    <w:rsid w:val="0091362E"/>
    <w:rsid w:val="00913B4C"/>
    <w:rsid w:val="00913CCA"/>
    <w:rsid w:val="00913CE8"/>
    <w:rsid w:val="00913DAA"/>
    <w:rsid w:val="00914783"/>
    <w:rsid w:val="009147BC"/>
    <w:rsid w:val="009148A4"/>
    <w:rsid w:val="009150EA"/>
    <w:rsid w:val="0091537F"/>
    <w:rsid w:val="00915576"/>
    <w:rsid w:val="00915B58"/>
    <w:rsid w:val="00915C5D"/>
    <w:rsid w:val="00916184"/>
    <w:rsid w:val="00916604"/>
    <w:rsid w:val="00916938"/>
    <w:rsid w:val="009169EA"/>
    <w:rsid w:val="00916C3F"/>
    <w:rsid w:val="00916CEB"/>
    <w:rsid w:val="009171A2"/>
    <w:rsid w:val="00920189"/>
    <w:rsid w:val="00920446"/>
    <w:rsid w:val="0092075D"/>
    <w:rsid w:val="009207D2"/>
    <w:rsid w:val="00920975"/>
    <w:rsid w:val="00920C4B"/>
    <w:rsid w:val="00920E27"/>
    <w:rsid w:val="00921077"/>
    <w:rsid w:val="009214ED"/>
    <w:rsid w:val="00921718"/>
    <w:rsid w:val="00921EE1"/>
    <w:rsid w:val="009225B4"/>
    <w:rsid w:val="00922C43"/>
    <w:rsid w:val="00922D23"/>
    <w:rsid w:val="00923035"/>
    <w:rsid w:val="009234E6"/>
    <w:rsid w:val="0092425C"/>
    <w:rsid w:val="00924305"/>
    <w:rsid w:val="0092462A"/>
    <w:rsid w:val="00924676"/>
    <w:rsid w:val="00924B07"/>
    <w:rsid w:val="00924B26"/>
    <w:rsid w:val="00924EA9"/>
    <w:rsid w:val="00925133"/>
    <w:rsid w:val="009252EE"/>
    <w:rsid w:val="00925CD9"/>
    <w:rsid w:val="009260FE"/>
    <w:rsid w:val="00926256"/>
    <w:rsid w:val="00926450"/>
    <w:rsid w:val="009264FD"/>
    <w:rsid w:val="009265E4"/>
    <w:rsid w:val="0092686F"/>
    <w:rsid w:val="00927087"/>
    <w:rsid w:val="00927426"/>
    <w:rsid w:val="0092744E"/>
    <w:rsid w:val="0092798F"/>
    <w:rsid w:val="00930251"/>
    <w:rsid w:val="009307F7"/>
    <w:rsid w:val="00930A3F"/>
    <w:rsid w:val="00931124"/>
    <w:rsid w:val="00931219"/>
    <w:rsid w:val="0093151C"/>
    <w:rsid w:val="00931B4D"/>
    <w:rsid w:val="00931D08"/>
    <w:rsid w:val="00931FA4"/>
    <w:rsid w:val="0093225D"/>
    <w:rsid w:val="009328F1"/>
    <w:rsid w:val="00933DDA"/>
    <w:rsid w:val="00933E0E"/>
    <w:rsid w:val="00933E9A"/>
    <w:rsid w:val="0093426D"/>
    <w:rsid w:val="0093439B"/>
    <w:rsid w:val="00934588"/>
    <w:rsid w:val="00935816"/>
    <w:rsid w:val="00935835"/>
    <w:rsid w:val="0093609C"/>
    <w:rsid w:val="009361B0"/>
    <w:rsid w:val="009364A9"/>
    <w:rsid w:val="00936BCF"/>
    <w:rsid w:val="009375A6"/>
    <w:rsid w:val="00937664"/>
    <w:rsid w:val="009377D1"/>
    <w:rsid w:val="00937A59"/>
    <w:rsid w:val="00937D8C"/>
    <w:rsid w:val="00940273"/>
    <w:rsid w:val="009408CF"/>
    <w:rsid w:val="0094093F"/>
    <w:rsid w:val="00940A2B"/>
    <w:rsid w:val="00940C25"/>
    <w:rsid w:val="00940EA7"/>
    <w:rsid w:val="00940FD0"/>
    <w:rsid w:val="0094111C"/>
    <w:rsid w:val="009415FC"/>
    <w:rsid w:val="00941765"/>
    <w:rsid w:val="0094294F"/>
    <w:rsid w:val="009429BA"/>
    <w:rsid w:val="00942AD1"/>
    <w:rsid w:val="00942D25"/>
    <w:rsid w:val="00942E3F"/>
    <w:rsid w:val="009431C4"/>
    <w:rsid w:val="009437DE"/>
    <w:rsid w:val="009439A8"/>
    <w:rsid w:val="009443EA"/>
    <w:rsid w:val="00944478"/>
    <w:rsid w:val="009444F1"/>
    <w:rsid w:val="00944DCF"/>
    <w:rsid w:val="00944F65"/>
    <w:rsid w:val="00945446"/>
    <w:rsid w:val="00945996"/>
    <w:rsid w:val="00946018"/>
    <w:rsid w:val="0094626D"/>
    <w:rsid w:val="009462EE"/>
    <w:rsid w:val="009467D2"/>
    <w:rsid w:val="00946B6E"/>
    <w:rsid w:val="00946C26"/>
    <w:rsid w:val="009475BF"/>
    <w:rsid w:val="00947C14"/>
    <w:rsid w:val="00947E82"/>
    <w:rsid w:val="009504D8"/>
    <w:rsid w:val="00950812"/>
    <w:rsid w:val="009511B5"/>
    <w:rsid w:val="00951576"/>
    <w:rsid w:val="00951B73"/>
    <w:rsid w:val="00951DCF"/>
    <w:rsid w:val="009520A8"/>
    <w:rsid w:val="009520FA"/>
    <w:rsid w:val="00952110"/>
    <w:rsid w:val="009525D9"/>
    <w:rsid w:val="00952C88"/>
    <w:rsid w:val="00952E1A"/>
    <w:rsid w:val="0095371A"/>
    <w:rsid w:val="00953BA4"/>
    <w:rsid w:val="00953CD6"/>
    <w:rsid w:val="009544BE"/>
    <w:rsid w:val="009544E2"/>
    <w:rsid w:val="0095451A"/>
    <w:rsid w:val="009545FB"/>
    <w:rsid w:val="0095478D"/>
    <w:rsid w:val="00954A22"/>
    <w:rsid w:val="009553E3"/>
    <w:rsid w:val="00955432"/>
    <w:rsid w:val="00955449"/>
    <w:rsid w:val="00955800"/>
    <w:rsid w:val="00955A96"/>
    <w:rsid w:val="00955C20"/>
    <w:rsid w:val="009565A4"/>
    <w:rsid w:val="00956811"/>
    <w:rsid w:val="0095692E"/>
    <w:rsid w:val="00956E33"/>
    <w:rsid w:val="0095728C"/>
    <w:rsid w:val="00960333"/>
    <w:rsid w:val="00960E4D"/>
    <w:rsid w:val="00961240"/>
    <w:rsid w:val="009616E7"/>
    <w:rsid w:val="00961BBC"/>
    <w:rsid w:val="00962660"/>
    <w:rsid w:val="00962EB0"/>
    <w:rsid w:val="00963318"/>
    <w:rsid w:val="0096355A"/>
    <w:rsid w:val="009636E3"/>
    <w:rsid w:val="009637EF"/>
    <w:rsid w:val="009638C8"/>
    <w:rsid w:val="00963ACD"/>
    <w:rsid w:val="00963EA1"/>
    <w:rsid w:val="00963F1E"/>
    <w:rsid w:val="0096447B"/>
    <w:rsid w:val="0096461F"/>
    <w:rsid w:val="00964688"/>
    <w:rsid w:val="0096487B"/>
    <w:rsid w:val="009648F6"/>
    <w:rsid w:val="00964E8B"/>
    <w:rsid w:val="009653B2"/>
    <w:rsid w:val="009658B9"/>
    <w:rsid w:val="00965924"/>
    <w:rsid w:val="0096624D"/>
    <w:rsid w:val="00966633"/>
    <w:rsid w:val="00966964"/>
    <w:rsid w:val="00966A43"/>
    <w:rsid w:val="00967061"/>
    <w:rsid w:val="009673DC"/>
    <w:rsid w:val="0096744D"/>
    <w:rsid w:val="009676E0"/>
    <w:rsid w:val="00967A36"/>
    <w:rsid w:val="009700BF"/>
    <w:rsid w:val="009707BF"/>
    <w:rsid w:val="0097080A"/>
    <w:rsid w:val="009709FD"/>
    <w:rsid w:val="00970AC3"/>
    <w:rsid w:val="0097116E"/>
    <w:rsid w:val="00971456"/>
    <w:rsid w:val="0097149C"/>
    <w:rsid w:val="009714EC"/>
    <w:rsid w:val="00971C1A"/>
    <w:rsid w:val="00971F94"/>
    <w:rsid w:val="009720D2"/>
    <w:rsid w:val="00972D81"/>
    <w:rsid w:val="00973024"/>
    <w:rsid w:val="00973205"/>
    <w:rsid w:val="009737E8"/>
    <w:rsid w:val="00973A5C"/>
    <w:rsid w:val="00973DC2"/>
    <w:rsid w:val="009746A6"/>
    <w:rsid w:val="0097499B"/>
    <w:rsid w:val="00974E7C"/>
    <w:rsid w:val="00975284"/>
    <w:rsid w:val="0097535C"/>
    <w:rsid w:val="0097579B"/>
    <w:rsid w:val="00975EEF"/>
    <w:rsid w:val="009765C5"/>
    <w:rsid w:val="00976850"/>
    <w:rsid w:val="009775EE"/>
    <w:rsid w:val="00977786"/>
    <w:rsid w:val="009778FE"/>
    <w:rsid w:val="00977AA0"/>
    <w:rsid w:val="00977C1C"/>
    <w:rsid w:val="00977D9D"/>
    <w:rsid w:val="00980459"/>
    <w:rsid w:val="00980635"/>
    <w:rsid w:val="00980729"/>
    <w:rsid w:val="0098076A"/>
    <w:rsid w:val="00980D9F"/>
    <w:rsid w:val="00980F4A"/>
    <w:rsid w:val="00980FBD"/>
    <w:rsid w:val="009810C2"/>
    <w:rsid w:val="00981295"/>
    <w:rsid w:val="009813C8"/>
    <w:rsid w:val="009815C6"/>
    <w:rsid w:val="00981B9B"/>
    <w:rsid w:val="00981C92"/>
    <w:rsid w:val="009829B8"/>
    <w:rsid w:val="00982E33"/>
    <w:rsid w:val="00982FE7"/>
    <w:rsid w:val="0098323E"/>
    <w:rsid w:val="00983A90"/>
    <w:rsid w:val="00983CC0"/>
    <w:rsid w:val="00983EAA"/>
    <w:rsid w:val="00984040"/>
    <w:rsid w:val="0098410D"/>
    <w:rsid w:val="00984127"/>
    <w:rsid w:val="009847C2"/>
    <w:rsid w:val="00984A79"/>
    <w:rsid w:val="00985D0D"/>
    <w:rsid w:val="0098651C"/>
    <w:rsid w:val="009866C2"/>
    <w:rsid w:val="00986913"/>
    <w:rsid w:val="00986A34"/>
    <w:rsid w:val="00986BCE"/>
    <w:rsid w:val="00987163"/>
    <w:rsid w:val="0098726C"/>
    <w:rsid w:val="0098737E"/>
    <w:rsid w:val="0098740B"/>
    <w:rsid w:val="00987DDF"/>
    <w:rsid w:val="00987EB5"/>
    <w:rsid w:val="00990361"/>
    <w:rsid w:val="009904D4"/>
    <w:rsid w:val="0099050B"/>
    <w:rsid w:val="009906AE"/>
    <w:rsid w:val="0099091E"/>
    <w:rsid w:val="009909CB"/>
    <w:rsid w:val="00990C73"/>
    <w:rsid w:val="00990F7D"/>
    <w:rsid w:val="0099149C"/>
    <w:rsid w:val="009915B0"/>
    <w:rsid w:val="009916A0"/>
    <w:rsid w:val="00991C4B"/>
    <w:rsid w:val="00992D5C"/>
    <w:rsid w:val="00993019"/>
    <w:rsid w:val="00993DA1"/>
    <w:rsid w:val="009940E4"/>
    <w:rsid w:val="00994774"/>
    <w:rsid w:val="00994976"/>
    <w:rsid w:val="00994B86"/>
    <w:rsid w:val="00994D76"/>
    <w:rsid w:val="00994E20"/>
    <w:rsid w:val="0099500C"/>
    <w:rsid w:val="009951DD"/>
    <w:rsid w:val="0099525E"/>
    <w:rsid w:val="00995272"/>
    <w:rsid w:val="00995273"/>
    <w:rsid w:val="0099595C"/>
    <w:rsid w:val="00995999"/>
    <w:rsid w:val="00995BF5"/>
    <w:rsid w:val="00995FE1"/>
    <w:rsid w:val="009960D5"/>
    <w:rsid w:val="009966A1"/>
    <w:rsid w:val="0099690D"/>
    <w:rsid w:val="009969E9"/>
    <w:rsid w:val="00996BB9"/>
    <w:rsid w:val="00996E42"/>
    <w:rsid w:val="00996E70"/>
    <w:rsid w:val="00997171"/>
    <w:rsid w:val="0099731D"/>
    <w:rsid w:val="0099756B"/>
    <w:rsid w:val="00997779"/>
    <w:rsid w:val="00997960"/>
    <w:rsid w:val="00997A02"/>
    <w:rsid w:val="00997BA2"/>
    <w:rsid w:val="00997CF9"/>
    <w:rsid w:val="00997D99"/>
    <w:rsid w:val="00997E01"/>
    <w:rsid w:val="00997FD4"/>
    <w:rsid w:val="009A01D8"/>
    <w:rsid w:val="009A0541"/>
    <w:rsid w:val="009A0678"/>
    <w:rsid w:val="009A07A3"/>
    <w:rsid w:val="009A08A3"/>
    <w:rsid w:val="009A0A74"/>
    <w:rsid w:val="009A0C1E"/>
    <w:rsid w:val="009A0F02"/>
    <w:rsid w:val="009A15F3"/>
    <w:rsid w:val="009A1663"/>
    <w:rsid w:val="009A19EA"/>
    <w:rsid w:val="009A1BD4"/>
    <w:rsid w:val="009A2141"/>
    <w:rsid w:val="009A2161"/>
    <w:rsid w:val="009A21EB"/>
    <w:rsid w:val="009A24FF"/>
    <w:rsid w:val="009A27D9"/>
    <w:rsid w:val="009A29C9"/>
    <w:rsid w:val="009A2A1C"/>
    <w:rsid w:val="009A2AEE"/>
    <w:rsid w:val="009A2B19"/>
    <w:rsid w:val="009A2E5C"/>
    <w:rsid w:val="009A2FAC"/>
    <w:rsid w:val="009A3308"/>
    <w:rsid w:val="009A3478"/>
    <w:rsid w:val="009A3AB8"/>
    <w:rsid w:val="009A3B00"/>
    <w:rsid w:val="009A3CC5"/>
    <w:rsid w:val="009A4160"/>
    <w:rsid w:val="009A425A"/>
    <w:rsid w:val="009A42E0"/>
    <w:rsid w:val="009A47D2"/>
    <w:rsid w:val="009A4BA8"/>
    <w:rsid w:val="009A539C"/>
    <w:rsid w:val="009A55BE"/>
    <w:rsid w:val="009A5CF0"/>
    <w:rsid w:val="009A5DBA"/>
    <w:rsid w:val="009A68BE"/>
    <w:rsid w:val="009A6F7E"/>
    <w:rsid w:val="009A7031"/>
    <w:rsid w:val="009A7436"/>
    <w:rsid w:val="009A758E"/>
    <w:rsid w:val="009A7E89"/>
    <w:rsid w:val="009A7F28"/>
    <w:rsid w:val="009B01F2"/>
    <w:rsid w:val="009B0739"/>
    <w:rsid w:val="009B088F"/>
    <w:rsid w:val="009B08F7"/>
    <w:rsid w:val="009B0B28"/>
    <w:rsid w:val="009B0B7D"/>
    <w:rsid w:val="009B0CCE"/>
    <w:rsid w:val="009B0F17"/>
    <w:rsid w:val="009B10DE"/>
    <w:rsid w:val="009B1172"/>
    <w:rsid w:val="009B1B27"/>
    <w:rsid w:val="009B249C"/>
    <w:rsid w:val="009B297A"/>
    <w:rsid w:val="009B3236"/>
    <w:rsid w:val="009B3CD9"/>
    <w:rsid w:val="009B4D39"/>
    <w:rsid w:val="009B502C"/>
    <w:rsid w:val="009B5520"/>
    <w:rsid w:val="009B584D"/>
    <w:rsid w:val="009B5CF9"/>
    <w:rsid w:val="009B5D23"/>
    <w:rsid w:val="009B5E73"/>
    <w:rsid w:val="009B6FC5"/>
    <w:rsid w:val="009B7218"/>
    <w:rsid w:val="009B736F"/>
    <w:rsid w:val="009B7618"/>
    <w:rsid w:val="009B7A67"/>
    <w:rsid w:val="009B7AAE"/>
    <w:rsid w:val="009C00A6"/>
    <w:rsid w:val="009C02FE"/>
    <w:rsid w:val="009C05CB"/>
    <w:rsid w:val="009C0C66"/>
    <w:rsid w:val="009C0F01"/>
    <w:rsid w:val="009C0F53"/>
    <w:rsid w:val="009C0FE9"/>
    <w:rsid w:val="009C136C"/>
    <w:rsid w:val="009C15AC"/>
    <w:rsid w:val="009C1CEF"/>
    <w:rsid w:val="009C237C"/>
    <w:rsid w:val="009C27F8"/>
    <w:rsid w:val="009C3179"/>
    <w:rsid w:val="009C31F0"/>
    <w:rsid w:val="009C34A5"/>
    <w:rsid w:val="009C35CC"/>
    <w:rsid w:val="009C3A41"/>
    <w:rsid w:val="009C3AD0"/>
    <w:rsid w:val="009C3EE6"/>
    <w:rsid w:val="009C451B"/>
    <w:rsid w:val="009C4584"/>
    <w:rsid w:val="009C459B"/>
    <w:rsid w:val="009C564E"/>
    <w:rsid w:val="009C5C96"/>
    <w:rsid w:val="009C63A8"/>
    <w:rsid w:val="009C63C7"/>
    <w:rsid w:val="009C662C"/>
    <w:rsid w:val="009C68DE"/>
    <w:rsid w:val="009C7402"/>
    <w:rsid w:val="009C777B"/>
    <w:rsid w:val="009C7908"/>
    <w:rsid w:val="009C7978"/>
    <w:rsid w:val="009C7A1A"/>
    <w:rsid w:val="009C7F08"/>
    <w:rsid w:val="009C7FE6"/>
    <w:rsid w:val="009D053D"/>
    <w:rsid w:val="009D068C"/>
    <w:rsid w:val="009D07D1"/>
    <w:rsid w:val="009D0B09"/>
    <w:rsid w:val="009D0B0A"/>
    <w:rsid w:val="009D0C8F"/>
    <w:rsid w:val="009D0D67"/>
    <w:rsid w:val="009D11F9"/>
    <w:rsid w:val="009D174D"/>
    <w:rsid w:val="009D1992"/>
    <w:rsid w:val="009D1CE7"/>
    <w:rsid w:val="009D1D1A"/>
    <w:rsid w:val="009D1EF4"/>
    <w:rsid w:val="009D297B"/>
    <w:rsid w:val="009D2C30"/>
    <w:rsid w:val="009D2D50"/>
    <w:rsid w:val="009D2F5A"/>
    <w:rsid w:val="009D3A3E"/>
    <w:rsid w:val="009D3E2D"/>
    <w:rsid w:val="009D3FAF"/>
    <w:rsid w:val="009D4484"/>
    <w:rsid w:val="009D4819"/>
    <w:rsid w:val="009D4BF2"/>
    <w:rsid w:val="009D4D0C"/>
    <w:rsid w:val="009D4E47"/>
    <w:rsid w:val="009D4F18"/>
    <w:rsid w:val="009D4F5A"/>
    <w:rsid w:val="009D5027"/>
    <w:rsid w:val="009D5240"/>
    <w:rsid w:val="009D5379"/>
    <w:rsid w:val="009D5A6F"/>
    <w:rsid w:val="009D5A8B"/>
    <w:rsid w:val="009D5C9A"/>
    <w:rsid w:val="009D5F02"/>
    <w:rsid w:val="009D629B"/>
    <w:rsid w:val="009D63FA"/>
    <w:rsid w:val="009D656E"/>
    <w:rsid w:val="009D6900"/>
    <w:rsid w:val="009D6AF8"/>
    <w:rsid w:val="009D6ECE"/>
    <w:rsid w:val="009D6F06"/>
    <w:rsid w:val="009D72D4"/>
    <w:rsid w:val="009D7425"/>
    <w:rsid w:val="009D74A2"/>
    <w:rsid w:val="009D77CD"/>
    <w:rsid w:val="009D79DC"/>
    <w:rsid w:val="009E00B3"/>
    <w:rsid w:val="009E01C4"/>
    <w:rsid w:val="009E0373"/>
    <w:rsid w:val="009E0A6E"/>
    <w:rsid w:val="009E0B39"/>
    <w:rsid w:val="009E0BEB"/>
    <w:rsid w:val="009E0CBD"/>
    <w:rsid w:val="009E125A"/>
    <w:rsid w:val="009E1CBB"/>
    <w:rsid w:val="009E23EE"/>
    <w:rsid w:val="009E2624"/>
    <w:rsid w:val="009E27B9"/>
    <w:rsid w:val="009E2D79"/>
    <w:rsid w:val="009E3770"/>
    <w:rsid w:val="009E3C22"/>
    <w:rsid w:val="009E3C9B"/>
    <w:rsid w:val="009E3F06"/>
    <w:rsid w:val="009E43A6"/>
    <w:rsid w:val="009E4A44"/>
    <w:rsid w:val="009E4A4E"/>
    <w:rsid w:val="009E52D5"/>
    <w:rsid w:val="009E54B9"/>
    <w:rsid w:val="009E580F"/>
    <w:rsid w:val="009E5A94"/>
    <w:rsid w:val="009E61D7"/>
    <w:rsid w:val="009E6817"/>
    <w:rsid w:val="009E6E69"/>
    <w:rsid w:val="009E70C1"/>
    <w:rsid w:val="009E7582"/>
    <w:rsid w:val="009F1183"/>
    <w:rsid w:val="009F119E"/>
    <w:rsid w:val="009F128C"/>
    <w:rsid w:val="009F1979"/>
    <w:rsid w:val="009F26E6"/>
    <w:rsid w:val="009F2725"/>
    <w:rsid w:val="009F2B1B"/>
    <w:rsid w:val="009F2B58"/>
    <w:rsid w:val="009F31AE"/>
    <w:rsid w:val="009F3369"/>
    <w:rsid w:val="009F3565"/>
    <w:rsid w:val="009F46F8"/>
    <w:rsid w:val="009F483F"/>
    <w:rsid w:val="009F54D3"/>
    <w:rsid w:val="009F555E"/>
    <w:rsid w:val="009F58FD"/>
    <w:rsid w:val="009F5A4C"/>
    <w:rsid w:val="009F5B9F"/>
    <w:rsid w:val="009F606E"/>
    <w:rsid w:val="009F617A"/>
    <w:rsid w:val="009F64C3"/>
    <w:rsid w:val="009F681D"/>
    <w:rsid w:val="009F697B"/>
    <w:rsid w:val="009F6B7D"/>
    <w:rsid w:val="009F7065"/>
    <w:rsid w:val="009F707F"/>
    <w:rsid w:val="009F7598"/>
    <w:rsid w:val="009F76CE"/>
    <w:rsid w:val="009F7C40"/>
    <w:rsid w:val="009F7CF2"/>
    <w:rsid w:val="00A004D9"/>
    <w:rsid w:val="00A0050A"/>
    <w:rsid w:val="00A00AAA"/>
    <w:rsid w:val="00A00B08"/>
    <w:rsid w:val="00A00EA2"/>
    <w:rsid w:val="00A011D3"/>
    <w:rsid w:val="00A0125E"/>
    <w:rsid w:val="00A01513"/>
    <w:rsid w:val="00A01549"/>
    <w:rsid w:val="00A01872"/>
    <w:rsid w:val="00A01A47"/>
    <w:rsid w:val="00A01E53"/>
    <w:rsid w:val="00A02347"/>
    <w:rsid w:val="00A02E5E"/>
    <w:rsid w:val="00A036F8"/>
    <w:rsid w:val="00A03711"/>
    <w:rsid w:val="00A03BEA"/>
    <w:rsid w:val="00A03E2D"/>
    <w:rsid w:val="00A04139"/>
    <w:rsid w:val="00A04429"/>
    <w:rsid w:val="00A04537"/>
    <w:rsid w:val="00A0457E"/>
    <w:rsid w:val="00A0465D"/>
    <w:rsid w:val="00A047F2"/>
    <w:rsid w:val="00A048C5"/>
    <w:rsid w:val="00A04A12"/>
    <w:rsid w:val="00A04F3D"/>
    <w:rsid w:val="00A05630"/>
    <w:rsid w:val="00A05A4D"/>
    <w:rsid w:val="00A05B7C"/>
    <w:rsid w:val="00A06153"/>
    <w:rsid w:val="00A066E3"/>
    <w:rsid w:val="00A06B74"/>
    <w:rsid w:val="00A06E2B"/>
    <w:rsid w:val="00A06E74"/>
    <w:rsid w:val="00A06F45"/>
    <w:rsid w:val="00A07006"/>
    <w:rsid w:val="00A07566"/>
    <w:rsid w:val="00A07623"/>
    <w:rsid w:val="00A07787"/>
    <w:rsid w:val="00A07AB4"/>
    <w:rsid w:val="00A108D8"/>
    <w:rsid w:val="00A10A8B"/>
    <w:rsid w:val="00A10AF9"/>
    <w:rsid w:val="00A1108E"/>
    <w:rsid w:val="00A1138E"/>
    <w:rsid w:val="00A11888"/>
    <w:rsid w:val="00A11911"/>
    <w:rsid w:val="00A11ADD"/>
    <w:rsid w:val="00A1203B"/>
    <w:rsid w:val="00A12319"/>
    <w:rsid w:val="00A1359D"/>
    <w:rsid w:val="00A13739"/>
    <w:rsid w:val="00A139FA"/>
    <w:rsid w:val="00A13E2E"/>
    <w:rsid w:val="00A14105"/>
    <w:rsid w:val="00A141F8"/>
    <w:rsid w:val="00A142A8"/>
    <w:rsid w:val="00A1495D"/>
    <w:rsid w:val="00A14FB5"/>
    <w:rsid w:val="00A1513A"/>
    <w:rsid w:val="00A1516A"/>
    <w:rsid w:val="00A151BE"/>
    <w:rsid w:val="00A15D8A"/>
    <w:rsid w:val="00A167C0"/>
    <w:rsid w:val="00A16AD9"/>
    <w:rsid w:val="00A17059"/>
    <w:rsid w:val="00A17087"/>
    <w:rsid w:val="00A174EF"/>
    <w:rsid w:val="00A17B3D"/>
    <w:rsid w:val="00A17DCF"/>
    <w:rsid w:val="00A204C9"/>
    <w:rsid w:val="00A20733"/>
    <w:rsid w:val="00A2084C"/>
    <w:rsid w:val="00A20AF3"/>
    <w:rsid w:val="00A2101F"/>
    <w:rsid w:val="00A21037"/>
    <w:rsid w:val="00A216C2"/>
    <w:rsid w:val="00A21B96"/>
    <w:rsid w:val="00A2200D"/>
    <w:rsid w:val="00A22152"/>
    <w:rsid w:val="00A22538"/>
    <w:rsid w:val="00A22549"/>
    <w:rsid w:val="00A22E0A"/>
    <w:rsid w:val="00A22E6F"/>
    <w:rsid w:val="00A22E73"/>
    <w:rsid w:val="00A23019"/>
    <w:rsid w:val="00A232BB"/>
    <w:rsid w:val="00A23835"/>
    <w:rsid w:val="00A23D67"/>
    <w:rsid w:val="00A24107"/>
    <w:rsid w:val="00A24268"/>
    <w:rsid w:val="00A242B1"/>
    <w:rsid w:val="00A242C1"/>
    <w:rsid w:val="00A243AC"/>
    <w:rsid w:val="00A24548"/>
    <w:rsid w:val="00A2466D"/>
    <w:rsid w:val="00A25392"/>
    <w:rsid w:val="00A255D0"/>
    <w:rsid w:val="00A256D9"/>
    <w:rsid w:val="00A259BA"/>
    <w:rsid w:val="00A25E1E"/>
    <w:rsid w:val="00A26067"/>
    <w:rsid w:val="00A26344"/>
    <w:rsid w:val="00A26568"/>
    <w:rsid w:val="00A2687E"/>
    <w:rsid w:val="00A2693B"/>
    <w:rsid w:val="00A26A14"/>
    <w:rsid w:val="00A26E26"/>
    <w:rsid w:val="00A26EFD"/>
    <w:rsid w:val="00A27542"/>
    <w:rsid w:val="00A27850"/>
    <w:rsid w:val="00A27867"/>
    <w:rsid w:val="00A27998"/>
    <w:rsid w:val="00A27CE4"/>
    <w:rsid w:val="00A27E69"/>
    <w:rsid w:val="00A27FA4"/>
    <w:rsid w:val="00A30031"/>
    <w:rsid w:val="00A3018A"/>
    <w:rsid w:val="00A30AD9"/>
    <w:rsid w:val="00A30C2F"/>
    <w:rsid w:val="00A30E85"/>
    <w:rsid w:val="00A311A2"/>
    <w:rsid w:val="00A31697"/>
    <w:rsid w:val="00A319B1"/>
    <w:rsid w:val="00A31B95"/>
    <w:rsid w:val="00A31E43"/>
    <w:rsid w:val="00A32207"/>
    <w:rsid w:val="00A324B8"/>
    <w:rsid w:val="00A324EF"/>
    <w:rsid w:val="00A325D7"/>
    <w:rsid w:val="00A326BE"/>
    <w:rsid w:val="00A32791"/>
    <w:rsid w:val="00A327B9"/>
    <w:rsid w:val="00A32834"/>
    <w:rsid w:val="00A331C6"/>
    <w:rsid w:val="00A3333F"/>
    <w:rsid w:val="00A337AA"/>
    <w:rsid w:val="00A3398F"/>
    <w:rsid w:val="00A33B7E"/>
    <w:rsid w:val="00A33BBC"/>
    <w:rsid w:val="00A345E6"/>
    <w:rsid w:val="00A346DD"/>
    <w:rsid w:val="00A34C32"/>
    <w:rsid w:val="00A34F75"/>
    <w:rsid w:val="00A35AA5"/>
    <w:rsid w:val="00A35BE7"/>
    <w:rsid w:val="00A36176"/>
    <w:rsid w:val="00A374E9"/>
    <w:rsid w:val="00A376A2"/>
    <w:rsid w:val="00A378B6"/>
    <w:rsid w:val="00A37CCE"/>
    <w:rsid w:val="00A37E54"/>
    <w:rsid w:val="00A40657"/>
    <w:rsid w:val="00A40662"/>
    <w:rsid w:val="00A40982"/>
    <w:rsid w:val="00A409C7"/>
    <w:rsid w:val="00A40BAF"/>
    <w:rsid w:val="00A40FFB"/>
    <w:rsid w:val="00A418B5"/>
    <w:rsid w:val="00A41AC8"/>
    <w:rsid w:val="00A41F43"/>
    <w:rsid w:val="00A41FEF"/>
    <w:rsid w:val="00A424DC"/>
    <w:rsid w:val="00A42512"/>
    <w:rsid w:val="00A4279C"/>
    <w:rsid w:val="00A427FD"/>
    <w:rsid w:val="00A42A0B"/>
    <w:rsid w:val="00A42C57"/>
    <w:rsid w:val="00A42EA9"/>
    <w:rsid w:val="00A42FBA"/>
    <w:rsid w:val="00A42FBD"/>
    <w:rsid w:val="00A4307B"/>
    <w:rsid w:val="00A43686"/>
    <w:rsid w:val="00A4429C"/>
    <w:rsid w:val="00A44391"/>
    <w:rsid w:val="00A44407"/>
    <w:rsid w:val="00A44604"/>
    <w:rsid w:val="00A44633"/>
    <w:rsid w:val="00A45A51"/>
    <w:rsid w:val="00A45AA1"/>
    <w:rsid w:val="00A45E9C"/>
    <w:rsid w:val="00A46041"/>
    <w:rsid w:val="00A46191"/>
    <w:rsid w:val="00A46232"/>
    <w:rsid w:val="00A4649B"/>
    <w:rsid w:val="00A47061"/>
    <w:rsid w:val="00A47693"/>
    <w:rsid w:val="00A477B5"/>
    <w:rsid w:val="00A47CC8"/>
    <w:rsid w:val="00A47D37"/>
    <w:rsid w:val="00A47F49"/>
    <w:rsid w:val="00A506C7"/>
    <w:rsid w:val="00A50869"/>
    <w:rsid w:val="00A50D5B"/>
    <w:rsid w:val="00A5108D"/>
    <w:rsid w:val="00A51ADC"/>
    <w:rsid w:val="00A51F91"/>
    <w:rsid w:val="00A520F3"/>
    <w:rsid w:val="00A5211C"/>
    <w:rsid w:val="00A523E5"/>
    <w:rsid w:val="00A5278F"/>
    <w:rsid w:val="00A52795"/>
    <w:rsid w:val="00A52992"/>
    <w:rsid w:val="00A52E30"/>
    <w:rsid w:val="00A534B0"/>
    <w:rsid w:val="00A53C0B"/>
    <w:rsid w:val="00A53C2D"/>
    <w:rsid w:val="00A53FD7"/>
    <w:rsid w:val="00A543AA"/>
    <w:rsid w:val="00A54D6B"/>
    <w:rsid w:val="00A55374"/>
    <w:rsid w:val="00A557D0"/>
    <w:rsid w:val="00A559E3"/>
    <w:rsid w:val="00A55AAE"/>
    <w:rsid w:val="00A55B6A"/>
    <w:rsid w:val="00A5608E"/>
    <w:rsid w:val="00A561D4"/>
    <w:rsid w:val="00A566A0"/>
    <w:rsid w:val="00A5678E"/>
    <w:rsid w:val="00A56875"/>
    <w:rsid w:val="00A568BD"/>
    <w:rsid w:val="00A56B45"/>
    <w:rsid w:val="00A56D68"/>
    <w:rsid w:val="00A56EC8"/>
    <w:rsid w:val="00A57134"/>
    <w:rsid w:val="00A5723F"/>
    <w:rsid w:val="00A576FB"/>
    <w:rsid w:val="00A57B88"/>
    <w:rsid w:val="00A57D7C"/>
    <w:rsid w:val="00A603ED"/>
    <w:rsid w:val="00A60AED"/>
    <w:rsid w:val="00A61581"/>
    <w:rsid w:val="00A61629"/>
    <w:rsid w:val="00A6180C"/>
    <w:rsid w:val="00A61AB2"/>
    <w:rsid w:val="00A61F37"/>
    <w:rsid w:val="00A61FA3"/>
    <w:rsid w:val="00A62009"/>
    <w:rsid w:val="00A62406"/>
    <w:rsid w:val="00A624D4"/>
    <w:rsid w:val="00A625E8"/>
    <w:rsid w:val="00A629CE"/>
    <w:rsid w:val="00A62A19"/>
    <w:rsid w:val="00A62A40"/>
    <w:rsid w:val="00A62DDE"/>
    <w:rsid w:val="00A636B0"/>
    <w:rsid w:val="00A63911"/>
    <w:rsid w:val="00A63B9C"/>
    <w:rsid w:val="00A64092"/>
    <w:rsid w:val="00A641BA"/>
    <w:rsid w:val="00A64250"/>
    <w:rsid w:val="00A643D5"/>
    <w:rsid w:val="00A646E5"/>
    <w:rsid w:val="00A647BF"/>
    <w:rsid w:val="00A64BA2"/>
    <w:rsid w:val="00A64CD2"/>
    <w:rsid w:val="00A64D84"/>
    <w:rsid w:val="00A6538D"/>
    <w:rsid w:val="00A653E3"/>
    <w:rsid w:val="00A6559C"/>
    <w:rsid w:val="00A657B1"/>
    <w:rsid w:val="00A659C7"/>
    <w:rsid w:val="00A65AEF"/>
    <w:rsid w:val="00A65BBD"/>
    <w:rsid w:val="00A66A6B"/>
    <w:rsid w:val="00A66B72"/>
    <w:rsid w:val="00A66C60"/>
    <w:rsid w:val="00A66DFA"/>
    <w:rsid w:val="00A67012"/>
    <w:rsid w:val="00A6728C"/>
    <w:rsid w:val="00A672C8"/>
    <w:rsid w:val="00A6752C"/>
    <w:rsid w:val="00A675A2"/>
    <w:rsid w:val="00A678BF"/>
    <w:rsid w:val="00A67B3F"/>
    <w:rsid w:val="00A67C17"/>
    <w:rsid w:val="00A700E5"/>
    <w:rsid w:val="00A7086B"/>
    <w:rsid w:val="00A70D33"/>
    <w:rsid w:val="00A70EF0"/>
    <w:rsid w:val="00A713E2"/>
    <w:rsid w:val="00A716CD"/>
    <w:rsid w:val="00A7201C"/>
    <w:rsid w:val="00A728A3"/>
    <w:rsid w:val="00A731DA"/>
    <w:rsid w:val="00A732C3"/>
    <w:rsid w:val="00A732CA"/>
    <w:rsid w:val="00A736C5"/>
    <w:rsid w:val="00A73885"/>
    <w:rsid w:val="00A73AD4"/>
    <w:rsid w:val="00A73C0E"/>
    <w:rsid w:val="00A73C82"/>
    <w:rsid w:val="00A74520"/>
    <w:rsid w:val="00A74B5D"/>
    <w:rsid w:val="00A75555"/>
    <w:rsid w:val="00A75DB5"/>
    <w:rsid w:val="00A75ECD"/>
    <w:rsid w:val="00A75F0E"/>
    <w:rsid w:val="00A76750"/>
    <w:rsid w:val="00A76DC8"/>
    <w:rsid w:val="00A76E9D"/>
    <w:rsid w:val="00A771BF"/>
    <w:rsid w:val="00A77243"/>
    <w:rsid w:val="00A772DF"/>
    <w:rsid w:val="00A77570"/>
    <w:rsid w:val="00A800BA"/>
    <w:rsid w:val="00A8017E"/>
    <w:rsid w:val="00A8049E"/>
    <w:rsid w:val="00A805C1"/>
    <w:rsid w:val="00A80E69"/>
    <w:rsid w:val="00A81271"/>
    <w:rsid w:val="00A81300"/>
    <w:rsid w:val="00A81537"/>
    <w:rsid w:val="00A81842"/>
    <w:rsid w:val="00A81943"/>
    <w:rsid w:val="00A81DD0"/>
    <w:rsid w:val="00A8235D"/>
    <w:rsid w:val="00A823B2"/>
    <w:rsid w:val="00A825CE"/>
    <w:rsid w:val="00A82F44"/>
    <w:rsid w:val="00A831D1"/>
    <w:rsid w:val="00A834DE"/>
    <w:rsid w:val="00A83938"/>
    <w:rsid w:val="00A83A9D"/>
    <w:rsid w:val="00A83C7D"/>
    <w:rsid w:val="00A8409D"/>
    <w:rsid w:val="00A841C3"/>
    <w:rsid w:val="00A8423E"/>
    <w:rsid w:val="00A84349"/>
    <w:rsid w:val="00A844B1"/>
    <w:rsid w:val="00A847D5"/>
    <w:rsid w:val="00A847DA"/>
    <w:rsid w:val="00A84888"/>
    <w:rsid w:val="00A84A14"/>
    <w:rsid w:val="00A84A63"/>
    <w:rsid w:val="00A84CB2"/>
    <w:rsid w:val="00A851F0"/>
    <w:rsid w:val="00A8527E"/>
    <w:rsid w:val="00A85626"/>
    <w:rsid w:val="00A85711"/>
    <w:rsid w:val="00A85BE1"/>
    <w:rsid w:val="00A85E8B"/>
    <w:rsid w:val="00A8653D"/>
    <w:rsid w:val="00A86877"/>
    <w:rsid w:val="00A868F1"/>
    <w:rsid w:val="00A86C6C"/>
    <w:rsid w:val="00A8709E"/>
    <w:rsid w:val="00A870D8"/>
    <w:rsid w:val="00A8721D"/>
    <w:rsid w:val="00A872A9"/>
    <w:rsid w:val="00A87BC8"/>
    <w:rsid w:val="00A9079F"/>
    <w:rsid w:val="00A90E3B"/>
    <w:rsid w:val="00A92019"/>
    <w:rsid w:val="00A920F1"/>
    <w:rsid w:val="00A9213A"/>
    <w:rsid w:val="00A926AB"/>
    <w:rsid w:val="00A92A82"/>
    <w:rsid w:val="00A92C7C"/>
    <w:rsid w:val="00A92E28"/>
    <w:rsid w:val="00A93618"/>
    <w:rsid w:val="00A9397E"/>
    <w:rsid w:val="00A9426F"/>
    <w:rsid w:val="00A94AC0"/>
    <w:rsid w:val="00A94ACC"/>
    <w:rsid w:val="00A957FA"/>
    <w:rsid w:val="00A95816"/>
    <w:rsid w:val="00A95925"/>
    <w:rsid w:val="00A95FCB"/>
    <w:rsid w:val="00A965D3"/>
    <w:rsid w:val="00A967A5"/>
    <w:rsid w:val="00A967C1"/>
    <w:rsid w:val="00A969A0"/>
    <w:rsid w:val="00A96E10"/>
    <w:rsid w:val="00A97190"/>
    <w:rsid w:val="00A971C4"/>
    <w:rsid w:val="00A97370"/>
    <w:rsid w:val="00A97655"/>
    <w:rsid w:val="00A97810"/>
    <w:rsid w:val="00A97947"/>
    <w:rsid w:val="00A97B33"/>
    <w:rsid w:val="00AA0078"/>
    <w:rsid w:val="00AA02C2"/>
    <w:rsid w:val="00AA0317"/>
    <w:rsid w:val="00AA0B39"/>
    <w:rsid w:val="00AA0B48"/>
    <w:rsid w:val="00AA0FB1"/>
    <w:rsid w:val="00AA116B"/>
    <w:rsid w:val="00AA1341"/>
    <w:rsid w:val="00AA1434"/>
    <w:rsid w:val="00AA1729"/>
    <w:rsid w:val="00AA1CA0"/>
    <w:rsid w:val="00AA1CFB"/>
    <w:rsid w:val="00AA1DA1"/>
    <w:rsid w:val="00AA2033"/>
    <w:rsid w:val="00AA2168"/>
    <w:rsid w:val="00AA221D"/>
    <w:rsid w:val="00AA26C1"/>
    <w:rsid w:val="00AA32FE"/>
    <w:rsid w:val="00AA3A4E"/>
    <w:rsid w:val="00AA3AAE"/>
    <w:rsid w:val="00AA3C29"/>
    <w:rsid w:val="00AA401D"/>
    <w:rsid w:val="00AA4098"/>
    <w:rsid w:val="00AA4A29"/>
    <w:rsid w:val="00AA4FE0"/>
    <w:rsid w:val="00AA5336"/>
    <w:rsid w:val="00AA555A"/>
    <w:rsid w:val="00AA5D52"/>
    <w:rsid w:val="00AA5E12"/>
    <w:rsid w:val="00AA5F7A"/>
    <w:rsid w:val="00AA64E3"/>
    <w:rsid w:val="00AA64FA"/>
    <w:rsid w:val="00AA66AF"/>
    <w:rsid w:val="00AA6878"/>
    <w:rsid w:val="00AA6A6C"/>
    <w:rsid w:val="00AA7720"/>
    <w:rsid w:val="00AB02F8"/>
    <w:rsid w:val="00AB05B2"/>
    <w:rsid w:val="00AB07E9"/>
    <w:rsid w:val="00AB1642"/>
    <w:rsid w:val="00AB1678"/>
    <w:rsid w:val="00AB16CD"/>
    <w:rsid w:val="00AB1EB6"/>
    <w:rsid w:val="00AB1F01"/>
    <w:rsid w:val="00AB2206"/>
    <w:rsid w:val="00AB260A"/>
    <w:rsid w:val="00AB2AD6"/>
    <w:rsid w:val="00AB316D"/>
    <w:rsid w:val="00AB364B"/>
    <w:rsid w:val="00AB36FD"/>
    <w:rsid w:val="00AB3E3C"/>
    <w:rsid w:val="00AB3E83"/>
    <w:rsid w:val="00AB501C"/>
    <w:rsid w:val="00AB56BA"/>
    <w:rsid w:val="00AB5F25"/>
    <w:rsid w:val="00AB5FD4"/>
    <w:rsid w:val="00AB60A5"/>
    <w:rsid w:val="00AB60D0"/>
    <w:rsid w:val="00AB64F8"/>
    <w:rsid w:val="00AB750F"/>
    <w:rsid w:val="00AB7702"/>
    <w:rsid w:val="00AB7EBE"/>
    <w:rsid w:val="00AC061B"/>
    <w:rsid w:val="00AC0B4A"/>
    <w:rsid w:val="00AC0E5E"/>
    <w:rsid w:val="00AC1419"/>
    <w:rsid w:val="00AC16CE"/>
    <w:rsid w:val="00AC1929"/>
    <w:rsid w:val="00AC1A49"/>
    <w:rsid w:val="00AC1CAA"/>
    <w:rsid w:val="00AC1FDC"/>
    <w:rsid w:val="00AC2183"/>
    <w:rsid w:val="00AC2729"/>
    <w:rsid w:val="00AC278F"/>
    <w:rsid w:val="00AC2BFA"/>
    <w:rsid w:val="00AC2FF4"/>
    <w:rsid w:val="00AC30C7"/>
    <w:rsid w:val="00AC3796"/>
    <w:rsid w:val="00AC39AA"/>
    <w:rsid w:val="00AC3A66"/>
    <w:rsid w:val="00AC401A"/>
    <w:rsid w:val="00AC40C4"/>
    <w:rsid w:val="00AC44A9"/>
    <w:rsid w:val="00AC4B7F"/>
    <w:rsid w:val="00AC4BA5"/>
    <w:rsid w:val="00AC51B5"/>
    <w:rsid w:val="00AC544E"/>
    <w:rsid w:val="00AC5A88"/>
    <w:rsid w:val="00AC5D95"/>
    <w:rsid w:val="00AC5EE8"/>
    <w:rsid w:val="00AC6805"/>
    <w:rsid w:val="00AC6DF2"/>
    <w:rsid w:val="00AC6F40"/>
    <w:rsid w:val="00AC77F8"/>
    <w:rsid w:val="00AC7B7C"/>
    <w:rsid w:val="00AC7EE7"/>
    <w:rsid w:val="00AD038A"/>
    <w:rsid w:val="00AD0ADB"/>
    <w:rsid w:val="00AD0BAF"/>
    <w:rsid w:val="00AD15DA"/>
    <w:rsid w:val="00AD1BF5"/>
    <w:rsid w:val="00AD212D"/>
    <w:rsid w:val="00AD26C4"/>
    <w:rsid w:val="00AD29E1"/>
    <w:rsid w:val="00AD2F97"/>
    <w:rsid w:val="00AD3461"/>
    <w:rsid w:val="00AD3BF7"/>
    <w:rsid w:val="00AD40C9"/>
    <w:rsid w:val="00AD5049"/>
    <w:rsid w:val="00AD5064"/>
    <w:rsid w:val="00AD59C2"/>
    <w:rsid w:val="00AD65B4"/>
    <w:rsid w:val="00AD694C"/>
    <w:rsid w:val="00AD6A0B"/>
    <w:rsid w:val="00AD7217"/>
    <w:rsid w:val="00AD72F4"/>
    <w:rsid w:val="00AD7309"/>
    <w:rsid w:val="00AD7497"/>
    <w:rsid w:val="00AD75BB"/>
    <w:rsid w:val="00AD7906"/>
    <w:rsid w:val="00AD7959"/>
    <w:rsid w:val="00AE003E"/>
    <w:rsid w:val="00AE0103"/>
    <w:rsid w:val="00AE02BE"/>
    <w:rsid w:val="00AE030F"/>
    <w:rsid w:val="00AE0741"/>
    <w:rsid w:val="00AE1CBF"/>
    <w:rsid w:val="00AE1D42"/>
    <w:rsid w:val="00AE1ED5"/>
    <w:rsid w:val="00AE1F9E"/>
    <w:rsid w:val="00AE363D"/>
    <w:rsid w:val="00AE36B8"/>
    <w:rsid w:val="00AE37FA"/>
    <w:rsid w:val="00AE3AE4"/>
    <w:rsid w:val="00AE3C2E"/>
    <w:rsid w:val="00AE3FC0"/>
    <w:rsid w:val="00AE400B"/>
    <w:rsid w:val="00AE45D6"/>
    <w:rsid w:val="00AE47E8"/>
    <w:rsid w:val="00AE496E"/>
    <w:rsid w:val="00AE4B84"/>
    <w:rsid w:val="00AE51C8"/>
    <w:rsid w:val="00AE55F4"/>
    <w:rsid w:val="00AE5834"/>
    <w:rsid w:val="00AE5839"/>
    <w:rsid w:val="00AE5D45"/>
    <w:rsid w:val="00AE5DF5"/>
    <w:rsid w:val="00AE623C"/>
    <w:rsid w:val="00AE64B9"/>
    <w:rsid w:val="00AE6540"/>
    <w:rsid w:val="00AE66E9"/>
    <w:rsid w:val="00AE679E"/>
    <w:rsid w:val="00AE692D"/>
    <w:rsid w:val="00AE6AE3"/>
    <w:rsid w:val="00AE7222"/>
    <w:rsid w:val="00AE73E5"/>
    <w:rsid w:val="00AE75EC"/>
    <w:rsid w:val="00AE7615"/>
    <w:rsid w:val="00AE7695"/>
    <w:rsid w:val="00AE76D9"/>
    <w:rsid w:val="00AF02A9"/>
    <w:rsid w:val="00AF0B59"/>
    <w:rsid w:val="00AF0B5A"/>
    <w:rsid w:val="00AF0B80"/>
    <w:rsid w:val="00AF0C7E"/>
    <w:rsid w:val="00AF1296"/>
    <w:rsid w:val="00AF1A1A"/>
    <w:rsid w:val="00AF1A96"/>
    <w:rsid w:val="00AF1BB3"/>
    <w:rsid w:val="00AF1C2F"/>
    <w:rsid w:val="00AF1CBD"/>
    <w:rsid w:val="00AF1DDC"/>
    <w:rsid w:val="00AF1E12"/>
    <w:rsid w:val="00AF274F"/>
    <w:rsid w:val="00AF2943"/>
    <w:rsid w:val="00AF2DA3"/>
    <w:rsid w:val="00AF2F7E"/>
    <w:rsid w:val="00AF34C3"/>
    <w:rsid w:val="00AF38C8"/>
    <w:rsid w:val="00AF3A19"/>
    <w:rsid w:val="00AF3D3E"/>
    <w:rsid w:val="00AF3EA6"/>
    <w:rsid w:val="00AF4293"/>
    <w:rsid w:val="00AF44C1"/>
    <w:rsid w:val="00AF4581"/>
    <w:rsid w:val="00AF484E"/>
    <w:rsid w:val="00AF4B2D"/>
    <w:rsid w:val="00AF55E6"/>
    <w:rsid w:val="00AF56E4"/>
    <w:rsid w:val="00AF580E"/>
    <w:rsid w:val="00AF5A3A"/>
    <w:rsid w:val="00AF65B4"/>
    <w:rsid w:val="00AF66D2"/>
    <w:rsid w:val="00AF6873"/>
    <w:rsid w:val="00AF69F4"/>
    <w:rsid w:val="00AF70F3"/>
    <w:rsid w:val="00AF7622"/>
    <w:rsid w:val="00AF7C07"/>
    <w:rsid w:val="00B00255"/>
    <w:rsid w:val="00B00309"/>
    <w:rsid w:val="00B007BE"/>
    <w:rsid w:val="00B00A54"/>
    <w:rsid w:val="00B00E38"/>
    <w:rsid w:val="00B00E46"/>
    <w:rsid w:val="00B01BEC"/>
    <w:rsid w:val="00B01D2F"/>
    <w:rsid w:val="00B0258B"/>
    <w:rsid w:val="00B028E7"/>
    <w:rsid w:val="00B03877"/>
    <w:rsid w:val="00B03C92"/>
    <w:rsid w:val="00B03D5B"/>
    <w:rsid w:val="00B04221"/>
    <w:rsid w:val="00B05224"/>
    <w:rsid w:val="00B057D6"/>
    <w:rsid w:val="00B058DE"/>
    <w:rsid w:val="00B06207"/>
    <w:rsid w:val="00B06FC1"/>
    <w:rsid w:val="00B07185"/>
    <w:rsid w:val="00B07615"/>
    <w:rsid w:val="00B07BC2"/>
    <w:rsid w:val="00B07BE3"/>
    <w:rsid w:val="00B07CCD"/>
    <w:rsid w:val="00B07F98"/>
    <w:rsid w:val="00B10088"/>
    <w:rsid w:val="00B106FD"/>
    <w:rsid w:val="00B108F8"/>
    <w:rsid w:val="00B10E17"/>
    <w:rsid w:val="00B11149"/>
    <w:rsid w:val="00B11741"/>
    <w:rsid w:val="00B1179C"/>
    <w:rsid w:val="00B11A30"/>
    <w:rsid w:val="00B11B6E"/>
    <w:rsid w:val="00B11DE5"/>
    <w:rsid w:val="00B12641"/>
    <w:rsid w:val="00B1269E"/>
    <w:rsid w:val="00B12E4F"/>
    <w:rsid w:val="00B13200"/>
    <w:rsid w:val="00B13857"/>
    <w:rsid w:val="00B138EF"/>
    <w:rsid w:val="00B13A61"/>
    <w:rsid w:val="00B13C75"/>
    <w:rsid w:val="00B141A0"/>
    <w:rsid w:val="00B14305"/>
    <w:rsid w:val="00B14555"/>
    <w:rsid w:val="00B145F9"/>
    <w:rsid w:val="00B1473D"/>
    <w:rsid w:val="00B14841"/>
    <w:rsid w:val="00B15201"/>
    <w:rsid w:val="00B15218"/>
    <w:rsid w:val="00B152A6"/>
    <w:rsid w:val="00B15687"/>
    <w:rsid w:val="00B15A32"/>
    <w:rsid w:val="00B15FC7"/>
    <w:rsid w:val="00B16753"/>
    <w:rsid w:val="00B1689A"/>
    <w:rsid w:val="00B16A6D"/>
    <w:rsid w:val="00B16BDC"/>
    <w:rsid w:val="00B16CCD"/>
    <w:rsid w:val="00B16E46"/>
    <w:rsid w:val="00B17730"/>
    <w:rsid w:val="00B17BFB"/>
    <w:rsid w:val="00B17C5F"/>
    <w:rsid w:val="00B17FBB"/>
    <w:rsid w:val="00B205AD"/>
    <w:rsid w:val="00B205C4"/>
    <w:rsid w:val="00B20902"/>
    <w:rsid w:val="00B212EA"/>
    <w:rsid w:val="00B214A5"/>
    <w:rsid w:val="00B21632"/>
    <w:rsid w:val="00B2187A"/>
    <w:rsid w:val="00B21884"/>
    <w:rsid w:val="00B221C2"/>
    <w:rsid w:val="00B22292"/>
    <w:rsid w:val="00B22400"/>
    <w:rsid w:val="00B227B9"/>
    <w:rsid w:val="00B22F55"/>
    <w:rsid w:val="00B23658"/>
    <w:rsid w:val="00B23B79"/>
    <w:rsid w:val="00B23EAB"/>
    <w:rsid w:val="00B242E1"/>
    <w:rsid w:val="00B246D7"/>
    <w:rsid w:val="00B2507A"/>
    <w:rsid w:val="00B254C8"/>
    <w:rsid w:val="00B25C57"/>
    <w:rsid w:val="00B2608E"/>
    <w:rsid w:val="00B26214"/>
    <w:rsid w:val="00B26336"/>
    <w:rsid w:val="00B2633C"/>
    <w:rsid w:val="00B26567"/>
    <w:rsid w:val="00B26C7E"/>
    <w:rsid w:val="00B26CAF"/>
    <w:rsid w:val="00B26F66"/>
    <w:rsid w:val="00B26FCA"/>
    <w:rsid w:val="00B271B4"/>
    <w:rsid w:val="00B27442"/>
    <w:rsid w:val="00B27978"/>
    <w:rsid w:val="00B27E88"/>
    <w:rsid w:val="00B30150"/>
    <w:rsid w:val="00B30325"/>
    <w:rsid w:val="00B30429"/>
    <w:rsid w:val="00B30A87"/>
    <w:rsid w:val="00B30D55"/>
    <w:rsid w:val="00B3153F"/>
    <w:rsid w:val="00B31688"/>
    <w:rsid w:val="00B319AC"/>
    <w:rsid w:val="00B31C85"/>
    <w:rsid w:val="00B32569"/>
    <w:rsid w:val="00B32B23"/>
    <w:rsid w:val="00B32B42"/>
    <w:rsid w:val="00B32F0C"/>
    <w:rsid w:val="00B330DD"/>
    <w:rsid w:val="00B334A0"/>
    <w:rsid w:val="00B335A0"/>
    <w:rsid w:val="00B340CE"/>
    <w:rsid w:val="00B34587"/>
    <w:rsid w:val="00B3464B"/>
    <w:rsid w:val="00B35BD8"/>
    <w:rsid w:val="00B35CEE"/>
    <w:rsid w:val="00B35F3D"/>
    <w:rsid w:val="00B365D4"/>
    <w:rsid w:val="00B3683C"/>
    <w:rsid w:val="00B36938"/>
    <w:rsid w:val="00B36C84"/>
    <w:rsid w:val="00B373BF"/>
    <w:rsid w:val="00B3749C"/>
    <w:rsid w:val="00B37717"/>
    <w:rsid w:val="00B37AD4"/>
    <w:rsid w:val="00B37B0C"/>
    <w:rsid w:val="00B400F0"/>
    <w:rsid w:val="00B4029B"/>
    <w:rsid w:val="00B40EEC"/>
    <w:rsid w:val="00B41473"/>
    <w:rsid w:val="00B414BC"/>
    <w:rsid w:val="00B41FFC"/>
    <w:rsid w:val="00B42AF8"/>
    <w:rsid w:val="00B42D0E"/>
    <w:rsid w:val="00B434ED"/>
    <w:rsid w:val="00B43CF8"/>
    <w:rsid w:val="00B43F1A"/>
    <w:rsid w:val="00B447A8"/>
    <w:rsid w:val="00B44930"/>
    <w:rsid w:val="00B44BD9"/>
    <w:rsid w:val="00B44C61"/>
    <w:rsid w:val="00B454CC"/>
    <w:rsid w:val="00B45929"/>
    <w:rsid w:val="00B45997"/>
    <w:rsid w:val="00B45BED"/>
    <w:rsid w:val="00B45D57"/>
    <w:rsid w:val="00B46274"/>
    <w:rsid w:val="00B463A0"/>
    <w:rsid w:val="00B46627"/>
    <w:rsid w:val="00B46FCC"/>
    <w:rsid w:val="00B473F1"/>
    <w:rsid w:val="00B47414"/>
    <w:rsid w:val="00B47433"/>
    <w:rsid w:val="00B504CA"/>
    <w:rsid w:val="00B50B3C"/>
    <w:rsid w:val="00B50B5C"/>
    <w:rsid w:val="00B50C83"/>
    <w:rsid w:val="00B5126F"/>
    <w:rsid w:val="00B513F9"/>
    <w:rsid w:val="00B5185E"/>
    <w:rsid w:val="00B51CE4"/>
    <w:rsid w:val="00B527E1"/>
    <w:rsid w:val="00B52C9D"/>
    <w:rsid w:val="00B53228"/>
    <w:rsid w:val="00B5349A"/>
    <w:rsid w:val="00B53797"/>
    <w:rsid w:val="00B53890"/>
    <w:rsid w:val="00B53AF1"/>
    <w:rsid w:val="00B53F06"/>
    <w:rsid w:val="00B54AE0"/>
    <w:rsid w:val="00B54E6E"/>
    <w:rsid w:val="00B553D3"/>
    <w:rsid w:val="00B555C5"/>
    <w:rsid w:val="00B55611"/>
    <w:rsid w:val="00B5601D"/>
    <w:rsid w:val="00B56104"/>
    <w:rsid w:val="00B5684A"/>
    <w:rsid w:val="00B56ABE"/>
    <w:rsid w:val="00B56EF4"/>
    <w:rsid w:val="00B571E6"/>
    <w:rsid w:val="00B57292"/>
    <w:rsid w:val="00B575C6"/>
    <w:rsid w:val="00B57756"/>
    <w:rsid w:val="00B5786E"/>
    <w:rsid w:val="00B57A71"/>
    <w:rsid w:val="00B6048C"/>
    <w:rsid w:val="00B604E9"/>
    <w:rsid w:val="00B60698"/>
    <w:rsid w:val="00B609E1"/>
    <w:rsid w:val="00B60F66"/>
    <w:rsid w:val="00B610B6"/>
    <w:rsid w:val="00B61193"/>
    <w:rsid w:val="00B6119E"/>
    <w:rsid w:val="00B61396"/>
    <w:rsid w:val="00B6144E"/>
    <w:rsid w:val="00B615BE"/>
    <w:rsid w:val="00B618FF"/>
    <w:rsid w:val="00B61A42"/>
    <w:rsid w:val="00B61CB1"/>
    <w:rsid w:val="00B6219B"/>
    <w:rsid w:val="00B622BE"/>
    <w:rsid w:val="00B622F2"/>
    <w:rsid w:val="00B62620"/>
    <w:rsid w:val="00B629BE"/>
    <w:rsid w:val="00B62A5A"/>
    <w:rsid w:val="00B62AEB"/>
    <w:rsid w:val="00B635A4"/>
    <w:rsid w:val="00B637BE"/>
    <w:rsid w:val="00B638AC"/>
    <w:rsid w:val="00B6396C"/>
    <w:rsid w:val="00B6403E"/>
    <w:rsid w:val="00B64470"/>
    <w:rsid w:val="00B6449C"/>
    <w:rsid w:val="00B64556"/>
    <w:rsid w:val="00B647BD"/>
    <w:rsid w:val="00B64E0F"/>
    <w:rsid w:val="00B650AE"/>
    <w:rsid w:val="00B65402"/>
    <w:rsid w:val="00B655FF"/>
    <w:rsid w:val="00B65899"/>
    <w:rsid w:val="00B659E5"/>
    <w:rsid w:val="00B65AA5"/>
    <w:rsid w:val="00B6605D"/>
    <w:rsid w:val="00B661E6"/>
    <w:rsid w:val="00B66238"/>
    <w:rsid w:val="00B66438"/>
    <w:rsid w:val="00B67444"/>
    <w:rsid w:val="00B675B7"/>
    <w:rsid w:val="00B6787F"/>
    <w:rsid w:val="00B6788F"/>
    <w:rsid w:val="00B6793F"/>
    <w:rsid w:val="00B67C53"/>
    <w:rsid w:val="00B70A7D"/>
    <w:rsid w:val="00B71188"/>
    <w:rsid w:val="00B71276"/>
    <w:rsid w:val="00B714D6"/>
    <w:rsid w:val="00B714EF"/>
    <w:rsid w:val="00B71502"/>
    <w:rsid w:val="00B71912"/>
    <w:rsid w:val="00B71F77"/>
    <w:rsid w:val="00B7234B"/>
    <w:rsid w:val="00B72934"/>
    <w:rsid w:val="00B72B17"/>
    <w:rsid w:val="00B72B8E"/>
    <w:rsid w:val="00B74331"/>
    <w:rsid w:val="00B7486E"/>
    <w:rsid w:val="00B74947"/>
    <w:rsid w:val="00B7558C"/>
    <w:rsid w:val="00B75A96"/>
    <w:rsid w:val="00B75B44"/>
    <w:rsid w:val="00B75D46"/>
    <w:rsid w:val="00B76441"/>
    <w:rsid w:val="00B76D41"/>
    <w:rsid w:val="00B77126"/>
    <w:rsid w:val="00B77172"/>
    <w:rsid w:val="00B77532"/>
    <w:rsid w:val="00B77572"/>
    <w:rsid w:val="00B77BAB"/>
    <w:rsid w:val="00B8021E"/>
    <w:rsid w:val="00B8041F"/>
    <w:rsid w:val="00B8042F"/>
    <w:rsid w:val="00B8098C"/>
    <w:rsid w:val="00B80E81"/>
    <w:rsid w:val="00B80F3A"/>
    <w:rsid w:val="00B8144A"/>
    <w:rsid w:val="00B8244F"/>
    <w:rsid w:val="00B82466"/>
    <w:rsid w:val="00B825D5"/>
    <w:rsid w:val="00B8270E"/>
    <w:rsid w:val="00B82958"/>
    <w:rsid w:val="00B82B46"/>
    <w:rsid w:val="00B82BD8"/>
    <w:rsid w:val="00B82C16"/>
    <w:rsid w:val="00B8309F"/>
    <w:rsid w:val="00B832D3"/>
    <w:rsid w:val="00B83687"/>
    <w:rsid w:val="00B836D0"/>
    <w:rsid w:val="00B83C7D"/>
    <w:rsid w:val="00B83D19"/>
    <w:rsid w:val="00B83F12"/>
    <w:rsid w:val="00B8455C"/>
    <w:rsid w:val="00B847E5"/>
    <w:rsid w:val="00B84B2A"/>
    <w:rsid w:val="00B84D99"/>
    <w:rsid w:val="00B85943"/>
    <w:rsid w:val="00B85C05"/>
    <w:rsid w:val="00B86049"/>
    <w:rsid w:val="00B86411"/>
    <w:rsid w:val="00B86553"/>
    <w:rsid w:val="00B86831"/>
    <w:rsid w:val="00B86D27"/>
    <w:rsid w:val="00B86EC3"/>
    <w:rsid w:val="00B87ADE"/>
    <w:rsid w:val="00B9085F"/>
    <w:rsid w:val="00B909A6"/>
    <w:rsid w:val="00B90AD3"/>
    <w:rsid w:val="00B90B8E"/>
    <w:rsid w:val="00B90BE3"/>
    <w:rsid w:val="00B90DFB"/>
    <w:rsid w:val="00B91311"/>
    <w:rsid w:val="00B91343"/>
    <w:rsid w:val="00B913EB"/>
    <w:rsid w:val="00B91A70"/>
    <w:rsid w:val="00B91AEC"/>
    <w:rsid w:val="00B91DDB"/>
    <w:rsid w:val="00B91ECE"/>
    <w:rsid w:val="00B921DC"/>
    <w:rsid w:val="00B92461"/>
    <w:rsid w:val="00B9274F"/>
    <w:rsid w:val="00B9289A"/>
    <w:rsid w:val="00B92959"/>
    <w:rsid w:val="00B92A89"/>
    <w:rsid w:val="00B92B7C"/>
    <w:rsid w:val="00B92C91"/>
    <w:rsid w:val="00B92CAB"/>
    <w:rsid w:val="00B938CE"/>
    <w:rsid w:val="00B938F6"/>
    <w:rsid w:val="00B93935"/>
    <w:rsid w:val="00B93DC4"/>
    <w:rsid w:val="00B9438D"/>
    <w:rsid w:val="00B9440C"/>
    <w:rsid w:val="00B9463B"/>
    <w:rsid w:val="00B94659"/>
    <w:rsid w:val="00B947BC"/>
    <w:rsid w:val="00B94B2F"/>
    <w:rsid w:val="00B94D62"/>
    <w:rsid w:val="00B9501A"/>
    <w:rsid w:val="00B953C1"/>
    <w:rsid w:val="00B95D9B"/>
    <w:rsid w:val="00B95FF5"/>
    <w:rsid w:val="00B96127"/>
    <w:rsid w:val="00B964DD"/>
    <w:rsid w:val="00B96899"/>
    <w:rsid w:val="00B969B1"/>
    <w:rsid w:val="00B96A2B"/>
    <w:rsid w:val="00B96C88"/>
    <w:rsid w:val="00B96D53"/>
    <w:rsid w:val="00B96DEF"/>
    <w:rsid w:val="00B96E0B"/>
    <w:rsid w:val="00B96EF3"/>
    <w:rsid w:val="00B96F1F"/>
    <w:rsid w:val="00B9787B"/>
    <w:rsid w:val="00B97B43"/>
    <w:rsid w:val="00B97D2A"/>
    <w:rsid w:val="00B97F11"/>
    <w:rsid w:val="00BA03C8"/>
    <w:rsid w:val="00BA0C00"/>
    <w:rsid w:val="00BA0C38"/>
    <w:rsid w:val="00BA0CE7"/>
    <w:rsid w:val="00BA0D37"/>
    <w:rsid w:val="00BA11BD"/>
    <w:rsid w:val="00BA1560"/>
    <w:rsid w:val="00BA2057"/>
    <w:rsid w:val="00BA236A"/>
    <w:rsid w:val="00BA263D"/>
    <w:rsid w:val="00BA2800"/>
    <w:rsid w:val="00BA29B8"/>
    <w:rsid w:val="00BA2EA8"/>
    <w:rsid w:val="00BA3184"/>
    <w:rsid w:val="00BA31C0"/>
    <w:rsid w:val="00BA3693"/>
    <w:rsid w:val="00BA3F2D"/>
    <w:rsid w:val="00BA41F7"/>
    <w:rsid w:val="00BA436A"/>
    <w:rsid w:val="00BA43E9"/>
    <w:rsid w:val="00BA4A60"/>
    <w:rsid w:val="00BA4B49"/>
    <w:rsid w:val="00BA4CFA"/>
    <w:rsid w:val="00BA4FF9"/>
    <w:rsid w:val="00BA5169"/>
    <w:rsid w:val="00BA5321"/>
    <w:rsid w:val="00BA5D3C"/>
    <w:rsid w:val="00BA615B"/>
    <w:rsid w:val="00BA626A"/>
    <w:rsid w:val="00BA6CCB"/>
    <w:rsid w:val="00BA6E23"/>
    <w:rsid w:val="00BA77F2"/>
    <w:rsid w:val="00BA7AF2"/>
    <w:rsid w:val="00BA7DE2"/>
    <w:rsid w:val="00BA7FA0"/>
    <w:rsid w:val="00BB0B15"/>
    <w:rsid w:val="00BB0EC3"/>
    <w:rsid w:val="00BB11C9"/>
    <w:rsid w:val="00BB14A9"/>
    <w:rsid w:val="00BB19AB"/>
    <w:rsid w:val="00BB1AAC"/>
    <w:rsid w:val="00BB1B99"/>
    <w:rsid w:val="00BB1E30"/>
    <w:rsid w:val="00BB24DF"/>
    <w:rsid w:val="00BB28BD"/>
    <w:rsid w:val="00BB2AC6"/>
    <w:rsid w:val="00BB2B8D"/>
    <w:rsid w:val="00BB2C52"/>
    <w:rsid w:val="00BB2F49"/>
    <w:rsid w:val="00BB310C"/>
    <w:rsid w:val="00BB33DB"/>
    <w:rsid w:val="00BB3481"/>
    <w:rsid w:val="00BB3C99"/>
    <w:rsid w:val="00BB3D9E"/>
    <w:rsid w:val="00BB40E2"/>
    <w:rsid w:val="00BB4568"/>
    <w:rsid w:val="00BB4660"/>
    <w:rsid w:val="00BB4A9C"/>
    <w:rsid w:val="00BB4C9A"/>
    <w:rsid w:val="00BB532F"/>
    <w:rsid w:val="00BB559F"/>
    <w:rsid w:val="00BB6D4A"/>
    <w:rsid w:val="00BB6D55"/>
    <w:rsid w:val="00BB6D67"/>
    <w:rsid w:val="00BB7017"/>
    <w:rsid w:val="00BB7615"/>
    <w:rsid w:val="00BB7886"/>
    <w:rsid w:val="00BB7C39"/>
    <w:rsid w:val="00BB7FC7"/>
    <w:rsid w:val="00BC0123"/>
    <w:rsid w:val="00BC0189"/>
    <w:rsid w:val="00BC01F5"/>
    <w:rsid w:val="00BC03FB"/>
    <w:rsid w:val="00BC0699"/>
    <w:rsid w:val="00BC0BEA"/>
    <w:rsid w:val="00BC1369"/>
    <w:rsid w:val="00BC14B6"/>
    <w:rsid w:val="00BC1684"/>
    <w:rsid w:val="00BC178F"/>
    <w:rsid w:val="00BC18A7"/>
    <w:rsid w:val="00BC1B11"/>
    <w:rsid w:val="00BC1E96"/>
    <w:rsid w:val="00BC2027"/>
    <w:rsid w:val="00BC2209"/>
    <w:rsid w:val="00BC23FA"/>
    <w:rsid w:val="00BC26D6"/>
    <w:rsid w:val="00BC2D32"/>
    <w:rsid w:val="00BC315A"/>
    <w:rsid w:val="00BC3972"/>
    <w:rsid w:val="00BC3A63"/>
    <w:rsid w:val="00BC3B76"/>
    <w:rsid w:val="00BC3E67"/>
    <w:rsid w:val="00BC48BD"/>
    <w:rsid w:val="00BC49E5"/>
    <w:rsid w:val="00BC4ED0"/>
    <w:rsid w:val="00BC541E"/>
    <w:rsid w:val="00BC55AE"/>
    <w:rsid w:val="00BC56AD"/>
    <w:rsid w:val="00BC59AB"/>
    <w:rsid w:val="00BC5CFD"/>
    <w:rsid w:val="00BC5D01"/>
    <w:rsid w:val="00BC5F6B"/>
    <w:rsid w:val="00BC6668"/>
    <w:rsid w:val="00BC67B3"/>
    <w:rsid w:val="00BC6D8C"/>
    <w:rsid w:val="00BC6F63"/>
    <w:rsid w:val="00BC780A"/>
    <w:rsid w:val="00BC7CA8"/>
    <w:rsid w:val="00BC7DE2"/>
    <w:rsid w:val="00BC7DFB"/>
    <w:rsid w:val="00BD055A"/>
    <w:rsid w:val="00BD07D5"/>
    <w:rsid w:val="00BD0BB6"/>
    <w:rsid w:val="00BD0D16"/>
    <w:rsid w:val="00BD1398"/>
    <w:rsid w:val="00BD14B8"/>
    <w:rsid w:val="00BD1645"/>
    <w:rsid w:val="00BD17D1"/>
    <w:rsid w:val="00BD18F2"/>
    <w:rsid w:val="00BD1C53"/>
    <w:rsid w:val="00BD221C"/>
    <w:rsid w:val="00BD246D"/>
    <w:rsid w:val="00BD27D6"/>
    <w:rsid w:val="00BD296F"/>
    <w:rsid w:val="00BD2B23"/>
    <w:rsid w:val="00BD2D20"/>
    <w:rsid w:val="00BD3033"/>
    <w:rsid w:val="00BD3194"/>
    <w:rsid w:val="00BD347A"/>
    <w:rsid w:val="00BD3496"/>
    <w:rsid w:val="00BD363E"/>
    <w:rsid w:val="00BD372E"/>
    <w:rsid w:val="00BD38FA"/>
    <w:rsid w:val="00BD3A0F"/>
    <w:rsid w:val="00BD3A44"/>
    <w:rsid w:val="00BD3F4C"/>
    <w:rsid w:val="00BD404B"/>
    <w:rsid w:val="00BD4103"/>
    <w:rsid w:val="00BD4714"/>
    <w:rsid w:val="00BD49FD"/>
    <w:rsid w:val="00BD529A"/>
    <w:rsid w:val="00BD549A"/>
    <w:rsid w:val="00BD5DA0"/>
    <w:rsid w:val="00BD61DD"/>
    <w:rsid w:val="00BD67E9"/>
    <w:rsid w:val="00BD6E51"/>
    <w:rsid w:val="00BD710F"/>
    <w:rsid w:val="00BD71CA"/>
    <w:rsid w:val="00BD72FA"/>
    <w:rsid w:val="00BD7341"/>
    <w:rsid w:val="00BD753A"/>
    <w:rsid w:val="00BD7D02"/>
    <w:rsid w:val="00BD7E3B"/>
    <w:rsid w:val="00BD7E80"/>
    <w:rsid w:val="00BE01C2"/>
    <w:rsid w:val="00BE03C6"/>
    <w:rsid w:val="00BE0458"/>
    <w:rsid w:val="00BE06B1"/>
    <w:rsid w:val="00BE06BD"/>
    <w:rsid w:val="00BE09AE"/>
    <w:rsid w:val="00BE0DBC"/>
    <w:rsid w:val="00BE0F82"/>
    <w:rsid w:val="00BE1051"/>
    <w:rsid w:val="00BE10E6"/>
    <w:rsid w:val="00BE19EB"/>
    <w:rsid w:val="00BE2BA9"/>
    <w:rsid w:val="00BE34D3"/>
    <w:rsid w:val="00BE3A13"/>
    <w:rsid w:val="00BE3BA2"/>
    <w:rsid w:val="00BE3D4C"/>
    <w:rsid w:val="00BE468A"/>
    <w:rsid w:val="00BE4965"/>
    <w:rsid w:val="00BE4B13"/>
    <w:rsid w:val="00BE4DB6"/>
    <w:rsid w:val="00BE5083"/>
    <w:rsid w:val="00BE566A"/>
    <w:rsid w:val="00BE5E89"/>
    <w:rsid w:val="00BE69FE"/>
    <w:rsid w:val="00BE7009"/>
    <w:rsid w:val="00BE7353"/>
    <w:rsid w:val="00BE74FC"/>
    <w:rsid w:val="00BE7982"/>
    <w:rsid w:val="00BE7B93"/>
    <w:rsid w:val="00BF00B7"/>
    <w:rsid w:val="00BF01DB"/>
    <w:rsid w:val="00BF03B6"/>
    <w:rsid w:val="00BF03B9"/>
    <w:rsid w:val="00BF0912"/>
    <w:rsid w:val="00BF099E"/>
    <w:rsid w:val="00BF0EC1"/>
    <w:rsid w:val="00BF10E8"/>
    <w:rsid w:val="00BF18C7"/>
    <w:rsid w:val="00BF19B3"/>
    <w:rsid w:val="00BF22E2"/>
    <w:rsid w:val="00BF24EE"/>
    <w:rsid w:val="00BF30F1"/>
    <w:rsid w:val="00BF3F1B"/>
    <w:rsid w:val="00BF40C3"/>
    <w:rsid w:val="00BF4686"/>
    <w:rsid w:val="00BF4780"/>
    <w:rsid w:val="00BF4950"/>
    <w:rsid w:val="00BF4A19"/>
    <w:rsid w:val="00BF4D8C"/>
    <w:rsid w:val="00BF501C"/>
    <w:rsid w:val="00BF51A2"/>
    <w:rsid w:val="00BF5250"/>
    <w:rsid w:val="00BF576D"/>
    <w:rsid w:val="00BF5791"/>
    <w:rsid w:val="00BF6821"/>
    <w:rsid w:val="00BF6ECE"/>
    <w:rsid w:val="00BF7A22"/>
    <w:rsid w:val="00C00347"/>
    <w:rsid w:val="00C0088F"/>
    <w:rsid w:val="00C00ACE"/>
    <w:rsid w:val="00C00DE3"/>
    <w:rsid w:val="00C00E5F"/>
    <w:rsid w:val="00C01314"/>
    <w:rsid w:val="00C015BB"/>
    <w:rsid w:val="00C01730"/>
    <w:rsid w:val="00C01D67"/>
    <w:rsid w:val="00C01DB8"/>
    <w:rsid w:val="00C02673"/>
    <w:rsid w:val="00C02806"/>
    <w:rsid w:val="00C02BA4"/>
    <w:rsid w:val="00C02CF6"/>
    <w:rsid w:val="00C02E9F"/>
    <w:rsid w:val="00C02F1E"/>
    <w:rsid w:val="00C034E4"/>
    <w:rsid w:val="00C0359C"/>
    <w:rsid w:val="00C03947"/>
    <w:rsid w:val="00C03AAF"/>
    <w:rsid w:val="00C03C61"/>
    <w:rsid w:val="00C048F3"/>
    <w:rsid w:val="00C04E7F"/>
    <w:rsid w:val="00C04E93"/>
    <w:rsid w:val="00C05140"/>
    <w:rsid w:val="00C0567B"/>
    <w:rsid w:val="00C05798"/>
    <w:rsid w:val="00C058BB"/>
    <w:rsid w:val="00C063BF"/>
    <w:rsid w:val="00C068FA"/>
    <w:rsid w:val="00C06ADA"/>
    <w:rsid w:val="00C07545"/>
    <w:rsid w:val="00C100DD"/>
    <w:rsid w:val="00C104CC"/>
    <w:rsid w:val="00C105BE"/>
    <w:rsid w:val="00C10CE3"/>
    <w:rsid w:val="00C10DF2"/>
    <w:rsid w:val="00C113C8"/>
    <w:rsid w:val="00C1144C"/>
    <w:rsid w:val="00C117F4"/>
    <w:rsid w:val="00C11B61"/>
    <w:rsid w:val="00C11E37"/>
    <w:rsid w:val="00C11E68"/>
    <w:rsid w:val="00C1251D"/>
    <w:rsid w:val="00C12752"/>
    <w:rsid w:val="00C127E4"/>
    <w:rsid w:val="00C12AB5"/>
    <w:rsid w:val="00C12B9A"/>
    <w:rsid w:val="00C12EC7"/>
    <w:rsid w:val="00C1301D"/>
    <w:rsid w:val="00C131A8"/>
    <w:rsid w:val="00C13496"/>
    <w:rsid w:val="00C13786"/>
    <w:rsid w:val="00C137E3"/>
    <w:rsid w:val="00C139D4"/>
    <w:rsid w:val="00C13C4D"/>
    <w:rsid w:val="00C14A03"/>
    <w:rsid w:val="00C14F6B"/>
    <w:rsid w:val="00C15032"/>
    <w:rsid w:val="00C1540D"/>
    <w:rsid w:val="00C15734"/>
    <w:rsid w:val="00C15771"/>
    <w:rsid w:val="00C15A48"/>
    <w:rsid w:val="00C16035"/>
    <w:rsid w:val="00C16333"/>
    <w:rsid w:val="00C176B7"/>
    <w:rsid w:val="00C17A22"/>
    <w:rsid w:val="00C17ADF"/>
    <w:rsid w:val="00C17CB5"/>
    <w:rsid w:val="00C17E71"/>
    <w:rsid w:val="00C17F5A"/>
    <w:rsid w:val="00C2011E"/>
    <w:rsid w:val="00C20292"/>
    <w:rsid w:val="00C202CB"/>
    <w:rsid w:val="00C20BCD"/>
    <w:rsid w:val="00C20D78"/>
    <w:rsid w:val="00C20E7A"/>
    <w:rsid w:val="00C212BE"/>
    <w:rsid w:val="00C2136A"/>
    <w:rsid w:val="00C21596"/>
    <w:rsid w:val="00C21634"/>
    <w:rsid w:val="00C2184E"/>
    <w:rsid w:val="00C21858"/>
    <w:rsid w:val="00C21BDA"/>
    <w:rsid w:val="00C21CB9"/>
    <w:rsid w:val="00C221BE"/>
    <w:rsid w:val="00C22412"/>
    <w:rsid w:val="00C22C04"/>
    <w:rsid w:val="00C22E2E"/>
    <w:rsid w:val="00C22E9C"/>
    <w:rsid w:val="00C2319B"/>
    <w:rsid w:val="00C23542"/>
    <w:rsid w:val="00C23EF9"/>
    <w:rsid w:val="00C24174"/>
    <w:rsid w:val="00C241C2"/>
    <w:rsid w:val="00C24353"/>
    <w:rsid w:val="00C24B05"/>
    <w:rsid w:val="00C25536"/>
    <w:rsid w:val="00C25894"/>
    <w:rsid w:val="00C26075"/>
    <w:rsid w:val="00C26120"/>
    <w:rsid w:val="00C2630A"/>
    <w:rsid w:val="00C2659E"/>
    <w:rsid w:val="00C26E13"/>
    <w:rsid w:val="00C26E48"/>
    <w:rsid w:val="00C26F75"/>
    <w:rsid w:val="00C27BDC"/>
    <w:rsid w:val="00C27C3C"/>
    <w:rsid w:val="00C30059"/>
    <w:rsid w:val="00C30A7F"/>
    <w:rsid w:val="00C30DAC"/>
    <w:rsid w:val="00C314C4"/>
    <w:rsid w:val="00C31BAD"/>
    <w:rsid w:val="00C31E10"/>
    <w:rsid w:val="00C31F08"/>
    <w:rsid w:val="00C32045"/>
    <w:rsid w:val="00C32071"/>
    <w:rsid w:val="00C320D6"/>
    <w:rsid w:val="00C323B1"/>
    <w:rsid w:val="00C324DF"/>
    <w:rsid w:val="00C32D81"/>
    <w:rsid w:val="00C32EFC"/>
    <w:rsid w:val="00C33C2E"/>
    <w:rsid w:val="00C3477F"/>
    <w:rsid w:val="00C34AAF"/>
    <w:rsid w:val="00C34C32"/>
    <w:rsid w:val="00C34D67"/>
    <w:rsid w:val="00C353F3"/>
    <w:rsid w:val="00C35676"/>
    <w:rsid w:val="00C361DF"/>
    <w:rsid w:val="00C36A6B"/>
    <w:rsid w:val="00C36B1A"/>
    <w:rsid w:val="00C36C1D"/>
    <w:rsid w:val="00C36C8D"/>
    <w:rsid w:val="00C37840"/>
    <w:rsid w:val="00C401C8"/>
    <w:rsid w:val="00C405F6"/>
    <w:rsid w:val="00C4067E"/>
    <w:rsid w:val="00C4103E"/>
    <w:rsid w:val="00C419FF"/>
    <w:rsid w:val="00C4219B"/>
    <w:rsid w:val="00C42293"/>
    <w:rsid w:val="00C426A0"/>
    <w:rsid w:val="00C42A8B"/>
    <w:rsid w:val="00C43113"/>
    <w:rsid w:val="00C43987"/>
    <w:rsid w:val="00C440E1"/>
    <w:rsid w:val="00C4483B"/>
    <w:rsid w:val="00C44841"/>
    <w:rsid w:val="00C44888"/>
    <w:rsid w:val="00C44AD6"/>
    <w:rsid w:val="00C44BD2"/>
    <w:rsid w:val="00C4533B"/>
    <w:rsid w:val="00C45466"/>
    <w:rsid w:val="00C45B98"/>
    <w:rsid w:val="00C45E21"/>
    <w:rsid w:val="00C4622D"/>
    <w:rsid w:val="00C463EE"/>
    <w:rsid w:val="00C4682C"/>
    <w:rsid w:val="00C46BE0"/>
    <w:rsid w:val="00C4761A"/>
    <w:rsid w:val="00C50279"/>
    <w:rsid w:val="00C50360"/>
    <w:rsid w:val="00C506CE"/>
    <w:rsid w:val="00C50958"/>
    <w:rsid w:val="00C50ADA"/>
    <w:rsid w:val="00C50D96"/>
    <w:rsid w:val="00C50ED4"/>
    <w:rsid w:val="00C51327"/>
    <w:rsid w:val="00C516A2"/>
    <w:rsid w:val="00C51941"/>
    <w:rsid w:val="00C519DD"/>
    <w:rsid w:val="00C51A76"/>
    <w:rsid w:val="00C51C78"/>
    <w:rsid w:val="00C51EC5"/>
    <w:rsid w:val="00C521BA"/>
    <w:rsid w:val="00C525E2"/>
    <w:rsid w:val="00C52F0E"/>
    <w:rsid w:val="00C5322C"/>
    <w:rsid w:val="00C533A1"/>
    <w:rsid w:val="00C53718"/>
    <w:rsid w:val="00C539AA"/>
    <w:rsid w:val="00C5465A"/>
    <w:rsid w:val="00C54CC6"/>
    <w:rsid w:val="00C552DA"/>
    <w:rsid w:val="00C55AE3"/>
    <w:rsid w:val="00C55C1D"/>
    <w:rsid w:val="00C55CAA"/>
    <w:rsid w:val="00C55CC3"/>
    <w:rsid w:val="00C55F98"/>
    <w:rsid w:val="00C56308"/>
    <w:rsid w:val="00C56392"/>
    <w:rsid w:val="00C564DE"/>
    <w:rsid w:val="00C56C58"/>
    <w:rsid w:val="00C56D96"/>
    <w:rsid w:val="00C56F02"/>
    <w:rsid w:val="00C572B5"/>
    <w:rsid w:val="00C57B00"/>
    <w:rsid w:val="00C57C05"/>
    <w:rsid w:val="00C60599"/>
    <w:rsid w:val="00C606D1"/>
    <w:rsid w:val="00C606F8"/>
    <w:rsid w:val="00C610C6"/>
    <w:rsid w:val="00C6139D"/>
    <w:rsid w:val="00C6164B"/>
    <w:rsid w:val="00C618D8"/>
    <w:rsid w:val="00C61C70"/>
    <w:rsid w:val="00C61EC5"/>
    <w:rsid w:val="00C62A14"/>
    <w:rsid w:val="00C62DD9"/>
    <w:rsid w:val="00C644DA"/>
    <w:rsid w:val="00C6491C"/>
    <w:rsid w:val="00C649EC"/>
    <w:rsid w:val="00C64A02"/>
    <w:rsid w:val="00C64E20"/>
    <w:rsid w:val="00C650F4"/>
    <w:rsid w:val="00C653D8"/>
    <w:rsid w:val="00C65BF2"/>
    <w:rsid w:val="00C6602E"/>
    <w:rsid w:val="00C664C9"/>
    <w:rsid w:val="00C6665C"/>
    <w:rsid w:val="00C66BD9"/>
    <w:rsid w:val="00C67396"/>
    <w:rsid w:val="00C67B27"/>
    <w:rsid w:val="00C67BD8"/>
    <w:rsid w:val="00C67F3C"/>
    <w:rsid w:val="00C701AA"/>
    <w:rsid w:val="00C70406"/>
    <w:rsid w:val="00C704E5"/>
    <w:rsid w:val="00C707BC"/>
    <w:rsid w:val="00C70805"/>
    <w:rsid w:val="00C7141D"/>
    <w:rsid w:val="00C71D30"/>
    <w:rsid w:val="00C722F3"/>
    <w:rsid w:val="00C7243D"/>
    <w:rsid w:val="00C72745"/>
    <w:rsid w:val="00C7277E"/>
    <w:rsid w:val="00C7334E"/>
    <w:rsid w:val="00C73382"/>
    <w:rsid w:val="00C73663"/>
    <w:rsid w:val="00C73D53"/>
    <w:rsid w:val="00C740CE"/>
    <w:rsid w:val="00C740E1"/>
    <w:rsid w:val="00C74205"/>
    <w:rsid w:val="00C742F1"/>
    <w:rsid w:val="00C74D6F"/>
    <w:rsid w:val="00C75CE7"/>
    <w:rsid w:val="00C76366"/>
    <w:rsid w:val="00C773FF"/>
    <w:rsid w:val="00C77BE0"/>
    <w:rsid w:val="00C80136"/>
    <w:rsid w:val="00C802AE"/>
    <w:rsid w:val="00C80396"/>
    <w:rsid w:val="00C8092E"/>
    <w:rsid w:val="00C80ACC"/>
    <w:rsid w:val="00C810A4"/>
    <w:rsid w:val="00C8130F"/>
    <w:rsid w:val="00C81EE6"/>
    <w:rsid w:val="00C821D4"/>
    <w:rsid w:val="00C825CA"/>
    <w:rsid w:val="00C830A8"/>
    <w:rsid w:val="00C83118"/>
    <w:rsid w:val="00C83FC8"/>
    <w:rsid w:val="00C8403A"/>
    <w:rsid w:val="00C84299"/>
    <w:rsid w:val="00C84DD8"/>
    <w:rsid w:val="00C85499"/>
    <w:rsid w:val="00C8623E"/>
    <w:rsid w:val="00C8638E"/>
    <w:rsid w:val="00C864B2"/>
    <w:rsid w:val="00C86910"/>
    <w:rsid w:val="00C86A2C"/>
    <w:rsid w:val="00C86B21"/>
    <w:rsid w:val="00C86CB9"/>
    <w:rsid w:val="00C8703C"/>
    <w:rsid w:val="00C871B6"/>
    <w:rsid w:val="00C87A66"/>
    <w:rsid w:val="00C87FD6"/>
    <w:rsid w:val="00C90044"/>
    <w:rsid w:val="00C90341"/>
    <w:rsid w:val="00C909FD"/>
    <w:rsid w:val="00C90FA2"/>
    <w:rsid w:val="00C91219"/>
    <w:rsid w:val="00C9199C"/>
    <w:rsid w:val="00C9199F"/>
    <w:rsid w:val="00C91BB6"/>
    <w:rsid w:val="00C9221A"/>
    <w:rsid w:val="00C929C7"/>
    <w:rsid w:val="00C92A9E"/>
    <w:rsid w:val="00C92E48"/>
    <w:rsid w:val="00C9327F"/>
    <w:rsid w:val="00C93B37"/>
    <w:rsid w:val="00C93CA2"/>
    <w:rsid w:val="00C93D27"/>
    <w:rsid w:val="00C93D75"/>
    <w:rsid w:val="00C945B9"/>
    <w:rsid w:val="00C94C82"/>
    <w:rsid w:val="00C94F91"/>
    <w:rsid w:val="00C9525D"/>
    <w:rsid w:val="00C95E28"/>
    <w:rsid w:val="00C96586"/>
    <w:rsid w:val="00C9666C"/>
    <w:rsid w:val="00C967C4"/>
    <w:rsid w:val="00C96EE1"/>
    <w:rsid w:val="00C97768"/>
    <w:rsid w:val="00C97AF7"/>
    <w:rsid w:val="00C97D7C"/>
    <w:rsid w:val="00CA002A"/>
    <w:rsid w:val="00CA07A6"/>
    <w:rsid w:val="00CA0F11"/>
    <w:rsid w:val="00CA128B"/>
    <w:rsid w:val="00CA1841"/>
    <w:rsid w:val="00CA1C24"/>
    <w:rsid w:val="00CA1EEF"/>
    <w:rsid w:val="00CA2474"/>
    <w:rsid w:val="00CA2501"/>
    <w:rsid w:val="00CA2AA4"/>
    <w:rsid w:val="00CA2D15"/>
    <w:rsid w:val="00CA31B8"/>
    <w:rsid w:val="00CA33B1"/>
    <w:rsid w:val="00CA351C"/>
    <w:rsid w:val="00CA35F3"/>
    <w:rsid w:val="00CA362C"/>
    <w:rsid w:val="00CA452E"/>
    <w:rsid w:val="00CA49CF"/>
    <w:rsid w:val="00CA4ABC"/>
    <w:rsid w:val="00CA4CED"/>
    <w:rsid w:val="00CA55F5"/>
    <w:rsid w:val="00CA5896"/>
    <w:rsid w:val="00CA5B3C"/>
    <w:rsid w:val="00CA5CF8"/>
    <w:rsid w:val="00CA5E44"/>
    <w:rsid w:val="00CA5F9F"/>
    <w:rsid w:val="00CA63B2"/>
    <w:rsid w:val="00CA6501"/>
    <w:rsid w:val="00CA6581"/>
    <w:rsid w:val="00CA66A1"/>
    <w:rsid w:val="00CA6B22"/>
    <w:rsid w:val="00CA6D44"/>
    <w:rsid w:val="00CA7463"/>
    <w:rsid w:val="00CA7478"/>
    <w:rsid w:val="00CA7695"/>
    <w:rsid w:val="00CA78CF"/>
    <w:rsid w:val="00CB02BA"/>
    <w:rsid w:val="00CB051D"/>
    <w:rsid w:val="00CB0B03"/>
    <w:rsid w:val="00CB0DAE"/>
    <w:rsid w:val="00CB17D1"/>
    <w:rsid w:val="00CB1911"/>
    <w:rsid w:val="00CB19D5"/>
    <w:rsid w:val="00CB1D73"/>
    <w:rsid w:val="00CB1E98"/>
    <w:rsid w:val="00CB1EFF"/>
    <w:rsid w:val="00CB27A4"/>
    <w:rsid w:val="00CB2DF9"/>
    <w:rsid w:val="00CB2F73"/>
    <w:rsid w:val="00CB3568"/>
    <w:rsid w:val="00CB393D"/>
    <w:rsid w:val="00CB407D"/>
    <w:rsid w:val="00CB4A53"/>
    <w:rsid w:val="00CB4BC1"/>
    <w:rsid w:val="00CB51C7"/>
    <w:rsid w:val="00CB52EB"/>
    <w:rsid w:val="00CB53A1"/>
    <w:rsid w:val="00CB5502"/>
    <w:rsid w:val="00CB5794"/>
    <w:rsid w:val="00CB57ED"/>
    <w:rsid w:val="00CB6090"/>
    <w:rsid w:val="00CB6132"/>
    <w:rsid w:val="00CB61F8"/>
    <w:rsid w:val="00CB63FF"/>
    <w:rsid w:val="00CB67A3"/>
    <w:rsid w:val="00CB6CAB"/>
    <w:rsid w:val="00CB6D65"/>
    <w:rsid w:val="00CB6E19"/>
    <w:rsid w:val="00CB6F5E"/>
    <w:rsid w:val="00CB7726"/>
    <w:rsid w:val="00CB797F"/>
    <w:rsid w:val="00CB798D"/>
    <w:rsid w:val="00CC015E"/>
    <w:rsid w:val="00CC05A6"/>
    <w:rsid w:val="00CC07E2"/>
    <w:rsid w:val="00CC0C87"/>
    <w:rsid w:val="00CC0E8D"/>
    <w:rsid w:val="00CC13E4"/>
    <w:rsid w:val="00CC13ED"/>
    <w:rsid w:val="00CC16B3"/>
    <w:rsid w:val="00CC1877"/>
    <w:rsid w:val="00CC18B8"/>
    <w:rsid w:val="00CC1960"/>
    <w:rsid w:val="00CC1E13"/>
    <w:rsid w:val="00CC1F08"/>
    <w:rsid w:val="00CC2723"/>
    <w:rsid w:val="00CC298C"/>
    <w:rsid w:val="00CC2DCD"/>
    <w:rsid w:val="00CC3006"/>
    <w:rsid w:val="00CC31E9"/>
    <w:rsid w:val="00CC3BDC"/>
    <w:rsid w:val="00CC3C39"/>
    <w:rsid w:val="00CC3C40"/>
    <w:rsid w:val="00CC3C56"/>
    <w:rsid w:val="00CC4044"/>
    <w:rsid w:val="00CC4159"/>
    <w:rsid w:val="00CC420C"/>
    <w:rsid w:val="00CC4551"/>
    <w:rsid w:val="00CC4CF8"/>
    <w:rsid w:val="00CC504F"/>
    <w:rsid w:val="00CC5C94"/>
    <w:rsid w:val="00CC5DCA"/>
    <w:rsid w:val="00CC6139"/>
    <w:rsid w:val="00CC64F5"/>
    <w:rsid w:val="00CC6A06"/>
    <w:rsid w:val="00CC6AD4"/>
    <w:rsid w:val="00CC6F47"/>
    <w:rsid w:val="00CC7097"/>
    <w:rsid w:val="00CC72CB"/>
    <w:rsid w:val="00CC78F6"/>
    <w:rsid w:val="00CC7908"/>
    <w:rsid w:val="00CD038C"/>
    <w:rsid w:val="00CD044E"/>
    <w:rsid w:val="00CD0860"/>
    <w:rsid w:val="00CD0BD8"/>
    <w:rsid w:val="00CD15F0"/>
    <w:rsid w:val="00CD18CE"/>
    <w:rsid w:val="00CD1A77"/>
    <w:rsid w:val="00CD1C95"/>
    <w:rsid w:val="00CD1E4C"/>
    <w:rsid w:val="00CD2285"/>
    <w:rsid w:val="00CD284F"/>
    <w:rsid w:val="00CD2A3D"/>
    <w:rsid w:val="00CD2FC3"/>
    <w:rsid w:val="00CD3494"/>
    <w:rsid w:val="00CD3825"/>
    <w:rsid w:val="00CD3AB6"/>
    <w:rsid w:val="00CD3C0B"/>
    <w:rsid w:val="00CD3E6F"/>
    <w:rsid w:val="00CD435A"/>
    <w:rsid w:val="00CD435E"/>
    <w:rsid w:val="00CD4469"/>
    <w:rsid w:val="00CD45CD"/>
    <w:rsid w:val="00CD4925"/>
    <w:rsid w:val="00CD4BD1"/>
    <w:rsid w:val="00CD4F64"/>
    <w:rsid w:val="00CD5070"/>
    <w:rsid w:val="00CD552B"/>
    <w:rsid w:val="00CD5594"/>
    <w:rsid w:val="00CD5699"/>
    <w:rsid w:val="00CD591A"/>
    <w:rsid w:val="00CD595C"/>
    <w:rsid w:val="00CD5BBB"/>
    <w:rsid w:val="00CD5BC2"/>
    <w:rsid w:val="00CD5EA2"/>
    <w:rsid w:val="00CD63F3"/>
    <w:rsid w:val="00CD68F0"/>
    <w:rsid w:val="00CD6E5E"/>
    <w:rsid w:val="00CD75E9"/>
    <w:rsid w:val="00CD7DD9"/>
    <w:rsid w:val="00CE01F7"/>
    <w:rsid w:val="00CE05D3"/>
    <w:rsid w:val="00CE0718"/>
    <w:rsid w:val="00CE18BC"/>
    <w:rsid w:val="00CE1C0B"/>
    <w:rsid w:val="00CE1E3B"/>
    <w:rsid w:val="00CE205F"/>
    <w:rsid w:val="00CE22A9"/>
    <w:rsid w:val="00CE22CD"/>
    <w:rsid w:val="00CE24F8"/>
    <w:rsid w:val="00CE26E3"/>
    <w:rsid w:val="00CE27F1"/>
    <w:rsid w:val="00CE2BE0"/>
    <w:rsid w:val="00CE2C49"/>
    <w:rsid w:val="00CE2F68"/>
    <w:rsid w:val="00CE31A6"/>
    <w:rsid w:val="00CE32AB"/>
    <w:rsid w:val="00CE339A"/>
    <w:rsid w:val="00CE36F7"/>
    <w:rsid w:val="00CE37E7"/>
    <w:rsid w:val="00CE386C"/>
    <w:rsid w:val="00CE3B28"/>
    <w:rsid w:val="00CE3F33"/>
    <w:rsid w:val="00CE3F74"/>
    <w:rsid w:val="00CE46D8"/>
    <w:rsid w:val="00CE4A31"/>
    <w:rsid w:val="00CE4EE0"/>
    <w:rsid w:val="00CE5124"/>
    <w:rsid w:val="00CE5187"/>
    <w:rsid w:val="00CE55FD"/>
    <w:rsid w:val="00CE5943"/>
    <w:rsid w:val="00CE6098"/>
    <w:rsid w:val="00CE6317"/>
    <w:rsid w:val="00CE6BCF"/>
    <w:rsid w:val="00CE7056"/>
    <w:rsid w:val="00CE7088"/>
    <w:rsid w:val="00CE7251"/>
    <w:rsid w:val="00CE75A1"/>
    <w:rsid w:val="00CE77AC"/>
    <w:rsid w:val="00CE783E"/>
    <w:rsid w:val="00CE7CFB"/>
    <w:rsid w:val="00CE7FA9"/>
    <w:rsid w:val="00CE7FD2"/>
    <w:rsid w:val="00CF0003"/>
    <w:rsid w:val="00CF07CE"/>
    <w:rsid w:val="00CF08E3"/>
    <w:rsid w:val="00CF0A65"/>
    <w:rsid w:val="00CF0BC3"/>
    <w:rsid w:val="00CF1141"/>
    <w:rsid w:val="00CF144E"/>
    <w:rsid w:val="00CF1E48"/>
    <w:rsid w:val="00CF201A"/>
    <w:rsid w:val="00CF2557"/>
    <w:rsid w:val="00CF26C0"/>
    <w:rsid w:val="00CF28E8"/>
    <w:rsid w:val="00CF2C53"/>
    <w:rsid w:val="00CF31D8"/>
    <w:rsid w:val="00CF31DA"/>
    <w:rsid w:val="00CF3921"/>
    <w:rsid w:val="00CF3C51"/>
    <w:rsid w:val="00CF41DE"/>
    <w:rsid w:val="00CF424A"/>
    <w:rsid w:val="00CF43EF"/>
    <w:rsid w:val="00CF55C7"/>
    <w:rsid w:val="00CF5BDF"/>
    <w:rsid w:val="00CF5F85"/>
    <w:rsid w:val="00CF61C8"/>
    <w:rsid w:val="00CF631D"/>
    <w:rsid w:val="00CF669B"/>
    <w:rsid w:val="00CF679A"/>
    <w:rsid w:val="00CF6DAE"/>
    <w:rsid w:val="00CF6EE0"/>
    <w:rsid w:val="00CF6F10"/>
    <w:rsid w:val="00CF70DB"/>
    <w:rsid w:val="00CF74DE"/>
    <w:rsid w:val="00CF76EB"/>
    <w:rsid w:val="00CF790A"/>
    <w:rsid w:val="00D001B1"/>
    <w:rsid w:val="00D001BF"/>
    <w:rsid w:val="00D0087E"/>
    <w:rsid w:val="00D008B5"/>
    <w:rsid w:val="00D0091A"/>
    <w:rsid w:val="00D010B7"/>
    <w:rsid w:val="00D013BE"/>
    <w:rsid w:val="00D01F8A"/>
    <w:rsid w:val="00D024CC"/>
    <w:rsid w:val="00D02707"/>
    <w:rsid w:val="00D027A3"/>
    <w:rsid w:val="00D02A79"/>
    <w:rsid w:val="00D02AB1"/>
    <w:rsid w:val="00D02AEF"/>
    <w:rsid w:val="00D02C08"/>
    <w:rsid w:val="00D03175"/>
    <w:rsid w:val="00D032CC"/>
    <w:rsid w:val="00D03CA8"/>
    <w:rsid w:val="00D03E8E"/>
    <w:rsid w:val="00D040B4"/>
    <w:rsid w:val="00D048AD"/>
    <w:rsid w:val="00D04CDC"/>
    <w:rsid w:val="00D04D7B"/>
    <w:rsid w:val="00D04F93"/>
    <w:rsid w:val="00D063CC"/>
    <w:rsid w:val="00D068C6"/>
    <w:rsid w:val="00D06900"/>
    <w:rsid w:val="00D07108"/>
    <w:rsid w:val="00D073F2"/>
    <w:rsid w:val="00D07481"/>
    <w:rsid w:val="00D075A6"/>
    <w:rsid w:val="00D076FA"/>
    <w:rsid w:val="00D10509"/>
    <w:rsid w:val="00D1076F"/>
    <w:rsid w:val="00D10F76"/>
    <w:rsid w:val="00D115D0"/>
    <w:rsid w:val="00D118C7"/>
    <w:rsid w:val="00D11913"/>
    <w:rsid w:val="00D11C7F"/>
    <w:rsid w:val="00D11E03"/>
    <w:rsid w:val="00D11E30"/>
    <w:rsid w:val="00D12547"/>
    <w:rsid w:val="00D1264A"/>
    <w:rsid w:val="00D1274E"/>
    <w:rsid w:val="00D128A2"/>
    <w:rsid w:val="00D12C90"/>
    <w:rsid w:val="00D131D7"/>
    <w:rsid w:val="00D1341B"/>
    <w:rsid w:val="00D139EF"/>
    <w:rsid w:val="00D13C70"/>
    <w:rsid w:val="00D13C84"/>
    <w:rsid w:val="00D147E0"/>
    <w:rsid w:val="00D14B04"/>
    <w:rsid w:val="00D14DCD"/>
    <w:rsid w:val="00D15129"/>
    <w:rsid w:val="00D151A8"/>
    <w:rsid w:val="00D152F8"/>
    <w:rsid w:val="00D1533B"/>
    <w:rsid w:val="00D156C3"/>
    <w:rsid w:val="00D15829"/>
    <w:rsid w:val="00D159FA"/>
    <w:rsid w:val="00D16A5B"/>
    <w:rsid w:val="00D16C07"/>
    <w:rsid w:val="00D17043"/>
    <w:rsid w:val="00D17295"/>
    <w:rsid w:val="00D1730C"/>
    <w:rsid w:val="00D1755B"/>
    <w:rsid w:val="00D17561"/>
    <w:rsid w:val="00D175F9"/>
    <w:rsid w:val="00D17ECB"/>
    <w:rsid w:val="00D202B5"/>
    <w:rsid w:val="00D2049A"/>
    <w:rsid w:val="00D205B6"/>
    <w:rsid w:val="00D206BB"/>
    <w:rsid w:val="00D20899"/>
    <w:rsid w:val="00D20B72"/>
    <w:rsid w:val="00D210A6"/>
    <w:rsid w:val="00D2149F"/>
    <w:rsid w:val="00D215E0"/>
    <w:rsid w:val="00D215EB"/>
    <w:rsid w:val="00D21965"/>
    <w:rsid w:val="00D21CC0"/>
    <w:rsid w:val="00D21D5C"/>
    <w:rsid w:val="00D21F7B"/>
    <w:rsid w:val="00D21F9B"/>
    <w:rsid w:val="00D22AE9"/>
    <w:rsid w:val="00D22F93"/>
    <w:rsid w:val="00D23241"/>
    <w:rsid w:val="00D2351B"/>
    <w:rsid w:val="00D23A21"/>
    <w:rsid w:val="00D23A85"/>
    <w:rsid w:val="00D23F0A"/>
    <w:rsid w:val="00D25772"/>
    <w:rsid w:val="00D259F7"/>
    <w:rsid w:val="00D2600D"/>
    <w:rsid w:val="00D265E5"/>
    <w:rsid w:val="00D269F6"/>
    <w:rsid w:val="00D276FA"/>
    <w:rsid w:val="00D2784B"/>
    <w:rsid w:val="00D27894"/>
    <w:rsid w:val="00D27FF1"/>
    <w:rsid w:val="00D304B2"/>
    <w:rsid w:val="00D30B4C"/>
    <w:rsid w:val="00D30D70"/>
    <w:rsid w:val="00D31685"/>
    <w:rsid w:val="00D32108"/>
    <w:rsid w:val="00D32456"/>
    <w:rsid w:val="00D325DC"/>
    <w:rsid w:val="00D327BF"/>
    <w:rsid w:val="00D33066"/>
    <w:rsid w:val="00D33416"/>
    <w:rsid w:val="00D33426"/>
    <w:rsid w:val="00D33755"/>
    <w:rsid w:val="00D3386C"/>
    <w:rsid w:val="00D33C1D"/>
    <w:rsid w:val="00D33EA6"/>
    <w:rsid w:val="00D3421B"/>
    <w:rsid w:val="00D343E3"/>
    <w:rsid w:val="00D35585"/>
    <w:rsid w:val="00D3569F"/>
    <w:rsid w:val="00D35947"/>
    <w:rsid w:val="00D359B6"/>
    <w:rsid w:val="00D36289"/>
    <w:rsid w:val="00D36CF2"/>
    <w:rsid w:val="00D36DBF"/>
    <w:rsid w:val="00D36E1F"/>
    <w:rsid w:val="00D370A1"/>
    <w:rsid w:val="00D37895"/>
    <w:rsid w:val="00D37BCE"/>
    <w:rsid w:val="00D37D59"/>
    <w:rsid w:val="00D402D2"/>
    <w:rsid w:val="00D4067B"/>
    <w:rsid w:val="00D4092E"/>
    <w:rsid w:val="00D40995"/>
    <w:rsid w:val="00D40A03"/>
    <w:rsid w:val="00D40EFC"/>
    <w:rsid w:val="00D412AF"/>
    <w:rsid w:val="00D418D3"/>
    <w:rsid w:val="00D421F1"/>
    <w:rsid w:val="00D42855"/>
    <w:rsid w:val="00D429FF"/>
    <w:rsid w:val="00D42C9D"/>
    <w:rsid w:val="00D4318B"/>
    <w:rsid w:val="00D43582"/>
    <w:rsid w:val="00D43BF2"/>
    <w:rsid w:val="00D4409B"/>
    <w:rsid w:val="00D44657"/>
    <w:rsid w:val="00D4465C"/>
    <w:rsid w:val="00D44A2A"/>
    <w:rsid w:val="00D44C1E"/>
    <w:rsid w:val="00D44DA6"/>
    <w:rsid w:val="00D455F1"/>
    <w:rsid w:val="00D45C27"/>
    <w:rsid w:val="00D45CF9"/>
    <w:rsid w:val="00D46728"/>
    <w:rsid w:val="00D46F1A"/>
    <w:rsid w:val="00D46F31"/>
    <w:rsid w:val="00D47BDB"/>
    <w:rsid w:val="00D47D8B"/>
    <w:rsid w:val="00D47DE1"/>
    <w:rsid w:val="00D5026A"/>
    <w:rsid w:val="00D50456"/>
    <w:rsid w:val="00D507D0"/>
    <w:rsid w:val="00D50E21"/>
    <w:rsid w:val="00D510DE"/>
    <w:rsid w:val="00D513DA"/>
    <w:rsid w:val="00D51767"/>
    <w:rsid w:val="00D5192F"/>
    <w:rsid w:val="00D519CA"/>
    <w:rsid w:val="00D522D8"/>
    <w:rsid w:val="00D5236E"/>
    <w:rsid w:val="00D525E0"/>
    <w:rsid w:val="00D52616"/>
    <w:rsid w:val="00D5266A"/>
    <w:rsid w:val="00D5285E"/>
    <w:rsid w:val="00D5295E"/>
    <w:rsid w:val="00D52FC3"/>
    <w:rsid w:val="00D530CD"/>
    <w:rsid w:val="00D535BB"/>
    <w:rsid w:val="00D5392C"/>
    <w:rsid w:val="00D53D5B"/>
    <w:rsid w:val="00D53EA2"/>
    <w:rsid w:val="00D53FA4"/>
    <w:rsid w:val="00D54202"/>
    <w:rsid w:val="00D542AF"/>
    <w:rsid w:val="00D54A1F"/>
    <w:rsid w:val="00D54BA9"/>
    <w:rsid w:val="00D54D98"/>
    <w:rsid w:val="00D54EE4"/>
    <w:rsid w:val="00D54F6B"/>
    <w:rsid w:val="00D55245"/>
    <w:rsid w:val="00D5562C"/>
    <w:rsid w:val="00D55C53"/>
    <w:rsid w:val="00D562DD"/>
    <w:rsid w:val="00D56C18"/>
    <w:rsid w:val="00D56F3D"/>
    <w:rsid w:val="00D57140"/>
    <w:rsid w:val="00D57506"/>
    <w:rsid w:val="00D576BC"/>
    <w:rsid w:val="00D5776D"/>
    <w:rsid w:val="00D57C97"/>
    <w:rsid w:val="00D603B5"/>
    <w:rsid w:val="00D60502"/>
    <w:rsid w:val="00D60920"/>
    <w:rsid w:val="00D60C3B"/>
    <w:rsid w:val="00D60E92"/>
    <w:rsid w:val="00D613D7"/>
    <w:rsid w:val="00D615C5"/>
    <w:rsid w:val="00D617F1"/>
    <w:rsid w:val="00D61822"/>
    <w:rsid w:val="00D61FEB"/>
    <w:rsid w:val="00D625DD"/>
    <w:rsid w:val="00D62C6C"/>
    <w:rsid w:val="00D63221"/>
    <w:rsid w:val="00D637F8"/>
    <w:rsid w:val="00D6397B"/>
    <w:rsid w:val="00D639DF"/>
    <w:rsid w:val="00D63F50"/>
    <w:rsid w:val="00D64044"/>
    <w:rsid w:val="00D64435"/>
    <w:rsid w:val="00D64711"/>
    <w:rsid w:val="00D6484D"/>
    <w:rsid w:val="00D64BD3"/>
    <w:rsid w:val="00D654E8"/>
    <w:rsid w:val="00D65515"/>
    <w:rsid w:val="00D657AB"/>
    <w:rsid w:val="00D6584D"/>
    <w:rsid w:val="00D65AD6"/>
    <w:rsid w:val="00D65CC7"/>
    <w:rsid w:val="00D6622B"/>
    <w:rsid w:val="00D664D6"/>
    <w:rsid w:val="00D665A6"/>
    <w:rsid w:val="00D6691E"/>
    <w:rsid w:val="00D66A55"/>
    <w:rsid w:val="00D66D3E"/>
    <w:rsid w:val="00D66F34"/>
    <w:rsid w:val="00D66F59"/>
    <w:rsid w:val="00D67069"/>
    <w:rsid w:val="00D670EF"/>
    <w:rsid w:val="00D67909"/>
    <w:rsid w:val="00D67A62"/>
    <w:rsid w:val="00D67F8A"/>
    <w:rsid w:val="00D70034"/>
    <w:rsid w:val="00D701CB"/>
    <w:rsid w:val="00D7048D"/>
    <w:rsid w:val="00D705D3"/>
    <w:rsid w:val="00D70681"/>
    <w:rsid w:val="00D7083A"/>
    <w:rsid w:val="00D70892"/>
    <w:rsid w:val="00D708A4"/>
    <w:rsid w:val="00D70D1A"/>
    <w:rsid w:val="00D70EF7"/>
    <w:rsid w:val="00D710E9"/>
    <w:rsid w:val="00D714A1"/>
    <w:rsid w:val="00D71715"/>
    <w:rsid w:val="00D71CF3"/>
    <w:rsid w:val="00D723C1"/>
    <w:rsid w:val="00D7242C"/>
    <w:rsid w:val="00D724CD"/>
    <w:rsid w:val="00D727A5"/>
    <w:rsid w:val="00D7391D"/>
    <w:rsid w:val="00D73989"/>
    <w:rsid w:val="00D73FAB"/>
    <w:rsid w:val="00D7417E"/>
    <w:rsid w:val="00D74CE3"/>
    <w:rsid w:val="00D74FD5"/>
    <w:rsid w:val="00D7525D"/>
    <w:rsid w:val="00D75591"/>
    <w:rsid w:val="00D75778"/>
    <w:rsid w:val="00D75E94"/>
    <w:rsid w:val="00D75F9C"/>
    <w:rsid w:val="00D761AF"/>
    <w:rsid w:val="00D764E9"/>
    <w:rsid w:val="00D765C5"/>
    <w:rsid w:val="00D766D7"/>
    <w:rsid w:val="00D768E4"/>
    <w:rsid w:val="00D77352"/>
    <w:rsid w:val="00D77D14"/>
    <w:rsid w:val="00D8013A"/>
    <w:rsid w:val="00D801C4"/>
    <w:rsid w:val="00D80275"/>
    <w:rsid w:val="00D80405"/>
    <w:rsid w:val="00D804EF"/>
    <w:rsid w:val="00D80D56"/>
    <w:rsid w:val="00D80F6C"/>
    <w:rsid w:val="00D810AF"/>
    <w:rsid w:val="00D8151E"/>
    <w:rsid w:val="00D8194E"/>
    <w:rsid w:val="00D81AFF"/>
    <w:rsid w:val="00D82716"/>
    <w:rsid w:val="00D82748"/>
    <w:rsid w:val="00D82BB8"/>
    <w:rsid w:val="00D83606"/>
    <w:rsid w:val="00D83688"/>
    <w:rsid w:val="00D84323"/>
    <w:rsid w:val="00D84D0D"/>
    <w:rsid w:val="00D853C8"/>
    <w:rsid w:val="00D85428"/>
    <w:rsid w:val="00D85D61"/>
    <w:rsid w:val="00D85DBF"/>
    <w:rsid w:val="00D85E1B"/>
    <w:rsid w:val="00D86992"/>
    <w:rsid w:val="00D86CB5"/>
    <w:rsid w:val="00D86CCF"/>
    <w:rsid w:val="00D86FBB"/>
    <w:rsid w:val="00D875FE"/>
    <w:rsid w:val="00D87634"/>
    <w:rsid w:val="00D8777D"/>
    <w:rsid w:val="00D8784B"/>
    <w:rsid w:val="00D87DDA"/>
    <w:rsid w:val="00D90290"/>
    <w:rsid w:val="00D90305"/>
    <w:rsid w:val="00D9057D"/>
    <w:rsid w:val="00D905D3"/>
    <w:rsid w:val="00D906C9"/>
    <w:rsid w:val="00D90713"/>
    <w:rsid w:val="00D90DBD"/>
    <w:rsid w:val="00D91697"/>
    <w:rsid w:val="00D919FE"/>
    <w:rsid w:val="00D91C1E"/>
    <w:rsid w:val="00D91EA6"/>
    <w:rsid w:val="00D91EA8"/>
    <w:rsid w:val="00D9219F"/>
    <w:rsid w:val="00D92916"/>
    <w:rsid w:val="00D9309A"/>
    <w:rsid w:val="00D938FC"/>
    <w:rsid w:val="00D94AC0"/>
    <w:rsid w:val="00D94BD6"/>
    <w:rsid w:val="00D94EA8"/>
    <w:rsid w:val="00D94FAF"/>
    <w:rsid w:val="00D95278"/>
    <w:rsid w:val="00D9528E"/>
    <w:rsid w:val="00D95369"/>
    <w:rsid w:val="00D955BA"/>
    <w:rsid w:val="00D9569E"/>
    <w:rsid w:val="00D95A58"/>
    <w:rsid w:val="00D96062"/>
    <w:rsid w:val="00D9612F"/>
    <w:rsid w:val="00D9618D"/>
    <w:rsid w:val="00D96501"/>
    <w:rsid w:val="00D967B7"/>
    <w:rsid w:val="00D96D30"/>
    <w:rsid w:val="00DA063D"/>
    <w:rsid w:val="00DA0D40"/>
    <w:rsid w:val="00DA0F8E"/>
    <w:rsid w:val="00DA10C3"/>
    <w:rsid w:val="00DA115C"/>
    <w:rsid w:val="00DA1365"/>
    <w:rsid w:val="00DA1573"/>
    <w:rsid w:val="00DA16D8"/>
    <w:rsid w:val="00DA16E8"/>
    <w:rsid w:val="00DA1CF2"/>
    <w:rsid w:val="00DA1FF3"/>
    <w:rsid w:val="00DA2995"/>
    <w:rsid w:val="00DA2C58"/>
    <w:rsid w:val="00DA3308"/>
    <w:rsid w:val="00DA3813"/>
    <w:rsid w:val="00DA3948"/>
    <w:rsid w:val="00DA395D"/>
    <w:rsid w:val="00DA3BE4"/>
    <w:rsid w:val="00DA3C74"/>
    <w:rsid w:val="00DA4338"/>
    <w:rsid w:val="00DA4761"/>
    <w:rsid w:val="00DA4ACD"/>
    <w:rsid w:val="00DA536B"/>
    <w:rsid w:val="00DA563D"/>
    <w:rsid w:val="00DA582C"/>
    <w:rsid w:val="00DA5B5E"/>
    <w:rsid w:val="00DA5C51"/>
    <w:rsid w:val="00DA69B8"/>
    <w:rsid w:val="00DA6E22"/>
    <w:rsid w:val="00DA70B5"/>
    <w:rsid w:val="00DA73F2"/>
    <w:rsid w:val="00DA771E"/>
    <w:rsid w:val="00DA7752"/>
    <w:rsid w:val="00DA77EB"/>
    <w:rsid w:val="00DA7CB8"/>
    <w:rsid w:val="00DB03BB"/>
    <w:rsid w:val="00DB04E0"/>
    <w:rsid w:val="00DB0943"/>
    <w:rsid w:val="00DB0EC7"/>
    <w:rsid w:val="00DB120C"/>
    <w:rsid w:val="00DB1491"/>
    <w:rsid w:val="00DB15E4"/>
    <w:rsid w:val="00DB1A0D"/>
    <w:rsid w:val="00DB1BEB"/>
    <w:rsid w:val="00DB2361"/>
    <w:rsid w:val="00DB2A7D"/>
    <w:rsid w:val="00DB2B35"/>
    <w:rsid w:val="00DB307A"/>
    <w:rsid w:val="00DB31F8"/>
    <w:rsid w:val="00DB35BF"/>
    <w:rsid w:val="00DB3646"/>
    <w:rsid w:val="00DB36BD"/>
    <w:rsid w:val="00DB387E"/>
    <w:rsid w:val="00DB3E30"/>
    <w:rsid w:val="00DB3EEE"/>
    <w:rsid w:val="00DB50F8"/>
    <w:rsid w:val="00DB59A5"/>
    <w:rsid w:val="00DB5BB3"/>
    <w:rsid w:val="00DB5F94"/>
    <w:rsid w:val="00DB5FAB"/>
    <w:rsid w:val="00DB5FC6"/>
    <w:rsid w:val="00DB5FCF"/>
    <w:rsid w:val="00DB69F1"/>
    <w:rsid w:val="00DB6B15"/>
    <w:rsid w:val="00DB7024"/>
    <w:rsid w:val="00DB737A"/>
    <w:rsid w:val="00DB7382"/>
    <w:rsid w:val="00DB74D7"/>
    <w:rsid w:val="00DB761F"/>
    <w:rsid w:val="00DB7847"/>
    <w:rsid w:val="00DB79D7"/>
    <w:rsid w:val="00DB7ACA"/>
    <w:rsid w:val="00DC038D"/>
    <w:rsid w:val="00DC0534"/>
    <w:rsid w:val="00DC14A9"/>
    <w:rsid w:val="00DC15F3"/>
    <w:rsid w:val="00DC2086"/>
    <w:rsid w:val="00DC223C"/>
    <w:rsid w:val="00DC29F5"/>
    <w:rsid w:val="00DC2A18"/>
    <w:rsid w:val="00DC2AF0"/>
    <w:rsid w:val="00DC2DD1"/>
    <w:rsid w:val="00DC2EA8"/>
    <w:rsid w:val="00DC3CA3"/>
    <w:rsid w:val="00DC3D92"/>
    <w:rsid w:val="00DC3ED4"/>
    <w:rsid w:val="00DC43B2"/>
    <w:rsid w:val="00DC4659"/>
    <w:rsid w:val="00DC4680"/>
    <w:rsid w:val="00DC47D8"/>
    <w:rsid w:val="00DC50DE"/>
    <w:rsid w:val="00DC5C64"/>
    <w:rsid w:val="00DC5FDC"/>
    <w:rsid w:val="00DC65AD"/>
    <w:rsid w:val="00DC6620"/>
    <w:rsid w:val="00DC67BB"/>
    <w:rsid w:val="00DC6F14"/>
    <w:rsid w:val="00DC70DB"/>
    <w:rsid w:val="00DC7641"/>
    <w:rsid w:val="00DD0033"/>
    <w:rsid w:val="00DD0512"/>
    <w:rsid w:val="00DD06BE"/>
    <w:rsid w:val="00DD0975"/>
    <w:rsid w:val="00DD0CA9"/>
    <w:rsid w:val="00DD101D"/>
    <w:rsid w:val="00DD1717"/>
    <w:rsid w:val="00DD18D3"/>
    <w:rsid w:val="00DD1A0A"/>
    <w:rsid w:val="00DD1A53"/>
    <w:rsid w:val="00DD1C6E"/>
    <w:rsid w:val="00DD1CA6"/>
    <w:rsid w:val="00DD1D0D"/>
    <w:rsid w:val="00DD1DD4"/>
    <w:rsid w:val="00DD210D"/>
    <w:rsid w:val="00DD22CA"/>
    <w:rsid w:val="00DD2617"/>
    <w:rsid w:val="00DD3198"/>
    <w:rsid w:val="00DD31D9"/>
    <w:rsid w:val="00DD34A6"/>
    <w:rsid w:val="00DD3752"/>
    <w:rsid w:val="00DD3965"/>
    <w:rsid w:val="00DD3A71"/>
    <w:rsid w:val="00DD3C1B"/>
    <w:rsid w:val="00DD4274"/>
    <w:rsid w:val="00DD4748"/>
    <w:rsid w:val="00DD4D49"/>
    <w:rsid w:val="00DD4E50"/>
    <w:rsid w:val="00DD58A9"/>
    <w:rsid w:val="00DD591A"/>
    <w:rsid w:val="00DD5AE3"/>
    <w:rsid w:val="00DD5C84"/>
    <w:rsid w:val="00DD65B8"/>
    <w:rsid w:val="00DD693C"/>
    <w:rsid w:val="00DD6EDC"/>
    <w:rsid w:val="00DD78E4"/>
    <w:rsid w:val="00DD7DEF"/>
    <w:rsid w:val="00DE0114"/>
    <w:rsid w:val="00DE0564"/>
    <w:rsid w:val="00DE05E8"/>
    <w:rsid w:val="00DE0EB9"/>
    <w:rsid w:val="00DE0FFA"/>
    <w:rsid w:val="00DE1099"/>
    <w:rsid w:val="00DE1133"/>
    <w:rsid w:val="00DE1486"/>
    <w:rsid w:val="00DE18F4"/>
    <w:rsid w:val="00DE1936"/>
    <w:rsid w:val="00DE19B7"/>
    <w:rsid w:val="00DE1F5B"/>
    <w:rsid w:val="00DE201A"/>
    <w:rsid w:val="00DE2448"/>
    <w:rsid w:val="00DE2A37"/>
    <w:rsid w:val="00DE2CF7"/>
    <w:rsid w:val="00DE351C"/>
    <w:rsid w:val="00DE37AE"/>
    <w:rsid w:val="00DE3A10"/>
    <w:rsid w:val="00DE3D19"/>
    <w:rsid w:val="00DE4382"/>
    <w:rsid w:val="00DE44D7"/>
    <w:rsid w:val="00DE451D"/>
    <w:rsid w:val="00DE453A"/>
    <w:rsid w:val="00DE48F6"/>
    <w:rsid w:val="00DE54E1"/>
    <w:rsid w:val="00DE54FE"/>
    <w:rsid w:val="00DE5D22"/>
    <w:rsid w:val="00DE6D31"/>
    <w:rsid w:val="00DE6D9F"/>
    <w:rsid w:val="00DE7510"/>
    <w:rsid w:val="00DE7892"/>
    <w:rsid w:val="00DE789F"/>
    <w:rsid w:val="00DE7ACA"/>
    <w:rsid w:val="00DF0363"/>
    <w:rsid w:val="00DF0B76"/>
    <w:rsid w:val="00DF0DCF"/>
    <w:rsid w:val="00DF0F77"/>
    <w:rsid w:val="00DF1397"/>
    <w:rsid w:val="00DF1494"/>
    <w:rsid w:val="00DF17BB"/>
    <w:rsid w:val="00DF1982"/>
    <w:rsid w:val="00DF1B83"/>
    <w:rsid w:val="00DF1D67"/>
    <w:rsid w:val="00DF1DCA"/>
    <w:rsid w:val="00DF1DF4"/>
    <w:rsid w:val="00DF1DFB"/>
    <w:rsid w:val="00DF2496"/>
    <w:rsid w:val="00DF29EC"/>
    <w:rsid w:val="00DF2CCD"/>
    <w:rsid w:val="00DF3CC9"/>
    <w:rsid w:val="00DF3EB1"/>
    <w:rsid w:val="00DF46CE"/>
    <w:rsid w:val="00DF485F"/>
    <w:rsid w:val="00DF4FD5"/>
    <w:rsid w:val="00DF531C"/>
    <w:rsid w:val="00DF5370"/>
    <w:rsid w:val="00DF5BE2"/>
    <w:rsid w:val="00DF5C0A"/>
    <w:rsid w:val="00DF5C4F"/>
    <w:rsid w:val="00DF5FDB"/>
    <w:rsid w:val="00DF6168"/>
    <w:rsid w:val="00DF616D"/>
    <w:rsid w:val="00DF6441"/>
    <w:rsid w:val="00DF64AC"/>
    <w:rsid w:val="00DF68AD"/>
    <w:rsid w:val="00DF6D43"/>
    <w:rsid w:val="00DF7A9D"/>
    <w:rsid w:val="00DF7BFE"/>
    <w:rsid w:val="00DF7EA6"/>
    <w:rsid w:val="00E00194"/>
    <w:rsid w:val="00E001A3"/>
    <w:rsid w:val="00E0027B"/>
    <w:rsid w:val="00E00348"/>
    <w:rsid w:val="00E006F4"/>
    <w:rsid w:val="00E00D4D"/>
    <w:rsid w:val="00E0138B"/>
    <w:rsid w:val="00E013D7"/>
    <w:rsid w:val="00E01415"/>
    <w:rsid w:val="00E01E2D"/>
    <w:rsid w:val="00E0273D"/>
    <w:rsid w:val="00E02746"/>
    <w:rsid w:val="00E029B8"/>
    <w:rsid w:val="00E029BD"/>
    <w:rsid w:val="00E02F67"/>
    <w:rsid w:val="00E0323E"/>
    <w:rsid w:val="00E0379E"/>
    <w:rsid w:val="00E0380C"/>
    <w:rsid w:val="00E03BD7"/>
    <w:rsid w:val="00E03BF4"/>
    <w:rsid w:val="00E03C00"/>
    <w:rsid w:val="00E03FE0"/>
    <w:rsid w:val="00E042BA"/>
    <w:rsid w:val="00E04867"/>
    <w:rsid w:val="00E048D2"/>
    <w:rsid w:val="00E04A58"/>
    <w:rsid w:val="00E04BF0"/>
    <w:rsid w:val="00E04C17"/>
    <w:rsid w:val="00E0500F"/>
    <w:rsid w:val="00E05465"/>
    <w:rsid w:val="00E05750"/>
    <w:rsid w:val="00E05D03"/>
    <w:rsid w:val="00E0651A"/>
    <w:rsid w:val="00E06BC2"/>
    <w:rsid w:val="00E07009"/>
    <w:rsid w:val="00E0716C"/>
    <w:rsid w:val="00E07332"/>
    <w:rsid w:val="00E07454"/>
    <w:rsid w:val="00E07924"/>
    <w:rsid w:val="00E07EF8"/>
    <w:rsid w:val="00E101C9"/>
    <w:rsid w:val="00E103DE"/>
    <w:rsid w:val="00E104B2"/>
    <w:rsid w:val="00E106E2"/>
    <w:rsid w:val="00E109C5"/>
    <w:rsid w:val="00E10A20"/>
    <w:rsid w:val="00E113DB"/>
    <w:rsid w:val="00E114FE"/>
    <w:rsid w:val="00E1156B"/>
    <w:rsid w:val="00E1188C"/>
    <w:rsid w:val="00E11D65"/>
    <w:rsid w:val="00E12353"/>
    <w:rsid w:val="00E1248B"/>
    <w:rsid w:val="00E125DE"/>
    <w:rsid w:val="00E1267A"/>
    <w:rsid w:val="00E12916"/>
    <w:rsid w:val="00E12A5C"/>
    <w:rsid w:val="00E12D8E"/>
    <w:rsid w:val="00E12F44"/>
    <w:rsid w:val="00E130FA"/>
    <w:rsid w:val="00E1334C"/>
    <w:rsid w:val="00E138DE"/>
    <w:rsid w:val="00E1399C"/>
    <w:rsid w:val="00E13E11"/>
    <w:rsid w:val="00E1429C"/>
    <w:rsid w:val="00E145E8"/>
    <w:rsid w:val="00E14610"/>
    <w:rsid w:val="00E14A82"/>
    <w:rsid w:val="00E15359"/>
    <w:rsid w:val="00E1544E"/>
    <w:rsid w:val="00E15A7F"/>
    <w:rsid w:val="00E1616A"/>
    <w:rsid w:val="00E165AD"/>
    <w:rsid w:val="00E16810"/>
    <w:rsid w:val="00E16FF9"/>
    <w:rsid w:val="00E171AF"/>
    <w:rsid w:val="00E17349"/>
    <w:rsid w:val="00E175B9"/>
    <w:rsid w:val="00E177CA"/>
    <w:rsid w:val="00E17A07"/>
    <w:rsid w:val="00E17B97"/>
    <w:rsid w:val="00E17CAE"/>
    <w:rsid w:val="00E17D12"/>
    <w:rsid w:val="00E17FBD"/>
    <w:rsid w:val="00E2010F"/>
    <w:rsid w:val="00E2012B"/>
    <w:rsid w:val="00E20538"/>
    <w:rsid w:val="00E20653"/>
    <w:rsid w:val="00E20924"/>
    <w:rsid w:val="00E20A5A"/>
    <w:rsid w:val="00E20B55"/>
    <w:rsid w:val="00E20C08"/>
    <w:rsid w:val="00E20F33"/>
    <w:rsid w:val="00E210E5"/>
    <w:rsid w:val="00E2131F"/>
    <w:rsid w:val="00E2218E"/>
    <w:rsid w:val="00E22433"/>
    <w:rsid w:val="00E229AB"/>
    <w:rsid w:val="00E22AB3"/>
    <w:rsid w:val="00E22C64"/>
    <w:rsid w:val="00E22C73"/>
    <w:rsid w:val="00E22D1D"/>
    <w:rsid w:val="00E23197"/>
    <w:rsid w:val="00E2376E"/>
    <w:rsid w:val="00E2386B"/>
    <w:rsid w:val="00E23B50"/>
    <w:rsid w:val="00E23BCE"/>
    <w:rsid w:val="00E23CB0"/>
    <w:rsid w:val="00E23E4F"/>
    <w:rsid w:val="00E24241"/>
    <w:rsid w:val="00E2485A"/>
    <w:rsid w:val="00E24868"/>
    <w:rsid w:val="00E24908"/>
    <w:rsid w:val="00E2494C"/>
    <w:rsid w:val="00E24AAE"/>
    <w:rsid w:val="00E24D1F"/>
    <w:rsid w:val="00E25A3B"/>
    <w:rsid w:val="00E25B8C"/>
    <w:rsid w:val="00E25BD3"/>
    <w:rsid w:val="00E2607E"/>
    <w:rsid w:val="00E2615E"/>
    <w:rsid w:val="00E2625B"/>
    <w:rsid w:val="00E2644E"/>
    <w:rsid w:val="00E266EC"/>
    <w:rsid w:val="00E269AD"/>
    <w:rsid w:val="00E26A6E"/>
    <w:rsid w:val="00E26EA3"/>
    <w:rsid w:val="00E26EB5"/>
    <w:rsid w:val="00E2758E"/>
    <w:rsid w:val="00E27DD6"/>
    <w:rsid w:val="00E3095B"/>
    <w:rsid w:val="00E30F74"/>
    <w:rsid w:val="00E31536"/>
    <w:rsid w:val="00E3177D"/>
    <w:rsid w:val="00E31843"/>
    <w:rsid w:val="00E31C96"/>
    <w:rsid w:val="00E31FC2"/>
    <w:rsid w:val="00E3273D"/>
    <w:rsid w:val="00E335B2"/>
    <w:rsid w:val="00E33BC0"/>
    <w:rsid w:val="00E33D51"/>
    <w:rsid w:val="00E3422B"/>
    <w:rsid w:val="00E3428A"/>
    <w:rsid w:val="00E348C5"/>
    <w:rsid w:val="00E34A7B"/>
    <w:rsid w:val="00E34E33"/>
    <w:rsid w:val="00E35042"/>
    <w:rsid w:val="00E3559E"/>
    <w:rsid w:val="00E360C6"/>
    <w:rsid w:val="00E3694E"/>
    <w:rsid w:val="00E372BC"/>
    <w:rsid w:val="00E37520"/>
    <w:rsid w:val="00E3773F"/>
    <w:rsid w:val="00E377B9"/>
    <w:rsid w:val="00E37BD4"/>
    <w:rsid w:val="00E37C95"/>
    <w:rsid w:val="00E40289"/>
    <w:rsid w:val="00E40C46"/>
    <w:rsid w:val="00E40DA2"/>
    <w:rsid w:val="00E40E37"/>
    <w:rsid w:val="00E40FDD"/>
    <w:rsid w:val="00E411FF"/>
    <w:rsid w:val="00E413AD"/>
    <w:rsid w:val="00E41B10"/>
    <w:rsid w:val="00E41B20"/>
    <w:rsid w:val="00E424D4"/>
    <w:rsid w:val="00E42759"/>
    <w:rsid w:val="00E42775"/>
    <w:rsid w:val="00E42D0C"/>
    <w:rsid w:val="00E430E4"/>
    <w:rsid w:val="00E43444"/>
    <w:rsid w:val="00E4346A"/>
    <w:rsid w:val="00E43FB8"/>
    <w:rsid w:val="00E4404B"/>
    <w:rsid w:val="00E44106"/>
    <w:rsid w:val="00E448C4"/>
    <w:rsid w:val="00E44C86"/>
    <w:rsid w:val="00E4584A"/>
    <w:rsid w:val="00E45C19"/>
    <w:rsid w:val="00E45C90"/>
    <w:rsid w:val="00E45DDF"/>
    <w:rsid w:val="00E45DEB"/>
    <w:rsid w:val="00E45EC7"/>
    <w:rsid w:val="00E46895"/>
    <w:rsid w:val="00E46902"/>
    <w:rsid w:val="00E46A0F"/>
    <w:rsid w:val="00E46E89"/>
    <w:rsid w:val="00E46F99"/>
    <w:rsid w:val="00E47002"/>
    <w:rsid w:val="00E47393"/>
    <w:rsid w:val="00E5017C"/>
    <w:rsid w:val="00E50310"/>
    <w:rsid w:val="00E506D4"/>
    <w:rsid w:val="00E50C3B"/>
    <w:rsid w:val="00E50FA8"/>
    <w:rsid w:val="00E50FFD"/>
    <w:rsid w:val="00E515BB"/>
    <w:rsid w:val="00E51B8F"/>
    <w:rsid w:val="00E51DE0"/>
    <w:rsid w:val="00E520F2"/>
    <w:rsid w:val="00E523B7"/>
    <w:rsid w:val="00E524E3"/>
    <w:rsid w:val="00E532E4"/>
    <w:rsid w:val="00E5334D"/>
    <w:rsid w:val="00E53603"/>
    <w:rsid w:val="00E54004"/>
    <w:rsid w:val="00E5479E"/>
    <w:rsid w:val="00E547E7"/>
    <w:rsid w:val="00E54A41"/>
    <w:rsid w:val="00E54B0A"/>
    <w:rsid w:val="00E54BFA"/>
    <w:rsid w:val="00E5598B"/>
    <w:rsid w:val="00E55C12"/>
    <w:rsid w:val="00E55DA5"/>
    <w:rsid w:val="00E563A2"/>
    <w:rsid w:val="00E56406"/>
    <w:rsid w:val="00E5651A"/>
    <w:rsid w:val="00E565F3"/>
    <w:rsid w:val="00E5694E"/>
    <w:rsid w:val="00E57579"/>
    <w:rsid w:val="00E575CE"/>
    <w:rsid w:val="00E57BD7"/>
    <w:rsid w:val="00E602DA"/>
    <w:rsid w:val="00E603E3"/>
    <w:rsid w:val="00E60487"/>
    <w:rsid w:val="00E60E14"/>
    <w:rsid w:val="00E60F5A"/>
    <w:rsid w:val="00E6147E"/>
    <w:rsid w:val="00E626D0"/>
    <w:rsid w:val="00E629E4"/>
    <w:rsid w:val="00E630A2"/>
    <w:rsid w:val="00E631CB"/>
    <w:rsid w:val="00E6327C"/>
    <w:rsid w:val="00E63665"/>
    <w:rsid w:val="00E638C5"/>
    <w:rsid w:val="00E63CED"/>
    <w:rsid w:val="00E64343"/>
    <w:rsid w:val="00E64B46"/>
    <w:rsid w:val="00E65F5F"/>
    <w:rsid w:val="00E6618A"/>
    <w:rsid w:val="00E662D7"/>
    <w:rsid w:val="00E66338"/>
    <w:rsid w:val="00E666AC"/>
    <w:rsid w:val="00E67419"/>
    <w:rsid w:val="00E6783E"/>
    <w:rsid w:val="00E67889"/>
    <w:rsid w:val="00E67A3F"/>
    <w:rsid w:val="00E67A87"/>
    <w:rsid w:val="00E67BCD"/>
    <w:rsid w:val="00E67E62"/>
    <w:rsid w:val="00E67F9E"/>
    <w:rsid w:val="00E70918"/>
    <w:rsid w:val="00E70AF6"/>
    <w:rsid w:val="00E70C11"/>
    <w:rsid w:val="00E70E3A"/>
    <w:rsid w:val="00E70F3E"/>
    <w:rsid w:val="00E70FB9"/>
    <w:rsid w:val="00E7117E"/>
    <w:rsid w:val="00E714B5"/>
    <w:rsid w:val="00E71A0E"/>
    <w:rsid w:val="00E71C88"/>
    <w:rsid w:val="00E71EE5"/>
    <w:rsid w:val="00E723DF"/>
    <w:rsid w:val="00E7241B"/>
    <w:rsid w:val="00E724F2"/>
    <w:rsid w:val="00E72845"/>
    <w:rsid w:val="00E72C24"/>
    <w:rsid w:val="00E72C5C"/>
    <w:rsid w:val="00E72EE3"/>
    <w:rsid w:val="00E7303A"/>
    <w:rsid w:val="00E7328A"/>
    <w:rsid w:val="00E738AE"/>
    <w:rsid w:val="00E73AC1"/>
    <w:rsid w:val="00E73C2D"/>
    <w:rsid w:val="00E73E97"/>
    <w:rsid w:val="00E74281"/>
    <w:rsid w:val="00E7462E"/>
    <w:rsid w:val="00E74632"/>
    <w:rsid w:val="00E746A3"/>
    <w:rsid w:val="00E74859"/>
    <w:rsid w:val="00E74F46"/>
    <w:rsid w:val="00E74FF0"/>
    <w:rsid w:val="00E7553F"/>
    <w:rsid w:val="00E7571E"/>
    <w:rsid w:val="00E75C8F"/>
    <w:rsid w:val="00E75EA6"/>
    <w:rsid w:val="00E76228"/>
    <w:rsid w:val="00E762F3"/>
    <w:rsid w:val="00E76644"/>
    <w:rsid w:val="00E768E3"/>
    <w:rsid w:val="00E76A69"/>
    <w:rsid w:val="00E76D2F"/>
    <w:rsid w:val="00E770DF"/>
    <w:rsid w:val="00E772C5"/>
    <w:rsid w:val="00E77BBA"/>
    <w:rsid w:val="00E80105"/>
    <w:rsid w:val="00E803D5"/>
    <w:rsid w:val="00E80AC9"/>
    <w:rsid w:val="00E810F8"/>
    <w:rsid w:val="00E81165"/>
    <w:rsid w:val="00E820EA"/>
    <w:rsid w:val="00E82847"/>
    <w:rsid w:val="00E82F5C"/>
    <w:rsid w:val="00E83560"/>
    <w:rsid w:val="00E8380F"/>
    <w:rsid w:val="00E83CE5"/>
    <w:rsid w:val="00E8409F"/>
    <w:rsid w:val="00E84751"/>
    <w:rsid w:val="00E848C0"/>
    <w:rsid w:val="00E8534A"/>
    <w:rsid w:val="00E85850"/>
    <w:rsid w:val="00E859D9"/>
    <w:rsid w:val="00E85D6A"/>
    <w:rsid w:val="00E85F90"/>
    <w:rsid w:val="00E86161"/>
    <w:rsid w:val="00E862AB"/>
    <w:rsid w:val="00E86638"/>
    <w:rsid w:val="00E866DD"/>
    <w:rsid w:val="00E86A95"/>
    <w:rsid w:val="00E86B55"/>
    <w:rsid w:val="00E86F54"/>
    <w:rsid w:val="00E86FAE"/>
    <w:rsid w:val="00E87616"/>
    <w:rsid w:val="00E877AE"/>
    <w:rsid w:val="00E87AFF"/>
    <w:rsid w:val="00E87D45"/>
    <w:rsid w:val="00E87D9F"/>
    <w:rsid w:val="00E87F4B"/>
    <w:rsid w:val="00E900F4"/>
    <w:rsid w:val="00E904C9"/>
    <w:rsid w:val="00E90B1E"/>
    <w:rsid w:val="00E90D29"/>
    <w:rsid w:val="00E90EBD"/>
    <w:rsid w:val="00E91AEC"/>
    <w:rsid w:val="00E91D2A"/>
    <w:rsid w:val="00E92553"/>
    <w:rsid w:val="00E926FA"/>
    <w:rsid w:val="00E92D94"/>
    <w:rsid w:val="00E92E4C"/>
    <w:rsid w:val="00E93322"/>
    <w:rsid w:val="00E935D8"/>
    <w:rsid w:val="00E93A7C"/>
    <w:rsid w:val="00E93A9E"/>
    <w:rsid w:val="00E95B5A"/>
    <w:rsid w:val="00E95F91"/>
    <w:rsid w:val="00E96092"/>
    <w:rsid w:val="00E96B22"/>
    <w:rsid w:val="00E96D2E"/>
    <w:rsid w:val="00E96FD7"/>
    <w:rsid w:val="00E96FF9"/>
    <w:rsid w:val="00E97F25"/>
    <w:rsid w:val="00EA06ED"/>
    <w:rsid w:val="00EA0868"/>
    <w:rsid w:val="00EA0930"/>
    <w:rsid w:val="00EA0CEE"/>
    <w:rsid w:val="00EA0FDA"/>
    <w:rsid w:val="00EA1A3F"/>
    <w:rsid w:val="00EA1B35"/>
    <w:rsid w:val="00EA1CFB"/>
    <w:rsid w:val="00EA2246"/>
    <w:rsid w:val="00EA2BA6"/>
    <w:rsid w:val="00EA2C07"/>
    <w:rsid w:val="00EA2F3A"/>
    <w:rsid w:val="00EA3209"/>
    <w:rsid w:val="00EA348D"/>
    <w:rsid w:val="00EA3697"/>
    <w:rsid w:val="00EA39A1"/>
    <w:rsid w:val="00EA4117"/>
    <w:rsid w:val="00EA41CA"/>
    <w:rsid w:val="00EA472D"/>
    <w:rsid w:val="00EA4821"/>
    <w:rsid w:val="00EA4EE1"/>
    <w:rsid w:val="00EA50EB"/>
    <w:rsid w:val="00EA5595"/>
    <w:rsid w:val="00EA5977"/>
    <w:rsid w:val="00EA5981"/>
    <w:rsid w:val="00EA60F3"/>
    <w:rsid w:val="00EA6706"/>
    <w:rsid w:val="00EA67CA"/>
    <w:rsid w:val="00EA6925"/>
    <w:rsid w:val="00EA6E8B"/>
    <w:rsid w:val="00EA72FF"/>
    <w:rsid w:val="00EA7C83"/>
    <w:rsid w:val="00EB03FD"/>
    <w:rsid w:val="00EB0635"/>
    <w:rsid w:val="00EB0791"/>
    <w:rsid w:val="00EB0EDA"/>
    <w:rsid w:val="00EB1026"/>
    <w:rsid w:val="00EB12D1"/>
    <w:rsid w:val="00EB134D"/>
    <w:rsid w:val="00EB14C6"/>
    <w:rsid w:val="00EB15DD"/>
    <w:rsid w:val="00EB1628"/>
    <w:rsid w:val="00EB16D1"/>
    <w:rsid w:val="00EB18B4"/>
    <w:rsid w:val="00EB190A"/>
    <w:rsid w:val="00EB1918"/>
    <w:rsid w:val="00EB199B"/>
    <w:rsid w:val="00EB1BD4"/>
    <w:rsid w:val="00EB2359"/>
    <w:rsid w:val="00EB251D"/>
    <w:rsid w:val="00EB25B2"/>
    <w:rsid w:val="00EB294F"/>
    <w:rsid w:val="00EB2E36"/>
    <w:rsid w:val="00EB3440"/>
    <w:rsid w:val="00EB345C"/>
    <w:rsid w:val="00EB390A"/>
    <w:rsid w:val="00EB3A0D"/>
    <w:rsid w:val="00EB3ED3"/>
    <w:rsid w:val="00EB408E"/>
    <w:rsid w:val="00EB42FE"/>
    <w:rsid w:val="00EB4678"/>
    <w:rsid w:val="00EB4A6F"/>
    <w:rsid w:val="00EB5070"/>
    <w:rsid w:val="00EB53A4"/>
    <w:rsid w:val="00EB5A5B"/>
    <w:rsid w:val="00EB6293"/>
    <w:rsid w:val="00EB65F1"/>
    <w:rsid w:val="00EB67D9"/>
    <w:rsid w:val="00EB6D36"/>
    <w:rsid w:val="00EB7063"/>
    <w:rsid w:val="00EB73C1"/>
    <w:rsid w:val="00EB7527"/>
    <w:rsid w:val="00EB7629"/>
    <w:rsid w:val="00EB7848"/>
    <w:rsid w:val="00EB7B43"/>
    <w:rsid w:val="00EC0013"/>
    <w:rsid w:val="00EC01F3"/>
    <w:rsid w:val="00EC03D9"/>
    <w:rsid w:val="00EC051B"/>
    <w:rsid w:val="00EC05F2"/>
    <w:rsid w:val="00EC0B01"/>
    <w:rsid w:val="00EC1AE7"/>
    <w:rsid w:val="00EC255E"/>
    <w:rsid w:val="00EC27F0"/>
    <w:rsid w:val="00EC2BB7"/>
    <w:rsid w:val="00EC2DA8"/>
    <w:rsid w:val="00EC2E07"/>
    <w:rsid w:val="00EC2ECE"/>
    <w:rsid w:val="00EC3600"/>
    <w:rsid w:val="00EC416B"/>
    <w:rsid w:val="00EC4D0F"/>
    <w:rsid w:val="00EC501B"/>
    <w:rsid w:val="00EC50EE"/>
    <w:rsid w:val="00EC526A"/>
    <w:rsid w:val="00EC5408"/>
    <w:rsid w:val="00EC562D"/>
    <w:rsid w:val="00EC5850"/>
    <w:rsid w:val="00EC5907"/>
    <w:rsid w:val="00EC591C"/>
    <w:rsid w:val="00EC6582"/>
    <w:rsid w:val="00EC6661"/>
    <w:rsid w:val="00EC6831"/>
    <w:rsid w:val="00EC687E"/>
    <w:rsid w:val="00EC6F53"/>
    <w:rsid w:val="00EC7124"/>
    <w:rsid w:val="00EC7158"/>
    <w:rsid w:val="00EC74D2"/>
    <w:rsid w:val="00EC74DD"/>
    <w:rsid w:val="00EC77DA"/>
    <w:rsid w:val="00EC782B"/>
    <w:rsid w:val="00EC7CA7"/>
    <w:rsid w:val="00EC7D89"/>
    <w:rsid w:val="00EC7D90"/>
    <w:rsid w:val="00ED000D"/>
    <w:rsid w:val="00ED006B"/>
    <w:rsid w:val="00ED04F0"/>
    <w:rsid w:val="00ED0F96"/>
    <w:rsid w:val="00ED160C"/>
    <w:rsid w:val="00ED19B8"/>
    <w:rsid w:val="00ED1FD0"/>
    <w:rsid w:val="00ED2CFD"/>
    <w:rsid w:val="00ED2D09"/>
    <w:rsid w:val="00ED304C"/>
    <w:rsid w:val="00ED34C4"/>
    <w:rsid w:val="00ED36D9"/>
    <w:rsid w:val="00ED3AB0"/>
    <w:rsid w:val="00ED3FC8"/>
    <w:rsid w:val="00ED3FEE"/>
    <w:rsid w:val="00ED4409"/>
    <w:rsid w:val="00ED47CD"/>
    <w:rsid w:val="00ED47E6"/>
    <w:rsid w:val="00ED4C51"/>
    <w:rsid w:val="00ED4E56"/>
    <w:rsid w:val="00ED518B"/>
    <w:rsid w:val="00ED5D31"/>
    <w:rsid w:val="00ED63B3"/>
    <w:rsid w:val="00ED6655"/>
    <w:rsid w:val="00ED6AF1"/>
    <w:rsid w:val="00ED713D"/>
    <w:rsid w:val="00ED76A6"/>
    <w:rsid w:val="00ED76C9"/>
    <w:rsid w:val="00ED7AC3"/>
    <w:rsid w:val="00ED7D79"/>
    <w:rsid w:val="00EE05B2"/>
    <w:rsid w:val="00EE05F6"/>
    <w:rsid w:val="00EE09F5"/>
    <w:rsid w:val="00EE0CCC"/>
    <w:rsid w:val="00EE0D03"/>
    <w:rsid w:val="00EE10AB"/>
    <w:rsid w:val="00EE10F8"/>
    <w:rsid w:val="00EE172A"/>
    <w:rsid w:val="00EE17E7"/>
    <w:rsid w:val="00EE1E4C"/>
    <w:rsid w:val="00EE2042"/>
    <w:rsid w:val="00EE2190"/>
    <w:rsid w:val="00EE21AA"/>
    <w:rsid w:val="00EE2818"/>
    <w:rsid w:val="00EE2FC1"/>
    <w:rsid w:val="00EE38B7"/>
    <w:rsid w:val="00EE3E34"/>
    <w:rsid w:val="00EE416B"/>
    <w:rsid w:val="00EE443F"/>
    <w:rsid w:val="00EE4DA8"/>
    <w:rsid w:val="00EE50E7"/>
    <w:rsid w:val="00EE550C"/>
    <w:rsid w:val="00EE5E99"/>
    <w:rsid w:val="00EE5ED9"/>
    <w:rsid w:val="00EE6483"/>
    <w:rsid w:val="00EE6667"/>
    <w:rsid w:val="00EE6747"/>
    <w:rsid w:val="00EE693B"/>
    <w:rsid w:val="00EE6BFA"/>
    <w:rsid w:val="00EE6CCC"/>
    <w:rsid w:val="00EE6D78"/>
    <w:rsid w:val="00EE71BA"/>
    <w:rsid w:val="00EE71EB"/>
    <w:rsid w:val="00EE72F5"/>
    <w:rsid w:val="00EE7838"/>
    <w:rsid w:val="00EE7B07"/>
    <w:rsid w:val="00EE7B52"/>
    <w:rsid w:val="00EF076D"/>
    <w:rsid w:val="00EF0E0C"/>
    <w:rsid w:val="00EF0E92"/>
    <w:rsid w:val="00EF101B"/>
    <w:rsid w:val="00EF1221"/>
    <w:rsid w:val="00EF1500"/>
    <w:rsid w:val="00EF1878"/>
    <w:rsid w:val="00EF1D87"/>
    <w:rsid w:val="00EF21F9"/>
    <w:rsid w:val="00EF2280"/>
    <w:rsid w:val="00EF295B"/>
    <w:rsid w:val="00EF2D0C"/>
    <w:rsid w:val="00EF2E9E"/>
    <w:rsid w:val="00EF348D"/>
    <w:rsid w:val="00EF3A05"/>
    <w:rsid w:val="00EF3EA4"/>
    <w:rsid w:val="00EF407D"/>
    <w:rsid w:val="00EF432F"/>
    <w:rsid w:val="00EF4879"/>
    <w:rsid w:val="00EF4B18"/>
    <w:rsid w:val="00EF4D19"/>
    <w:rsid w:val="00EF4DF2"/>
    <w:rsid w:val="00EF5496"/>
    <w:rsid w:val="00EF56D9"/>
    <w:rsid w:val="00EF5A5E"/>
    <w:rsid w:val="00EF5D23"/>
    <w:rsid w:val="00EF6433"/>
    <w:rsid w:val="00EF64DE"/>
    <w:rsid w:val="00EF75BF"/>
    <w:rsid w:val="00EF77D0"/>
    <w:rsid w:val="00EF77D2"/>
    <w:rsid w:val="00F005F1"/>
    <w:rsid w:val="00F00A6D"/>
    <w:rsid w:val="00F00BAF"/>
    <w:rsid w:val="00F00DE0"/>
    <w:rsid w:val="00F01342"/>
    <w:rsid w:val="00F01B63"/>
    <w:rsid w:val="00F01C1D"/>
    <w:rsid w:val="00F01C31"/>
    <w:rsid w:val="00F0213A"/>
    <w:rsid w:val="00F025B5"/>
    <w:rsid w:val="00F025D1"/>
    <w:rsid w:val="00F029D0"/>
    <w:rsid w:val="00F02A70"/>
    <w:rsid w:val="00F0347B"/>
    <w:rsid w:val="00F0425C"/>
    <w:rsid w:val="00F04528"/>
    <w:rsid w:val="00F04F94"/>
    <w:rsid w:val="00F05238"/>
    <w:rsid w:val="00F055F1"/>
    <w:rsid w:val="00F05671"/>
    <w:rsid w:val="00F05A85"/>
    <w:rsid w:val="00F05BB1"/>
    <w:rsid w:val="00F05D1B"/>
    <w:rsid w:val="00F0619C"/>
    <w:rsid w:val="00F061DA"/>
    <w:rsid w:val="00F064C5"/>
    <w:rsid w:val="00F0671E"/>
    <w:rsid w:val="00F07018"/>
    <w:rsid w:val="00F070E1"/>
    <w:rsid w:val="00F07284"/>
    <w:rsid w:val="00F07488"/>
    <w:rsid w:val="00F07F68"/>
    <w:rsid w:val="00F103AC"/>
    <w:rsid w:val="00F10559"/>
    <w:rsid w:val="00F1081A"/>
    <w:rsid w:val="00F1176C"/>
    <w:rsid w:val="00F11B64"/>
    <w:rsid w:val="00F11F9B"/>
    <w:rsid w:val="00F120DE"/>
    <w:rsid w:val="00F127C7"/>
    <w:rsid w:val="00F12B5D"/>
    <w:rsid w:val="00F13477"/>
    <w:rsid w:val="00F13694"/>
    <w:rsid w:val="00F13D34"/>
    <w:rsid w:val="00F1479A"/>
    <w:rsid w:val="00F14B6F"/>
    <w:rsid w:val="00F14E1F"/>
    <w:rsid w:val="00F14FF7"/>
    <w:rsid w:val="00F1503C"/>
    <w:rsid w:val="00F15092"/>
    <w:rsid w:val="00F150B2"/>
    <w:rsid w:val="00F1522E"/>
    <w:rsid w:val="00F15677"/>
    <w:rsid w:val="00F15690"/>
    <w:rsid w:val="00F15C7D"/>
    <w:rsid w:val="00F17AA9"/>
    <w:rsid w:val="00F17AC5"/>
    <w:rsid w:val="00F17B35"/>
    <w:rsid w:val="00F20063"/>
    <w:rsid w:val="00F2009F"/>
    <w:rsid w:val="00F202AC"/>
    <w:rsid w:val="00F20315"/>
    <w:rsid w:val="00F2034D"/>
    <w:rsid w:val="00F2052E"/>
    <w:rsid w:val="00F205D3"/>
    <w:rsid w:val="00F207D2"/>
    <w:rsid w:val="00F20CD4"/>
    <w:rsid w:val="00F2105B"/>
    <w:rsid w:val="00F21761"/>
    <w:rsid w:val="00F22D5B"/>
    <w:rsid w:val="00F23121"/>
    <w:rsid w:val="00F231E5"/>
    <w:rsid w:val="00F23521"/>
    <w:rsid w:val="00F2383C"/>
    <w:rsid w:val="00F243E1"/>
    <w:rsid w:val="00F24780"/>
    <w:rsid w:val="00F24CBE"/>
    <w:rsid w:val="00F24F8E"/>
    <w:rsid w:val="00F25896"/>
    <w:rsid w:val="00F25A8C"/>
    <w:rsid w:val="00F25A98"/>
    <w:rsid w:val="00F25C2D"/>
    <w:rsid w:val="00F25D0A"/>
    <w:rsid w:val="00F25EEA"/>
    <w:rsid w:val="00F265F7"/>
    <w:rsid w:val="00F268B2"/>
    <w:rsid w:val="00F26987"/>
    <w:rsid w:val="00F269BF"/>
    <w:rsid w:val="00F26A51"/>
    <w:rsid w:val="00F26B80"/>
    <w:rsid w:val="00F26EAC"/>
    <w:rsid w:val="00F26FA9"/>
    <w:rsid w:val="00F27017"/>
    <w:rsid w:val="00F27247"/>
    <w:rsid w:val="00F27752"/>
    <w:rsid w:val="00F27AD3"/>
    <w:rsid w:val="00F3070B"/>
    <w:rsid w:val="00F30C83"/>
    <w:rsid w:val="00F310E5"/>
    <w:rsid w:val="00F31326"/>
    <w:rsid w:val="00F315A3"/>
    <w:rsid w:val="00F31C7B"/>
    <w:rsid w:val="00F32742"/>
    <w:rsid w:val="00F32971"/>
    <w:rsid w:val="00F329FD"/>
    <w:rsid w:val="00F32A96"/>
    <w:rsid w:val="00F32E9C"/>
    <w:rsid w:val="00F33253"/>
    <w:rsid w:val="00F334E3"/>
    <w:rsid w:val="00F33519"/>
    <w:rsid w:val="00F339D8"/>
    <w:rsid w:val="00F34343"/>
    <w:rsid w:val="00F34909"/>
    <w:rsid w:val="00F34F40"/>
    <w:rsid w:val="00F350B1"/>
    <w:rsid w:val="00F359C9"/>
    <w:rsid w:val="00F35B19"/>
    <w:rsid w:val="00F362B1"/>
    <w:rsid w:val="00F3646F"/>
    <w:rsid w:val="00F3658A"/>
    <w:rsid w:val="00F375C1"/>
    <w:rsid w:val="00F37711"/>
    <w:rsid w:val="00F379E4"/>
    <w:rsid w:val="00F4015F"/>
    <w:rsid w:val="00F402EA"/>
    <w:rsid w:val="00F4063A"/>
    <w:rsid w:val="00F40B72"/>
    <w:rsid w:val="00F40CDA"/>
    <w:rsid w:val="00F416A3"/>
    <w:rsid w:val="00F41F4E"/>
    <w:rsid w:val="00F421E0"/>
    <w:rsid w:val="00F42BC5"/>
    <w:rsid w:val="00F42C19"/>
    <w:rsid w:val="00F42CF9"/>
    <w:rsid w:val="00F4317B"/>
    <w:rsid w:val="00F431D0"/>
    <w:rsid w:val="00F43798"/>
    <w:rsid w:val="00F43AEB"/>
    <w:rsid w:val="00F43B9C"/>
    <w:rsid w:val="00F43BFB"/>
    <w:rsid w:val="00F443D7"/>
    <w:rsid w:val="00F44988"/>
    <w:rsid w:val="00F44AAA"/>
    <w:rsid w:val="00F44B4E"/>
    <w:rsid w:val="00F44CA7"/>
    <w:rsid w:val="00F4535C"/>
    <w:rsid w:val="00F456DA"/>
    <w:rsid w:val="00F45881"/>
    <w:rsid w:val="00F45B00"/>
    <w:rsid w:val="00F4601F"/>
    <w:rsid w:val="00F46221"/>
    <w:rsid w:val="00F462BB"/>
    <w:rsid w:val="00F4643F"/>
    <w:rsid w:val="00F46FB5"/>
    <w:rsid w:val="00F478B4"/>
    <w:rsid w:val="00F47965"/>
    <w:rsid w:val="00F47A05"/>
    <w:rsid w:val="00F47BC4"/>
    <w:rsid w:val="00F50134"/>
    <w:rsid w:val="00F50231"/>
    <w:rsid w:val="00F50538"/>
    <w:rsid w:val="00F50667"/>
    <w:rsid w:val="00F5098B"/>
    <w:rsid w:val="00F50B1F"/>
    <w:rsid w:val="00F50C08"/>
    <w:rsid w:val="00F50C9F"/>
    <w:rsid w:val="00F50CDB"/>
    <w:rsid w:val="00F50EB0"/>
    <w:rsid w:val="00F5119D"/>
    <w:rsid w:val="00F5156C"/>
    <w:rsid w:val="00F51E7E"/>
    <w:rsid w:val="00F521FD"/>
    <w:rsid w:val="00F52F14"/>
    <w:rsid w:val="00F52FE1"/>
    <w:rsid w:val="00F5314E"/>
    <w:rsid w:val="00F53152"/>
    <w:rsid w:val="00F531CC"/>
    <w:rsid w:val="00F53598"/>
    <w:rsid w:val="00F5366C"/>
    <w:rsid w:val="00F537D9"/>
    <w:rsid w:val="00F54869"/>
    <w:rsid w:val="00F548E8"/>
    <w:rsid w:val="00F54A46"/>
    <w:rsid w:val="00F54BB4"/>
    <w:rsid w:val="00F54D4A"/>
    <w:rsid w:val="00F54EBA"/>
    <w:rsid w:val="00F54F33"/>
    <w:rsid w:val="00F55094"/>
    <w:rsid w:val="00F550EB"/>
    <w:rsid w:val="00F55CA9"/>
    <w:rsid w:val="00F562B2"/>
    <w:rsid w:val="00F56373"/>
    <w:rsid w:val="00F56EFE"/>
    <w:rsid w:val="00F57B8C"/>
    <w:rsid w:val="00F608E8"/>
    <w:rsid w:val="00F60A6F"/>
    <w:rsid w:val="00F613DC"/>
    <w:rsid w:val="00F61426"/>
    <w:rsid w:val="00F614AF"/>
    <w:rsid w:val="00F617E8"/>
    <w:rsid w:val="00F618C4"/>
    <w:rsid w:val="00F61F31"/>
    <w:rsid w:val="00F62407"/>
    <w:rsid w:val="00F6249B"/>
    <w:rsid w:val="00F62C7C"/>
    <w:rsid w:val="00F632B9"/>
    <w:rsid w:val="00F64024"/>
    <w:rsid w:val="00F642B0"/>
    <w:rsid w:val="00F64B03"/>
    <w:rsid w:val="00F64F1E"/>
    <w:rsid w:val="00F657B4"/>
    <w:rsid w:val="00F65C72"/>
    <w:rsid w:val="00F65DAB"/>
    <w:rsid w:val="00F66183"/>
    <w:rsid w:val="00F66662"/>
    <w:rsid w:val="00F666C9"/>
    <w:rsid w:val="00F667FA"/>
    <w:rsid w:val="00F671E9"/>
    <w:rsid w:val="00F67440"/>
    <w:rsid w:val="00F6745D"/>
    <w:rsid w:val="00F67987"/>
    <w:rsid w:val="00F67E35"/>
    <w:rsid w:val="00F701F7"/>
    <w:rsid w:val="00F703CF"/>
    <w:rsid w:val="00F7042A"/>
    <w:rsid w:val="00F705C4"/>
    <w:rsid w:val="00F70DDF"/>
    <w:rsid w:val="00F7100D"/>
    <w:rsid w:val="00F71383"/>
    <w:rsid w:val="00F714B3"/>
    <w:rsid w:val="00F71B33"/>
    <w:rsid w:val="00F71D82"/>
    <w:rsid w:val="00F71EF5"/>
    <w:rsid w:val="00F71FEB"/>
    <w:rsid w:val="00F72119"/>
    <w:rsid w:val="00F7219D"/>
    <w:rsid w:val="00F723F7"/>
    <w:rsid w:val="00F72639"/>
    <w:rsid w:val="00F72785"/>
    <w:rsid w:val="00F7279E"/>
    <w:rsid w:val="00F72BFE"/>
    <w:rsid w:val="00F73768"/>
    <w:rsid w:val="00F73918"/>
    <w:rsid w:val="00F73F80"/>
    <w:rsid w:val="00F7462A"/>
    <w:rsid w:val="00F74B1E"/>
    <w:rsid w:val="00F74D2B"/>
    <w:rsid w:val="00F74E07"/>
    <w:rsid w:val="00F751BF"/>
    <w:rsid w:val="00F7546C"/>
    <w:rsid w:val="00F754E0"/>
    <w:rsid w:val="00F755A3"/>
    <w:rsid w:val="00F759F5"/>
    <w:rsid w:val="00F76287"/>
    <w:rsid w:val="00F764C4"/>
    <w:rsid w:val="00F76511"/>
    <w:rsid w:val="00F76643"/>
    <w:rsid w:val="00F7664C"/>
    <w:rsid w:val="00F76A70"/>
    <w:rsid w:val="00F775D0"/>
    <w:rsid w:val="00F7763B"/>
    <w:rsid w:val="00F77AC3"/>
    <w:rsid w:val="00F77C9E"/>
    <w:rsid w:val="00F77D25"/>
    <w:rsid w:val="00F80153"/>
    <w:rsid w:val="00F80490"/>
    <w:rsid w:val="00F805F7"/>
    <w:rsid w:val="00F80709"/>
    <w:rsid w:val="00F80EA7"/>
    <w:rsid w:val="00F8183C"/>
    <w:rsid w:val="00F81874"/>
    <w:rsid w:val="00F818B0"/>
    <w:rsid w:val="00F820B1"/>
    <w:rsid w:val="00F8232D"/>
    <w:rsid w:val="00F826CB"/>
    <w:rsid w:val="00F82854"/>
    <w:rsid w:val="00F82A2B"/>
    <w:rsid w:val="00F838C1"/>
    <w:rsid w:val="00F83BBA"/>
    <w:rsid w:val="00F841DF"/>
    <w:rsid w:val="00F841E1"/>
    <w:rsid w:val="00F84AD5"/>
    <w:rsid w:val="00F84B60"/>
    <w:rsid w:val="00F84CF8"/>
    <w:rsid w:val="00F84FBC"/>
    <w:rsid w:val="00F855C2"/>
    <w:rsid w:val="00F8565B"/>
    <w:rsid w:val="00F85669"/>
    <w:rsid w:val="00F857AE"/>
    <w:rsid w:val="00F85C8C"/>
    <w:rsid w:val="00F85D84"/>
    <w:rsid w:val="00F86396"/>
    <w:rsid w:val="00F865E0"/>
    <w:rsid w:val="00F867FA"/>
    <w:rsid w:val="00F868BA"/>
    <w:rsid w:val="00F86A5A"/>
    <w:rsid w:val="00F86A75"/>
    <w:rsid w:val="00F86F49"/>
    <w:rsid w:val="00F8767A"/>
    <w:rsid w:val="00F90077"/>
    <w:rsid w:val="00F904F9"/>
    <w:rsid w:val="00F90A06"/>
    <w:rsid w:val="00F90F25"/>
    <w:rsid w:val="00F90F7B"/>
    <w:rsid w:val="00F91078"/>
    <w:rsid w:val="00F91210"/>
    <w:rsid w:val="00F9129B"/>
    <w:rsid w:val="00F912A6"/>
    <w:rsid w:val="00F917E9"/>
    <w:rsid w:val="00F92277"/>
    <w:rsid w:val="00F92460"/>
    <w:rsid w:val="00F924D7"/>
    <w:rsid w:val="00F9254D"/>
    <w:rsid w:val="00F92752"/>
    <w:rsid w:val="00F92770"/>
    <w:rsid w:val="00F92968"/>
    <w:rsid w:val="00F92EF0"/>
    <w:rsid w:val="00F92F04"/>
    <w:rsid w:val="00F93238"/>
    <w:rsid w:val="00F9371E"/>
    <w:rsid w:val="00F938C6"/>
    <w:rsid w:val="00F9397B"/>
    <w:rsid w:val="00F93A8B"/>
    <w:rsid w:val="00F94126"/>
    <w:rsid w:val="00F94307"/>
    <w:rsid w:val="00F94345"/>
    <w:rsid w:val="00F945A1"/>
    <w:rsid w:val="00F94926"/>
    <w:rsid w:val="00F94980"/>
    <w:rsid w:val="00F94AFD"/>
    <w:rsid w:val="00F94B46"/>
    <w:rsid w:val="00F94D67"/>
    <w:rsid w:val="00F95054"/>
    <w:rsid w:val="00F95245"/>
    <w:rsid w:val="00F95491"/>
    <w:rsid w:val="00F95BFD"/>
    <w:rsid w:val="00F95C29"/>
    <w:rsid w:val="00F95D61"/>
    <w:rsid w:val="00F95DC2"/>
    <w:rsid w:val="00F9661C"/>
    <w:rsid w:val="00F9677A"/>
    <w:rsid w:val="00F9680B"/>
    <w:rsid w:val="00F96B61"/>
    <w:rsid w:val="00F96CE6"/>
    <w:rsid w:val="00F974D1"/>
    <w:rsid w:val="00F976AA"/>
    <w:rsid w:val="00F976C8"/>
    <w:rsid w:val="00F9774B"/>
    <w:rsid w:val="00FA0580"/>
    <w:rsid w:val="00FA06E8"/>
    <w:rsid w:val="00FA13A7"/>
    <w:rsid w:val="00FA1457"/>
    <w:rsid w:val="00FA1585"/>
    <w:rsid w:val="00FA19EB"/>
    <w:rsid w:val="00FA1F3F"/>
    <w:rsid w:val="00FA2061"/>
    <w:rsid w:val="00FA20CA"/>
    <w:rsid w:val="00FA234C"/>
    <w:rsid w:val="00FA2575"/>
    <w:rsid w:val="00FA25CE"/>
    <w:rsid w:val="00FA2721"/>
    <w:rsid w:val="00FA3562"/>
    <w:rsid w:val="00FA389C"/>
    <w:rsid w:val="00FA3976"/>
    <w:rsid w:val="00FA3D7F"/>
    <w:rsid w:val="00FA43A2"/>
    <w:rsid w:val="00FA45C2"/>
    <w:rsid w:val="00FA4AD4"/>
    <w:rsid w:val="00FA4DFC"/>
    <w:rsid w:val="00FA500C"/>
    <w:rsid w:val="00FA536A"/>
    <w:rsid w:val="00FA53F8"/>
    <w:rsid w:val="00FA585E"/>
    <w:rsid w:val="00FA5CD6"/>
    <w:rsid w:val="00FA648C"/>
    <w:rsid w:val="00FA6630"/>
    <w:rsid w:val="00FA6B05"/>
    <w:rsid w:val="00FA6C4B"/>
    <w:rsid w:val="00FA715D"/>
    <w:rsid w:val="00FA71BC"/>
    <w:rsid w:val="00FA7262"/>
    <w:rsid w:val="00FA7B84"/>
    <w:rsid w:val="00FA7DCF"/>
    <w:rsid w:val="00FB0198"/>
    <w:rsid w:val="00FB03C1"/>
    <w:rsid w:val="00FB0748"/>
    <w:rsid w:val="00FB0BCE"/>
    <w:rsid w:val="00FB0CA2"/>
    <w:rsid w:val="00FB17C3"/>
    <w:rsid w:val="00FB1A7C"/>
    <w:rsid w:val="00FB1B97"/>
    <w:rsid w:val="00FB201A"/>
    <w:rsid w:val="00FB2458"/>
    <w:rsid w:val="00FB275F"/>
    <w:rsid w:val="00FB2AD9"/>
    <w:rsid w:val="00FB2B31"/>
    <w:rsid w:val="00FB3882"/>
    <w:rsid w:val="00FB3FC6"/>
    <w:rsid w:val="00FB4383"/>
    <w:rsid w:val="00FB4614"/>
    <w:rsid w:val="00FB485C"/>
    <w:rsid w:val="00FB4DC5"/>
    <w:rsid w:val="00FB4EDB"/>
    <w:rsid w:val="00FB51D1"/>
    <w:rsid w:val="00FB5464"/>
    <w:rsid w:val="00FB55CB"/>
    <w:rsid w:val="00FB55DD"/>
    <w:rsid w:val="00FB5C42"/>
    <w:rsid w:val="00FB617D"/>
    <w:rsid w:val="00FB61A8"/>
    <w:rsid w:val="00FB6C2D"/>
    <w:rsid w:val="00FB6CF6"/>
    <w:rsid w:val="00FB742A"/>
    <w:rsid w:val="00FB7763"/>
    <w:rsid w:val="00FB790B"/>
    <w:rsid w:val="00FB7C6A"/>
    <w:rsid w:val="00FC02C6"/>
    <w:rsid w:val="00FC0447"/>
    <w:rsid w:val="00FC07F0"/>
    <w:rsid w:val="00FC0ED8"/>
    <w:rsid w:val="00FC177F"/>
    <w:rsid w:val="00FC19C5"/>
    <w:rsid w:val="00FC1F6D"/>
    <w:rsid w:val="00FC239A"/>
    <w:rsid w:val="00FC24B0"/>
    <w:rsid w:val="00FC28DA"/>
    <w:rsid w:val="00FC28E8"/>
    <w:rsid w:val="00FC2B4F"/>
    <w:rsid w:val="00FC2CD3"/>
    <w:rsid w:val="00FC2D2E"/>
    <w:rsid w:val="00FC2E0C"/>
    <w:rsid w:val="00FC2E42"/>
    <w:rsid w:val="00FC3442"/>
    <w:rsid w:val="00FC35AF"/>
    <w:rsid w:val="00FC36E6"/>
    <w:rsid w:val="00FC3729"/>
    <w:rsid w:val="00FC3736"/>
    <w:rsid w:val="00FC38F7"/>
    <w:rsid w:val="00FC4269"/>
    <w:rsid w:val="00FC4539"/>
    <w:rsid w:val="00FC4C00"/>
    <w:rsid w:val="00FC4C3B"/>
    <w:rsid w:val="00FC4D67"/>
    <w:rsid w:val="00FC55C5"/>
    <w:rsid w:val="00FC5647"/>
    <w:rsid w:val="00FC59F4"/>
    <w:rsid w:val="00FC5EE6"/>
    <w:rsid w:val="00FC6B83"/>
    <w:rsid w:val="00FC6BA4"/>
    <w:rsid w:val="00FC6D99"/>
    <w:rsid w:val="00FC72FA"/>
    <w:rsid w:val="00FC77AB"/>
    <w:rsid w:val="00FC7D5C"/>
    <w:rsid w:val="00FC7D8E"/>
    <w:rsid w:val="00FC7DBF"/>
    <w:rsid w:val="00FC7DF7"/>
    <w:rsid w:val="00FD07CC"/>
    <w:rsid w:val="00FD0D93"/>
    <w:rsid w:val="00FD11AC"/>
    <w:rsid w:val="00FD11DA"/>
    <w:rsid w:val="00FD160D"/>
    <w:rsid w:val="00FD16DF"/>
    <w:rsid w:val="00FD1C50"/>
    <w:rsid w:val="00FD1E7E"/>
    <w:rsid w:val="00FD2019"/>
    <w:rsid w:val="00FD255A"/>
    <w:rsid w:val="00FD2A6A"/>
    <w:rsid w:val="00FD2CE4"/>
    <w:rsid w:val="00FD308B"/>
    <w:rsid w:val="00FD362C"/>
    <w:rsid w:val="00FD3B2E"/>
    <w:rsid w:val="00FD418C"/>
    <w:rsid w:val="00FD44AD"/>
    <w:rsid w:val="00FD4825"/>
    <w:rsid w:val="00FD4970"/>
    <w:rsid w:val="00FD4C14"/>
    <w:rsid w:val="00FD5329"/>
    <w:rsid w:val="00FD5486"/>
    <w:rsid w:val="00FD5561"/>
    <w:rsid w:val="00FD5635"/>
    <w:rsid w:val="00FD5680"/>
    <w:rsid w:val="00FD58F2"/>
    <w:rsid w:val="00FD59FC"/>
    <w:rsid w:val="00FD628E"/>
    <w:rsid w:val="00FD6414"/>
    <w:rsid w:val="00FD679C"/>
    <w:rsid w:val="00FD73F7"/>
    <w:rsid w:val="00FD7647"/>
    <w:rsid w:val="00FD7837"/>
    <w:rsid w:val="00FD7D6C"/>
    <w:rsid w:val="00FD7DFF"/>
    <w:rsid w:val="00FDE969"/>
    <w:rsid w:val="00FE036B"/>
    <w:rsid w:val="00FE0632"/>
    <w:rsid w:val="00FE096C"/>
    <w:rsid w:val="00FE1069"/>
    <w:rsid w:val="00FE15D7"/>
    <w:rsid w:val="00FE1BF6"/>
    <w:rsid w:val="00FE2DEF"/>
    <w:rsid w:val="00FE2F79"/>
    <w:rsid w:val="00FE3D83"/>
    <w:rsid w:val="00FE3DCC"/>
    <w:rsid w:val="00FE3FD6"/>
    <w:rsid w:val="00FE4060"/>
    <w:rsid w:val="00FE4160"/>
    <w:rsid w:val="00FE4281"/>
    <w:rsid w:val="00FE4AA7"/>
    <w:rsid w:val="00FE51BE"/>
    <w:rsid w:val="00FE538D"/>
    <w:rsid w:val="00FE58D2"/>
    <w:rsid w:val="00FE5EDE"/>
    <w:rsid w:val="00FE6100"/>
    <w:rsid w:val="00FE61A0"/>
    <w:rsid w:val="00FE692E"/>
    <w:rsid w:val="00FE6D89"/>
    <w:rsid w:val="00FE6E32"/>
    <w:rsid w:val="00FE6EB0"/>
    <w:rsid w:val="00FE762E"/>
    <w:rsid w:val="00FE778F"/>
    <w:rsid w:val="00FE786A"/>
    <w:rsid w:val="00FE7F64"/>
    <w:rsid w:val="00FF00F4"/>
    <w:rsid w:val="00FF0261"/>
    <w:rsid w:val="00FF086E"/>
    <w:rsid w:val="00FF13D3"/>
    <w:rsid w:val="00FF15CD"/>
    <w:rsid w:val="00FF180A"/>
    <w:rsid w:val="00FF19EB"/>
    <w:rsid w:val="00FF1D9C"/>
    <w:rsid w:val="00FF1DDE"/>
    <w:rsid w:val="00FF1EF9"/>
    <w:rsid w:val="00FF2484"/>
    <w:rsid w:val="00FF2DC6"/>
    <w:rsid w:val="00FF2FEE"/>
    <w:rsid w:val="00FF3357"/>
    <w:rsid w:val="00FF390D"/>
    <w:rsid w:val="00FF3F3B"/>
    <w:rsid w:val="00FF3F92"/>
    <w:rsid w:val="00FF41DE"/>
    <w:rsid w:val="00FF49DE"/>
    <w:rsid w:val="00FF4AC4"/>
    <w:rsid w:val="00FF4C29"/>
    <w:rsid w:val="00FF509F"/>
    <w:rsid w:val="00FF5208"/>
    <w:rsid w:val="00FF526E"/>
    <w:rsid w:val="00FF579B"/>
    <w:rsid w:val="00FF58AE"/>
    <w:rsid w:val="00FF58F1"/>
    <w:rsid w:val="00FF5964"/>
    <w:rsid w:val="00FF59E9"/>
    <w:rsid w:val="00FF5E16"/>
    <w:rsid w:val="00FF6028"/>
    <w:rsid w:val="00FF639D"/>
    <w:rsid w:val="00FF6E85"/>
    <w:rsid w:val="00FF6FAD"/>
    <w:rsid w:val="00FF7026"/>
    <w:rsid w:val="00FF7167"/>
    <w:rsid w:val="00FF7465"/>
    <w:rsid w:val="00FF78AD"/>
    <w:rsid w:val="00FF7918"/>
    <w:rsid w:val="00FF7A15"/>
    <w:rsid w:val="00FF7C02"/>
    <w:rsid w:val="00FF7CFD"/>
    <w:rsid w:val="01031D83"/>
    <w:rsid w:val="0113E77B"/>
    <w:rsid w:val="0118C199"/>
    <w:rsid w:val="011E8271"/>
    <w:rsid w:val="01247759"/>
    <w:rsid w:val="0129D2A4"/>
    <w:rsid w:val="012EA6DF"/>
    <w:rsid w:val="01411F38"/>
    <w:rsid w:val="01433A57"/>
    <w:rsid w:val="0169913A"/>
    <w:rsid w:val="0172E9E1"/>
    <w:rsid w:val="017497EB"/>
    <w:rsid w:val="0178EE0C"/>
    <w:rsid w:val="01E2B603"/>
    <w:rsid w:val="022C17F3"/>
    <w:rsid w:val="0230F803"/>
    <w:rsid w:val="025E1B89"/>
    <w:rsid w:val="0296F95A"/>
    <w:rsid w:val="02A15693"/>
    <w:rsid w:val="02C3A6C9"/>
    <w:rsid w:val="02D7D603"/>
    <w:rsid w:val="02DA541B"/>
    <w:rsid w:val="02E572E2"/>
    <w:rsid w:val="034CE139"/>
    <w:rsid w:val="034D063D"/>
    <w:rsid w:val="03AE8AD6"/>
    <w:rsid w:val="03DBB084"/>
    <w:rsid w:val="03DBF7AC"/>
    <w:rsid w:val="04113562"/>
    <w:rsid w:val="0413C13A"/>
    <w:rsid w:val="044713A5"/>
    <w:rsid w:val="044A5FEB"/>
    <w:rsid w:val="044B6DD7"/>
    <w:rsid w:val="044E34E2"/>
    <w:rsid w:val="0454A679"/>
    <w:rsid w:val="048A3F08"/>
    <w:rsid w:val="04B182EA"/>
    <w:rsid w:val="04BFE757"/>
    <w:rsid w:val="04DFC7C5"/>
    <w:rsid w:val="05113461"/>
    <w:rsid w:val="051182FD"/>
    <w:rsid w:val="05128BCE"/>
    <w:rsid w:val="05161D7A"/>
    <w:rsid w:val="0524DB54"/>
    <w:rsid w:val="055FBC6D"/>
    <w:rsid w:val="0573FCA7"/>
    <w:rsid w:val="057453DB"/>
    <w:rsid w:val="058553B3"/>
    <w:rsid w:val="059B23BB"/>
    <w:rsid w:val="05C345E9"/>
    <w:rsid w:val="05D8D41C"/>
    <w:rsid w:val="05EE22F5"/>
    <w:rsid w:val="05FCEB92"/>
    <w:rsid w:val="06053387"/>
    <w:rsid w:val="061F8554"/>
    <w:rsid w:val="0632C10C"/>
    <w:rsid w:val="065A7C10"/>
    <w:rsid w:val="0676E62E"/>
    <w:rsid w:val="0679C7C6"/>
    <w:rsid w:val="06CF0B1E"/>
    <w:rsid w:val="06F54717"/>
    <w:rsid w:val="06F84FB2"/>
    <w:rsid w:val="07476827"/>
    <w:rsid w:val="074CD396"/>
    <w:rsid w:val="07B10F34"/>
    <w:rsid w:val="083986B7"/>
    <w:rsid w:val="08568267"/>
    <w:rsid w:val="085C8FA1"/>
    <w:rsid w:val="0861127D"/>
    <w:rsid w:val="0872970F"/>
    <w:rsid w:val="087380BF"/>
    <w:rsid w:val="087EF94E"/>
    <w:rsid w:val="089BFF99"/>
    <w:rsid w:val="089D1ADC"/>
    <w:rsid w:val="08B9F9B7"/>
    <w:rsid w:val="08BDDB92"/>
    <w:rsid w:val="08E14594"/>
    <w:rsid w:val="0903DE1A"/>
    <w:rsid w:val="0904CE65"/>
    <w:rsid w:val="0919D6A1"/>
    <w:rsid w:val="091A7346"/>
    <w:rsid w:val="0928D1A8"/>
    <w:rsid w:val="09297B81"/>
    <w:rsid w:val="0935F39A"/>
    <w:rsid w:val="094D9937"/>
    <w:rsid w:val="094F3E4C"/>
    <w:rsid w:val="0968E8DA"/>
    <w:rsid w:val="09A02F9E"/>
    <w:rsid w:val="09BD0854"/>
    <w:rsid w:val="09D0A339"/>
    <w:rsid w:val="0A0FFFA0"/>
    <w:rsid w:val="0A23B1D2"/>
    <w:rsid w:val="0A2545F1"/>
    <w:rsid w:val="0A278CB9"/>
    <w:rsid w:val="0A45A865"/>
    <w:rsid w:val="0A48C472"/>
    <w:rsid w:val="0A4BBBB7"/>
    <w:rsid w:val="0AB4F762"/>
    <w:rsid w:val="0B236413"/>
    <w:rsid w:val="0B43F713"/>
    <w:rsid w:val="0B44D050"/>
    <w:rsid w:val="0B467914"/>
    <w:rsid w:val="0B4F08DE"/>
    <w:rsid w:val="0B700B5F"/>
    <w:rsid w:val="0B935ED4"/>
    <w:rsid w:val="0BBAE87B"/>
    <w:rsid w:val="0BBC9F8C"/>
    <w:rsid w:val="0BE0F62C"/>
    <w:rsid w:val="0BF96B7C"/>
    <w:rsid w:val="0C418F25"/>
    <w:rsid w:val="0CA38403"/>
    <w:rsid w:val="0CA4C5CF"/>
    <w:rsid w:val="0CC72A6D"/>
    <w:rsid w:val="0CC8A743"/>
    <w:rsid w:val="0CD31819"/>
    <w:rsid w:val="0CD53C27"/>
    <w:rsid w:val="0CDAD829"/>
    <w:rsid w:val="0D16430A"/>
    <w:rsid w:val="0D205B0D"/>
    <w:rsid w:val="0D4934FB"/>
    <w:rsid w:val="0DA8FF86"/>
    <w:rsid w:val="0E02628B"/>
    <w:rsid w:val="0E12B345"/>
    <w:rsid w:val="0E63E5F7"/>
    <w:rsid w:val="0ED0759A"/>
    <w:rsid w:val="0EE00811"/>
    <w:rsid w:val="0EE318E8"/>
    <w:rsid w:val="0EE3A61F"/>
    <w:rsid w:val="0EF62CE4"/>
    <w:rsid w:val="0F1AAB43"/>
    <w:rsid w:val="0F2E45FA"/>
    <w:rsid w:val="0F59F6F3"/>
    <w:rsid w:val="0F68D513"/>
    <w:rsid w:val="0F71E721"/>
    <w:rsid w:val="0F81F8F7"/>
    <w:rsid w:val="0F9D655B"/>
    <w:rsid w:val="0FA9DAAF"/>
    <w:rsid w:val="0FB120C1"/>
    <w:rsid w:val="0FEED942"/>
    <w:rsid w:val="10514776"/>
    <w:rsid w:val="108DF53D"/>
    <w:rsid w:val="10A19359"/>
    <w:rsid w:val="10AEB2DF"/>
    <w:rsid w:val="11074ED8"/>
    <w:rsid w:val="113D37BD"/>
    <w:rsid w:val="11461D1B"/>
    <w:rsid w:val="1158DD36"/>
    <w:rsid w:val="11A59BE5"/>
    <w:rsid w:val="11FE823D"/>
    <w:rsid w:val="1224F246"/>
    <w:rsid w:val="122FAB97"/>
    <w:rsid w:val="1234FF44"/>
    <w:rsid w:val="123EE938"/>
    <w:rsid w:val="1247153D"/>
    <w:rsid w:val="124926C4"/>
    <w:rsid w:val="125C26FD"/>
    <w:rsid w:val="125FDF7D"/>
    <w:rsid w:val="129385AE"/>
    <w:rsid w:val="12B7BE1D"/>
    <w:rsid w:val="12D78F3B"/>
    <w:rsid w:val="12EC59A7"/>
    <w:rsid w:val="13124D44"/>
    <w:rsid w:val="131BEFBE"/>
    <w:rsid w:val="131E4DBE"/>
    <w:rsid w:val="13447ABD"/>
    <w:rsid w:val="1351451E"/>
    <w:rsid w:val="139F5A56"/>
    <w:rsid w:val="13ABC1B6"/>
    <w:rsid w:val="13F0AE35"/>
    <w:rsid w:val="1402C000"/>
    <w:rsid w:val="140DE726"/>
    <w:rsid w:val="141D9BEA"/>
    <w:rsid w:val="1435A83F"/>
    <w:rsid w:val="1446BE96"/>
    <w:rsid w:val="146B0108"/>
    <w:rsid w:val="147FF697"/>
    <w:rsid w:val="14B8FA5D"/>
    <w:rsid w:val="14E5B340"/>
    <w:rsid w:val="1529D38F"/>
    <w:rsid w:val="1540AF8D"/>
    <w:rsid w:val="15735B33"/>
    <w:rsid w:val="1581C594"/>
    <w:rsid w:val="1588FBE5"/>
    <w:rsid w:val="15AB5648"/>
    <w:rsid w:val="15CB7833"/>
    <w:rsid w:val="15D7527B"/>
    <w:rsid w:val="16044AB0"/>
    <w:rsid w:val="160E22E1"/>
    <w:rsid w:val="16142F69"/>
    <w:rsid w:val="1634DE2C"/>
    <w:rsid w:val="16413861"/>
    <w:rsid w:val="1641EB27"/>
    <w:rsid w:val="16437922"/>
    <w:rsid w:val="167D74FD"/>
    <w:rsid w:val="16B50AFB"/>
    <w:rsid w:val="16C4635C"/>
    <w:rsid w:val="172148B6"/>
    <w:rsid w:val="173F0144"/>
    <w:rsid w:val="174314E9"/>
    <w:rsid w:val="17631AB2"/>
    <w:rsid w:val="176D3559"/>
    <w:rsid w:val="1773BFFA"/>
    <w:rsid w:val="177BFE9A"/>
    <w:rsid w:val="179BE515"/>
    <w:rsid w:val="17D2954A"/>
    <w:rsid w:val="17F2AAC8"/>
    <w:rsid w:val="17F8C76D"/>
    <w:rsid w:val="1832822D"/>
    <w:rsid w:val="184972AA"/>
    <w:rsid w:val="184DBD59"/>
    <w:rsid w:val="1851E39A"/>
    <w:rsid w:val="186287A3"/>
    <w:rsid w:val="18724A13"/>
    <w:rsid w:val="18D5BA93"/>
    <w:rsid w:val="18DEF522"/>
    <w:rsid w:val="18EC690D"/>
    <w:rsid w:val="18F0BDAD"/>
    <w:rsid w:val="18F721A0"/>
    <w:rsid w:val="191C0CE8"/>
    <w:rsid w:val="19290472"/>
    <w:rsid w:val="192D4E2A"/>
    <w:rsid w:val="194C51C6"/>
    <w:rsid w:val="196E3E77"/>
    <w:rsid w:val="197034CD"/>
    <w:rsid w:val="19911A47"/>
    <w:rsid w:val="19933158"/>
    <w:rsid w:val="19A2544E"/>
    <w:rsid w:val="19BC9DFC"/>
    <w:rsid w:val="19D5C695"/>
    <w:rsid w:val="19E075B7"/>
    <w:rsid w:val="1A04A295"/>
    <w:rsid w:val="1A170BBB"/>
    <w:rsid w:val="1A1BC9C3"/>
    <w:rsid w:val="1A1D9E85"/>
    <w:rsid w:val="1A20DA6E"/>
    <w:rsid w:val="1A42B657"/>
    <w:rsid w:val="1A54153A"/>
    <w:rsid w:val="1A6FDBF7"/>
    <w:rsid w:val="1A9111C3"/>
    <w:rsid w:val="1AC185AD"/>
    <w:rsid w:val="1AC73470"/>
    <w:rsid w:val="1B93E2DE"/>
    <w:rsid w:val="1BCE2A90"/>
    <w:rsid w:val="1BE78B9A"/>
    <w:rsid w:val="1BE87B56"/>
    <w:rsid w:val="1BEA0A52"/>
    <w:rsid w:val="1BFAB46D"/>
    <w:rsid w:val="1C0D0DC8"/>
    <w:rsid w:val="1C181AFE"/>
    <w:rsid w:val="1C40FC39"/>
    <w:rsid w:val="1C5B9F3F"/>
    <w:rsid w:val="1C88CF1F"/>
    <w:rsid w:val="1C89625F"/>
    <w:rsid w:val="1C92388A"/>
    <w:rsid w:val="1CC0DB46"/>
    <w:rsid w:val="1CE73914"/>
    <w:rsid w:val="1D005AEB"/>
    <w:rsid w:val="1D1A6E8C"/>
    <w:rsid w:val="1D292B98"/>
    <w:rsid w:val="1D4E8FCA"/>
    <w:rsid w:val="1D5E8786"/>
    <w:rsid w:val="1D762BEF"/>
    <w:rsid w:val="1D84F66E"/>
    <w:rsid w:val="1D9759BD"/>
    <w:rsid w:val="1DA5FE88"/>
    <w:rsid w:val="1DBB84F2"/>
    <w:rsid w:val="1E1723B1"/>
    <w:rsid w:val="1E24BC7D"/>
    <w:rsid w:val="1E44A95C"/>
    <w:rsid w:val="1E5AF005"/>
    <w:rsid w:val="1E790C1F"/>
    <w:rsid w:val="1E8B73A6"/>
    <w:rsid w:val="1E9BBD96"/>
    <w:rsid w:val="1EC958BE"/>
    <w:rsid w:val="1EEA5C69"/>
    <w:rsid w:val="1F154B9E"/>
    <w:rsid w:val="1FA55E2F"/>
    <w:rsid w:val="1FB7D562"/>
    <w:rsid w:val="1FE66965"/>
    <w:rsid w:val="1FE9B7DD"/>
    <w:rsid w:val="20036A26"/>
    <w:rsid w:val="200FB3D2"/>
    <w:rsid w:val="204803F3"/>
    <w:rsid w:val="20681B28"/>
    <w:rsid w:val="20A2DAED"/>
    <w:rsid w:val="20B0EA19"/>
    <w:rsid w:val="20B906E3"/>
    <w:rsid w:val="20C7E5BC"/>
    <w:rsid w:val="20E764C5"/>
    <w:rsid w:val="20F05DBC"/>
    <w:rsid w:val="20FC39BC"/>
    <w:rsid w:val="2117D9BC"/>
    <w:rsid w:val="2134FFDA"/>
    <w:rsid w:val="215E2EF5"/>
    <w:rsid w:val="21921A43"/>
    <w:rsid w:val="21953D98"/>
    <w:rsid w:val="21BDFC16"/>
    <w:rsid w:val="21C2EAE9"/>
    <w:rsid w:val="21F3902C"/>
    <w:rsid w:val="21F52732"/>
    <w:rsid w:val="21F59928"/>
    <w:rsid w:val="2223153C"/>
    <w:rsid w:val="222773B0"/>
    <w:rsid w:val="2279848D"/>
    <w:rsid w:val="22AA2F43"/>
    <w:rsid w:val="22C8631C"/>
    <w:rsid w:val="22D2A74C"/>
    <w:rsid w:val="22DB0D01"/>
    <w:rsid w:val="22F6A834"/>
    <w:rsid w:val="230A6E7D"/>
    <w:rsid w:val="23207A47"/>
    <w:rsid w:val="23225378"/>
    <w:rsid w:val="2353C8FB"/>
    <w:rsid w:val="235512E4"/>
    <w:rsid w:val="235D4831"/>
    <w:rsid w:val="2364B9F2"/>
    <w:rsid w:val="2365F349"/>
    <w:rsid w:val="2373B753"/>
    <w:rsid w:val="237947A6"/>
    <w:rsid w:val="23A232A7"/>
    <w:rsid w:val="23ADFDE2"/>
    <w:rsid w:val="23B69BCC"/>
    <w:rsid w:val="23BEAA1D"/>
    <w:rsid w:val="23EF351C"/>
    <w:rsid w:val="23FEA7E8"/>
    <w:rsid w:val="241C5B93"/>
    <w:rsid w:val="244D3E50"/>
    <w:rsid w:val="245CEA17"/>
    <w:rsid w:val="247298CC"/>
    <w:rsid w:val="2484B381"/>
    <w:rsid w:val="24B69D0F"/>
    <w:rsid w:val="24BB8AEE"/>
    <w:rsid w:val="24EB3B9F"/>
    <w:rsid w:val="24F5204B"/>
    <w:rsid w:val="25161788"/>
    <w:rsid w:val="252B1316"/>
    <w:rsid w:val="253C2F7B"/>
    <w:rsid w:val="2561DC8E"/>
    <w:rsid w:val="256607D9"/>
    <w:rsid w:val="257B0058"/>
    <w:rsid w:val="25A9BB6D"/>
    <w:rsid w:val="25B5CFDF"/>
    <w:rsid w:val="25B7955E"/>
    <w:rsid w:val="25CB69D1"/>
    <w:rsid w:val="261230B8"/>
    <w:rsid w:val="262E9585"/>
    <w:rsid w:val="2631FB33"/>
    <w:rsid w:val="26568F61"/>
    <w:rsid w:val="265C14D1"/>
    <w:rsid w:val="2681EAAA"/>
    <w:rsid w:val="269B8E35"/>
    <w:rsid w:val="26E689B4"/>
    <w:rsid w:val="274CE4C5"/>
    <w:rsid w:val="275471D0"/>
    <w:rsid w:val="27564CD5"/>
    <w:rsid w:val="2799E570"/>
    <w:rsid w:val="27C84F8D"/>
    <w:rsid w:val="27D78FC4"/>
    <w:rsid w:val="280B55B0"/>
    <w:rsid w:val="2819EBE3"/>
    <w:rsid w:val="281F8B91"/>
    <w:rsid w:val="2829804D"/>
    <w:rsid w:val="282E653B"/>
    <w:rsid w:val="289388D5"/>
    <w:rsid w:val="289C0B70"/>
    <w:rsid w:val="28B910E7"/>
    <w:rsid w:val="28BCECCA"/>
    <w:rsid w:val="28C3656E"/>
    <w:rsid w:val="28CC81E6"/>
    <w:rsid w:val="28D95066"/>
    <w:rsid w:val="28E70020"/>
    <w:rsid w:val="28FA0235"/>
    <w:rsid w:val="29455483"/>
    <w:rsid w:val="2957535B"/>
    <w:rsid w:val="295DE1DA"/>
    <w:rsid w:val="298C1E97"/>
    <w:rsid w:val="29912F81"/>
    <w:rsid w:val="29ADFA29"/>
    <w:rsid w:val="29C11CFD"/>
    <w:rsid w:val="29F99BEF"/>
    <w:rsid w:val="2A12B1E9"/>
    <w:rsid w:val="2A1B8419"/>
    <w:rsid w:val="2A246447"/>
    <w:rsid w:val="2A46580B"/>
    <w:rsid w:val="2A533ADA"/>
    <w:rsid w:val="2A77C52C"/>
    <w:rsid w:val="2AA655E5"/>
    <w:rsid w:val="2AD37B2D"/>
    <w:rsid w:val="2ADEA68A"/>
    <w:rsid w:val="2AED1CDF"/>
    <w:rsid w:val="2B6DFB29"/>
    <w:rsid w:val="2BD85257"/>
    <w:rsid w:val="2C148D81"/>
    <w:rsid w:val="2C62C0F7"/>
    <w:rsid w:val="2C6D71BD"/>
    <w:rsid w:val="2C6F24C5"/>
    <w:rsid w:val="2CA302BF"/>
    <w:rsid w:val="2CA315EE"/>
    <w:rsid w:val="2CAF967C"/>
    <w:rsid w:val="2CB1CA47"/>
    <w:rsid w:val="2CBA3E9B"/>
    <w:rsid w:val="2CC735B5"/>
    <w:rsid w:val="2CC9C3ED"/>
    <w:rsid w:val="2CD35A81"/>
    <w:rsid w:val="2D32EA4B"/>
    <w:rsid w:val="2D3BCA79"/>
    <w:rsid w:val="2D5C05E1"/>
    <w:rsid w:val="2DA1FF1A"/>
    <w:rsid w:val="2DB4C566"/>
    <w:rsid w:val="2DD5CFB2"/>
    <w:rsid w:val="2DE1380A"/>
    <w:rsid w:val="2DE38336"/>
    <w:rsid w:val="2DF730AF"/>
    <w:rsid w:val="2E38DC90"/>
    <w:rsid w:val="2E5F73FF"/>
    <w:rsid w:val="2E66D028"/>
    <w:rsid w:val="2ECCA5C8"/>
    <w:rsid w:val="2EF6D0AD"/>
    <w:rsid w:val="2F176DC0"/>
    <w:rsid w:val="2F1CB9F7"/>
    <w:rsid w:val="2F286FB5"/>
    <w:rsid w:val="2F4357EF"/>
    <w:rsid w:val="2F608E2C"/>
    <w:rsid w:val="2F674CA4"/>
    <w:rsid w:val="2F8E85E6"/>
    <w:rsid w:val="2FC9F772"/>
    <w:rsid w:val="2FD75B82"/>
    <w:rsid w:val="2FEA1623"/>
    <w:rsid w:val="301CB0BF"/>
    <w:rsid w:val="3024ED60"/>
    <w:rsid w:val="302BF053"/>
    <w:rsid w:val="302D8C2F"/>
    <w:rsid w:val="30380382"/>
    <w:rsid w:val="3080FE87"/>
    <w:rsid w:val="308196DC"/>
    <w:rsid w:val="30827312"/>
    <w:rsid w:val="30D49AF8"/>
    <w:rsid w:val="30DBA08D"/>
    <w:rsid w:val="30DEDA36"/>
    <w:rsid w:val="30F3E86E"/>
    <w:rsid w:val="314C1EDE"/>
    <w:rsid w:val="3190FDEC"/>
    <w:rsid w:val="31C43FAE"/>
    <w:rsid w:val="325A342C"/>
    <w:rsid w:val="32607A05"/>
    <w:rsid w:val="32A96B8B"/>
    <w:rsid w:val="32B976E3"/>
    <w:rsid w:val="32C03890"/>
    <w:rsid w:val="32CFD3ED"/>
    <w:rsid w:val="32D6F631"/>
    <w:rsid w:val="32EBFA99"/>
    <w:rsid w:val="32ED319E"/>
    <w:rsid w:val="334ABCCE"/>
    <w:rsid w:val="337210B1"/>
    <w:rsid w:val="339C6648"/>
    <w:rsid w:val="339E54C9"/>
    <w:rsid w:val="33B8FEC2"/>
    <w:rsid w:val="33BFA85B"/>
    <w:rsid w:val="33CFC63D"/>
    <w:rsid w:val="33E46020"/>
    <w:rsid w:val="33EA332E"/>
    <w:rsid w:val="33FF21CB"/>
    <w:rsid w:val="3409601F"/>
    <w:rsid w:val="340BF30D"/>
    <w:rsid w:val="341EB9DA"/>
    <w:rsid w:val="3425675D"/>
    <w:rsid w:val="3463BB05"/>
    <w:rsid w:val="347C57EA"/>
    <w:rsid w:val="34A273D9"/>
    <w:rsid w:val="34D54FC4"/>
    <w:rsid w:val="34F498F0"/>
    <w:rsid w:val="350A187E"/>
    <w:rsid w:val="351D5DED"/>
    <w:rsid w:val="3522296C"/>
    <w:rsid w:val="35569292"/>
    <w:rsid w:val="355EF091"/>
    <w:rsid w:val="35D41B4C"/>
    <w:rsid w:val="35EF59FA"/>
    <w:rsid w:val="36261D58"/>
    <w:rsid w:val="3679983E"/>
    <w:rsid w:val="36B35A86"/>
    <w:rsid w:val="36D84C74"/>
    <w:rsid w:val="36E650A0"/>
    <w:rsid w:val="36EDFA63"/>
    <w:rsid w:val="3702003F"/>
    <w:rsid w:val="370FF035"/>
    <w:rsid w:val="3745BFA6"/>
    <w:rsid w:val="374ABF90"/>
    <w:rsid w:val="375F7AA9"/>
    <w:rsid w:val="377A9F3A"/>
    <w:rsid w:val="3784A3C4"/>
    <w:rsid w:val="37A3DC46"/>
    <w:rsid w:val="37AFB177"/>
    <w:rsid w:val="37C9ACE2"/>
    <w:rsid w:val="37E100C5"/>
    <w:rsid w:val="37F12C43"/>
    <w:rsid w:val="37FCDFD7"/>
    <w:rsid w:val="380147F6"/>
    <w:rsid w:val="3802058D"/>
    <w:rsid w:val="380688C1"/>
    <w:rsid w:val="3842FAA0"/>
    <w:rsid w:val="3844DEC9"/>
    <w:rsid w:val="3845CE0F"/>
    <w:rsid w:val="386A9A95"/>
    <w:rsid w:val="38B266E2"/>
    <w:rsid w:val="38D54FFD"/>
    <w:rsid w:val="38DCA80B"/>
    <w:rsid w:val="38F348D7"/>
    <w:rsid w:val="38F673DD"/>
    <w:rsid w:val="390CB8C8"/>
    <w:rsid w:val="39133888"/>
    <w:rsid w:val="393AC470"/>
    <w:rsid w:val="395697B9"/>
    <w:rsid w:val="39735137"/>
    <w:rsid w:val="397C5ED2"/>
    <w:rsid w:val="397E5382"/>
    <w:rsid w:val="399BF5B2"/>
    <w:rsid w:val="39B81B0F"/>
    <w:rsid w:val="39C0B12D"/>
    <w:rsid w:val="39CC7984"/>
    <w:rsid w:val="39D4543F"/>
    <w:rsid w:val="3A131ABE"/>
    <w:rsid w:val="3A360CBE"/>
    <w:rsid w:val="3A3CD54A"/>
    <w:rsid w:val="3A50B0C7"/>
    <w:rsid w:val="3A6AD3D5"/>
    <w:rsid w:val="3A8652BD"/>
    <w:rsid w:val="3A9747EE"/>
    <w:rsid w:val="3AAE21BC"/>
    <w:rsid w:val="3AC60018"/>
    <w:rsid w:val="3AE5A324"/>
    <w:rsid w:val="3B52164E"/>
    <w:rsid w:val="3BCF9867"/>
    <w:rsid w:val="3BD35CF6"/>
    <w:rsid w:val="3BDD33F3"/>
    <w:rsid w:val="3BE416D5"/>
    <w:rsid w:val="3C0559B7"/>
    <w:rsid w:val="3C10E2A3"/>
    <w:rsid w:val="3C3509F6"/>
    <w:rsid w:val="3C3B7191"/>
    <w:rsid w:val="3C404D49"/>
    <w:rsid w:val="3C8CE552"/>
    <w:rsid w:val="3C9200CB"/>
    <w:rsid w:val="3C94C208"/>
    <w:rsid w:val="3C9E897A"/>
    <w:rsid w:val="3C9FE1FF"/>
    <w:rsid w:val="3CC6AF1B"/>
    <w:rsid w:val="3D2C6301"/>
    <w:rsid w:val="3D3FE166"/>
    <w:rsid w:val="3D4217CF"/>
    <w:rsid w:val="3DAA5339"/>
    <w:rsid w:val="3DBD1598"/>
    <w:rsid w:val="3DCD92D3"/>
    <w:rsid w:val="3DDCA0FB"/>
    <w:rsid w:val="3DEDECEB"/>
    <w:rsid w:val="3E1D2C98"/>
    <w:rsid w:val="3E4E0F9A"/>
    <w:rsid w:val="3E505392"/>
    <w:rsid w:val="3E758DEC"/>
    <w:rsid w:val="3E886700"/>
    <w:rsid w:val="3E958B9F"/>
    <w:rsid w:val="3ECDA34E"/>
    <w:rsid w:val="3ECF09C8"/>
    <w:rsid w:val="3ED496F9"/>
    <w:rsid w:val="3ED7739F"/>
    <w:rsid w:val="3EE9534C"/>
    <w:rsid w:val="3EF0B29A"/>
    <w:rsid w:val="3EF9FC2E"/>
    <w:rsid w:val="3F0161BD"/>
    <w:rsid w:val="3F0C768F"/>
    <w:rsid w:val="3F245CA8"/>
    <w:rsid w:val="3F2A082F"/>
    <w:rsid w:val="3F30B844"/>
    <w:rsid w:val="3F6D4C97"/>
    <w:rsid w:val="3F7D32F8"/>
    <w:rsid w:val="3F855B7E"/>
    <w:rsid w:val="3F856C63"/>
    <w:rsid w:val="3FB0430D"/>
    <w:rsid w:val="3FC48544"/>
    <w:rsid w:val="3FD4A10C"/>
    <w:rsid w:val="3FDF7D60"/>
    <w:rsid w:val="3FF16061"/>
    <w:rsid w:val="3FF2312A"/>
    <w:rsid w:val="3FF78647"/>
    <w:rsid w:val="400A4257"/>
    <w:rsid w:val="40554C02"/>
    <w:rsid w:val="405BCDAE"/>
    <w:rsid w:val="406B1899"/>
    <w:rsid w:val="409C4794"/>
    <w:rsid w:val="40A0C619"/>
    <w:rsid w:val="40C234CB"/>
    <w:rsid w:val="410E8CF3"/>
    <w:rsid w:val="4134B1D0"/>
    <w:rsid w:val="4148ADCD"/>
    <w:rsid w:val="41BDF2E9"/>
    <w:rsid w:val="41D5BD89"/>
    <w:rsid w:val="41E16165"/>
    <w:rsid w:val="41FFBFF7"/>
    <w:rsid w:val="42027695"/>
    <w:rsid w:val="423FD7C2"/>
    <w:rsid w:val="4248EAFC"/>
    <w:rsid w:val="4280C94A"/>
    <w:rsid w:val="42813786"/>
    <w:rsid w:val="4299A007"/>
    <w:rsid w:val="42A1F16E"/>
    <w:rsid w:val="42B86A33"/>
    <w:rsid w:val="42F07DB4"/>
    <w:rsid w:val="43950FD4"/>
    <w:rsid w:val="43F206E7"/>
    <w:rsid w:val="43F7B612"/>
    <w:rsid w:val="441BF39D"/>
    <w:rsid w:val="444420EC"/>
    <w:rsid w:val="44529815"/>
    <w:rsid w:val="4464B1F1"/>
    <w:rsid w:val="447A1601"/>
    <w:rsid w:val="44B3C523"/>
    <w:rsid w:val="44B854B1"/>
    <w:rsid w:val="450E2A87"/>
    <w:rsid w:val="451F628E"/>
    <w:rsid w:val="45819197"/>
    <w:rsid w:val="45AA741B"/>
    <w:rsid w:val="45CBA846"/>
    <w:rsid w:val="45ED69FB"/>
    <w:rsid w:val="4600497A"/>
    <w:rsid w:val="46D0DDE4"/>
    <w:rsid w:val="46D4BD23"/>
    <w:rsid w:val="46E93E09"/>
    <w:rsid w:val="47086D9F"/>
    <w:rsid w:val="475A3DFA"/>
    <w:rsid w:val="475C0905"/>
    <w:rsid w:val="476E7307"/>
    <w:rsid w:val="4778699B"/>
    <w:rsid w:val="4780FE1A"/>
    <w:rsid w:val="479AE129"/>
    <w:rsid w:val="47B0276B"/>
    <w:rsid w:val="47C8D4C5"/>
    <w:rsid w:val="47CBAB23"/>
    <w:rsid w:val="47E1ADFC"/>
    <w:rsid w:val="4803168C"/>
    <w:rsid w:val="482931DB"/>
    <w:rsid w:val="48330BF6"/>
    <w:rsid w:val="4833834E"/>
    <w:rsid w:val="48519343"/>
    <w:rsid w:val="488C876A"/>
    <w:rsid w:val="488CB74A"/>
    <w:rsid w:val="4891320A"/>
    <w:rsid w:val="48B210AD"/>
    <w:rsid w:val="48EA7EFE"/>
    <w:rsid w:val="48F8C5A1"/>
    <w:rsid w:val="491B7FBC"/>
    <w:rsid w:val="492A76B1"/>
    <w:rsid w:val="495569E7"/>
    <w:rsid w:val="4986BC7B"/>
    <w:rsid w:val="499EF31A"/>
    <w:rsid w:val="49DAB04C"/>
    <w:rsid w:val="49ED0623"/>
    <w:rsid w:val="49EFE4F7"/>
    <w:rsid w:val="49F66DD5"/>
    <w:rsid w:val="4A05CEC9"/>
    <w:rsid w:val="4A5D2AD9"/>
    <w:rsid w:val="4A6646E7"/>
    <w:rsid w:val="4A67513A"/>
    <w:rsid w:val="4A6E6330"/>
    <w:rsid w:val="4A730B34"/>
    <w:rsid w:val="4A8BF8D0"/>
    <w:rsid w:val="4A9BA416"/>
    <w:rsid w:val="4AA410A6"/>
    <w:rsid w:val="4AADACBF"/>
    <w:rsid w:val="4ABE3501"/>
    <w:rsid w:val="4AE6CA0F"/>
    <w:rsid w:val="4AEE0C85"/>
    <w:rsid w:val="4B091B3B"/>
    <w:rsid w:val="4B360BAE"/>
    <w:rsid w:val="4B620F72"/>
    <w:rsid w:val="4B7D3445"/>
    <w:rsid w:val="4B90A5C9"/>
    <w:rsid w:val="4BA9C8C7"/>
    <w:rsid w:val="4BAF99D8"/>
    <w:rsid w:val="4BE9D32F"/>
    <w:rsid w:val="4BF20FBC"/>
    <w:rsid w:val="4BF5566E"/>
    <w:rsid w:val="4C2B3E37"/>
    <w:rsid w:val="4C2EDD5D"/>
    <w:rsid w:val="4C36CF4B"/>
    <w:rsid w:val="4C4F7187"/>
    <w:rsid w:val="4C61B98A"/>
    <w:rsid w:val="4C6736C5"/>
    <w:rsid w:val="4C8A7A3E"/>
    <w:rsid w:val="4C8E7FC6"/>
    <w:rsid w:val="4CBEFD22"/>
    <w:rsid w:val="4CC61CDE"/>
    <w:rsid w:val="4CC9607D"/>
    <w:rsid w:val="4CEE8181"/>
    <w:rsid w:val="4CF7561F"/>
    <w:rsid w:val="4CFFB3D0"/>
    <w:rsid w:val="4D1A9CE5"/>
    <w:rsid w:val="4D305AD4"/>
    <w:rsid w:val="4D5B418B"/>
    <w:rsid w:val="4D7B3255"/>
    <w:rsid w:val="4DAD6AAC"/>
    <w:rsid w:val="4DC93C9D"/>
    <w:rsid w:val="4DD48825"/>
    <w:rsid w:val="4DD6AA17"/>
    <w:rsid w:val="4DE114FB"/>
    <w:rsid w:val="4E2596CB"/>
    <w:rsid w:val="4E32FA54"/>
    <w:rsid w:val="4E5C0E75"/>
    <w:rsid w:val="4E6D5003"/>
    <w:rsid w:val="4E8B99E3"/>
    <w:rsid w:val="4EBC8D80"/>
    <w:rsid w:val="4ED6D353"/>
    <w:rsid w:val="4EE1ADCF"/>
    <w:rsid w:val="4EE5F0CF"/>
    <w:rsid w:val="4F41C804"/>
    <w:rsid w:val="4F658F5D"/>
    <w:rsid w:val="4F76EF0F"/>
    <w:rsid w:val="4FA5B560"/>
    <w:rsid w:val="4FA8307C"/>
    <w:rsid w:val="4FAF4ABD"/>
    <w:rsid w:val="4FB599C7"/>
    <w:rsid w:val="4FBBAED6"/>
    <w:rsid w:val="4FEB38C4"/>
    <w:rsid w:val="50675194"/>
    <w:rsid w:val="50B63016"/>
    <w:rsid w:val="50BCA916"/>
    <w:rsid w:val="50BFD949"/>
    <w:rsid w:val="50DFCF0B"/>
    <w:rsid w:val="50F359B3"/>
    <w:rsid w:val="50F6BB99"/>
    <w:rsid w:val="51151D77"/>
    <w:rsid w:val="513172B1"/>
    <w:rsid w:val="5133E641"/>
    <w:rsid w:val="51750E45"/>
    <w:rsid w:val="5180C6F1"/>
    <w:rsid w:val="518677BF"/>
    <w:rsid w:val="519F5D95"/>
    <w:rsid w:val="51AA7F04"/>
    <w:rsid w:val="51C4E591"/>
    <w:rsid w:val="51E5D3E3"/>
    <w:rsid w:val="51E6CB08"/>
    <w:rsid w:val="51E94155"/>
    <w:rsid w:val="51FF0E3F"/>
    <w:rsid w:val="520030F9"/>
    <w:rsid w:val="52326B66"/>
    <w:rsid w:val="523BDC44"/>
    <w:rsid w:val="526FD90D"/>
    <w:rsid w:val="528EAB1D"/>
    <w:rsid w:val="5290DA66"/>
    <w:rsid w:val="52B50BA6"/>
    <w:rsid w:val="52C5FCBE"/>
    <w:rsid w:val="52C89804"/>
    <w:rsid w:val="52D65318"/>
    <w:rsid w:val="5361C442"/>
    <w:rsid w:val="539CCD83"/>
    <w:rsid w:val="53A21FA8"/>
    <w:rsid w:val="53AAA9FF"/>
    <w:rsid w:val="53BA4AB8"/>
    <w:rsid w:val="53D4A26F"/>
    <w:rsid w:val="53F1AD7C"/>
    <w:rsid w:val="53F8B81A"/>
    <w:rsid w:val="5403B449"/>
    <w:rsid w:val="540C3E57"/>
    <w:rsid w:val="5438FFCE"/>
    <w:rsid w:val="54B59BEA"/>
    <w:rsid w:val="54DFBBA3"/>
    <w:rsid w:val="54F8BF3B"/>
    <w:rsid w:val="55189B2E"/>
    <w:rsid w:val="554D44D6"/>
    <w:rsid w:val="555C7CF5"/>
    <w:rsid w:val="5569C8D8"/>
    <w:rsid w:val="55919137"/>
    <w:rsid w:val="55A5C563"/>
    <w:rsid w:val="55B669C5"/>
    <w:rsid w:val="55D767AC"/>
    <w:rsid w:val="55EE7AB0"/>
    <w:rsid w:val="55F762EF"/>
    <w:rsid w:val="560CEA4C"/>
    <w:rsid w:val="562E9AFD"/>
    <w:rsid w:val="5646C4CE"/>
    <w:rsid w:val="56568F9C"/>
    <w:rsid w:val="56659FDA"/>
    <w:rsid w:val="567502DA"/>
    <w:rsid w:val="56B1E587"/>
    <w:rsid w:val="56B22407"/>
    <w:rsid w:val="56C42FF7"/>
    <w:rsid w:val="56C61400"/>
    <w:rsid w:val="56F82B78"/>
    <w:rsid w:val="5704CEC5"/>
    <w:rsid w:val="57103368"/>
    <w:rsid w:val="57175C4D"/>
    <w:rsid w:val="5756B4E1"/>
    <w:rsid w:val="578CD5E3"/>
    <w:rsid w:val="578E3661"/>
    <w:rsid w:val="57AE258B"/>
    <w:rsid w:val="581F33C0"/>
    <w:rsid w:val="582A1B14"/>
    <w:rsid w:val="585BC39E"/>
    <w:rsid w:val="587662BC"/>
    <w:rsid w:val="587C16AA"/>
    <w:rsid w:val="58A5A823"/>
    <w:rsid w:val="58C132D6"/>
    <w:rsid w:val="5921E658"/>
    <w:rsid w:val="59396CC1"/>
    <w:rsid w:val="5951EE35"/>
    <w:rsid w:val="59689E01"/>
    <w:rsid w:val="5994F445"/>
    <w:rsid w:val="599CA7A4"/>
    <w:rsid w:val="59A8E411"/>
    <w:rsid w:val="59B51C4E"/>
    <w:rsid w:val="5A0DF3C0"/>
    <w:rsid w:val="5A2DEB30"/>
    <w:rsid w:val="5A3C95BE"/>
    <w:rsid w:val="5A695845"/>
    <w:rsid w:val="5A6BB461"/>
    <w:rsid w:val="5A81AB59"/>
    <w:rsid w:val="5A8A67BD"/>
    <w:rsid w:val="5AB811C3"/>
    <w:rsid w:val="5AF27AF8"/>
    <w:rsid w:val="5B2FFC93"/>
    <w:rsid w:val="5B31BB1F"/>
    <w:rsid w:val="5B406FEC"/>
    <w:rsid w:val="5BB0CA59"/>
    <w:rsid w:val="5BB2A749"/>
    <w:rsid w:val="5BC77A8B"/>
    <w:rsid w:val="5BD5C474"/>
    <w:rsid w:val="5BD72AA2"/>
    <w:rsid w:val="5BF450FF"/>
    <w:rsid w:val="5C2E5073"/>
    <w:rsid w:val="5CAB8123"/>
    <w:rsid w:val="5CBD689F"/>
    <w:rsid w:val="5CBF3D4C"/>
    <w:rsid w:val="5CD097E4"/>
    <w:rsid w:val="5D0C637A"/>
    <w:rsid w:val="5D26467F"/>
    <w:rsid w:val="5D31C750"/>
    <w:rsid w:val="5D3EEF1F"/>
    <w:rsid w:val="5D42FD0E"/>
    <w:rsid w:val="5D5FEF6C"/>
    <w:rsid w:val="5D6CA99A"/>
    <w:rsid w:val="5D78B1B6"/>
    <w:rsid w:val="5D822CA2"/>
    <w:rsid w:val="5DB455DB"/>
    <w:rsid w:val="5DDD112F"/>
    <w:rsid w:val="5E016FF1"/>
    <w:rsid w:val="5E27E54D"/>
    <w:rsid w:val="5E51A3DA"/>
    <w:rsid w:val="5E60FD6E"/>
    <w:rsid w:val="5EB226E9"/>
    <w:rsid w:val="5EC2EBB7"/>
    <w:rsid w:val="5ED6C029"/>
    <w:rsid w:val="5EF04774"/>
    <w:rsid w:val="5F0CF79B"/>
    <w:rsid w:val="5F38404F"/>
    <w:rsid w:val="5F59F2AE"/>
    <w:rsid w:val="5F9A89F3"/>
    <w:rsid w:val="5F9AAAD2"/>
    <w:rsid w:val="5FFD1024"/>
    <w:rsid w:val="5FFF31DF"/>
    <w:rsid w:val="601B3DE0"/>
    <w:rsid w:val="605569DA"/>
    <w:rsid w:val="60585DF2"/>
    <w:rsid w:val="605DCC0A"/>
    <w:rsid w:val="605EE77E"/>
    <w:rsid w:val="607ECE0B"/>
    <w:rsid w:val="60979579"/>
    <w:rsid w:val="60BF7242"/>
    <w:rsid w:val="60C378BC"/>
    <w:rsid w:val="60ED3588"/>
    <w:rsid w:val="61031E55"/>
    <w:rsid w:val="61080556"/>
    <w:rsid w:val="610A767B"/>
    <w:rsid w:val="611F14FA"/>
    <w:rsid w:val="612291DC"/>
    <w:rsid w:val="61311EF8"/>
    <w:rsid w:val="613CA6A4"/>
    <w:rsid w:val="616D4036"/>
    <w:rsid w:val="61E119F7"/>
    <w:rsid w:val="61FFA5CF"/>
    <w:rsid w:val="624E6AB0"/>
    <w:rsid w:val="6266B2C2"/>
    <w:rsid w:val="62746535"/>
    <w:rsid w:val="62A4CCEC"/>
    <w:rsid w:val="62E8DE2B"/>
    <w:rsid w:val="62EC626A"/>
    <w:rsid w:val="62F00A32"/>
    <w:rsid w:val="632DF9AA"/>
    <w:rsid w:val="6354957C"/>
    <w:rsid w:val="636E5F1B"/>
    <w:rsid w:val="63A67D0F"/>
    <w:rsid w:val="63B6C762"/>
    <w:rsid w:val="63BB3B21"/>
    <w:rsid w:val="6410B2BC"/>
    <w:rsid w:val="642E4D4B"/>
    <w:rsid w:val="6459014D"/>
    <w:rsid w:val="645DCEBF"/>
    <w:rsid w:val="6471E829"/>
    <w:rsid w:val="647F316F"/>
    <w:rsid w:val="64A5A258"/>
    <w:rsid w:val="64B64B83"/>
    <w:rsid w:val="64D7F9DA"/>
    <w:rsid w:val="64E63127"/>
    <w:rsid w:val="65108FCB"/>
    <w:rsid w:val="65188C4F"/>
    <w:rsid w:val="6545A429"/>
    <w:rsid w:val="65580C16"/>
    <w:rsid w:val="656D4A16"/>
    <w:rsid w:val="6599176D"/>
    <w:rsid w:val="659C3EEE"/>
    <w:rsid w:val="65D1403F"/>
    <w:rsid w:val="65D94945"/>
    <w:rsid w:val="65F98BE3"/>
    <w:rsid w:val="65FC6B67"/>
    <w:rsid w:val="66252E77"/>
    <w:rsid w:val="66463890"/>
    <w:rsid w:val="6648D3B0"/>
    <w:rsid w:val="66893700"/>
    <w:rsid w:val="66A0C80F"/>
    <w:rsid w:val="66A9A5D3"/>
    <w:rsid w:val="66F83049"/>
    <w:rsid w:val="66F8F1B9"/>
    <w:rsid w:val="671965F9"/>
    <w:rsid w:val="671B8342"/>
    <w:rsid w:val="675225C0"/>
    <w:rsid w:val="677B659D"/>
    <w:rsid w:val="679B5441"/>
    <w:rsid w:val="67CF9A25"/>
    <w:rsid w:val="67DA1B26"/>
    <w:rsid w:val="67E46A94"/>
    <w:rsid w:val="67ED98F7"/>
    <w:rsid w:val="67EE2232"/>
    <w:rsid w:val="681C0EFA"/>
    <w:rsid w:val="6821067E"/>
    <w:rsid w:val="68670705"/>
    <w:rsid w:val="686A2D21"/>
    <w:rsid w:val="686B70A6"/>
    <w:rsid w:val="68A47C9F"/>
    <w:rsid w:val="68B9C5A2"/>
    <w:rsid w:val="69126292"/>
    <w:rsid w:val="691704AA"/>
    <w:rsid w:val="6937243A"/>
    <w:rsid w:val="693DD88F"/>
    <w:rsid w:val="69484C89"/>
    <w:rsid w:val="694886E3"/>
    <w:rsid w:val="694C24A6"/>
    <w:rsid w:val="696D828D"/>
    <w:rsid w:val="697F40BC"/>
    <w:rsid w:val="69820AF7"/>
    <w:rsid w:val="69AB945F"/>
    <w:rsid w:val="69FC9829"/>
    <w:rsid w:val="6A0EBBE7"/>
    <w:rsid w:val="6A7370E3"/>
    <w:rsid w:val="6A879441"/>
    <w:rsid w:val="6A8A4D9E"/>
    <w:rsid w:val="6AE9BFA6"/>
    <w:rsid w:val="6AF12734"/>
    <w:rsid w:val="6B0EAB22"/>
    <w:rsid w:val="6B1526FE"/>
    <w:rsid w:val="6B274107"/>
    <w:rsid w:val="6B3CFC06"/>
    <w:rsid w:val="6B49CEE3"/>
    <w:rsid w:val="6B58DA9E"/>
    <w:rsid w:val="6B832791"/>
    <w:rsid w:val="6B8D5146"/>
    <w:rsid w:val="6BAEAA4F"/>
    <w:rsid w:val="6BC81945"/>
    <w:rsid w:val="6C01AB62"/>
    <w:rsid w:val="6C320512"/>
    <w:rsid w:val="6C35BE3A"/>
    <w:rsid w:val="6C440123"/>
    <w:rsid w:val="6C60CEC8"/>
    <w:rsid w:val="6C72F6D1"/>
    <w:rsid w:val="6C7F5B6B"/>
    <w:rsid w:val="6C8CBC77"/>
    <w:rsid w:val="6C9B4B5E"/>
    <w:rsid w:val="6CA04CA6"/>
    <w:rsid w:val="6CA6F56B"/>
    <w:rsid w:val="6CBF46A9"/>
    <w:rsid w:val="6CE76B03"/>
    <w:rsid w:val="6CF9D199"/>
    <w:rsid w:val="6CFD0491"/>
    <w:rsid w:val="6D3684CD"/>
    <w:rsid w:val="6D3DD89B"/>
    <w:rsid w:val="6D3EBCBE"/>
    <w:rsid w:val="6D4511E9"/>
    <w:rsid w:val="6D770D1D"/>
    <w:rsid w:val="6D7DB7B1"/>
    <w:rsid w:val="6DC259BE"/>
    <w:rsid w:val="6DC35FCA"/>
    <w:rsid w:val="6E09DC48"/>
    <w:rsid w:val="6E213B5B"/>
    <w:rsid w:val="6E2D8BC4"/>
    <w:rsid w:val="6E742F50"/>
    <w:rsid w:val="6EC60014"/>
    <w:rsid w:val="6ED05BFC"/>
    <w:rsid w:val="6F39BE1E"/>
    <w:rsid w:val="6F72F8D4"/>
    <w:rsid w:val="6F8E5FDB"/>
    <w:rsid w:val="6F9CDA7E"/>
    <w:rsid w:val="6FB109A3"/>
    <w:rsid w:val="6FCC9F52"/>
    <w:rsid w:val="6FF07C88"/>
    <w:rsid w:val="70264938"/>
    <w:rsid w:val="70523C70"/>
    <w:rsid w:val="7062AB55"/>
    <w:rsid w:val="70C49723"/>
    <w:rsid w:val="70CCADE4"/>
    <w:rsid w:val="70E645C8"/>
    <w:rsid w:val="7105658E"/>
    <w:rsid w:val="711EF690"/>
    <w:rsid w:val="7134037E"/>
    <w:rsid w:val="713A7F34"/>
    <w:rsid w:val="7158CC0E"/>
    <w:rsid w:val="7170FCE3"/>
    <w:rsid w:val="7172A6F4"/>
    <w:rsid w:val="71F0300D"/>
    <w:rsid w:val="72104B16"/>
    <w:rsid w:val="727B9E2D"/>
    <w:rsid w:val="728C271C"/>
    <w:rsid w:val="729A6589"/>
    <w:rsid w:val="72C287C3"/>
    <w:rsid w:val="72CDE9E7"/>
    <w:rsid w:val="72FAF1B5"/>
    <w:rsid w:val="73227122"/>
    <w:rsid w:val="7327B486"/>
    <w:rsid w:val="7371B8C1"/>
    <w:rsid w:val="7383B264"/>
    <w:rsid w:val="7384B55E"/>
    <w:rsid w:val="738679A1"/>
    <w:rsid w:val="739FEB6E"/>
    <w:rsid w:val="73BCFBFC"/>
    <w:rsid w:val="73DF5178"/>
    <w:rsid w:val="73EDD2ED"/>
    <w:rsid w:val="74028AA1"/>
    <w:rsid w:val="740415CB"/>
    <w:rsid w:val="74271E68"/>
    <w:rsid w:val="7428B5D0"/>
    <w:rsid w:val="7438B6D4"/>
    <w:rsid w:val="745E9746"/>
    <w:rsid w:val="748B90FC"/>
    <w:rsid w:val="74AE6B73"/>
    <w:rsid w:val="74E447A2"/>
    <w:rsid w:val="74F76D00"/>
    <w:rsid w:val="74FBBDAF"/>
    <w:rsid w:val="75122182"/>
    <w:rsid w:val="7528B7C5"/>
    <w:rsid w:val="7547723D"/>
    <w:rsid w:val="756CEFAF"/>
    <w:rsid w:val="75751973"/>
    <w:rsid w:val="75828EC7"/>
    <w:rsid w:val="75B449FA"/>
    <w:rsid w:val="75D67AEA"/>
    <w:rsid w:val="761DF2D0"/>
    <w:rsid w:val="7624AE66"/>
    <w:rsid w:val="76501778"/>
    <w:rsid w:val="76552043"/>
    <w:rsid w:val="7656FB03"/>
    <w:rsid w:val="765B44FE"/>
    <w:rsid w:val="769CC466"/>
    <w:rsid w:val="76A4AB2C"/>
    <w:rsid w:val="76B0C504"/>
    <w:rsid w:val="7747C5EF"/>
    <w:rsid w:val="7747CB4E"/>
    <w:rsid w:val="77B9754B"/>
    <w:rsid w:val="77F33071"/>
    <w:rsid w:val="781B8559"/>
    <w:rsid w:val="78353AD7"/>
    <w:rsid w:val="78461520"/>
    <w:rsid w:val="78592B35"/>
    <w:rsid w:val="78618C53"/>
    <w:rsid w:val="7871BE43"/>
    <w:rsid w:val="788E0D7E"/>
    <w:rsid w:val="78A67542"/>
    <w:rsid w:val="78DD0FCB"/>
    <w:rsid w:val="78EF21BD"/>
    <w:rsid w:val="79319D05"/>
    <w:rsid w:val="7952D459"/>
    <w:rsid w:val="79776DF5"/>
    <w:rsid w:val="79A2DC37"/>
    <w:rsid w:val="79B8F871"/>
    <w:rsid w:val="79C8FBEC"/>
    <w:rsid w:val="79DA9B68"/>
    <w:rsid w:val="79DE65EA"/>
    <w:rsid w:val="79F58983"/>
    <w:rsid w:val="7A0E4B1A"/>
    <w:rsid w:val="7A2C0EF5"/>
    <w:rsid w:val="7A2F19B9"/>
    <w:rsid w:val="7A396AA6"/>
    <w:rsid w:val="7A6CBE2E"/>
    <w:rsid w:val="7A896B4E"/>
    <w:rsid w:val="7AAF3966"/>
    <w:rsid w:val="7ABD5771"/>
    <w:rsid w:val="7ACBDE38"/>
    <w:rsid w:val="7ACF3FB6"/>
    <w:rsid w:val="7AD166DA"/>
    <w:rsid w:val="7AE03996"/>
    <w:rsid w:val="7AFD44A4"/>
    <w:rsid w:val="7B154053"/>
    <w:rsid w:val="7B1B21C6"/>
    <w:rsid w:val="7B405C96"/>
    <w:rsid w:val="7B526B2A"/>
    <w:rsid w:val="7B64F4EB"/>
    <w:rsid w:val="7B957131"/>
    <w:rsid w:val="7B987FFF"/>
    <w:rsid w:val="7B9EC04D"/>
    <w:rsid w:val="7BC7B136"/>
    <w:rsid w:val="7BCFA206"/>
    <w:rsid w:val="7BD2D60A"/>
    <w:rsid w:val="7BDA0DA2"/>
    <w:rsid w:val="7BDB3A61"/>
    <w:rsid w:val="7BEFC86A"/>
    <w:rsid w:val="7C0B22C6"/>
    <w:rsid w:val="7C10A7AA"/>
    <w:rsid w:val="7C21EEEE"/>
    <w:rsid w:val="7C35173B"/>
    <w:rsid w:val="7C485ED6"/>
    <w:rsid w:val="7C4BB6AC"/>
    <w:rsid w:val="7C779719"/>
    <w:rsid w:val="7C8F8EAB"/>
    <w:rsid w:val="7C9143E5"/>
    <w:rsid w:val="7CABF41A"/>
    <w:rsid w:val="7CE02E88"/>
    <w:rsid w:val="7CE568E4"/>
    <w:rsid w:val="7CE7E370"/>
    <w:rsid w:val="7CFE7CA5"/>
    <w:rsid w:val="7D59AB1E"/>
    <w:rsid w:val="7D65EA94"/>
    <w:rsid w:val="7D7A792A"/>
    <w:rsid w:val="7D85C1E4"/>
    <w:rsid w:val="7D8A72F7"/>
    <w:rsid w:val="7DAEF342"/>
    <w:rsid w:val="7DB80F95"/>
    <w:rsid w:val="7DCC63CD"/>
    <w:rsid w:val="7DCFFD43"/>
    <w:rsid w:val="7DFF076D"/>
    <w:rsid w:val="7E0A4D00"/>
    <w:rsid w:val="7E29B23E"/>
    <w:rsid w:val="7E39BC03"/>
    <w:rsid w:val="7E3AC631"/>
    <w:rsid w:val="7E4EDA27"/>
    <w:rsid w:val="7E5E5885"/>
    <w:rsid w:val="7E87041F"/>
    <w:rsid w:val="7E94EB4B"/>
    <w:rsid w:val="7EAE9191"/>
    <w:rsid w:val="7EAFBBA8"/>
    <w:rsid w:val="7ECA47A8"/>
    <w:rsid w:val="7EE3C57A"/>
    <w:rsid w:val="7EE43175"/>
    <w:rsid w:val="7EE65A73"/>
    <w:rsid w:val="7EF27288"/>
    <w:rsid w:val="7F08A651"/>
    <w:rsid w:val="7F1657E7"/>
    <w:rsid w:val="7F2FBD1C"/>
    <w:rsid w:val="7F48D083"/>
    <w:rsid w:val="7F57822E"/>
    <w:rsid w:val="7F814F7E"/>
    <w:rsid w:val="7F94AFB0"/>
    <w:rsid w:val="7FB7DEC3"/>
    <w:rsid w:val="7FF393E2"/>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BE4075"/>
  <w15:chartTrackingRefBased/>
  <w15:docId w15:val="{64801BCA-BE76-48AA-8F9E-9C9427568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04298"/>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4298"/>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4298"/>
    <w:pPr>
      <w:keepNext/>
      <w:keepLines/>
      <w:numPr>
        <w:ilvl w:val="2"/>
        <w:numId w:val="1"/>
      </w:numPr>
      <w:spacing w:before="160" w:after="80"/>
      <w:ind w:left="72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298"/>
    <w:pPr>
      <w:keepNext/>
      <w:keepLines/>
      <w:numPr>
        <w:ilvl w:val="3"/>
        <w:numId w:val="1"/>
      </w:numPr>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04298"/>
    <w:pPr>
      <w:keepNext/>
      <w:keepLines/>
      <w:numPr>
        <w:ilvl w:val="4"/>
        <w:numId w:val="1"/>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4298"/>
    <w:pPr>
      <w:keepNext/>
      <w:keepLines/>
      <w:numPr>
        <w:ilvl w:val="5"/>
        <w:numId w:val="1"/>
      </w:numPr>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4298"/>
    <w:pPr>
      <w:keepNext/>
      <w:keepLines/>
      <w:numPr>
        <w:ilvl w:val="6"/>
        <w:numId w:val="1"/>
      </w:numPr>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4298"/>
    <w:pPr>
      <w:keepNext/>
      <w:keepLines/>
      <w:numPr>
        <w:ilvl w:val="7"/>
        <w:numId w:val="1"/>
      </w:numPr>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4298"/>
    <w:pPr>
      <w:keepNext/>
      <w:keepLines/>
      <w:numPr>
        <w:ilvl w:val="8"/>
        <w:numId w:val="1"/>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42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2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042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042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42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42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42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4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29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2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04298"/>
    <w:pPr>
      <w:spacing w:before="160"/>
      <w:jc w:val="center"/>
    </w:pPr>
    <w:rPr>
      <w:i/>
      <w:iCs/>
      <w:color w:val="404040" w:themeColor="text1" w:themeTint="BF"/>
    </w:rPr>
  </w:style>
  <w:style w:type="character" w:customStyle="1" w:styleId="QuoteChar">
    <w:name w:val="Quote Char"/>
    <w:basedOn w:val="DefaultParagraphFont"/>
    <w:link w:val="Quote"/>
    <w:uiPriority w:val="29"/>
    <w:rsid w:val="00804298"/>
    <w:rPr>
      <w:i/>
      <w:iCs/>
      <w:color w:val="404040" w:themeColor="text1" w:themeTint="BF"/>
    </w:rPr>
  </w:style>
  <w:style w:type="paragraph" w:styleId="ListParagraph">
    <w:name w:val="List Paragraph"/>
    <w:basedOn w:val="Normal"/>
    <w:uiPriority w:val="34"/>
    <w:qFormat/>
    <w:rsid w:val="00804298"/>
    <w:pPr>
      <w:ind w:left="720"/>
      <w:contextualSpacing/>
    </w:pPr>
  </w:style>
  <w:style w:type="character" w:styleId="IntenseEmphasis">
    <w:name w:val="Intense Emphasis"/>
    <w:basedOn w:val="DefaultParagraphFont"/>
    <w:uiPriority w:val="21"/>
    <w:qFormat/>
    <w:rsid w:val="00804298"/>
    <w:rPr>
      <w:i/>
      <w:iCs/>
      <w:color w:val="0F4761" w:themeColor="accent1" w:themeShade="BF"/>
    </w:rPr>
  </w:style>
  <w:style w:type="paragraph" w:styleId="IntenseQuote">
    <w:name w:val="Intense Quote"/>
    <w:basedOn w:val="Normal"/>
    <w:next w:val="Normal"/>
    <w:link w:val="IntenseQuoteChar"/>
    <w:uiPriority w:val="30"/>
    <w:qFormat/>
    <w:rsid w:val="00804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298"/>
    <w:rPr>
      <w:i/>
      <w:iCs/>
      <w:color w:val="0F4761" w:themeColor="accent1" w:themeShade="BF"/>
    </w:rPr>
  </w:style>
  <w:style w:type="character" w:styleId="IntenseReference">
    <w:name w:val="Intense Reference"/>
    <w:basedOn w:val="DefaultParagraphFont"/>
    <w:uiPriority w:val="32"/>
    <w:qFormat/>
    <w:rsid w:val="00804298"/>
    <w:rPr>
      <w:b/>
      <w:bCs/>
      <w:smallCaps/>
      <w:color w:val="0F4761" w:themeColor="accent1" w:themeShade="BF"/>
      <w:spacing w:val="5"/>
    </w:rPr>
  </w:style>
  <w:style w:type="character" w:customStyle="1" w:styleId="Marker">
    <w:name w:val="Marker"/>
    <w:basedOn w:val="DefaultParagraphFont"/>
    <w:rsid w:val="00804298"/>
    <w:rPr>
      <w:color w:val="0000FF"/>
      <w:shd w:val="clear" w:color="auto" w:fill="auto"/>
    </w:rPr>
  </w:style>
  <w:style w:type="paragraph" w:styleId="Header">
    <w:name w:val="header"/>
    <w:basedOn w:val="Normal"/>
    <w:link w:val="HeaderChar"/>
    <w:uiPriority w:val="99"/>
    <w:unhideWhenUsed/>
    <w:rsid w:val="00804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298"/>
  </w:style>
  <w:style w:type="paragraph" w:styleId="Footer">
    <w:name w:val="footer"/>
    <w:basedOn w:val="Normal"/>
    <w:link w:val="FooterChar"/>
    <w:uiPriority w:val="99"/>
    <w:unhideWhenUsed/>
    <w:rsid w:val="00804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298"/>
  </w:style>
  <w:style w:type="paragraph" w:customStyle="1" w:styleId="Pagedecouverture">
    <w:name w:val="Page de couverture"/>
    <w:basedOn w:val="Normal"/>
    <w:next w:val="Normal"/>
    <w:rsid w:val="0080429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0429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04298"/>
    <w:rPr>
      <w:rFonts w:ascii="Times New Roman" w:hAnsi="Times New Roman" w:cs="Times New Roman"/>
      <w:sz w:val="24"/>
    </w:rPr>
  </w:style>
  <w:style w:type="paragraph" w:customStyle="1" w:styleId="FooterSensitivity">
    <w:name w:val="Footer Sensitivity"/>
    <w:basedOn w:val="Normal"/>
    <w:link w:val="FooterSensitivityChar"/>
    <w:rsid w:val="0080429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04298"/>
    <w:rPr>
      <w:rFonts w:ascii="Times New Roman" w:hAnsi="Times New Roman" w:cs="Times New Roman"/>
      <w:b/>
      <w:sz w:val="32"/>
    </w:rPr>
  </w:style>
  <w:style w:type="paragraph" w:customStyle="1" w:styleId="HeaderCoverPage">
    <w:name w:val="Header Cover Page"/>
    <w:basedOn w:val="Normal"/>
    <w:link w:val="HeaderCoverPageChar"/>
    <w:rsid w:val="0080429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04298"/>
    <w:rPr>
      <w:rFonts w:ascii="Times New Roman" w:hAnsi="Times New Roman" w:cs="Times New Roman"/>
      <w:sz w:val="24"/>
    </w:rPr>
  </w:style>
  <w:style w:type="paragraph" w:customStyle="1" w:styleId="HeaderSensitivity">
    <w:name w:val="Header Sensitivity"/>
    <w:basedOn w:val="Normal"/>
    <w:link w:val="HeaderSensitivityChar"/>
    <w:rsid w:val="0080429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04298"/>
    <w:rPr>
      <w:rFonts w:ascii="Times New Roman" w:hAnsi="Times New Roman" w:cs="Times New Roman"/>
      <w:b/>
      <w:sz w:val="32"/>
    </w:rPr>
  </w:style>
  <w:style w:type="paragraph" w:customStyle="1" w:styleId="HeaderSensitivityRight">
    <w:name w:val="Header Sensitivity Right"/>
    <w:basedOn w:val="Normal"/>
    <w:link w:val="HeaderSensitivityRightChar"/>
    <w:rsid w:val="009966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04298"/>
    <w:rPr>
      <w:rFonts w:ascii="Times New Roman" w:hAnsi="Times New Roman" w:cs="Times New Roman"/>
      <w:sz w:val="28"/>
    </w:rPr>
  </w:style>
  <w:style w:type="paragraph" w:styleId="FootnoteText">
    <w:name w:val="footnote text"/>
    <w:basedOn w:val="Normal"/>
    <w:link w:val="FootnoteTextChar"/>
    <w:uiPriority w:val="99"/>
    <w:unhideWhenUsed/>
    <w:rsid w:val="00D128A2"/>
    <w:pPr>
      <w:spacing w:after="0" w:line="240" w:lineRule="auto"/>
    </w:pPr>
    <w:rPr>
      <w:sz w:val="20"/>
      <w:szCs w:val="20"/>
    </w:rPr>
  </w:style>
  <w:style w:type="character" w:customStyle="1" w:styleId="FootnoteTextChar">
    <w:name w:val="Footnote Text Char"/>
    <w:basedOn w:val="DefaultParagraphFont"/>
    <w:link w:val="FootnoteText"/>
    <w:uiPriority w:val="99"/>
    <w:rsid w:val="00D128A2"/>
    <w:rPr>
      <w:sz w:val="20"/>
      <w:szCs w:val="20"/>
    </w:rPr>
  </w:style>
  <w:style w:type="character" w:styleId="FootnoteReference">
    <w:name w:val="footnote reference"/>
    <w:basedOn w:val="DefaultParagraphFont"/>
    <w:uiPriority w:val="99"/>
    <w:semiHidden/>
    <w:unhideWhenUsed/>
    <w:rsid w:val="00D128A2"/>
    <w:rPr>
      <w:vertAlign w:val="superscript"/>
    </w:rPr>
  </w:style>
  <w:style w:type="paragraph" w:customStyle="1" w:styleId="Default">
    <w:name w:val="Default"/>
    <w:rsid w:val="001843A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204F0"/>
    <w:rPr>
      <w:color w:val="467886" w:themeColor="hyperlink"/>
      <w:u w:val="single"/>
    </w:rPr>
  </w:style>
  <w:style w:type="character" w:customStyle="1" w:styleId="UnresolvedMention">
    <w:name w:val="Unresolved Mention"/>
    <w:basedOn w:val="DefaultParagraphFont"/>
    <w:uiPriority w:val="99"/>
    <w:semiHidden/>
    <w:unhideWhenUsed/>
    <w:rsid w:val="005204F0"/>
    <w:rPr>
      <w:color w:val="605E5C"/>
      <w:shd w:val="clear" w:color="auto" w:fill="E1DFDD"/>
    </w:rPr>
  </w:style>
  <w:style w:type="table" w:styleId="TableGrid">
    <w:name w:val="Table Grid"/>
    <w:basedOn w:val="TableNormal"/>
    <w:uiPriority w:val="39"/>
    <w:rsid w:val="00B35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guesfaisantfoi">
    <w:name w:val="Langues faisant foi"/>
    <w:basedOn w:val="Normal"/>
    <w:next w:val="Normal"/>
    <w:rsid w:val="00A95FC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95FC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95FCB"/>
    <w:pPr>
      <w:spacing w:after="0"/>
    </w:pPr>
  </w:style>
  <w:style w:type="paragraph" w:customStyle="1" w:styleId="IntrtEEEPagedecouverture">
    <w:name w:val="Intérêt EEE (Page de couverture)"/>
    <w:basedOn w:val="IntrtEEE"/>
    <w:next w:val="Normal"/>
    <w:rsid w:val="00A95FCB"/>
  </w:style>
  <w:style w:type="paragraph" w:styleId="Revision">
    <w:name w:val="Revision"/>
    <w:hidden/>
    <w:uiPriority w:val="99"/>
    <w:semiHidden/>
    <w:rsid w:val="00263245"/>
    <w:pPr>
      <w:spacing w:after="0" w:line="240" w:lineRule="auto"/>
    </w:pPr>
  </w:style>
  <w:style w:type="character" w:styleId="CommentReference">
    <w:name w:val="annotation reference"/>
    <w:basedOn w:val="DefaultParagraphFont"/>
    <w:uiPriority w:val="99"/>
    <w:semiHidden/>
    <w:unhideWhenUsed/>
    <w:rsid w:val="00A23835"/>
    <w:rPr>
      <w:sz w:val="16"/>
      <w:szCs w:val="16"/>
    </w:rPr>
  </w:style>
  <w:style w:type="paragraph" w:styleId="CommentText">
    <w:name w:val="annotation text"/>
    <w:basedOn w:val="Normal"/>
    <w:link w:val="CommentTextChar"/>
    <w:uiPriority w:val="99"/>
    <w:unhideWhenUsed/>
    <w:rsid w:val="00A23835"/>
    <w:pPr>
      <w:spacing w:line="240" w:lineRule="auto"/>
    </w:pPr>
    <w:rPr>
      <w:sz w:val="20"/>
      <w:szCs w:val="20"/>
    </w:rPr>
  </w:style>
  <w:style w:type="character" w:customStyle="1" w:styleId="CommentTextChar">
    <w:name w:val="Comment Text Char"/>
    <w:basedOn w:val="DefaultParagraphFont"/>
    <w:link w:val="CommentText"/>
    <w:uiPriority w:val="99"/>
    <w:rsid w:val="00A23835"/>
    <w:rPr>
      <w:sz w:val="20"/>
      <w:szCs w:val="20"/>
    </w:rPr>
  </w:style>
  <w:style w:type="paragraph" w:styleId="CommentSubject">
    <w:name w:val="annotation subject"/>
    <w:basedOn w:val="CommentText"/>
    <w:next w:val="CommentText"/>
    <w:link w:val="CommentSubjectChar"/>
    <w:uiPriority w:val="99"/>
    <w:semiHidden/>
    <w:unhideWhenUsed/>
    <w:rsid w:val="00A23835"/>
    <w:rPr>
      <w:b/>
      <w:bCs/>
    </w:rPr>
  </w:style>
  <w:style w:type="character" w:customStyle="1" w:styleId="CommentSubjectChar">
    <w:name w:val="Comment Subject Char"/>
    <w:basedOn w:val="CommentTextChar"/>
    <w:link w:val="CommentSubject"/>
    <w:uiPriority w:val="99"/>
    <w:semiHidden/>
    <w:rsid w:val="00A23835"/>
    <w:rPr>
      <w:b/>
      <w:bCs/>
      <w:sz w:val="20"/>
      <w:szCs w:val="20"/>
    </w:rPr>
  </w:style>
  <w:style w:type="paragraph" w:customStyle="1" w:styleId="pf0">
    <w:name w:val="pf0"/>
    <w:basedOn w:val="Normal"/>
    <w:rsid w:val="00311C2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311C2B"/>
    <w:rPr>
      <w:rFonts w:ascii="Segoe UI" w:hAnsi="Segoe UI" w:cs="Segoe UI" w:hint="default"/>
      <w:sz w:val="18"/>
      <w:szCs w:val="18"/>
    </w:rPr>
  </w:style>
  <w:style w:type="character" w:customStyle="1" w:styleId="wacimagecontainer">
    <w:name w:val="wacimagecontainer"/>
    <w:basedOn w:val="DefaultParagraphFont"/>
    <w:rsid w:val="00862584"/>
  </w:style>
  <w:style w:type="character" w:customStyle="1" w:styleId="Mention">
    <w:name w:val="Mention"/>
    <w:basedOn w:val="DefaultParagraphFont"/>
    <w:uiPriority w:val="99"/>
    <w:unhideWhenUsed/>
    <w:rsid w:val="00FA3D7F"/>
    <w:rPr>
      <w:color w:val="2B579A"/>
      <w:shd w:val="clear" w:color="auto" w:fill="E1DFDD"/>
    </w:rPr>
  </w:style>
  <w:style w:type="paragraph" w:customStyle="1" w:styleId="Disclaimer">
    <w:name w:val="Disclaimer"/>
    <w:basedOn w:val="Normal"/>
    <w:rsid w:val="009966A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966A1"/>
    <w:pPr>
      <w:spacing w:after="0" w:line="276" w:lineRule="auto"/>
      <w:ind w:left="5103"/>
    </w:pPr>
    <w:rPr>
      <w:rFonts w:ascii="Times New Roman" w:hAnsi="Times New Roman" w:cs="Times New Roman"/>
      <w:sz w:val="28"/>
    </w:rPr>
  </w:style>
  <w:style w:type="paragraph" w:customStyle="1" w:styleId="DateMarking">
    <w:name w:val="DateMarking"/>
    <w:basedOn w:val="Normal"/>
    <w:rsid w:val="009966A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966A1"/>
    <w:pPr>
      <w:spacing w:after="0" w:line="276" w:lineRule="auto"/>
      <w:ind w:left="5103"/>
    </w:pPr>
    <w:rPr>
      <w:rFonts w:ascii="Times New Roman" w:hAnsi="Times New Roman" w:cs="Times New Roman"/>
      <w:i/>
      <w:sz w:val="28"/>
    </w:rPr>
  </w:style>
  <w:style w:type="character" w:styleId="FollowedHyperlink">
    <w:name w:val="FollowedHyperlink"/>
    <w:basedOn w:val="DefaultParagraphFont"/>
    <w:uiPriority w:val="99"/>
    <w:semiHidden/>
    <w:unhideWhenUsed/>
    <w:rsid w:val="000B59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45507">
      <w:bodyDiv w:val="1"/>
      <w:marLeft w:val="0"/>
      <w:marRight w:val="0"/>
      <w:marTop w:val="0"/>
      <w:marBottom w:val="0"/>
      <w:divBdr>
        <w:top w:val="none" w:sz="0" w:space="0" w:color="auto"/>
        <w:left w:val="none" w:sz="0" w:space="0" w:color="auto"/>
        <w:bottom w:val="none" w:sz="0" w:space="0" w:color="auto"/>
        <w:right w:val="none" w:sz="0" w:space="0" w:color="auto"/>
      </w:divBdr>
    </w:div>
    <w:div w:id="119148871">
      <w:bodyDiv w:val="1"/>
      <w:marLeft w:val="0"/>
      <w:marRight w:val="0"/>
      <w:marTop w:val="0"/>
      <w:marBottom w:val="0"/>
      <w:divBdr>
        <w:top w:val="none" w:sz="0" w:space="0" w:color="auto"/>
        <w:left w:val="none" w:sz="0" w:space="0" w:color="auto"/>
        <w:bottom w:val="none" w:sz="0" w:space="0" w:color="auto"/>
        <w:right w:val="none" w:sz="0" w:space="0" w:color="auto"/>
      </w:divBdr>
    </w:div>
    <w:div w:id="135296616">
      <w:bodyDiv w:val="1"/>
      <w:marLeft w:val="0"/>
      <w:marRight w:val="0"/>
      <w:marTop w:val="0"/>
      <w:marBottom w:val="0"/>
      <w:divBdr>
        <w:top w:val="none" w:sz="0" w:space="0" w:color="auto"/>
        <w:left w:val="none" w:sz="0" w:space="0" w:color="auto"/>
        <w:bottom w:val="none" w:sz="0" w:space="0" w:color="auto"/>
        <w:right w:val="none" w:sz="0" w:space="0" w:color="auto"/>
      </w:divBdr>
      <w:divsChild>
        <w:div w:id="593123726">
          <w:marLeft w:val="0"/>
          <w:marRight w:val="0"/>
          <w:marTop w:val="0"/>
          <w:marBottom w:val="0"/>
          <w:divBdr>
            <w:top w:val="single" w:sz="2" w:space="0" w:color="auto"/>
            <w:left w:val="single" w:sz="2" w:space="0" w:color="auto"/>
            <w:bottom w:val="single" w:sz="2" w:space="0" w:color="auto"/>
            <w:right w:val="single" w:sz="2" w:space="0" w:color="auto"/>
          </w:divBdr>
          <w:divsChild>
            <w:div w:id="1890608820">
              <w:marLeft w:val="0"/>
              <w:marRight w:val="0"/>
              <w:marTop w:val="0"/>
              <w:marBottom w:val="0"/>
              <w:divBdr>
                <w:top w:val="single" w:sz="2" w:space="0" w:color="auto"/>
                <w:left w:val="single" w:sz="2" w:space="0" w:color="auto"/>
                <w:bottom w:val="single" w:sz="2" w:space="0" w:color="auto"/>
                <w:right w:val="single" w:sz="2" w:space="0" w:color="auto"/>
              </w:divBdr>
            </w:div>
          </w:divsChild>
        </w:div>
        <w:div w:id="1982075939">
          <w:marLeft w:val="0"/>
          <w:marRight w:val="0"/>
          <w:marTop w:val="0"/>
          <w:marBottom w:val="0"/>
          <w:divBdr>
            <w:top w:val="single" w:sz="2" w:space="0" w:color="auto"/>
            <w:left w:val="single" w:sz="2" w:space="0" w:color="auto"/>
            <w:bottom w:val="single" w:sz="2" w:space="0" w:color="auto"/>
            <w:right w:val="single" w:sz="2" w:space="0" w:color="auto"/>
          </w:divBdr>
          <w:divsChild>
            <w:div w:id="1081097120">
              <w:marLeft w:val="0"/>
              <w:marRight w:val="0"/>
              <w:marTop w:val="0"/>
              <w:marBottom w:val="0"/>
              <w:divBdr>
                <w:top w:val="single" w:sz="2" w:space="0" w:color="auto"/>
                <w:left w:val="single" w:sz="2" w:space="0" w:color="auto"/>
                <w:bottom w:val="single" w:sz="2" w:space="0" w:color="auto"/>
                <w:right w:val="single" w:sz="2" w:space="0" w:color="auto"/>
              </w:divBdr>
            </w:div>
            <w:div w:id="123562662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1967908">
      <w:bodyDiv w:val="1"/>
      <w:marLeft w:val="0"/>
      <w:marRight w:val="0"/>
      <w:marTop w:val="0"/>
      <w:marBottom w:val="0"/>
      <w:divBdr>
        <w:top w:val="none" w:sz="0" w:space="0" w:color="auto"/>
        <w:left w:val="none" w:sz="0" w:space="0" w:color="auto"/>
        <w:bottom w:val="none" w:sz="0" w:space="0" w:color="auto"/>
        <w:right w:val="none" w:sz="0" w:space="0" w:color="auto"/>
      </w:divBdr>
      <w:divsChild>
        <w:div w:id="15542138">
          <w:marLeft w:val="2520"/>
          <w:marRight w:val="0"/>
          <w:marTop w:val="0"/>
          <w:marBottom w:val="0"/>
          <w:divBdr>
            <w:top w:val="none" w:sz="0" w:space="0" w:color="auto"/>
            <w:left w:val="none" w:sz="0" w:space="0" w:color="auto"/>
            <w:bottom w:val="none" w:sz="0" w:space="0" w:color="auto"/>
            <w:right w:val="none" w:sz="0" w:space="0" w:color="auto"/>
          </w:divBdr>
        </w:div>
        <w:div w:id="32390357">
          <w:marLeft w:val="1166"/>
          <w:marRight w:val="0"/>
          <w:marTop w:val="0"/>
          <w:marBottom w:val="0"/>
          <w:divBdr>
            <w:top w:val="none" w:sz="0" w:space="0" w:color="auto"/>
            <w:left w:val="none" w:sz="0" w:space="0" w:color="auto"/>
            <w:bottom w:val="none" w:sz="0" w:space="0" w:color="auto"/>
            <w:right w:val="none" w:sz="0" w:space="0" w:color="auto"/>
          </w:divBdr>
        </w:div>
        <w:div w:id="206990555">
          <w:marLeft w:val="2520"/>
          <w:marRight w:val="0"/>
          <w:marTop w:val="0"/>
          <w:marBottom w:val="0"/>
          <w:divBdr>
            <w:top w:val="none" w:sz="0" w:space="0" w:color="auto"/>
            <w:left w:val="none" w:sz="0" w:space="0" w:color="auto"/>
            <w:bottom w:val="none" w:sz="0" w:space="0" w:color="auto"/>
            <w:right w:val="none" w:sz="0" w:space="0" w:color="auto"/>
          </w:divBdr>
        </w:div>
        <w:div w:id="313410707">
          <w:marLeft w:val="1800"/>
          <w:marRight w:val="0"/>
          <w:marTop w:val="0"/>
          <w:marBottom w:val="0"/>
          <w:divBdr>
            <w:top w:val="none" w:sz="0" w:space="0" w:color="auto"/>
            <w:left w:val="none" w:sz="0" w:space="0" w:color="auto"/>
            <w:bottom w:val="none" w:sz="0" w:space="0" w:color="auto"/>
            <w:right w:val="none" w:sz="0" w:space="0" w:color="auto"/>
          </w:divBdr>
        </w:div>
        <w:div w:id="643124343">
          <w:marLeft w:val="1166"/>
          <w:marRight w:val="0"/>
          <w:marTop w:val="0"/>
          <w:marBottom w:val="0"/>
          <w:divBdr>
            <w:top w:val="none" w:sz="0" w:space="0" w:color="auto"/>
            <w:left w:val="none" w:sz="0" w:space="0" w:color="auto"/>
            <w:bottom w:val="none" w:sz="0" w:space="0" w:color="auto"/>
            <w:right w:val="none" w:sz="0" w:space="0" w:color="auto"/>
          </w:divBdr>
        </w:div>
        <w:div w:id="835848334">
          <w:marLeft w:val="1800"/>
          <w:marRight w:val="0"/>
          <w:marTop w:val="0"/>
          <w:marBottom w:val="0"/>
          <w:divBdr>
            <w:top w:val="none" w:sz="0" w:space="0" w:color="auto"/>
            <w:left w:val="none" w:sz="0" w:space="0" w:color="auto"/>
            <w:bottom w:val="none" w:sz="0" w:space="0" w:color="auto"/>
            <w:right w:val="none" w:sz="0" w:space="0" w:color="auto"/>
          </w:divBdr>
        </w:div>
        <w:div w:id="969743492">
          <w:marLeft w:val="1166"/>
          <w:marRight w:val="0"/>
          <w:marTop w:val="0"/>
          <w:marBottom w:val="0"/>
          <w:divBdr>
            <w:top w:val="none" w:sz="0" w:space="0" w:color="auto"/>
            <w:left w:val="none" w:sz="0" w:space="0" w:color="auto"/>
            <w:bottom w:val="none" w:sz="0" w:space="0" w:color="auto"/>
            <w:right w:val="none" w:sz="0" w:space="0" w:color="auto"/>
          </w:divBdr>
        </w:div>
        <w:div w:id="1047534388">
          <w:marLeft w:val="1800"/>
          <w:marRight w:val="0"/>
          <w:marTop w:val="0"/>
          <w:marBottom w:val="0"/>
          <w:divBdr>
            <w:top w:val="none" w:sz="0" w:space="0" w:color="auto"/>
            <w:left w:val="none" w:sz="0" w:space="0" w:color="auto"/>
            <w:bottom w:val="none" w:sz="0" w:space="0" w:color="auto"/>
            <w:right w:val="none" w:sz="0" w:space="0" w:color="auto"/>
          </w:divBdr>
        </w:div>
        <w:div w:id="1098334414">
          <w:marLeft w:val="1800"/>
          <w:marRight w:val="0"/>
          <w:marTop w:val="0"/>
          <w:marBottom w:val="0"/>
          <w:divBdr>
            <w:top w:val="none" w:sz="0" w:space="0" w:color="auto"/>
            <w:left w:val="none" w:sz="0" w:space="0" w:color="auto"/>
            <w:bottom w:val="none" w:sz="0" w:space="0" w:color="auto"/>
            <w:right w:val="none" w:sz="0" w:space="0" w:color="auto"/>
          </w:divBdr>
        </w:div>
        <w:div w:id="1113551165">
          <w:marLeft w:val="1800"/>
          <w:marRight w:val="0"/>
          <w:marTop w:val="0"/>
          <w:marBottom w:val="0"/>
          <w:divBdr>
            <w:top w:val="none" w:sz="0" w:space="0" w:color="auto"/>
            <w:left w:val="none" w:sz="0" w:space="0" w:color="auto"/>
            <w:bottom w:val="none" w:sz="0" w:space="0" w:color="auto"/>
            <w:right w:val="none" w:sz="0" w:space="0" w:color="auto"/>
          </w:divBdr>
        </w:div>
        <w:div w:id="1156072411">
          <w:marLeft w:val="1800"/>
          <w:marRight w:val="0"/>
          <w:marTop w:val="0"/>
          <w:marBottom w:val="0"/>
          <w:divBdr>
            <w:top w:val="none" w:sz="0" w:space="0" w:color="auto"/>
            <w:left w:val="none" w:sz="0" w:space="0" w:color="auto"/>
            <w:bottom w:val="none" w:sz="0" w:space="0" w:color="auto"/>
            <w:right w:val="none" w:sz="0" w:space="0" w:color="auto"/>
          </w:divBdr>
        </w:div>
        <w:div w:id="1250769898">
          <w:marLeft w:val="1800"/>
          <w:marRight w:val="0"/>
          <w:marTop w:val="0"/>
          <w:marBottom w:val="0"/>
          <w:divBdr>
            <w:top w:val="none" w:sz="0" w:space="0" w:color="auto"/>
            <w:left w:val="none" w:sz="0" w:space="0" w:color="auto"/>
            <w:bottom w:val="none" w:sz="0" w:space="0" w:color="auto"/>
            <w:right w:val="none" w:sz="0" w:space="0" w:color="auto"/>
          </w:divBdr>
        </w:div>
        <w:div w:id="1360855956">
          <w:marLeft w:val="1800"/>
          <w:marRight w:val="0"/>
          <w:marTop w:val="0"/>
          <w:marBottom w:val="0"/>
          <w:divBdr>
            <w:top w:val="none" w:sz="0" w:space="0" w:color="auto"/>
            <w:left w:val="none" w:sz="0" w:space="0" w:color="auto"/>
            <w:bottom w:val="none" w:sz="0" w:space="0" w:color="auto"/>
            <w:right w:val="none" w:sz="0" w:space="0" w:color="auto"/>
          </w:divBdr>
        </w:div>
        <w:div w:id="1411660300">
          <w:marLeft w:val="1800"/>
          <w:marRight w:val="0"/>
          <w:marTop w:val="0"/>
          <w:marBottom w:val="0"/>
          <w:divBdr>
            <w:top w:val="none" w:sz="0" w:space="0" w:color="auto"/>
            <w:left w:val="none" w:sz="0" w:space="0" w:color="auto"/>
            <w:bottom w:val="none" w:sz="0" w:space="0" w:color="auto"/>
            <w:right w:val="none" w:sz="0" w:space="0" w:color="auto"/>
          </w:divBdr>
        </w:div>
        <w:div w:id="1533227301">
          <w:marLeft w:val="1166"/>
          <w:marRight w:val="0"/>
          <w:marTop w:val="0"/>
          <w:marBottom w:val="0"/>
          <w:divBdr>
            <w:top w:val="none" w:sz="0" w:space="0" w:color="auto"/>
            <w:left w:val="none" w:sz="0" w:space="0" w:color="auto"/>
            <w:bottom w:val="none" w:sz="0" w:space="0" w:color="auto"/>
            <w:right w:val="none" w:sz="0" w:space="0" w:color="auto"/>
          </w:divBdr>
        </w:div>
        <w:div w:id="1547790404">
          <w:marLeft w:val="1800"/>
          <w:marRight w:val="0"/>
          <w:marTop w:val="0"/>
          <w:marBottom w:val="0"/>
          <w:divBdr>
            <w:top w:val="none" w:sz="0" w:space="0" w:color="auto"/>
            <w:left w:val="none" w:sz="0" w:space="0" w:color="auto"/>
            <w:bottom w:val="none" w:sz="0" w:space="0" w:color="auto"/>
            <w:right w:val="none" w:sz="0" w:space="0" w:color="auto"/>
          </w:divBdr>
        </w:div>
        <w:div w:id="1646860423">
          <w:marLeft w:val="1800"/>
          <w:marRight w:val="0"/>
          <w:marTop w:val="0"/>
          <w:marBottom w:val="0"/>
          <w:divBdr>
            <w:top w:val="none" w:sz="0" w:space="0" w:color="auto"/>
            <w:left w:val="none" w:sz="0" w:space="0" w:color="auto"/>
            <w:bottom w:val="none" w:sz="0" w:space="0" w:color="auto"/>
            <w:right w:val="none" w:sz="0" w:space="0" w:color="auto"/>
          </w:divBdr>
        </w:div>
        <w:div w:id="1701272510">
          <w:marLeft w:val="1800"/>
          <w:marRight w:val="0"/>
          <w:marTop w:val="0"/>
          <w:marBottom w:val="0"/>
          <w:divBdr>
            <w:top w:val="none" w:sz="0" w:space="0" w:color="auto"/>
            <w:left w:val="none" w:sz="0" w:space="0" w:color="auto"/>
            <w:bottom w:val="none" w:sz="0" w:space="0" w:color="auto"/>
            <w:right w:val="none" w:sz="0" w:space="0" w:color="auto"/>
          </w:divBdr>
        </w:div>
        <w:div w:id="1860926678">
          <w:marLeft w:val="1800"/>
          <w:marRight w:val="0"/>
          <w:marTop w:val="0"/>
          <w:marBottom w:val="0"/>
          <w:divBdr>
            <w:top w:val="none" w:sz="0" w:space="0" w:color="auto"/>
            <w:left w:val="none" w:sz="0" w:space="0" w:color="auto"/>
            <w:bottom w:val="none" w:sz="0" w:space="0" w:color="auto"/>
            <w:right w:val="none" w:sz="0" w:space="0" w:color="auto"/>
          </w:divBdr>
        </w:div>
        <w:div w:id="1863321596">
          <w:marLeft w:val="547"/>
          <w:marRight w:val="0"/>
          <w:marTop w:val="0"/>
          <w:marBottom w:val="0"/>
          <w:divBdr>
            <w:top w:val="none" w:sz="0" w:space="0" w:color="auto"/>
            <w:left w:val="none" w:sz="0" w:space="0" w:color="auto"/>
            <w:bottom w:val="none" w:sz="0" w:space="0" w:color="auto"/>
            <w:right w:val="none" w:sz="0" w:space="0" w:color="auto"/>
          </w:divBdr>
        </w:div>
        <w:div w:id="1875193335">
          <w:marLeft w:val="1800"/>
          <w:marRight w:val="0"/>
          <w:marTop w:val="0"/>
          <w:marBottom w:val="0"/>
          <w:divBdr>
            <w:top w:val="none" w:sz="0" w:space="0" w:color="auto"/>
            <w:left w:val="none" w:sz="0" w:space="0" w:color="auto"/>
            <w:bottom w:val="none" w:sz="0" w:space="0" w:color="auto"/>
            <w:right w:val="none" w:sz="0" w:space="0" w:color="auto"/>
          </w:divBdr>
        </w:div>
        <w:div w:id="1909609153">
          <w:marLeft w:val="2520"/>
          <w:marRight w:val="0"/>
          <w:marTop w:val="0"/>
          <w:marBottom w:val="0"/>
          <w:divBdr>
            <w:top w:val="none" w:sz="0" w:space="0" w:color="auto"/>
            <w:left w:val="none" w:sz="0" w:space="0" w:color="auto"/>
            <w:bottom w:val="none" w:sz="0" w:space="0" w:color="auto"/>
            <w:right w:val="none" w:sz="0" w:space="0" w:color="auto"/>
          </w:divBdr>
        </w:div>
        <w:div w:id="1981839081">
          <w:marLeft w:val="1800"/>
          <w:marRight w:val="0"/>
          <w:marTop w:val="0"/>
          <w:marBottom w:val="0"/>
          <w:divBdr>
            <w:top w:val="none" w:sz="0" w:space="0" w:color="auto"/>
            <w:left w:val="none" w:sz="0" w:space="0" w:color="auto"/>
            <w:bottom w:val="none" w:sz="0" w:space="0" w:color="auto"/>
            <w:right w:val="none" w:sz="0" w:space="0" w:color="auto"/>
          </w:divBdr>
        </w:div>
        <w:div w:id="2072338068">
          <w:marLeft w:val="1800"/>
          <w:marRight w:val="0"/>
          <w:marTop w:val="0"/>
          <w:marBottom w:val="0"/>
          <w:divBdr>
            <w:top w:val="none" w:sz="0" w:space="0" w:color="auto"/>
            <w:left w:val="none" w:sz="0" w:space="0" w:color="auto"/>
            <w:bottom w:val="none" w:sz="0" w:space="0" w:color="auto"/>
            <w:right w:val="none" w:sz="0" w:space="0" w:color="auto"/>
          </w:divBdr>
        </w:div>
      </w:divsChild>
    </w:div>
    <w:div w:id="176819675">
      <w:bodyDiv w:val="1"/>
      <w:marLeft w:val="0"/>
      <w:marRight w:val="0"/>
      <w:marTop w:val="0"/>
      <w:marBottom w:val="0"/>
      <w:divBdr>
        <w:top w:val="none" w:sz="0" w:space="0" w:color="auto"/>
        <w:left w:val="none" w:sz="0" w:space="0" w:color="auto"/>
        <w:bottom w:val="none" w:sz="0" w:space="0" w:color="auto"/>
        <w:right w:val="none" w:sz="0" w:space="0" w:color="auto"/>
      </w:divBdr>
    </w:div>
    <w:div w:id="199978370">
      <w:bodyDiv w:val="1"/>
      <w:marLeft w:val="0"/>
      <w:marRight w:val="0"/>
      <w:marTop w:val="0"/>
      <w:marBottom w:val="0"/>
      <w:divBdr>
        <w:top w:val="none" w:sz="0" w:space="0" w:color="auto"/>
        <w:left w:val="none" w:sz="0" w:space="0" w:color="auto"/>
        <w:bottom w:val="none" w:sz="0" w:space="0" w:color="auto"/>
        <w:right w:val="none" w:sz="0" w:space="0" w:color="auto"/>
      </w:divBdr>
    </w:div>
    <w:div w:id="214970001">
      <w:bodyDiv w:val="1"/>
      <w:marLeft w:val="0"/>
      <w:marRight w:val="0"/>
      <w:marTop w:val="0"/>
      <w:marBottom w:val="0"/>
      <w:divBdr>
        <w:top w:val="none" w:sz="0" w:space="0" w:color="auto"/>
        <w:left w:val="none" w:sz="0" w:space="0" w:color="auto"/>
        <w:bottom w:val="none" w:sz="0" w:space="0" w:color="auto"/>
        <w:right w:val="none" w:sz="0" w:space="0" w:color="auto"/>
      </w:divBdr>
    </w:div>
    <w:div w:id="296420618">
      <w:bodyDiv w:val="1"/>
      <w:marLeft w:val="0"/>
      <w:marRight w:val="0"/>
      <w:marTop w:val="0"/>
      <w:marBottom w:val="0"/>
      <w:divBdr>
        <w:top w:val="none" w:sz="0" w:space="0" w:color="auto"/>
        <w:left w:val="none" w:sz="0" w:space="0" w:color="auto"/>
        <w:bottom w:val="none" w:sz="0" w:space="0" w:color="auto"/>
        <w:right w:val="none" w:sz="0" w:space="0" w:color="auto"/>
      </w:divBdr>
    </w:div>
    <w:div w:id="317074558">
      <w:bodyDiv w:val="1"/>
      <w:marLeft w:val="0"/>
      <w:marRight w:val="0"/>
      <w:marTop w:val="0"/>
      <w:marBottom w:val="0"/>
      <w:divBdr>
        <w:top w:val="none" w:sz="0" w:space="0" w:color="auto"/>
        <w:left w:val="none" w:sz="0" w:space="0" w:color="auto"/>
        <w:bottom w:val="none" w:sz="0" w:space="0" w:color="auto"/>
        <w:right w:val="none" w:sz="0" w:space="0" w:color="auto"/>
      </w:divBdr>
    </w:div>
    <w:div w:id="337658765">
      <w:bodyDiv w:val="1"/>
      <w:marLeft w:val="0"/>
      <w:marRight w:val="0"/>
      <w:marTop w:val="0"/>
      <w:marBottom w:val="0"/>
      <w:divBdr>
        <w:top w:val="none" w:sz="0" w:space="0" w:color="auto"/>
        <w:left w:val="none" w:sz="0" w:space="0" w:color="auto"/>
        <w:bottom w:val="none" w:sz="0" w:space="0" w:color="auto"/>
        <w:right w:val="none" w:sz="0" w:space="0" w:color="auto"/>
      </w:divBdr>
    </w:div>
    <w:div w:id="378480000">
      <w:bodyDiv w:val="1"/>
      <w:marLeft w:val="0"/>
      <w:marRight w:val="0"/>
      <w:marTop w:val="0"/>
      <w:marBottom w:val="0"/>
      <w:divBdr>
        <w:top w:val="none" w:sz="0" w:space="0" w:color="auto"/>
        <w:left w:val="none" w:sz="0" w:space="0" w:color="auto"/>
        <w:bottom w:val="none" w:sz="0" w:space="0" w:color="auto"/>
        <w:right w:val="none" w:sz="0" w:space="0" w:color="auto"/>
      </w:divBdr>
    </w:div>
    <w:div w:id="401104365">
      <w:bodyDiv w:val="1"/>
      <w:marLeft w:val="0"/>
      <w:marRight w:val="0"/>
      <w:marTop w:val="0"/>
      <w:marBottom w:val="0"/>
      <w:divBdr>
        <w:top w:val="none" w:sz="0" w:space="0" w:color="auto"/>
        <w:left w:val="none" w:sz="0" w:space="0" w:color="auto"/>
        <w:bottom w:val="none" w:sz="0" w:space="0" w:color="auto"/>
        <w:right w:val="none" w:sz="0" w:space="0" w:color="auto"/>
      </w:divBdr>
    </w:div>
    <w:div w:id="411859424">
      <w:bodyDiv w:val="1"/>
      <w:marLeft w:val="0"/>
      <w:marRight w:val="0"/>
      <w:marTop w:val="0"/>
      <w:marBottom w:val="0"/>
      <w:divBdr>
        <w:top w:val="none" w:sz="0" w:space="0" w:color="auto"/>
        <w:left w:val="none" w:sz="0" w:space="0" w:color="auto"/>
        <w:bottom w:val="none" w:sz="0" w:space="0" w:color="auto"/>
        <w:right w:val="none" w:sz="0" w:space="0" w:color="auto"/>
      </w:divBdr>
    </w:div>
    <w:div w:id="454565482">
      <w:bodyDiv w:val="1"/>
      <w:marLeft w:val="0"/>
      <w:marRight w:val="0"/>
      <w:marTop w:val="0"/>
      <w:marBottom w:val="0"/>
      <w:divBdr>
        <w:top w:val="none" w:sz="0" w:space="0" w:color="auto"/>
        <w:left w:val="none" w:sz="0" w:space="0" w:color="auto"/>
        <w:bottom w:val="none" w:sz="0" w:space="0" w:color="auto"/>
        <w:right w:val="none" w:sz="0" w:space="0" w:color="auto"/>
      </w:divBdr>
    </w:div>
    <w:div w:id="515002587">
      <w:bodyDiv w:val="1"/>
      <w:marLeft w:val="0"/>
      <w:marRight w:val="0"/>
      <w:marTop w:val="0"/>
      <w:marBottom w:val="0"/>
      <w:divBdr>
        <w:top w:val="none" w:sz="0" w:space="0" w:color="auto"/>
        <w:left w:val="none" w:sz="0" w:space="0" w:color="auto"/>
        <w:bottom w:val="none" w:sz="0" w:space="0" w:color="auto"/>
        <w:right w:val="none" w:sz="0" w:space="0" w:color="auto"/>
      </w:divBdr>
    </w:div>
    <w:div w:id="521362521">
      <w:bodyDiv w:val="1"/>
      <w:marLeft w:val="0"/>
      <w:marRight w:val="0"/>
      <w:marTop w:val="0"/>
      <w:marBottom w:val="0"/>
      <w:divBdr>
        <w:top w:val="none" w:sz="0" w:space="0" w:color="auto"/>
        <w:left w:val="none" w:sz="0" w:space="0" w:color="auto"/>
        <w:bottom w:val="none" w:sz="0" w:space="0" w:color="auto"/>
        <w:right w:val="none" w:sz="0" w:space="0" w:color="auto"/>
      </w:divBdr>
    </w:div>
    <w:div w:id="638613381">
      <w:bodyDiv w:val="1"/>
      <w:marLeft w:val="0"/>
      <w:marRight w:val="0"/>
      <w:marTop w:val="0"/>
      <w:marBottom w:val="0"/>
      <w:divBdr>
        <w:top w:val="none" w:sz="0" w:space="0" w:color="auto"/>
        <w:left w:val="none" w:sz="0" w:space="0" w:color="auto"/>
        <w:bottom w:val="none" w:sz="0" w:space="0" w:color="auto"/>
        <w:right w:val="none" w:sz="0" w:space="0" w:color="auto"/>
      </w:divBdr>
    </w:div>
    <w:div w:id="652298416">
      <w:bodyDiv w:val="1"/>
      <w:marLeft w:val="0"/>
      <w:marRight w:val="0"/>
      <w:marTop w:val="0"/>
      <w:marBottom w:val="0"/>
      <w:divBdr>
        <w:top w:val="none" w:sz="0" w:space="0" w:color="auto"/>
        <w:left w:val="none" w:sz="0" w:space="0" w:color="auto"/>
        <w:bottom w:val="none" w:sz="0" w:space="0" w:color="auto"/>
        <w:right w:val="none" w:sz="0" w:space="0" w:color="auto"/>
      </w:divBdr>
    </w:div>
    <w:div w:id="656492439">
      <w:bodyDiv w:val="1"/>
      <w:marLeft w:val="0"/>
      <w:marRight w:val="0"/>
      <w:marTop w:val="0"/>
      <w:marBottom w:val="0"/>
      <w:divBdr>
        <w:top w:val="none" w:sz="0" w:space="0" w:color="auto"/>
        <w:left w:val="none" w:sz="0" w:space="0" w:color="auto"/>
        <w:bottom w:val="none" w:sz="0" w:space="0" w:color="auto"/>
        <w:right w:val="none" w:sz="0" w:space="0" w:color="auto"/>
      </w:divBdr>
    </w:div>
    <w:div w:id="698628292">
      <w:bodyDiv w:val="1"/>
      <w:marLeft w:val="0"/>
      <w:marRight w:val="0"/>
      <w:marTop w:val="0"/>
      <w:marBottom w:val="0"/>
      <w:divBdr>
        <w:top w:val="none" w:sz="0" w:space="0" w:color="auto"/>
        <w:left w:val="none" w:sz="0" w:space="0" w:color="auto"/>
        <w:bottom w:val="none" w:sz="0" w:space="0" w:color="auto"/>
        <w:right w:val="none" w:sz="0" w:space="0" w:color="auto"/>
      </w:divBdr>
    </w:div>
    <w:div w:id="733896455">
      <w:bodyDiv w:val="1"/>
      <w:marLeft w:val="0"/>
      <w:marRight w:val="0"/>
      <w:marTop w:val="0"/>
      <w:marBottom w:val="0"/>
      <w:divBdr>
        <w:top w:val="none" w:sz="0" w:space="0" w:color="auto"/>
        <w:left w:val="none" w:sz="0" w:space="0" w:color="auto"/>
        <w:bottom w:val="none" w:sz="0" w:space="0" w:color="auto"/>
        <w:right w:val="none" w:sz="0" w:space="0" w:color="auto"/>
      </w:divBdr>
    </w:div>
    <w:div w:id="743572039">
      <w:bodyDiv w:val="1"/>
      <w:marLeft w:val="0"/>
      <w:marRight w:val="0"/>
      <w:marTop w:val="0"/>
      <w:marBottom w:val="0"/>
      <w:divBdr>
        <w:top w:val="none" w:sz="0" w:space="0" w:color="auto"/>
        <w:left w:val="none" w:sz="0" w:space="0" w:color="auto"/>
        <w:bottom w:val="none" w:sz="0" w:space="0" w:color="auto"/>
        <w:right w:val="none" w:sz="0" w:space="0" w:color="auto"/>
      </w:divBdr>
      <w:divsChild>
        <w:div w:id="763232591">
          <w:marLeft w:val="0"/>
          <w:marRight w:val="0"/>
          <w:marTop w:val="0"/>
          <w:marBottom w:val="0"/>
          <w:divBdr>
            <w:top w:val="single" w:sz="2" w:space="0" w:color="auto"/>
            <w:left w:val="single" w:sz="2" w:space="0" w:color="auto"/>
            <w:bottom w:val="single" w:sz="2" w:space="0" w:color="auto"/>
            <w:right w:val="single" w:sz="2" w:space="0" w:color="auto"/>
          </w:divBdr>
          <w:divsChild>
            <w:div w:id="177084429">
              <w:marLeft w:val="0"/>
              <w:marRight w:val="0"/>
              <w:marTop w:val="0"/>
              <w:marBottom w:val="0"/>
              <w:divBdr>
                <w:top w:val="single" w:sz="2" w:space="0" w:color="auto"/>
                <w:left w:val="single" w:sz="2" w:space="0" w:color="auto"/>
                <w:bottom w:val="single" w:sz="2" w:space="0" w:color="auto"/>
                <w:right w:val="single" w:sz="2" w:space="0" w:color="auto"/>
              </w:divBdr>
            </w:div>
          </w:divsChild>
        </w:div>
        <w:div w:id="2116171481">
          <w:marLeft w:val="0"/>
          <w:marRight w:val="0"/>
          <w:marTop w:val="0"/>
          <w:marBottom w:val="0"/>
          <w:divBdr>
            <w:top w:val="single" w:sz="2" w:space="0" w:color="auto"/>
            <w:left w:val="single" w:sz="2" w:space="0" w:color="auto"/>
            <w:bottom w:val="single" w:sz="2" w:space="0" w:color="auto"/>
            <w:right w:val="single" w:sz="2" w:space="0" w:color="auto"/>
          </w:divBdr>
          <w:divsChild>
            <w:div w:id="802114117">
              <w:marLeft w:val="0"/>
              <w:marRight w:val="0"/>
              <w:marTop w:val="0"/>
              <w:marBottom w:val="0"/>
              <w:divBdr>
                <w:top w:val="single" w:sz="2" w:space="0" w:color="auto"/>
                <w:left w:val="single" w:sz="2" w:space="0" w:color="auto"/>
                <w:bottom w:val="single" w:sz="2" w:space="0" w:color="auto"/>
                <w:right w:val="single" w:sz="2" w:space="0" w:color="auto"/>
              </w:divBdr>
            </w:div>
            <w:div w:id="10441362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56053096">
      <w:bodyDiv w:val="1"/>
      <w:marLeft w:val="0"/>
      <w:marRight w:val="0"/>
      <w:marTop w:val="0"/>
      <w:marBottom w:val="0"/>
      <w:divBdr>
        <w:top w:val="none" w:sz="0" w:space="0" w:color="auto"/>
        <w:left w:val="none" w:sz="0" w:space="0" w:color="auto"/>
        <w:bottom w:val="none" w:sz="0" w:space="0" w:color="auto"/>
        <w:right w:val="none" w:sz="0" w:space="0" w:color="auto"/>
      </w:divBdr>
    </w:div>
    <w:div w:id="875653942">
      <w:bodyDiv w:val="1"/>
      <w:marLeft w:val="0"/>
      <w:marRight w:val="0"/>
      <w:marTop w:val="0"/>
      <w:marBottom w:val="0"/>
      <w:divBdr>
        <w:top w:val="none" w:sz="0" w:space="0" w:color="auto"/>
        <w:left w:val="none" w:sz="0" w:space="0" w:color="auto"/>
        <w:bottom w:val="none" w:sz="0" w:space="0" w:color="auto"/>
        <w:right w:val="none" w:sz="0" w:space="0" w:color="auto"/>
      </w:divBdr>
    </w:div>
    <w:div w:id="974213484">
      <w:bodyDiv w:val="1"/>
      <w:marLeft w:val="0"/>
      <w:marRight w:val="0"/>
      <w:marTop w:val="0"/>
      <w:marBottom w:val="0"/>
      <w:divBdr>
        <w:top w:val="none" w:sz="0" w:space="0" w:color="auto"/>
        <w:left w:val="none" w:sz="0" w:space="0" w:color="auto"/>
        <w:bottom w:val="none" w:sz="0" w:space="0" w:color="auto"/>
        <w:right w:val="none" w:sz="0" w:space="0" w:color="auto"/>
      </w:divBdr>
    </w:div>
    <w:div w:id="980382995">
      <w:bodyDiv w:val="1"/>
      <w:marLeft w:val="0"/>
      <w:marRight w:val="0"/>
      <w:marTop w:val="0"/>
      <w:marBottom w:val="0"/>
      <w:divBdr>
        <w:top w:val="none" w:sz="0" w:space="0" w:color="auto"/>
        <w:left w:val="none" w:sz="0" w:space="0" w:color="auto"/>
        <w:bottom w:val="none" w:sz="0" w:space="0" w:color="auto"/>
        <w:right w:val="none" w:sz="0" w:space="0" w:color="auto"/>
      </w:divBdr>
    </w:div>
    <w:div w:id="992683935">
      <w:bodyDiv w:val="1"/>
      <w:marLeft w:val="0"/>
      <w:marRight w:val="0"/>
      <w:marTop w:val="0"/>
      <w:marBottom w:val="0"/>
      <w:divBdr>
        <w:top w:val="none" w:sz="0" w:space="0" w:color="auto"/>
        <w:left w:val="none" w:sz="0" w:space="0" w:color="auto"/>
        <w:bottom w:val="none" w:sz="0" w:space="0" w:color="auto"/>
        <w:right w:val="none" w:sz="0" w:space="0" w:color="auto"/>
      </w:divBdr>
    </w:div>
    <w:div w:id="1105075746">
      <w:bodyDiv w:val="1"/>
      <w:marLeft w:val="0"/>
      <w:marRight w:val="0"/>
      <w:marTop w:val="0"/>
      <w:marBottom w:val="0"/>
      <w:divBdr>
        <w:top w:val="none" w:sz="0" w:space="0" w:color="auto"/>
        <w:left w:val="none" w:sz="0" w:space="0" w:color="auto"/>
        <w:bottom w:val="none" w:sz="0" w:space="0" w:color="auto"/>
        <w:right w:val="none" w:sz="0" w:space="0" w:color="auto"/>
      </w:divBdr>
      <w:divsChild>
        <w:div w:id="105663902">
          <w:marLeft w:val="547"/>
          <w:marRight w:val="0"/>
          <w:marTop w:val="0"/>
          <w:marBottom w:val="0"/>
          <w:divBdr>
            <w:top w:val="none" w:sz="0" w:space="0" w:color="auto"/>
            <w:left w:val="none" w:sz="0" w:space="0" w:color="auto"/>
            <w:bottom w:val="none" w:sz="0" w:space="0" w:color="auto"/>
            <w:right w:val="none" w:sz="0" w:space="0" w:color="auto"/>
          </w:divBdr>
        </w:div>
      </w:divsChild>
    </w:div>
    <w:div w:id="1110009775">
      <w:bodyDiv w:val="1"/>
      <w:marLeft w:val="0"/>
      <w:marRight w:val="0"/>
      <w:marTop w:val="0"/>
      <w:marBottom w:val="0"/>
      <w:divBdr>
        <w:top w:val="none" w:sz="0" w:space="0" w:color="auto"/>
        <w:left w:val="none" w:sz="0" w:space="0" w:color="auto"/>
        <w:bottom w:val="none" w:sz="0" w:space="0" w:color="auto"/>
        <w:right w:val="none" w:sz="0" w:space="0" w:color="auto"/>
      </w:divBdr>
    </w:div>
    <w:div w:id="1171405774">
      <w:bodyDiv w:val="1"/>
      <w:marLeft w:val="0"/>
      <w:marRight w:val="0"/>
      <w:marTop w:val="0"/>
      <w:marBottom w:val="0"/>
      <w:divBdr>
        <w:top w:val="none" w:sz="0" w:space="0" w:color="auto"/>
        <w:left w:val="none" w:sz="0" w:space="0" w:color="auto"/>
        <w:bottom w:val="none" w:sz="0" w:space="0" w:color="auto"/>
        <w:right w:val="none" w:sz="0" w:space="0" w:color="auto"/>
      </w:divBdr>
    </w:div>
    <w:div w:id="1217204406">
      <w:bodyDiv w:val="1"/>
      <w:marLeft w:val="0"/>
      <w:marRight w:val="0"/>
      <w:marTop w:val="0"/>
      <w:marBottom w:val="0"/>
      <w:divBdr>
        <w:top w:val="none" w:sz="0" w:space="0" w:color="auto"/>
        <w:left w:val="none" w:sz="0" w:space="0" w:color="auto"/>
        <w:bottom w:val="none" w:sz="0" w:space="0" w:color="auto"/>
        <w:right w:val="none" w:sz="0" w:space="0" w:color="auto"/>
      </w:divBdr>
    </w:div>
    <w:div w:id="1257401407">
      <w:bodyDiv w:val="1"/>
      <w:marLeft w:val="0"/>
      <w:marRight w:val="0"/>
      <w:marTop w:val="0"/>
      <w:marBottom w:val="0"/>
      <w:divBdr>
        <w:top w:val="none" w:sz="0" w:space="0" w:color="auto"/>
        <w:left w:val="none" w:sz="0" w:space="0" w:color="auto"/>
        <w:bottom w:val="none" w:sz="0" w:space="0" w:color="auto"/>
        <w:right w:val="none" w:sz="0" w:space="0" w:color="auto"/>
      </w:divBdr>
    </w:div>
    <w:div w:id="1269506479">
      <w:bodyDiv w:val="1"/>
      <w:marLeft w:val="0"/>
      <w:marRight w:val="0"/>
      <w:marTop w:val="0"/>
      <w:marBottom w:val="0"/>
      <w:divBdr>
        <w:top w:val="none" w:sz="0" w:space="0" w:color="auto"/>
        <w:left w:val="none" w:sz="0" w:space="0" w:color="auto"/>
        <w:bottom w:val="none" w:sz="0" w:space="0" w:color="auto"/>
        <w:right w:val="none" w:sz="0" w:space="0" w:color="auto"/>
      </w:divBdr>
    </w:div>
    <w:div w:id="1314406286">
      <w:bodyDiv w:val="1"/>
      <w:marLeft w:val="0"/>
      <w:marRight w:val="0"/>
      <w:marTop w:val="0"/>
      <w:marBottom w:val="0"/>
      <w:divBdr>
        <w:top w:val="none" w:sz="0" w:space="0" w:color="auto"/>
        <w:left w:val="none" w:sz="0" w:space="0" w:color="auto"/>
        <w:bottom w:val="none" w:sz="0" w:space="0" w:color="auto"/>
        <w:right w:val="none" w:sz="0" w:space="0" w:color="auto"/>
      </w:divBdr>
    </w:div>
    <w:div w:id="1342703148">
      <w:bodyDiv w:val="1"/>
      <w:marLeft w:val="0"/>
      <w:marRight w:val="0"/>
      <w:marTop w:val="0"/>
      <w:marBottom w:val="0"/>
      <w:divBdr>
        <w:top w:val="none" w:sz="0" w:space="0" w:color="auto"/>
        <w:left w:val="none" w:sz="0" w:space="0" w:color="auto"/>
        <w:bottom w:val="none" w:sz="0" w:space="0" w:color="auto"/>
        <w:right w:val="none" w:sz="0" w:space="0" w:color="auto"/>
      </w:divBdr>
    </w:div>
    <w:div w:id="1491092569">
      <w:bodyDiv w:val="1"/>
      <w:marLeft w:val="0"/>
      <w:marRight w:val="0"/>
      <w:marTop w:val="0"/>
      <w:marBottom w:val="0"/>
      <w:divBdr>
        <w:top w:val="none" w:sz="0" w:space="0" w:color="auto"/>
        <w:left w:val="none" w:sz="0" w:space="0" w:color="auto"/>
        <w:bottom w:val="none" w:sz="0" w:space="0" w:color="auto"/>
        <w:right w:val="none" w:sz="0" w:space="0" w:color="auto"/>
      </w:divBdr>
    </w:div>
    <w:div w:id="1533180823">
      <w:bodyDiv w:val="1"/>
      <w:marLeft w:val="0"/>
      <w:marRight w:val="0"/>
      <w:marTop w:val="0"/>
      <w:marBottom w:val="0"/>
      <w:divBdr>
        <w:top w:val="none" w:sz="0" w:space="0" w:color="auto"/>
        <w:left w:val="none" w:sz="0" w:space="0" w:color="auto"/>
        <w:bottom w:val="none" w:sz="0" w:space="0" w:color="auto"/>
        <w:right w:val="none" w:sz="0" w:space="0" w:color="auto"/>
      </w:divBdr>
    </w:div>
    <w:div w:id="1613128739">
      <w:bodyDiv w:val="1"/>
      <w:marLeft w:val="0"/>
      <w:marRight w:val="0"/>
      <w:marTop w:val="0"/>
      <w:marBottom w:val="0"/>
      <w:divBdr>
        <w:top w:val="none" w:sz="0" w:space="0" w:color="auto"/>
        <w:left w:val="none" w:sz="0" w:space="0" w:color="auto"/>
        <w:bottom w:val="none" w:sz="0" w:space="0" w:color="auto"/>
        <w:right w:val="none" w:sz="0" w:space="0" w:color="auto"/>
      </w:divBdr>
    </w:div>
    <w:div w:id="1641614505">
      <w:bodyDiv w:val="1"/>
      <w:marLeft w:val="0"/>
      <w:marRight w:val="0"/>
      <w:marTop w:val="0"/>
      <w:marBottom w:val="0"/>
      <w:divBdr>
        <w:top w:val="none" w:sz="0" w:space="0" w:color="auto"/>
        <w:left w:val="none" w:sz="0" w:space="0" w:color="auto"/>
        <w:bottom w:val="none" w:sz="0" w:space="0" w:color="auto"/>
        <w:right w:val="none" w:sz="0" w:space="0" w:color="auto"/>
      </w:divBdr>
    </w:div>
    <w:div w:id="1706297502">
      <w:bodyDiv w:val="1"/>
      <w:marLeft w:val="0"/>
      <w:marRight w:val="0"/>
      <w:marTop w:val="0"/>
      <w:marBottom w:val="0"/>
      <w:divBdr>
        <w:top w:val="none" w:sz="0" w:space="0" w:color="auto"/>
        <w:left w:val="none" w:sz="0" w:space="0" w:color="auto"/>
        <w:bottom w:val="none" w:sz="0" w:space="0" w:color="auto"/>
        <w:right w:val="none" w:sz="0" w:space="0" w:color="auto"/>
      </w:divBdr>
    </w:div>
    <w:div w:id="1708800070">
      <w:bodyDiv w:val="1"/>
      <w:marLeft w:val="0"/>
      <w:marRight w:val="0"/>
      <w:marTop w:val="0"/>
      <w:marBottom w:val="0"/>
      <w:divBdr>
        <w:top w:val="none" w:sz="0" w:space="0" w:color="auto"/>
        <w:left w:val="none" w:sz="0" w:space="0" w:color="auto"/>
        <w:bottom w:val="none" w:sz="0" w:space="0" w:color="auto"/>
        <w:right w:val="none" w:sz="0" w:space="0" w:color="auto"/>
      </w:divBdr>
    </w:div>
    <w:div w:id="1723674356">
      <w:bodyDiv w:val="1"/>
      <w:marLeft w:val="0"/>
      <w:marRight w:val="0"/>
      <w:marTop w:val="0"/>
      <w:marBottom w:val="0"/>
      <w:divBdr>
        <w:top w:val="none" w:sz="0" w:space="0" w:color="auto"/>
        <w:left w:val="none" w:sz="0" w:space="0" w:color="auto"/>
        <w:bottom w:val="none" w:sz="0" w:space="0" w:color="auto"/>
        <w:right w:val="none" w:sz="0" w:space="0" w:color="auto"/>
      </w:divBdr>
    </w:div>
    <w:div w:id="1731612602">
      <w:bodyDiv w:val="1"/>
      <w:marLeft w:val="0"/>
      <w:marRight w:val="0"/>
      <w:marTop w:val="0"/>
      <w:marBottom w:val="0"/>
      <w:divBdr>
        <w:top w:val="none" w:sz="0" w:space="0" w:color="auto"/>
        <w:left w:val="none" w:sz="0" w:space="0" w:color="auto"/>
        <w:bottom w:val="none" w:sz="0" w:space="0" w:color="auto"/>
        <w:right w:val="none" w:sz="0" w:space="0" w:color="auto"/>
      </w:divBdr>
    </w:div>
    <w:div w:id="1760559237">
      <w:bodyDiv w:val="1"/>
      <w:marLeft w:val="0"/>
      <w:marRight w:val="0"/>
      <w:marTop w:val="0"/>
      <w:marBottom w:val="0"/>
      <w:divBdr>
        <w:top w:val="none" w:sz="0" w:space="0" w:color="auto"/>
        <w:left w:val="none" w:sz="0" w:space="0" w:color="auto"/>
        <w:bottom w:val="none" w:sz="0" w:space="0" w:color="auto"/>
        <w:right w:val="none" w:sz="0" w:space="0" w:color="auto"/>
      </w:divBdr>
    </w:div>
    <w:div w:id="1794595696">
      <w:bodyDiv w:val="1"/>
      <w:marLeft w:val="0"/>
      <w:marRight w:val="0"/>
      <w:marTop w:val="0"/>
      <w:marBottom w:val="0"/>
      <w:divBdr>
        <w:top w:val="none" w:sz="0" w:space="0" w:color="auto"/>
        <w:left w:val="none" w:sz="0" w:space="0" w:color="auto"/>
        <w:bottom w:val="none" w:sz="0" w:space="0" w:color="auto"/>
        <w:right w:val="none" w:sz="0" w:space="0" w:color="auto"/>
      </w:divBdr>
    </w:div>
    <w:div w:id="1832328312">
      <w:bodyDiv w:val="1"/>
      <w:marLeft w:val="0"/>
      <w:marRight w:val="0"/>
      <w:marTop w:val="0"/>
      <w:marBottom w:val="0"/>
      <w:divBdr>
        <w:top w:val="none" w:sz="0" w:space="0" w:color="auto"/>
        <w:left w:val="none" w:sz="0" w:space="0" w:color="auto"/>
        <w:bottom w:val="none" w:sz="0" w:space="0" w:color="auto"/>
        <w:right w:val="none" w:sz="0" w:space="0" w:color="auto"/>
      </w:divBdr>
    </w:div>
    <w:div w:id="1866823945">
      <w:bodyDiv w:val="1"/>
      <w:marLeft w:val="0"/>
      <w:marRight w:val="0"/>
      <w:marTop w:val="0"/>
      <w:marBottom w:val="0"/>
      <w:divBdr>
        <w:top w:val="none" w:sz="0" w:space="0" w:color="auto"/>
        <w:left w:val="none" w:sz="0" w:space="0" w:color="auto"/>
        <w:bottom w:val="none" w:sz="0" w:space="0" w:color="auto"/>
        <w:right w:val="none" w:sz="0" w:space="0" w:color="auto"/>
      </w:divBdr>
    </w:div>
    <w:div w:id="1891650122">
      <w:bodyDiv w:val="1"/>
      <w:marLeft w:val="0"/>
      <w:marRight w:val="0"/>
      <w:marTop w:val="0"/>
      <w:marBottom w:val="0"/>
      <w:divBdr>
        <w:top w:val="none" w:sz="0" w:space="0" w:color="auto"/>
        <w:left w:val="none" w:sz="0" w:space="0" w:color="auto"/>
        <w:bottom w:val="none" w:sz="0" w:space="0" w:color="auto"/>
        <w:right w:val="none" w:sz="0" w:space="0" w:color="auto"/>
      </w:divBdr>
    </w:div>
    <w:div w:id="1906988134">
      <w:bodyDiv w:val="1"/>
      <w:marLeft w:val="0"/>
      <w:marRight w:val="0"/>
      <w:marTop w:val="0"/>
      <w:marBottom w:val="0"/>
      <w:divBdr>
        <w:top w:val="none" w:sz="0" w:space="0" w:color="auto"/>
        <w:left w:val="none" w:sz="0" w:space="0" w:color="auto"/>
        <w:bottom w:val="none" w:sz="0" w:space="0" w:color="auto"/>
        <w:right w:val="none" w:sz="0" w:space="0" w:color="auto"/>
      </w:divBdr>
    </w:div>
    <w:div w:id="1984459167">
      <w:bodyDiv w:val="1"/>
      <w:marLeft w:val="0"/>
      <w:marRight w:val="0"/>
      <w:marTop w:val="0"/>
      <w:marBottom w:val="0"/>
      <w:divBdr>
        <w:top w:val="none" w:sz="0" w:space="0" w:color="auto"/>
        <w:left w:val="none" w:sz="0" w:space="0" w:color="auto"/>
        <w:bottom w:val="none" w:sz="0" w:space="0" w:color="auto"/>
        <w:right w:val="none" w:sz="0" w:space="0" w:color="auto"/>
      </w:divBdr>
    </w:div>
    <w:div w:id="2070422963">
      <w:bodyDiv w:val="1"/>
      <w:marLeft w:val="0"/>
      <w:marRight w:val="0"/>
      <w:marTop w:val="0"/>
      <w:marBottom w:val="0"/>
      <w:divBdr>
        <w:top w:val="none" w:sz="0" w:space="0" w:color="auto"/>
        <w:left w:val="none" w:sz="0" w:space="0" w:color="auto"/>
        <w:bottom w:val="none" w:sz="0" w:space="0" w:color="auto"/>
        <w:right w:val="none" w:sz="0" w:space="0" w:color="auto"/>
      </w:divBdr>
    </w:div>
    <w:div w:id="2095205781">
      <w:bodyDiv w:val="1"/>
      <w:marLeft w:val="0"/>
      <w:marRight w:val="0"/>
      <w:marTop w:val="0"/>
      <w:marBottom w:val="0"/>
      <w:divBdr>
        <w:top w:val="none" w:sz="0" w:space="0" w:color="auto"/>
        <w:left w:val="none" w:sz="0" w:space="0" w:color="auto"/>
        <w:bottom w:val="none" w:sz="0" w:space="0" w:color="auto"/>
        <w:right w:val="none" w:sz="0" w:space="0" w:color="auto"/>
      </w:divBdr>
    </w:div>
    <w:div w:id="210078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diagramLayout" Target="diagrams/layout1.xml"/><Relationship Id="rId30" Type="http://schemas.microsoft.com/office/2007/relationships/diagramDrawing" Target="diagrams/drawing1.xml"/></Relationships>
</file>

<file path=word/_rels/footnotes.xml.rels><?xml version="1.0" encoding="UTF-8" standalone="yes"?>
<Relationships xmlns="http://schemas.openxmlformats.org/package/2006/relationships"><Relationship Id="rId8" Type="http://schemas.openxmlformats.org/officeDocument/2006/relationships/hyperlink" Target="https://www.grandviewresearch.com/industry-analysis/wearable-technology-market" TargetMode="External"/><Relationship Id="rId3" Type="http://schemas.openxmlformats.org/officeDocument/2006/relationships/hyperlink" Target="http://data.europa.eu/eli/reg/2025/2052/oj" TargetMode="External"/><Relationship Id="rId7" Type="http://schemas.openxmlformats.org/officeDocument/2006/relationships/hyperlink" Target="https://www.datainsightsmarket.com/reports/remote-control-toys-1917195." TargetMode="External"/><Relationship Id="rId2" Type="http://schemas.openxmlformats.org/officeDocument/2006/relationships/hyperlink" Target="http://data.europa.eu/eli/dir/2022/2380/oj" TargetMode="External"/><Relationship Id="rId1" Type="http://schemas.openxmlformats.org/officeDocument/2006/relationships/hyperlink" Target="http://data.europa.eu/eli/dir/2014/53/oj" TargetMode="External"/><Relationship Id="rId6" Type="http://schemas.openxmlformats.org/officeDocument/2006/relationships/hyperlink" Target="https://www.statista.com/outlook/amo/ar-vr/worldwide" TargetMode="External"/><Relationship Id="rId5" Type="http://schemas.openxmlformats.org/officeDocument/2006/relationships/hyperlink" Target="https://ec.europa.eu/transparency/expert-groups-register/screen/expert-groups/consult?lang=fr&amp;do=groupDetail.groupDetail&amp;groupID=3587" TargetMode="External"/><Relationship Id="rId4" Type="http://schemas.openxmlformats.org/officeDocument/2006/relationships/hyperlink" Target="https://op.europa.eu/fr/publication-detail/-/publication/65d8afdf-2bc0-11f0-8a44-01aa75ed71a1"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2.jpeg"/></Relationships>
</file>

<file path=word/diagrams/_rels/drawing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F72304-5769-4FC9-B2C5-179D7AA7E7A1}"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IE"/>
        </a:p>
      </dgm:t>
    </dgm:pt>
    <dgm:pt modelId="{D5ED9738-F1CA-42AC-89D5-65500BEE3CBA}">
      <dgm:prSet phldrT="[Tex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Électronique grand public</a:t>
          </a:r>
        </a:p>
      </dgm:t>
    </dgm:pt>
    <dgm:pt modelId="{63A87937-0644-4344-A76C-D9FA4842BEC7}" type="parTrans" cxnId="{6706A36B-F449-428C-AFD8-E66CB22C5736}">
      <dgm:prSet/>
      <dgm:spPr/>
      <dgm:t>
        <a:bodyPr/>
        <a:lstStyle/>
        <a:p>
          <a:endParaRPr lang="en-IE"/>
        </a:p>
      </dgm:t>
    </dgm:pt>
    <dgm:pt modelId="{809F7680-FD76-41F5-A0E6-453407E29835}" type="sibTrans" cxnId="{6706A36B-F449-428C-AFD8-E66CB22C5736}">
      <dgm:prSet/>
      <dgm:spPr/>
      <dgm:t>
        <a:bodyPr/>
        <a:lstStyle/>
        <a:p>
          <a:endParaRPr lang="en-IE"/>
        </a:p>
      </dgm:t>
    </dgm:pt>
    <dgm:pt modelId="{95206552-982F-446B-83BA-C213F9BDA092}">
      <dgm:prSet phldrT="[Tex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Téléphonie</a:t>
          </a:r>
        </a:p>
      </dgm:t>
    </dgm:pt>
    <dgm:pt modelId="{FA2AADBE-D2A9-4659-84CB-5DFBCF2D7DB2}" type="parTrans" cxnId="{802EBD45-30F4-4B23-946F-186F34A6537A}">
      <dgm:prSet/>
      <dgm:spPr/>
      <dgm:t>
        <a:bodyPr/>
        <a:lstStyle/>
        <a:p>
          <a:endParaRPr lang="en-IE"/>
        </a:p>
      </dgm:t>
    </dgm:pt>
    <dgm:pt modelId="{587DCE30-1893-4F91-818B-F26C8F5CB7BB}" type="sibTrans" cxnId="{802EBD45-30F4-4B23-946F-186F34A6537A}">
      <dgm:prSet/>
      <dgm:spPr/>
      <dgm:t>
        <a:bodyPr/>
        <a:lstStyle/>
        <a:p>
          <a:endParaRPr lang="en-IE"/>
        </a:p>
      </dgm:t>
    </dgm:pt>
    <dgm:pt modelId="{88F79B71-6EFD-4A87-B4A7-C3EBAF0F931A}">
      <dgm:prSet phldrT="[Tex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Télévision, radio et multimédia</a:t>
          </a:r>
        </a:p>
      </dgm:t>
    </dgm:pt>
    <dgm:pt modelId="{545F3543-9765-4EC9-BD60-ACD605245BAB}" type="parTrans" cxnId="{CC5C977C-F9ED-42CC-BA09-85C253212694}">
      <dgm:prSet/>
      <dgm:spPr/>
      <dgm:t>
        <a:bodyPr/>
        <a:lstStyle/>
        <a:p>
          <a:endParaRPr lang="en-IE"/>
        </a:p>
      </dgm:t>
    </dgm:pt>
    <dgm:pt modelId="{A2737376-0449-4D50-B3FE-926EEC345C8E}" type="sibTrans" cxnId="{CC5C977C-F9ED-42CC-BA09-85C253212694}">
      <dgm:prSet/>
      <dgm:spPr/>
      <dgm:t>
        <a:bodyPr/>
        <a:lstStyle/>
        <a:p>
          <a:endParaRPr lang="en-IE"/>
        </a:p>
      </dgm:t>
    </dgm:pt>
    <dgm:pt modelId="{7C8EE1C2-FC0E-45F8-BF4E-01C942FDBF6E}">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Informatique</a:t>
          </a:r>
        </a:p>
      </dgm:t>
    </dgm:pt>
    <dgm:pt modelId="{1785A38B-6CBA-4B47-A265-15D44EEDB3CF}" type="parTrans" cxnId="{E6EB3F4D-7519-431D-9DF4-FBB2F2CCECCC}">
      <dgm:prSet/>
      <dgm:spPr/>
      <dgm:t>
        <a:bodyPr/>
        <a:lstStyle/>
        <a:p>
          <a:endParaRPr lang="en-IE"/>
        </a:p>
      </dgm:t>
    </dgm:pt>
    <dgm:pt modelId="{6642B168-3454-4F4D-9518-3621D4D2DCA2}" type="sibTrans" cxnId="{E6EB3F4D-7519-431D-9DF4-FBB2F2CCECCC}">
      <dgm:prSet/>
      <dgm:spPr/>
      <dgm:t>
        <a:bodyPr/>
        <a:lstStyle/>
        <a:p>
          <a:endParaRPr lang="en-IE"/>
        </a:p>
      </dgm:t>
    </dgm:pt>
    <dgm:pt modelId="{086B6914-94B6-4172-A155-6DCCD8A7B416}">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Périphériques TV</a:t>
          </a:r>
        </a:p>
      </dgm:t>
    </dgm:pt>
    <dgm:pt modelId="{FEA9EB22-E14B-401A-80D2-6D310F673EAD}" type="parTrans" cxnId="{4820C046-9CC4-4FB7-B979-07AAAB7FA7E4}">
      <dgm:prSet/>
      <dgm:spPr/>
      <dgm:t>
        <a:bodyPr/>
        <a:lstStyle/>
        <a:p>
          <a:endParaRPr lang="en-IE"/>
        </a:p>
      </dgm:t>
    </dgm:pt>
    <dgm:pt modelId="{BFAD1793-ED2D-4381-9E15-D08CE86C21B9}" type="sibTrans" cxnId="{4820C046-9CC4-4FB7-B979-07AAAB7FA7E4}">
      <dgm:prSet/>
      <dgm:spPr/>
      <dgm:t>
        <a:bodyPr/>
        <a:lstStyle/>
        <a:p>
          <a:endParaRPr lang="en-IE"/>
        </a:p>
      </dgm:t>
    </dgm:pt>
    <dgm:pt modelId="{885D455B-C94F-41AB-BB2C-1AB97DBDC0DB}">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Drones</a:t>
          </a:r>
        </a:p>
      </dgm:t>
    </dgm:pt>
    <dgm:pt modelId="{5695808F-3F35-4CDB-82B9-0D65F7D94BFB}" type="parTrans" cxnId="{5DFAE999-1F48-43FF-88A1-1034DECDD8FE}">
      <dgm:prSet/>
      <dgm:spPr/>
      <dgm:t>
        <a:bodyPr/>
        <a:lstStyle/>
        <a:p>
          <a:endParaRPr lang="en-IE"/>
        </a:p>
      </dgm:t>
    </dgm:pt>
    <dgm:pt modelId="{F38C263A-4319-43BF-9021-A9F5B4E12912}" type="sibTrans" cxnId="{5DFAE999-1F48-43FF-88A1-1034DECDD8FE}">
      <dgm:prSet/>
      <dgm:spPr/>
      <dgm:t>
        <a:bodyPr/>
        <a:lstStyle/>
        <a:p>
          <a:endParaRPr lang="en-IE"/>
        </a:p>
      </dgm:t>
    </dgm:pt>
    <dgm:pt modelId="{FBF4766A-B47C-427F-918E-BDD73977DF7C}">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Équipements de jeux</a:t>
          </a:r>
        </a:p>
      </dgm:t>
    </dgm:pt>
    <dgm:pt modelId="{9572C415-8EF2-41A1-9A2F-7DC3A6BE5BEA}" type="parTrans" cxnId="{25826351-1780-493D-9464-1B66A810A5D9}">
      <dgm:prSet/>
      <dgm:spPr/>
      <dgm:t>
        <a:bodyPr/>
        <a:lstStyle/>
        <a:p>
          <a:endParaRPr lang="en-IE"/>
        </a:p>
      </dgm:t>
    </dgm:pt>
    <dgm:pt modelId="{48A5021D-1D14-4126-8E54-100B33F30228}" type="sibTrans" cxnId="{25826351-1780-493D-9464-1B66A810A5D9}">
      <dgm:prSet/>
      <dgm:spPr/>
      <dgm:t>
        <a:bodyPr/>
        <a:lstStyle/>
        <a:p>
          <a:endParaRPr lang="en-IE"/>
        </a:p>
      </dgm:t>
    </dgm:pt>
    <dgm:pt modelId="{2B5B2DAD-BBD1-475D-81F6-19B160623DF2}">
      <dgm:prSet/>
      <dgm:spPr/>
      <dgm:t>
        <a:bodyPr/>
        <a:lstStyle/>
        <a:p>
          <a:r>
            <a:rPr lang="fr-FR" b="1"/>
            <a:t>Équipements radioélectriques</a:t>
          </a:r>
        </a:p>
      </dgm:t>
    </dgm:pt>
    <dgm:pt modelId="{7F5758F4-6A65-451F-9AD4-93F9F15F6163}" type="parTrans" cxnId="{1D56B635-C241-406F-9B5B-2F6F4D6AF0F1}">
      <dgm:prSet/>
      <dgm:spPr/>
      <dgm:t>
        <a:bodyPr/>
        <a:lstStyle/>
        <a:p>
          <a:endParaRPr lang="en-IE"/>
        </a:p>
      </dgm:t>
    </dgm:pt>
    <dgm:pt modelId="{C543C911-AB72-4456-B44C-FAF7E2ABE483}" type="sibTrans" cxnId="{1D56B635-C241-406F-9B5B-2F6F4D6AF0F1}">
      <dgm:prSet/>
      <dgm:spPr/>
      <dgm:t>
        <a:bodyPr/>
        <a:lstStyle/>
        <a:p>
          <a:endParaRPr lang="en-IE"/>
        </a:p>
      </dgm:t>
    </dgm:pt>
    <dgm:pt modelId="{1ED4D2C5-949D-49F7-B839-8ED675DD0790}">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Appareils intelligents</a:t>
          </a:r>
        </a:p>
      </dgm:t>
    </dgm:pt>
    <dgm:pt modelId="{09C8C97F-0C56-4640-A770-843A8D6F1270}" type="parTrans" cxnId="{DFAF5169-1B40-4B33-8CA3-F9299D12ECE7}">
      <dgm:prSet/>
      <dgm:spPr/>
      <dgm:t>
        <a:bodyPr/>
        <a:lstStyle/>
        <a:p>
          <a:endParaRPr lang="en-IE"/>
        </a:p>
      </dgm:t>
    </dgm:pt>
    <dgm:pt modelId="{518DFB3B-B87C-4588-B362-2125061B117D}" type="sibTrans" cxnId="{DFAF5169-1B40-4B33-8CA3-F9299D12ECE7}">
      <dgm:prSet/>
      <dgm:spPr/>
      <dgm:t>
        <a:bodyPr/>
        <a:lstStyle/>
        <a:p>
          <a:endParaRPr lang="en-IE"/>
        </a:p>
      </dgm:t>
    </dgm:pt>
    <dgm:pt modelId="{3B98F0A1-A017-470B-84DF-6FCCC0A2CB11}">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Objets personnels connectés</a:t>
          </a:r>
        </a:p>
      </dgm:t>
    </dgm:pt>
    <dgm:pt modelId="{240C2DB2-2684-4F3F-9B61-C6C8311AE5D2}" type="parTrans" cxnId="{EF68378F-3453-475B-BE02-07033BF30F2D}">
      <dgm:prSet/>
      <dgm:spPr/>
      <dgm:t>
        <a:bodyPr/>
        <a:lstStyle/>
        <a:p>
          <a:endParaRPr lang="en-IE"/>
        </a:p>
      </dgm:t>
    </dgm:pt>
    <dgm:pt modelId="{66BFC191-46B5-4AF9-B678-3E0624620AFD}" type="sibTrans" cxnId="{EF68378F-3453-475B-BE02-07033BF30F2D}">
      <dgm:prSet/>
      <dgm:spPr/>
      <dgm:t>
        <a:bodyPr/>
        <a:lstStyle/>
        <a:p>
          <a:endParaRPr lang="en-IE"/>
        </a:p>
      </dgm:t>
    </dgm:pt>
    <dgm:pt modelId="{5FFD69C3-227F-473E-BB70-1ABD0961EF3D}">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Jouets en plastique et autres</a:t>
          </a:r>
        </a:p>
      </dgm:t>
    </dgm:pt>
    <dgm:pt modelId="{67647BCF-91D4-469F-BA58-321C92A43FB0}" type="parTrans" cxnId="{06E69822-1B7F-42CF-9C44-C9CDDDB42090}">
      <dgm:prSet/>
      <dgm:spPr/>
      <dgm:t>
        <a:bodyPr/>
        <a:lstStyle/>
        <a:p>
          <a:endParaRPr lang="en-IE"/>
        </a:p>
      </dgm:t>
    </dgm:pt>
    <dgm:pt modelId="{90334948-15E4-47B8-B1B9-8360EF0C6C16}" type="sibTrans" cxnId="{06E69822-1B7F-42CF-9C44-C9CDDDB42090}">
      <dgm:prSet/>
      <dgm:spPr/>
      <dgm:t>
        <a:bodyPr/>
        <a:lstStyle/>
        <a:p>
          <a:endParaRPr lang="en-IE"/>
        </a:p>
      </dgm:t>
    </dgm:pt>
    <dgm:pt modelId="{4C587A56-92A8-488B-A3E3-AE93EA52967B}">
      <dgm:prSet/>
      <dgm:spPr/>
      <dgm:t>
        <a:bodyPr/>
        <a:lstStyle/>
        <a:p>
          <a:r>
            <a:rPr lang="fr-FR"/>
            <a:t>Montres intelligentes</a:t>
          </a:r>
        </a:p>
      </dgm:t>
    </dgm:pt>
    <dgm:pt modelId="{2A2EDF56-0B9D-4327-B629-C691AB1B7DE8}" type="parTrans" cxnId="{50543A17-B8CA-4382-ABD7-6EB30A4D9085}">
      <dgm:prSet/>
      <dgm:spPr/>
      <dgm:t>
        <a:bodyPr/>
        <a:lstStyle/>
        <a:p>
          <a:endParaRPr lang="en-IE"/>
        </a:p>
      </dgm:t>
    </dgm:pt>
    <dgm:pt modelId="{5AD76363-2F39-4C8C-9957-32B0D978FCEA}" type="sibTrans" cxnId="{50543A17-B8CA-4382-ABD7-6EB30A4D9085}">
      <dgm:prSet/>
      <dgm:spPr/>
      <dgm:t>
        <a:bodyPr/>
        <a:lstStyle/>
        <a:p>
          <a:endParaRPr lang="en-IE"/>
        </a:p>
      </dgm:t>
    </dgm:pt>
    <dgm:pt modelId="{B93DC219-CB0A-4952-8F5B-9C646A54321C}">
      <dgm:prSet/>
      <dgm:spPr/>
      <dgm:t>
        <a:bodyPr/>
        <a:lstStyle/>
        <a:p>
          <a:r>
            <a:rPr lang="fr-FR"/>
            <a:t>Dispositifs de suivi de la condition physique</a:t>
          </a:r>
        </a:p>
      </dgm:t>
    </dgm:pt>
    <dgm:pt modelId="{5A8A2F01-E752-4666-8ACE-48AE3452F05B}" type="parTrans" cxnId="{DAF4FEC7-1E0E-4ABD-98C3-30B65CB9F611}">
      <dgm:prSet/>
      <dgm:spPr/>
      <dgm:t>
        <a:bodyPr/>
        <a:lstStyle/>
        <a:p>
          <a:endParaRPr lang="en-IE"/>
        </a:p>
      </dgm:t>
    </dgm:pt>
    <dgm:pt modelId="{2EE0A02C-3446-41AB-B068-CA72F31583A6}" type="sibTrans" cxnId="{DAF4FEC7-1E0E-4ABD-98C3-30B65CB9F611}">
      <dgm:prSet/>
      <dgm:spPr/>
      <dgm:t>
        <a:bodyPr/>
        <a:lstStyle/>
        <a:p>
          <a:endParaRPr lang="en-IE"/>
        </a:p>
      </dgm:t>
    </dgm:pt>
    <dgm:pt modelId="{266B3302-833B-4251-A06F-951ADF743ACD}">
      <dgm:prSet/>
      <dgm:spPr/>
      <dgm:t>
        <a:bodyPr/>
        <a:lstStyle/>
        <a:p>
          <a:r>
            <a:rPr lang="fr-FR"/>
            <a:t>Lunettes intelligentes</a:t>
          </a:r>
        </a:p>
      </dgm:t>
    </dgm:pt>
    <dgm:pt modelId="{FCC6BDA9-DF0E-4194-8E96-321E3AC2981B}" type="parTrans" cxnId="{78AD631D-AE36-4897-88EA-7777FAB80219}">
      <dgm:prSet/>
      <dgm:spPr/>
      <dgm:t>
        <a:bodyPr/>
        <a:lstStyle/>
        <a:p>
          <a:endParaRPr lang="en-IE"/>
        </a:p>
      </dgm:t>
    </dgm:pt>
    <dgm:pt modelId="{7A5F3B1A-7A98-404F-99CE-55EAB0718D63}" type="sibTrans" cxnId="{78AD631D-AE36-4897-88EA-7777FAB80219}">
      <dgm:prSet/>
      <dgm:spPr/>
      <dgm:t>
        <a:bodyPr/>
        <a:lstStyle/>
        <a:p>
          <a:endParaRPr lang="en-IE"/>
        </a:p>
      </dgm:t>
    </dgm:pt>
    <dgm:pt modelId="{BF126468-FE6F-4666-882D-2EDA0E02EE78}">
      <dgm:prSet/>
      <dgm:spPr/>
      <dgm:t>
        <a:bodyPr/>
        <a:lstStyle/>
        <a:p>
          <a:r>
            <a:rPr lang="fr-FR"/>
            <a:t>Bracelets de fitness</a:t>
          </a:r>
        </a:p>
      </dgm:t>
    </dgm:pt>
    <dgm:pt modelId="{A1BBB9AA-BF82-4CC7-B575-E8D0CACAE178}" type="parTrans" cxnId="{4F8E6663-8311-4418-AF67-22F254F5AB75}">
      <dgm:prSet/>
      <dgm:spPr/>
      <dgm:t>
        <a:bodyPr/>
        <a:lstStyle/>
        <a:p>
          <a:endParaRPr lang="en-IE"/>
        </a:p>
      </dgm:t>
    </dgm:pt>
    <dgm:pt modelId="{47562D0C-C5A1-4111-97FF-73EBC6BBC556}" type="sibTrans" cxnId="{4F8E6663-8311-4418-AF67-22F254F5AB75}">
      <dgm:prSet/>
      <dgm:spPr/>
      <dgm:t>
        <a:bodyPr/>
        <a:lstStyle/>
        <a:p>
          <a:endParaRPr lang="en-IE"/>
        </a:p>
      </dgm:t>
    </dgm:pt>
    <dgm:pt modelId="{E48F9C72-34F6-4AE0-A68E-EE690BE44725}">
      <dgm:prSet/>
      <dgm:spPr>
        <a:solidFill>
          <a:schemeClr val="bg1"/>
        </a:solidFill>
        <a:ln>
          <a:solidFill>
            <a:schemeClr val="accent1">
              <a:lumMod val="75000"/>
            </a:schemeClr>
          </a:solidFill>
        </a:ln>
      </dgm:spPr>
      <dgm:t>
        <a:bodyPr/>
        <a:lstStyle/>
        <a:p>
          <a:r>
            <a:rPr lang="fr-FR">
              <a:solidFill>
                <a:sysClr val="windowText" lastClr="000000"/>
              </a:solidFill>
            </a:rPr>
            <a:t>Vêtements intelligents</a:t>
          </a:r>
        </a:p>
      </dgm:t>
    </dgm:pt>
    <dgm:pt modelId="{67504915-FCBE-4E41-B8AB-AC2CAB0AE080}" type="parTrans" cxnId="{E598B535-924D-41E9-88AF-E15A9D03E4D1}">
      <dgm:prSet/>
      <dgm:spPr/>
      <dgm:t>
        <a:bodyPr/>
        <a:lstStyle/>
        <a:p>
          <a:endParaRPr lang="en-IE"/>
        </a:p>
      </dgm:t>
    </dgm:pt>
    <dgm:pt modelId="{C1B8957B-039D-493F-8E5B-1FB2E33B72A8}" type="sibTrans" cxnId="{E598B535-924D-41E9-88AF-E15A9D03E4D1}">
      <dgm:prSet/>
      <dgm:spPr/>
      <dgm:t>
        <a:bodyPr/>
        <a:lstStyle/>
        <a:p>
          <a:endParaRPr lang="en-IE"/>
        </a:p>
      </dgm:t>
    </dgm:pt>
    <dgm:pt modelId="{ADFB3AA6-B034-4439-BA2B-608E3AAA9B4A}">
      <dgm:prSet/>
      <dgm:spPr>
        <a:solidFill>
          <a:schemeClr val="bg1"/>
        </a:solidFill>
        <a:ln>
          <a:solidFill>
            <a:schemeClr val="accent1">
              <a:lumMod val="75000"/>
            </a:schemeClr>
          </a:solidFill>
        </a:ln>
      </dgm:spPr>
      <dgm:t>
        <a:bodyPr/>
        <a:lstStyle/>
        <a:p>
          <a:r>
            <a:rPr lang="fr-FR">
              <a:solidFill>
                <a:sysClr val="windowText" lastClr="000000"/>
              </a:solidFill>
            </a:rPr>
            <a:t>Dispositifs modulaires</a:t>
          </a:r>
        </a:p>
      </dgm:t>
    </dgm:pt>
    <dgm:pt modelId="{D8E57F8B-6DEF-4C2A-95E4-C6391701B545}" type="parTrans" cxnId="{95035888-1DDF-4C24-B2D6-D05D4D5A1E05}">
      <dgm:prSet/>
      <dgm:spPr/>
      <dgm:t>
        <a:bodyPr/>
        <a:lstStyle/>
        <a:p>
          <a:endParaRPr lang="en-IE"/>
        </a:p>
      </dgm:t>
    </dgm:pt>
    <dgm:pt modelId="{FDE3503F-3DAF-4586-B840-6998FD2E0624}" type="sibTrans" cxnId="{95035888-1DDF-4C24-B2D6-D05D4D5A1E05}">
      <dgm:prSet/>
      <dgm:spPr/>
      <dgm:t>
        <a:bodyPr/>
        <a:lstStyle/>
        <a:p>
          <a:endParaRPr lang="en-IE"/>
        </a:p>
      </dgm:t>
    </dgm:pt>
    <dgm:pt modelId="{11A3C739-38A9-4501-89AB-2900441C1F05}">
      <dgm:prSet/>
      <dgm:spPr/>
      <dgm:t>
        <a:bodyPr/>
        <a:lstStyle/>
        <a:p>
          <a:r>
            <a:rPr lang="fr-FR"/>
            <a:t>Casques de réalité augmentée/virtuelle</a:t>
          </a:r>
        </a:p>
      </dgm:t>
    </dgm:pt>
    <dgm:pt modelId="{4EC6BD36-E67F-4A22-818D-1B5C98397792}" type="parTrans" cxnId="{566D48BA-4453-431D-8DFE-598A91B4FF93}">
      <dgm:prSet/>
      <dgm:spPr/>
      <dgm:t>
        <a:bodyPr/>
        <a:lstStyle/>
        <a:p>
          <a:endParaRPr lang="en-IE"/>
        </a:p>
      </dgm:t>
    </dgm:pt>
    <dgm:pt modelId="{3D21F86D-70AE-4348-94DB-5E33AA1175D2}" type="sibTrans" cxnId="{566D48BA-4453-431D-8DFE-598A91B4FF93}">
      <dgm:prSet/>
      <dgm:spPr/>
      <dgm:t>
        <a:bodyPr/>
        <a:lstStyle/>
        <a:p>
          <a:endParaRPr lang="en-IE"/>
        </a:p>
      </dgm:t>
    </dgm:pt>
    <dgm:pt modelId="{C6C4EFD4-2A8C-4BEC-B495-C13773328220}">
      <dgm:prSet/>
      <dgm:spPr/>
      <dgm:t>
        <a:bodyPr/>
        <a:lstStyle/>
        <a:p>
          <a:r>
            <a:rPr lang="fr-FR"/>
            <a:t>Manettes de jeux vidéo</a:t>
          </a:r>
        </a:p>
      </dgm:t>
    </dgm:pt>
    <dgm:pt modelId="{F0B0607F-EC83-4F97-A7B4-C23F3E72D401}" type="parTrans" cxnId="{C4F22DB5-E5F2-4F18-BF7A-895ECD110409}">
      <dgm:prSet/>
      <dgm:spPr/>
      <dgm:t>
        <a:bodyPr/>
        <a:lstStyle/>
        <a:p>
          <a:endParaRPr lang="en-IE"/>
        </a:p>
      </dgm:t>
    </dgm:pt>
    <dgm:pt modelId="{8188BB82-5DBF-4908-A921-53E8478E49CE}" type="sibTrans" cxnId="{C4F22DB5-E5F2-4F18-BF7A-895ECD110409}">
      <dgm:prSet/>
      <dgm:spPr/>
      <dgm:t>
        <a:bodyPr/>
        <a:lstStyle/>
        <a:p>
          <a:endParaRPr lang="en-IE"/>
        </a:p>
      </dgm:t>
    </dgm:pt>
    <dgm:pt modelId="{0ECDE406-D71B-4B1F-8B4D-FCFFF1D90338}">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Jouets fonctionnant sur batterie</a:t>
          </a:r>
        </a:p>
      </dgm:t>
    </dgm:pt>
    <dgm:pt modelId="{F6582F16-D3FA-4121-832D-D69CBCF2A97C}" type="parTrans" cxnId="{4179AC7E-E1BB-47A4-806A-573D96B559C6}">
      <dgm:prSet/>
      <dgm:spPr/>
      <dgm:t>
        <a:bodyPr/>
        <a:lstStyle/>
        <a:p>
          <a:endParaRPr lang="en-IE"/>
        </a:p>
      </dgm:t>
    </dgm:pt>
    <dgm:pt modelId="{5E332240-8A47-4EE3-9974-C024F2A897F7}" type="sibTrans" cxnId="{4179AC7E-E1BB-47A4-806A-573D96B559C6}">
      <dgm:prSet/>
      <dgm:spPr/>
      <dgm:t>
        <a:bodyPr/>
        <a:lstStyle/>
        <a:p>
          <a:endParaRPr lang="en-IE"/>
        </a:p>
      </dgm:t>
    </dgm:pt>
    <dgm:pt modelId="{F698622B-8609-4FF0-BF00-728515DC24E2}">
      <dgm:prSet/>
      <dgm:spPr/>
      <dgm:t>
        <a:bodyPr/>
        <a:lstStyle/>
        <a:p>
          <a:r>
            <a:rPr lang="fr-FR"/>
            <a:t>Drones destinés à des fins personnelles</a:t>
          </a:r>
        </a:p>
      </dgm:t>
    </dgm:pt>
    <dgm:pt modelId="{CC840E1F-47EA-4470-AC63-1C65A005625B}" type="parTrans" cxnId="{EFBBEBA9-4C8F-464A-8B72-C6A31DF517B0}">
      <dgm:prSet/>
      <dgm:spPr/>
      <dgm:t>
        <a:bodyPr/>
        <a:lstStyle/>
        <a:p>
          <a:endParaRPr lang="en-IE"/>
        </a:p>
      </dgm:t>
    </dgm:pt>
    <dgm:pt modelId="{1F0970E8-5F95-490F-BB49-EAC3DF31AF21}" type="sibTrans" cxnId="{EFBBEBA9-4C8F-464A-8B72-C6A31DF517B0}">
      <dgm:prSet/>
      <dgm:spPr/>
      <dgm:t>
        <a:bodyPr/>
        <a:lstStyle/>
        <a:p>
          <a:endParaRPr lang="en-IE"/>
        </a:p>
      </dgm:t>
    </dgm:pt>
    <dgm:pt modelId="{962AFFD5-9BF9-4507-97A8-DD986A8681DF}">
      <dgm:prSet/>
      <dgm:spPr>
        <a:solidFill>
          <a:schemeClr val="bg1"/>
        </a:solidFill>
        <a:ln>
          <a:solidFill>
            <a:schemeClr val="accent1">
              <a:lumMod val="75000"/>
            </a:schemeClr>
          </a:solidFill>
        </a:ln>
      </dgm:spPr>
      <dgm:t>
        <a:bodyPr/>
        <a:lstStyle/>
        <a:p>
          <a:r>
            <a:rPr lang="fr-FR">
              <a:solidFill>
                <a:sysClr val="windowText" lastClr="000000"/>
              </a:solidFill>
            </a:rPr>
            <a:t>Appareils domestiques intelligents de grande taille</a:t>
          </a:r>
        </a:p>
      </dgm:t>
    </dgm:pt>
    <dgm:pt modelId="{B62742B6-5960-49BF-A993-914618C8B9DD}" type="parTrans" cxnId="{F25DE5FD-AA6A-4E48-A9DA-48D01752A06D}">
      <dgm:prSet/>
      <dgm:spPr/>
      <dgm:t>
        <a:bodyPr/>
        <a:lstStyle/>
        <a:p>
          <a:endParaRPr lang="en-IE"/>
        </a:p>
      </dgm:t>
    </dgm:pt>
    <dgm:pt modelId="{2C393E7B-9C54-4555-A107-643A5729366F}" type="sibTrans" cxnId="{F25DE5FD-AA6A-4E48-A9DA-48D01752A06D}">
      <dgm:prSet/>
      <dgm:spPr/>
      <dgm:t>
        <a:bodyPr/>
        <a:lstStyle/>
        <a:p>
          <a:endParaRPr lang="en-IE"/>
        </a:p>
      </dgm:t>
    </dgm:pt>
    <dgm:pt modelId="{4F88F321-973D-4EDA-BC3B-7FED66FFEB39}">
      <dgm:prSet/>
      <dgm:spPr>
        <a:blipFill rotWithShape="0">
          <a:blip xmlns:r="http://schemas.openxmlformats.org/officeDocument/2006/relationships" r:embed="rId1"/>
          <a:tile tx="0" ty="0" sx="100000" sy="100000" flip="none" algn="tl"/>
        </a:blipFill>
        <a:ln>
          <a:solidFill>
            <a:schemeClr val="accent1">
              <a:lumMod val="75000"/>
            </a:schemeClr>
          </a:solidFill>
        </a:ln>
      </dgm:spPr>
      <dgm:t>
        <a:bodyPr/>
        <a:lstStyle/>
        <a:p>
          <a:r>
            <a:rPr lang="fr-FR">
              <a:solidFill>
                <a:sysClr val="windowText" lastClr="000000"/>
              </a:solidFill>
            </a:rPr>
            <a:t>Dispositifs de soins personnels</a:t>
          </a:r>
        </a:p>
      </dgm:t>
    </dgm:pt>
    <dgm:pt modelId="{70E188C2-E789-4311-8234-83D0B7FE1A9A}" type="parTrans" cxnId="{263D9E62-81F0-4DEB-9C71-152DDA5D61F7}">
      <dgm:prSet/>
      <dgm:spPr/>
      <dgm:t>
        <a:bodyPr/>
        <a:lstStyle/>
        <a:p>
          <a:endParaRPr lang="en-IE"/>
        </a:p>
      </dgm:t>
    </dgm:pt>
    <dgm:pt modelId="{692EB3CE-3354-4229-8643-A267B055CD98}" type="sibTrans" cxnId="{263D9E62-81F0-4DEB-9C71-152DDA5D61F7}">
      <dgm:prSet/>
      <dgm:spPr/>
      <dgm:t>
        <a:bodyPr/>
        <a:lstStyle/>
        <a:p>
          <a:endParaRPr lang="en-IE"/>
        </a:p>
      </dgm:t>
    </dgm:pt>
    <dgm:pt modelId="{711AF34C-8672-4B89-A34E-6ECDD87F76DD}">
      <dgm:prSet/>
      <dgm:spPr>
        <a:solidFill>
          <a:schemeClr val="bg1"/>
        </a:solidFill>
        <a:ln>
          <a:solidFill>
            <a:schemeClr val="accent1">
              <a:lumMod val="75000"/>
            </a:schemeClr>
          </a:solidFill>
        </a:ln>
      </dgm:spPr>
      <dgm:t>
        <a:bodyPr/>
        <a:lstStyle/>
        <a:p>
          <a:r>
            <a:rPr lang="fr-FR">
              <a:solidFill>
                <a:sysClr val="windowText" lastClr="000000"/>
              </a:solidFill>
            </a:rPr>
            <a:t>Appareils domestiques intelligents de petite taille</a:t>
          </a:r>
        </a:p>
      </dgm:t>
    </dgm:pt>
    <dgm:pt modelId="{2B0C82A5-4163-4749-8F87-6D4093BCE6C7}" type="parTrans" cxnId="{53C6264B-4260-4C43-98E6-070D4970B5C5}">
      <dgm:prSet/>
      <dgm:spPr/>
      <dgm:t>
        <a:bodyPr/>
        <a:lstStyle/>
        <a:p>
          <a:endParaRPr lang="en-IE"/>
        </a:p>
      </dgm:t>
    </dgm:pt>
    <dgm:pt modelId="{E5F9A541-DCDA-423D-9F54-21FFE3A4AE6E}" type="sibTrans" cxnId="{53C6264B-4260-4C43-98E6-070D4970B5C5}">
      <dgm:prSet/>
      <dgm:spPr/>
      <dgm:t>
        <a:bodyPr/>
        <a:lstStyle/>
        <a:p>
          <a:endParaRPr lang="en-IE"/>
        </a:p>
      </dgm:t>
    </dgm:pt>
    <dgm:pt modelId="{C9FEE462-7E93-4727-BA43-09A59C940205}">
      <dgm:prSet/>
      <dgm:spPr>
        <a:solidFill>
          <a:schemeClr val="accent1">
            <a:lumMod val="20000"/>
            <a:lumOff val="80000"/>
          </a:schemeClr>
        </a:solidFill>
      </dgm:spPr>
      <dgm:t>
        <a:bodyPr/>
        <a:lstStyle/>
        <a:p>
          <a:r>
            <a:rPr lang="fr-FR">
              <a:solidFill>
                <a:sysClr val="windowText" lastClr="000000"/>
              </a:solidFill>
            </a:rPr>
            <a:t>Consoles de jeux vidéo portatives</a:t>
          </a:r>
        </a:p>
      </dgm:t>
    </dgm:pt>
    <dgm:pt modelId="{188FA502-5489-4C3D-A5ED-67144A7F2088}" type="parTrans" cxnId="{680F7809-80D6-4AA2-90AB-93F06EFF8B6C}">
      <dgm:prSet/>
      <dgm:spPr/>
      <dgm:t>
        <a:bodyPr/>
        <a:lstStyle/>
        <a:p>
          <a:endParaRPr lang="en-IE"/>
        </a:p>
      </dgm:t>
    </dgm:pt>
    <dgm:pt modelId="{E6CAB980-BB11-46DE-95A5-5E410A7F5CF0}" type="sibTrans" cxnId="{680F7809-80D6-4AA2-90AB-93F06EFF8B6C}">
      <dgm:prSet/>
      <dgm:spPr/>
      <dgm:t>
        <a:bodyPr/>
        <a:lstStyle/>
        <a:p>
          <a:endParaRPr lang="en-IE"/>
        </a:p>
      </dgm:t>
    </dgm:pt>
    <dgm:pt modelId="{4C956974-1091-45C4-9C7B-0EF61053366B}">
      <dgm:prSet/>
      <dgm:spPr>
        <a:solidFill>
          <a:schemeClr val="accent1">
            <a:lumMod val="60000"/>
            <a:lumOff val="40000"/>
          </a:schemeClr>
        </a:solidFill>
      </dgm:spPr>
      <dgm:t>
        <a:bodyPr/>
        <a:lstStyle/>
        <a:p>
          <a:r>
            <a:rPr lang="fr-FR"/>
            <a:t>Jouets télécommandés</a:t>
          </a:r>
        </a:p>
      </dgm:t>
    </dgm:pt>
    <dgm:pt modelId="{74DB6C90-2295-4E66-A4B6-948FFF7618B7}" type="parTrans" cxnId="{70FC8750-5D33-4EBA-A2A1-426EC89DE7AF}">
      <dgm:prSet/>
      <dgm:spPr/>
      <dgm:t>
        <a:bodyPr/>
        <a:lstStyle/>
        <a:p>
          <a:endParaRPr lang="en-IE"/>
        </a:p>
      </dgm:t>
    </dgm:pt>
    <dgm:pt modelId="{DC2C1F70-DB82-4459-85A9-815EF285AC37}" type="sibTrans" cxnId="{70FC8750-5D33-4EBA-A2A1-426EC89DE7AF}">
      <dgm:prSet/>
      <dgm:spPr/>
      <dgm:t>
        <a:bodyPr/>
        <a:lstStyle/>
        <a:p>
          <a:endParaRPr lang="en-IE"/>
        </a:p>
      </dgm:t>
    </dgm:pt>
    <dgm:pt modelId="{64DE994C-4F8C-4473-8B8F-875A5E1D5238}">
      <dgm:prSet/>
      <dgm:spPr>
        <a:solidFill>
          <a:schemeClr val="accent1">
            <a:lumMod val="60000"/>
            <a:lumOff val="40000"/>
          </a:schemeClr>
        </a:solidFill>
      </dgm:spPr>
      <dgm:t>
        <a:bodyPr/>
        <a:lstStyle/>
        <a:p>
          <a:r>
            <a:rPr lang="fr-FR"/>
            <a:t>Brosses à dents électriques</a:t>
          </a:r>
        </a:p>
      </dgm:t>
    </dgm:pt>
    <dgm:pt modelId="{6E33C606-BE53-4ACD-AB3B-38091EE67A6D}" type="parTrans" cxnId="{86DDE1BB-579F-49D0-BC6A-000F32F367DF}">
      <dgm:prSet/>
      <dgm:spPr/>
      <dgm:t>
        <a:bodyPr/>
        <a:lstStyle/>
        <a:p>
          <a:endParaRPr lang="en-IE"/>
        </a:p>
      </dgm:t>
    </dgm:pt>
    <dgm:pt modelId="{4301D722-0FF3-4734-BD52-C9E2D1293D3A}" type="sibTrans" cxnId="{86DDE1BB-579F-49D0-BC6A-000F32F367DF}">
      <dgm:prSet/>
      <dgm:spPr/>
      <dgm:t>
        <a:bodyPr/>
        <a:lstStyle/>
        <a:p>
          <a:endParaRPr lang="en-IE"/>
        </a:p>
      </dgm:t>
    </dgm:pt>
    <dgm:pt modelId="{9DC28628-B493-45FE-AF44-996FEFE21A6C}">
      <dgm:prSet/>
      <dgm:spPr>
        <a:solidFill>
          <a:schemeClr val="accent1">
            <a:lumMod val="20000"/>
            <a:lumOff val="80000"/>
          </a:schemeClr>
        </a:solidFill>
      </dgm:spPr>
      <dgm:t>
        <a:bodyPr/>
        <a:lstStyle/>
        <a:p>
          <a:r>
            <a:rPr lang="fr-FR">
              <a:solidFill>
                <a:sysClr val="windowText" lastClr="000000"/>
              </a:solidFill>
            </a:rPr>
            <a:t>Téléphones mobiles</a:t>
          </a:r>
        </a:p>
      </dgm:t>
    </dgm:pt>
    <dgm:pt modelId="{9DAB4C4E-2A9D-460A-B101-2BFF78AEFA06}" type="parTrans" cxnId="{83BB72BB-69E8-49B2-BBCA-298E979A3760}">
      <dgm:prSet/>
      <dgm:spPr/>
      <dgm:t>
        <a:bodyPr/>
        <a:lstStyle/>
        <a:p>
          <a:endParaRPr lang="en-IE"/>
        </a:p>
      </dgm:t>
    </dgm:pt>
    <dgm:pt modelId="{D5C9E463-66B2-4554-9146-52FE4725DC6D}" type="sibTrans" cxnId="{83BB72BB-69E8-49B2-BBCA-298E979A3760}">
      <dgm:prSet/>
      <dgm:spPr/>
      <dgm:t>
        <a:bodyPr/>
        <a:lstStyle/>
        <a:p>
          <a:endParaRPr lang="en-IE"/>
        </a:p>
      </dgm:t>
    </dgm:pt>
    <dgm:pt modelId="{62B13A55-2464-425A-9596-4FE2B41A1089}">
      <dgm:prSet/>
      <dgm:spPr>
        <a:solidFill>
          <a:schemeClr val="accent1">
            <a:lumMod val="20000"/>
            <a:lumOff val="80000"/>
          </a:schemeClr>
        </a:solidFill>
      </dgm:spPr>
      <dgm:t>
        <a:bodyPr/>
        <a:lstStyle/>
        <a:p>
          <a:r>
            <a:rPr lang="fr-FR">
              <a:solidFill>
                <a:sysClr val="windowText" lastClr="000000"/>
              </a:solidFill>
            </a:rPr>
            <a:t>Tablettes et liseuses numériques</a:t>
          </a:r>
        </a:p>
      </dgm:t>
    </dgm:pt>
    <dgm:pt modelId="{91CA7EAD-2371-42FC-94B6-4C1885B6D1EB}" type="parTrans" cxnId="{BAE38FA6-1AEE-43FC-BF7B-68301A5D4D3B}">
      <dgm:prSet/>
      <dgm:spPr/>
      <dgm:t>
        <a:bodyPr/>
        <a:lstStyle/>
        <a:p>
          <a:endParaRPr lang="en-IE"/>
        </a:p>
      </dgm:t>
    </dgm:pt>
    <dgm:pt modelId="{F7190748-BD58-41DC-AD44-F2E6021A0041}" type="sibTrans" cxnId="{BAE38FA6-1AEE-43FC-BF7B-68301A5D4D3B}">
      <dgm:prSet/>
      <dgm:spPr/>
      <dgm:t>
        <a:bodyPr/>
        <a:lstStyle/>
        <a:p>
          <a:endParaRPr lang="en-IE"/>
        </a:p>
      </dgm:t>
    </dgm:pt>
    <dgm:pt modelId="{656DA2B2-98E1-4E64-981C-7328A0053CE2}">
      <dgm:prSet/>
      <dgm:spPr>
        <a:solidFill>
          <a:schemeClr val="accent1">
            <a:lumMod val="20000"/>
            <a:lumOff val="80000"/>
          </a:schemeClr>
        </a:solidFill>
      </dgm:spPr>
      <dgm:t>
        <a:bodyPr/>
        <a:lstStyle/>
        <a:p>
          <a:r>
            <a:rPr lang="fr-FR">
              <a:solidFill>
                <a:sysClr val="windowText" lastClr="000000"/>
              </a:solidFill>
            </a:rPr>
            <a:t>Caméras numériques</a:t>
          </a:r>
        </a:p>
      </dgm:t>
    </dgm:pt>
    <dgm:pt modelId="{26318AE5-7D61-49B8-BCA0-7195DEAA5560}" type="parTrans" cxnId="{59C52F1E-B1CE-418C-9921-B5B2D2AABE9E}">
      <dgm:prSet/>
      <dgm:spPr/>
      <dgm:t>
        <a:bodyPr/>
        <a:lstStyle/>
        <a:p>
          <a:endParaRPr lang="en-IE"/>
        </a:p>
      </dgm:t>
    </dgm:pt>
    <dgm:pt modelId="{56623553-2D9A-4A0E-B958-7D97523C223D}" type="sibTrans" cxnId="{59C52F1E-B1CE-418C-9921-B5B2D2AABE9E}">
      <dgm:prSet/>
      <dgm:spPr/>
      <dgm:t>
        <a:bodyPr/>
        <a:lstStyle/>
        <a:p>
          <a:endParaRPr lang="en-IE"/>
        </a:p>
      </dgm:t>
    </dgm:pt>
    <dgm:pt modelId="{A4BFCA7F-9C99-4A76-BAC3-08189FE8E862}">
      <dgm:prSet/>
      <dgm:spPr>
        <a:solidFill>
          <a:schemeClr val="accent1">
            <a:lumMod val="20000"/>
            <a:lumOff val="80000"/>
          </a:schemeClr>
        </a:solidFill>
      </dgm:spPr>
      <dgm:t>
        <a:bodyPr/>
        <a:lstStyle/>
        <a:p>
          <a:r>
            <a:rPr lang="fr-FR">
              <a:solidFill>
                <a:sysClr val="windowText" lastClr="000000"/>
              </a:solidFill>
            </a:rPr>
            <a:t>Haut-parleurs portatifs</a:t>
          </a:r>
        </a:p>
      </dgm:t>
    </dgm:pt>
    <dgm:pt modelId="{2E9A67AE-1BA5-4ED0-9F0D-3FDFC8C7DCB4}" type="parTrans" cxnId="{D778AC06-9624-48EC-97F6-6609BE53B704}">
      <dgm:prSet/>
      <dgm:spPr/>
      <dgm:t>
        <a:bodyPr/>
        <a:lstStyle/>
        <a:p>
          <a:endParaRPr lang="en-IE"/>
        </a:p>
      </dgm:t>
    </dgm:pt>
    <dgm:pt modelId="{360B9733-6E71-45F2-AC9F-09F583C9EAD5}" type="sibTrans" cxnId="{D778AC06-9624-48EC-97F6-6609BE53B704}">
      <dgm:prSet/>
      <dgm:spPr/>
      <dgm:t>
        <a:bodyPr/>
        <a:lstStyle/>
        <a:p>
          <a:endParaRPr lang="en-IE"/>
        </a:p>
      </dgm:t>
    </dgm:pt>
    <dgm:pt modelId="{37FDA1B5-C8B9-4AE8-84A8-E9F72027F3B6}">
      <dgm:prSet/>
      <dgm:spPr>
        <a:solidFill>
          <a:schemeClr val="accent1">
            <a:lumMod val="20000"/>
            <a:lumOff val="80000"/>
          </a:schemeClr>
        </a:solidFill>
      </dgm:spPr>
      <dgm:t>
        <a:bodyPr/>
        <a:lstStyle/>
        <a:p>
          <a:r>
            <a:rPr lang="fr-FR">
              <a:solidFill>
                <a:sysClr val="windowText" lastClr="000000"/>
              </a:solidFill>
            </a:rPr>
            <a:t>Dispositifs portés à l’oreille: casques d’écoute, casques-micro, écouteurs intra-auriculaires</a:t>
          </a:r>
        </a:p>
      </dgm:t>
    </dgm:pt>
    <dgm:pt modelId="{E2DF1D0E-99B1-4369-9C0A-20B0496B9501}" type="parTrans" cxnId="{4B613D56-450F-4E82-981E-009B7BB06FE9}">
      <dgm:prSet/>
      <dgm:spPr/>
      <dgm:t>
        <a:bodyPr/>
        <a:lstStyle/>
        <a:p>
          <a:endParaRPr lang="en-IE"/>
        </a:p>
      </dgm:t>
    </dgm:pt>
    <dgm:pt modelId="{1900A55E-6E1A-49D9-B460-1A1AF02A581C}" type="sibTrans" cxnId="{4B613D56-450F-4E82-981E-009B7BB06FE9}">
      <dgm:prSet/>
      <dgm:spPr/>
      <dgm:t>
        <a:bodyPr/>
        <a:lstStyle/>
        <a:p>
          <a:endParaRPr lang="en-IE"/>
        </a:p>
      </dgm:t>
    </dgm:pt>
    <dgm:pt modelId="{705C41BB-DB87-421D-B628-478F7C8B1288}">
      <dgm:prSet/>
      <dgm:spPr>
        <a:solidFill>
          <a:schemeClr val="accent1">
            <a:lumMod val="20000"/>
            <a:lumOff val="80000"/>
          </a:schemeClr>
        </a:solidFill>
      </dgm:spPr>
      <dgm:t>
        <a:bodyPr/>
        <a:lstStyle/>
        <a:p>
          <a:r>
            <a:rPr lang="fr-FR">
              <a:solidFill>
                <a:sysClr val="windowText" lastClr="000000"/>
              </a:solidFill>
            </a:rPr>
            <a:t>Systèmes de navigation portables</a:t>
          </a:r>
        </a:p>
      </dgm:t>
    </dgm:pt>
    <dgm:pt modelId="{EABCEC32-5360-42C9-96E8-0A65D7CD1E9E}" type="parTrans" cxnId="{0F1FBDFF-6304-41AB-AC10-072569998AC9}">
      <dgm:prSet/>
      <dgm:spPr/>
      <dgm:t>
        <a:bodyPr/>
        <a:lstStyle/>
        <a:p>
          <a:endParaRPr lang="en-IE"/>
        </a:p>
      </dgm:t>
    </dgm:pt>
    <dgm:pt modelId="{60D869BA-470B-4F17-9DE7-79F825F97BD3}" type="sibTrans" cxnId="{0F1FBDFF-6304-41AB-AC10-072569998AC9}">
      <dgm:prSet/>
      <dgm:spPr/>
      <dgm:t>
        <a:bodyPr/>
        <a:lstStyle/>
        <a:p>
          <a:endParaRPr lang="en-IE"/>
        </a:p>
      </dgm:t>
    </dgm:pt>
    <dgm:pt modelId="{E601C36C-BEC3-4DD1-8A7B-B1687446166E}">
      <dgm:prSet/>
      <dgm:spPr>
        <a:solidFill>
          <a:schemeClr val="accent1">
            <a:lumMod val="20000"/>
            <a:lumOff val="80000"/>
          </a:schemeClr>
        </a:solidFill>
      </dgm:spPr>
      <dgm:t>
        <a:bodyPr/>
        <a:lstStyle/>
        <a:p>
          <a:r>
            <a:rPr lang="fr-FR">
              <a:solidFill>
                <a:sysClr val="windowText" lastClr="000000"/>
              </a:solidFill>
            </a:rPr>
            <a:t>Ordinateurs portables</a:t>
          </a:r>
        </a:p>
      </dgm:t>
    </dgm:pt>
    <dgm:pt modelId="{A03AC34A-EC47-4B3F-9870-1ED3063C54F7}" type="parTrans" cxnId="{C71518B1-E464-4380-81BE-4EA570A0DABD}">
      <dgm:prSet/>
      <dgm:spPr/>
      <dgm:t>
        <a:bodyPr/>
        <a:lstStyle/>
        <a:p>
          <a:endParaRPr lang="en-IE"/>
        </a:p>
      </dgm:t>
    </dgm:pt>
    <dgm:pt modelId="{20FAB0B7-AC99-447E-92F9-EDAAFFBF89A3}" type="sibTrans" cxnId="{C71518B1-E464-4380-81BE-4EA570A0DABD}">
      <dgm:prSet/>
      <dgm:spPr/>
      <dgm:t>
        <a:bodyPr/>
        <a:lstStyle/>
        <a:p>
          <a:endParaRPr lang="en-IE"/>
        </a:p>
      </dgm:t>
    </dgm:pt>
    <dgm:pt modelId="{489A2344-B9C8-49BF-B7ED-8930119919FB}">
      <dgm:prSet/>
      <dgm:spPr>
        <a:solidFill>
          <a:schemeClr val="accent1">
            <a:lumMod val="20000"/>
            <a:lumOff val="80000"/>
          </a:schemeClr>
        </a:solidFill>
      </dgm:spPr>
      <dgm:t>
        <a:bodyPr/>
        <a:lstStyle/>
        <a:p>
          <a:r>
            <a:rPr lang="fr-FR">
              <a:solidFill>
                <a:sysClr val="windowText" lastClr="000000"/>
              </a:solidFill>
            </a:rPr>
            <a:t>Claviers et souris</a:t>
          </a:r>
        </a:p>
      </dgm:t>
    </dgm:pt>
    <dgm:pt modelId="{BF2A27EE-B6C5-42DA-A117-B47921D1FB68}" type="parTrans" cxnId="{3C7AA8A0-4A6F-471F-A8C3-0DF3BD4DCA90}">
      <dgm:prSet/>
      <dgm:spPr/>
      <dgm:t>
        <a:bodyPr/>
        <a:lstStyle/>
        <a:p>
          <a:endParaRPr lang="en-IE"/>
        </a:p>
      </dgm:t>
    </dgm:pt>
    <dgm:pt modelId="{9CD9BC91-2459-4C76-9CD7-D21311CD7B22}" type="sibTrans" cxnId="{3C7AA8A0-4A6F-471F-A8C3-0DF3BD4DCA90}">
      <dgm:prSet/>
      <dgm:spPr/>
      <dgm:t>
        <a:bodyPr/>
        <a:lstStyle/>
        <a:p>
          <a:endParaRPr lang="en-IE"/>
        </a:p>
      </dgm:t>
    </dgm:pt>
    <dgm:pt modelId="{766E7435-C9E8-45E5-AEC3-684BD42FA880}" type="pres">
      <dgm:prSet presAssocID="{1BF72304-5769-4FC9-B2C5-179D7AA7E7A1}" presName="Name0" presStyleCnt="0">
        <dgm:presLayoutVars>
          <dgm:chPref val="1"/>
          <dgm:dir/>
          <dgm:animOne val="branch"/>
          <dgm:animLvl val="lvl"/>
          <dgm:resizeHandles val="exact"/>
        </dgm:presLayoutVars>
      </dgm:prSet>
      <dgm:spPr/>
      <dgm:t>
        <a:bodyPr/>
        <a:lstStyle/>
        <a:p>
          <a:endParaRPr lang="en-US"/>
        </a:p>
      </dgm:t>
    </dgm:pt>
    <dgm:pt modelId="{0ABE8B4B-CD80-4EFC-A44A-3A41859075B6}" type="pres">
      <dgm:prSet presAssocID="{2B5B2DAD-BBD1-475D-81F6-19B160623DF2}" presName="root1" presStyleCnt="0"/>
      <dgm:spPr/>
    </dgm:pt>
    <dgm:pt modelId="{9F8865D7-637B-40B2-83AA-02FFABA698A8}" type="pres">
      <dgm:prSet presAssocID="{2B5B2DAD-BBD1-475D-81F6-19B160623DF2}" presName="LevelOneTextNode" presStyleLbl="node0" presStyleIdx="0" presStyleCnt="1" custScaleX="176530" custScaleY="128524">
        <dgm:presLayoutVars>
          <dgm:chPref val="3"/>
        </dgm:presLayoutVars>
      </dgm:prSet>
      <dgm:spPr/>
      <dgm:t>
        <a:bodyPr/>
        <a:lstStyle/>
        <a:p>
          <a:endParaRPr lang="en-US"/>
        </a:p>
      </dgm:t>
    </dgm:pt>
    <dgm:pt modelId="{A7A7FD8D-5BC1-45B2-8136-5AE49CC0EDB8}" type="pres">
      <dgm:prSet presAssocID="{2B5B2DAD-BBD1-475D-81F6-19B160623DF2}" presName="level2hierChild" presStyleCnt="0"/>
      <dgm:spPr/>
    </dgm:pt>
    <dgm:pt modelId="{8665A4A3-1A81-44FA-8D3D-FBCDC5D0BF82}" type="pres">
      <dgm:prSet presAssocID="{63A87937-0644-4344-A76C-D9FA4842BEC7}" presName="conn2-1" presStyleLbl="parChTrans1D2" presStyleIdx="0" presStyleCnt="4"/>
      <dgm:spPr/>
      <dgm:t>
        <a:bodyPr/>
        <a:lstStyle/>
        <a:p>
          <a:endParaRPr lang="en-US"/>
        </a:p>
      </dgm:t>
    </dgm:pt>
    <dgm:pt modelId="{8FA41064-1F38-4181-8A8C-8B258F4FDA34}" type="pres">
      <dgm:prSet presAssocID="{63A87937-0644-4344-A76C-D9FA4842BEC7}" presName="connTx" presStyleLbl="parChTrans1D2" presStyleIdx="0" presStyleCnt="4"/>
      <dgm:spPr/>
      <dgm:t>
        <a:bodyPr/>
        <a:lstStyle/>
        <a:p>
          <a:endParaRPr lang="en-US"/>
        </a:p>
      </dgm:t>
    </dgm:pt>
    <dgm:pt modelId="{875933B4-DEF8-465A-8017-59E323A9C7FC}" type="pres">
      <dgm:prSet presAssocID="{D5ED9738-F1CA-42AC-89D5-65500BEE3CBA}" presName="root2" presStyleCnt="0"/>
      <dgm:spPr/>
    </dgm:pt>
    <dgm:pt modelId="{42F5F020-7E60-4D56-BC34-8479D1709571}" type="pres">
      <dgm:prSet presAssocID="{D5ED9738-F1CA-42AC-89D5-65500BEE3CBA}" presName="LevelTwoTextNode" presStyleLbl="node2" presStyleIdx="0" presStyleCnt="4" custScaleX="134938" custScaleY="159262">
        <dgm:presLayoutVars>
          <dgm:chPref val="3"/>
        </dgm:presLayoutVars>
      </dgm:prSet>
      <dgm:spPr/>
      <dgm:t>
        <a:bodyPr/>
        <a:lstStyle/>
        <a:p>
          <a:endParaRPr lang="en-US"/>
        </a:p>
      </dgm:t>
    </dgm:pt>
    <dgm:pt modelId="{85D8CCE2-D634-4710-8ADE-D553031DED7D}" type="pres">
      <dgm:prSet presAssocID="{D5ED9738-F1CA-42AC-89D5-65500BEE3CBA}" presName="level3hierChild" presStyleCnt="0"/>
      <dgm:spPr/>
    </dgm:pt>
    <dgm:pt modelId="{6F5A6BBF-1208-43FD-972F-6A07E07465B7}" type="pres">
      <dgm:prSet presAssocID="{FA2AADBE-D2A9-4659-84CB-5DFBCF2D7DB2}" presName="conn2-1" presStyleLbl="parChTrans1D3" presStyleIdx="0" presStyleCnt="16"/>
      <dgm:spPr/>
      <dgm:t>
        <a:bodyPr/>
        <a:lstStyle/>
        <a:p>
          <a:endParaRPr lang="en-US"/>
        </a:p>
      </dgm:t>
    </dgm:pt>
    <dgm:pt modelId="{FAEC942F-2956-4D8D-A774-7AB581E2FF9F}" type="pres">
      <dgm:prSet presAssocID="{FA2AADBE-D2A9-4659-84CB-5DFBCF2D7DB2}" presName="connTx" presStyleLbl="parChTrans1D3" presStyleIdx="0" presStyleCnt="16"/>
      <dgm:spPr/>
      <dgm:t>
        <a:bodyPr/>
        <a:lstStyle/>
        <a:p>
          <a:endParaRPr lang="en-US"/>
        </a:p>
      </dgm:t>
    </dgm:pt>
    <dgm:pt modelId="{812EE7B7-7778-47DE-9572-A475F9C02109}" type="pres">
      <dgm:prSet presAssocID="{95206552-982F-446B-83BA-C213F9BDA092}" presName="root2" presStyleCnt="0"/>
      <dgm:spPr/>
    </dgm:pt>
    <dgm:pt modelId="{7B6544A1-261F-4B8C-B2D1-994D278B4067}" type="pres">
      <dgm:prSet presAssocID="{95206552-982F-446B-83BA-C213F9BDA092}" presName="LevelTwoTextNode" presStyleLbl="node3" presStyleIdx="0" presStyleCnt="16">
        <dgm:presLayoutVars>
          <dgm:chPref val="3"/>
        </dgm:presLayoutVars>
      </dgm:prSet>
      <dgm:spPr/>
      <dgm:t>
        <a:bodyPr/>
        <a:lstStyle/>
        <a:p>
          <a:endParaRPr lang="en-US"/>
        </a:p>
      </dgm:t>
    </dgm:pt>
    <dgm:pt modelId="{D9954B3F-04CD-4B13-9F25-72BE714531FC}" type="pres">
      <dgm:prSet presAssocID="{95206552-982F-446B-83BA-C213F9BDA092}" presName="level3hierChild" presStyleCnt="0"/>
      <dgm:spPr/>
    </dgm:pt>
    <dgm:pt modelId="{E8E1A99B-F730-48B4-AED3-B8E4FAC06270}" type="pres">
      <dgm:prSet presAssocID="{9DAB4C4E-2A9D-460A-B101-2BFF78AEFA06}" presName="conn2-1" presStyleLbl="parChTrans1D4" presStyleIdx="0" presStyleCnt="14"/>
      <dgm:spPr/>
      <dgm:t>
        <a:bodyPr/>
        <a:lstStyle/>
        <a:p>
          <a:endParaRPr lang="en-US"/>
        </a:p>
      </dgm:t>
    </dgm:pt>
    <dgm:pt modelId="{7E25AA2A-9575-447C-B76B-10361C5A132B}" type="pres">
      <dgm:prSet presAssocID="{9DAB4C4E-2A9D-460A-B101-2BFF78AEFA06}" presName="connTx" presStyleLbl="parChTrans1D4" presStyleIdx="0" presStyleCnt="14"/>
      <dgm:spPr/>
      <dgm:t>
        <a:bodyPr/>
        <a:lstStyle/>
        <a:p>
          <a:endParaRPr lang="en-US"/>
        </a:p>
      </dgm:t>
    </dgm:pt>
    <dgm:pt modelId="{E8911751-1BC0-449B-9685-9D7325C2ED18}" type="pres">
      <dgm:prSet presAssocID="{9DC28628-B493-45FE-AF44-996FEFE21A6C}" presName="root2" presStyleCnt="0"/>
      <dgm:spPr/>
    </dgm:pt>
    <dgm:pt modelId="{2C2E50AF-9ACD-4299-95C5-94D75B963D92}" type="pres">
      <dgm:prSet presAssocID="{9DC28628-B493-45FE-AF44-996FEFE21A6C}" presName="LevelTwoTextNode" presStyleLbl="node4" presStyleIdx="0" presStyleCnt="14">
        <dgm:presLayoutVars>
          <dgm:chPref val="3"/>
        </dgm:presLayoutVars>
      </dgm:prSet>
      <dgm:spPr/>
      <dgm:t>
        <a:bodyPr/>
        <a:lstStyle/>
        <a:p>
          <a:endParaRPr lang="en-US"/>
        </a:p>
      </dgm:t>
    </dgm:pt>
    <dgm:pt modelId="{21474F64-67BE-4FBF-ACFE-26F6B6D2D382}" type="pres">
      <dgm:prSet presAssocID="{9DC28628-B493-45FE-AF44-996FEFE21A6C}" presName="level3hierChild" presStyleCnt="0"/>
      <dgm:spPr/>
    </dgm:pt>
    <dgm:pt modelId="{37092B0F-AE81-4EAE-8566-C5D661DDF83D}" type="pres">
      <dgm:prSet presAssocID="{545F3543-9765-4EC9-BD60-ACD605245BAB}" presName="conn2-1" presStyleLbl="parChTrans1D3" presStyleIdx="1" presStyleCnt="16"/>
      <dgm:spPr/>
      <dgm:t>
        <a:bodyPr/>
        <a:lstStyle/>
        <a:p>
          <a:endParaRPr lang="en-US"/>
        </a:p>
      </dgm:t>
    </dgm:pt>
    <dgm:pt modelId="{695F4CA7-FFD7-45FA-9D59-6B6A436AB684}" type="pres">
      <dgm:prSet presAssocID="{545F3543-9765-4EC9-BD60-ACD605245BAB}" presName="connTx" presStyleLbl="parChTrans1D3" presStyleIdx="1" presStyleCnt="16"/>
      <dgm:spPr/>
      <dgm:t>
        <a:bodyPr/>
        <a:lstStyle/>
        <a:p>
          <a:endParaRPr lang="en-US"/>
        </a:p>
      </dgm:t>
    </dgm:pt>
    <dgm:pt modelId="{D2FE4F20-2810-4DDE-B49C-1C021947C0A1}" type="pres">
      <dgm:prSet presAssocID="{88F79B71-6EFD-4A87-B4A7-C3EBAF0F931A}" presName="root2" presStyleCnt="0"/>
      <dgm:spPr/>
    </dgm:pt>
    <dgm:pt modelId="{8C6105CE-82E6-4676-861F-DFD16E32D836}" type="pres">
      <dgm:prSet presAssocID="{88F79B71-6EFD-4A87-B4A7-C3EBAF0F931A}" presName="LevelTwoTextNode" presStyleLbl="node3" presStyleIdx="1" presStyleCnt="16">
        <dgm:presLayoutVars>
          <dgm:chPref val="3"/>
        </dgm:presLayoutVars>
      </dgm:prSet>
      <dgm:spPr/>
      <dgm:t>
        <a:bodyPr/>
        <a:lstStyle/>
        <a:p>
          <a:endParaRPr lang="en-US"/>
        </a:p>
      </dgm:t>
    </dgm:pt>
    <dgm:pt modelId="{7DDABBF2-C9D8-4187-8211-236DFB18419A}" type="pres">
      <dgm:prSet presAssocID="{88F79B71-6EFD-4A87-B4A7-C3EBAF0F931A}" presName="level3hierChild" presStyleCnt="0"/>
      <dgm:spPr/>
    </dgm:pt>
    <dgm:pt modelId="{82FCC3C7-1F39-4C45-B614-8259411554F8}" type="pres">
      <dgm:prSet presAssocID="{91CA7EAD-2371-42FC-94B6-4C1885B6D1EB}" presName="conn2-1" presStyleLbl="parChTrans1D4" presStyleIdx="1" presStyleCnt="14"/>
      <dgm:spPr/>
      <dgm:t>
        <a:bodyPr/>
        <a:lstStyle/>
        <a:p>
          <a:endParaRPr lang="en-US"/>
        </a:p>
      </dgm:t>
    </dgm:pt>
    <dgm:pt modelId="{BF8AD29E-33C9-4749-B20B-43222068D5E6}" type="pres">
      <dgm:prSet presAssocID="{91CA7EAD-2371-42FC-94B6-4C1885B6D1EB}" presName="connTx" presStyleLbl="parChTrans1D4" presStyleIdx="1" presStyleCnt="14"/>
      <dgm:spPr/>
      <dgm:t>
        <a:bodyPr/>
        <a:lstStyle/>
        <a:p>
          <a:endParaRPr lang="en-US"/>
        </a:p>
      </dgm:t>
    </dgm:pt>
    <dgm:pt modelId="{966277A9-C9A5-4C7A-9BE6-01AA8B64F7F7}" type="pres">
      <dgm:prSet presAssocID="{62B13A55-2464-425A-9596-4FE2B41A1089}" presName="root2" presStyleCnt="0"/>
      <dgm:spPr/>
    </dgm:pt>
    <dgm:pt modelId="{3E086721-83D3-4E99-89EA-C857EF1179B8}" type="pres">
      <dgm:prSet presAssocID="{62B13A55-2464-425A-9596-4FE2B41A1089}" presName="LevelTwoTextNode" presStyleLbl="node4" presStyleIdx="1" presStyleCnt="14">
        <dgm:presLayoutVars>
          <dgm:chPref val="3"/>
        </dgm:presLayoutVars>
      </dgm:prSet>
      <dgm:spPr/>
      <dgm:t>
        <a:bodyPr/>
        <a:lstStyle/>
        <a:p>
          <a:endParaRPr lang="en-US"/>
        </a:p>
      </dgm:t>
    </dgm:pt>
    <dgm:pt modelId="{BCD27231-89CB-427B-96BB-E6EDB50257C9}" type="pres">
      <dgm:prSet presAssocID="{62B13A55-2464-425A-9596-4FE2B41A1089}" presName="level3hierChild" presStyleCnt="0"/>
      <dgm:spPr/>
    </dgm:pt>
    <dgm:pt modelId="{40727A20-1BEC-4C8E-9121-8CBBA5ABBA59}" type="pres">
      <dgm:prSet presAssocID="{26318AE5-7D61-49B8-BCA0-7195DEAA5560}" presName="conn2-1" presStyleLbl="parChTrans1D4" presStyleIdx="2" presStyleCnt="14"/>
      <dgm:spPr/>
      <dgm:t>
        <a:bodyPr/>
        <a:lstStyle/>
        <a:p>
          <a:endParaRPr lang="en-US"/>
        </a:p>
      </dgm:t>
    </dgm:pt>
    <dgm:pt modelId="{DCCC5B76-E40F-405E-AA0E-D80138735368}" type="pres">
      <dgm:prSet presAssocID="{26318AE5-7D61-49B8-BCA0-7195DEAA5560}" presName="connTx" presStyleLbl="parChTrans1D4" presStyleIdx="2" presStyleCnt="14"/>
      <dgm:spPr/>
      <dgm:t>
        <a:bodyPr/>
        <a:lstStyle/>
        <a:p>
          <a:endParaRPr lang="en-US"/>
        </a:p>
      </dgm:t>
    </dgm:pt>
    <dgm:pt modelId="{FC8F88FB-46A5-4372-9A41-7CAC85053D49}" type="pres">
      <dgm:prSet presAssocID="{656DA2B2-98E1-4E64-981C-7328A0053CE2}" presName="root2" presStyleCnt="0"/>
      <dgm:spPr/>
    </dgm:pt>
    <dgm:pt modelId="{7AE0D0C6-38B4-48C4-AABE-47BC1056B599}" type="pres">
      <dgm:prSet presAssocID="{656DA2B2-98E1-4E64-981C-7328A0053CE2}" presName="LevelTwoTextNode" presStyleLbl="node4" presStyleIdx="2" presStyleCnt="14">
        <dgm:presLayoutVars>
          <dgm:chPref val="3"/>
        </dgm:presLayoutVars>
      </dgm:prSet>
      <dgm:spPr/>
      <dgm:t>
        <a:bodyPr/>
        <a:lstStyle/>
        <a:p>
          <a:endParaRPr lang="en-US"/>
        </a:p>
      </dgm:t>
    </dgm:pt>
    <dgm:pt modelId="{D6F398B6-B62A-4F62-B67D-E2D3FA5F868C}" type="pres">
      <dgm:prSet presAssocID="{656DA2B2-98E1-4E64-981C-7328A0053CE2}" presName="level3hierChild" presStyleCnt="0"/>
      <dgm:spPr/>
    </dgm:pt>
    <dgm:pt modelId="{CA94E458-E749-4443-98FE-D0CC5E699F44}" type="pres">
      <dgm:prSet presAssocID="{E2DF1D0E-99B1-4369-9C0A-20B0496B9501}" presName="conn2-1" presStyleLbl="parChTrans1D4" presStyleIdx="3" presStyleCnt="14"/>
      <dgm:spPr/>
      <dgm:t>
        <a:bodyPr/>
        <a:lstStyle/>
        <a:p>
          <a:endParaRPr lang="en-US"/>
        </a:p>
      </dgm:t>
    </dgm:pt>
    <dgm:pt modelId="{B8C30223-CD07-4F77-9992-B199C72F40F6}" type="pres">
      <dgm:prSet presAssocID="{E2DF1D0E-99B1-4369-9C0A-20B0496B9501}" presName="connTx" presStyleLbl="parChTrans1D4" presStyleIdx="3" presStyleCnt="14"/>
      <dgm:spPr/>
      <dgm:t>
        <a:bodyPr/>
        <a:lstStyle/>
        <a:p>
          <a:endParaRPr lang="en-US"/>
        </a:p>
      </dgm:t>
    </dgm:pt>
    <dgm:pt modelId="{CED25F4A-C025-48DC-86B1-394A2BAD3D32}" type="pres">
      <dgm:prSet presAssocID="{37FDA1B5-C8B9-4AE8-84A8-E9F72027F3B6}" presName="root2" presStyleCnt="0"/>
      <dgm:spPr/>
    </dgm:pt>
    <dgm:pt modelId="{A71C8AA4-1146-4339-834B-12500E79B611}" type="pres">
      <dgm:prSet presAssocID="{37FDA1B5-C8B9-4AE8-84A8-E9F72027F3B6}" presName="LevelTwoTextNode" presStyleLbl="node4" presStyleIdx="3" presStyleCnt="14">
        <dgm:presLayoutVars>
          <dgm:chPref val="3"/>
        </dgm:presLayoutVars>
      </dgm:prSet>
      <dgm:spPr/>
      <dgm:t>
        <a:bodyPr/>
        <a:lstStyle/>
        <a:p>
          <a:endParaRPr lang="en-US"/>
        </a:p>
      </dgm:t>
    </dgm:pt>
    <dgm:pt modelId="{1C3C5728-FB23-4DE9-8C32-A8BDBAC4284B}" type="pres">
      <dgm:prSet presAssocID="{37FDA1B5-C8B9-4AE8-84A8-E9F72027F3B6}" presName="level3hierChild" presStyleCnt="0"/>
      <dgm:spPr/>
    </dgm:pt>
    <dgm:pt modelId="{E302A2B1-2FCE-4598-9650-5C08F85B1C92}" type="pres">
      <dgm:prSet presAssocID="{2E9A67AE-1BA5-4ED0-9F0D-3FDFC8C7DCB4}" presName="conn2-1" presStyleLbl="parChTrans1D4" presStyleIdx="4" presStyleCnt="14"/>
      <dgm:spPr/>
      <dgm:t>
        <a:bodyPr/>
        <a:lstStyle/>
        <a:p>
          <a:endParaRPr lang="en-US"/>
        </a:p>
      </dgm:t>
    </dgm:pt>
    <dgm:pt modelId="{FB75BB57-B50F-4546-81A5-857EC5D3819B}" type="pres">
      <dgm:prSet presAssocID="{2E9A67AE-1BA5-4ED0-9F0D-3FDFC8C7DCB4}" presName="connTx" presStyleLbl="parChTrans1D4" presStyleIdx="4" presStyleCnt="14"/>
      <dgm:spPr/>
      <dgm:t>
        <a:bodyPr/>
        <a:lstStyle/>
        <a:p>
          <a:endParaRPr lang="en-US"/>
        </a:p>
      </dgm:t>
    </dgm:pt>
    <dgm:pt modelId="{50BEC9CE-A1D9-4172-B382-56DD27267AE0}" type="pres">
      <dgm:prSet presAssocID="{A4BFCA7F-9C99-4A76-BAC3-08189FE8E862}" presName="root2" presStyleCnt="0"/>
      <dgm:spPr/>
    </dgm:pt>
    <dgm:pt modelId="{F02F1A60-BE9E-4572-88B6-C84544E2376F}" type="pres">
      <dgm:prSet presAssocID="{A4BFCA7F-9C99-4A76-BAC3-08189FE8E862}" presName="LevelTwoTextNode" presStyleLbl="node4" presStyleIdx="4" presStyleCnt="14">
        <dgm:presLayoutVars>
          <dgm:chPref val="3"/>
        </dgm:presLayoutVars>
      </dgm:prSet>
      <dgm:spPr/>
      <dgm:t>
        <a:bodyPr/>
        <a:lstStyle/>
        <a:p>
          <a:endParaRPr lang="en-US"/>
        </a:p>
      </dgm:t>
    </dgm:pt>
    <dgm:pt modelId="{180CBE21-CEF9-4EF7-9990-8133A678C7F5}" type="pres">
      <dgm:prSet presAssocID="{A4BFCA7F-9C99-4A76-BAC3-08189FE8E862}" presName="level3hierChild" presStyleCnt="0"/>
      <dgm:spPr/>
    </dgm:pt>
    <dgm:pt modelId="{FDE5BFD8-D911-49AF-B77A-09AADC8DEF25}" type="pres">
      <dgm:prSet presAssocID="{EABCEC32-5360-42C9-96E8-0A65D7CD1E9E}" presName="conn2-1" presStyleLbl="parChTrans1D4" presStyleIdx="5" presStyleCnt="14"/>
      <dgm:spPr/>
      <dgm:t>
        <a:bodyPr/>
        <a:lstStyle/>
        <a:p>
          <a:endParaRPr lang="en-US"/>
        </a:p>
      </dgm:t>
    </dgm:pt>
    <dgm:pt modelId="{D6483009-3C2A-4958-B7DD-424FA53F92C7}" type="pres">
      <dgm:prSet presAssocID="{EABCEC32-5360-42C9-96E8-0A65D7CD1E9E}" presName="connTx" presStyleLbl="parChTrans1D4" presStyleIdx="5" presStyleCnt="14"/>
      <dgm:spPr/>
      <dgm:t>
        <a:bodyPr/>
        <a:lstStyle/>
        <a:p>
          <a:endParaRPr lang="en-US"/>
        </a:p>
      </dgm:t>
    </dgm:pt>
    <dgm:pt modelId="{CE2A245E-6971-4871-BE5E-40405B2AF40F}" type="pres">
      <dgm:prSet presAssocID="{705C41BB-DB87-421D-B628-478F7C8B1288}" presName="root2" presStyleCnt="0"/>
      <dgm:spPr/>
    </dgm:pt>
    <dgm:pt modelId="{B4BE4968-4645-4EB4-99F4-E4574896ACEA}" type="pres">
      <dgm:prSet presAssocID="{705C41BB-DB87-421D-B628-478F7C8B1288}" presName="LevelTwoTextNode" presStyleLbl="node4" presStyleIdx="5" presStyleCnt="14">
        <dgm:presLayoutVars>
          <dgm:chPref val="3"/>
        </dgm:presLayoutVars>
      </dgm:prSet>
      <dgm:spPr/>
      <dgm:t>
        <a:bodyPr/>
        <a:lstStyle/>
        <a:p>
          <a:endParaRPr lang="en-US"/>
        </a:p>
      </dgm:t>
    </dgm:pt>
    <dgm:pt modelId="{16AAED11-7A4A-475A-B8DC-CCA587D37E3C}" type="pres">
      <dgm:prSet presAssocID="{705C41BB-DB87-421D-B628-478F7C8B1288}" presName="level3hierChild" presStyleCnt="0"/>
      <dgm:spPr/>
    </dgm:pt>
    <dgm:pt modelId="{A5FDDB70-71C8-4934-93B0-D9FB37F11EB1}" type="pres">
      <dgm:prSet presAssocID="{1785A38B-6CBA-4B47-A265-15D44EEDB3CF}" presName="conn2-1" presStyleLbl="parChTrans1D3" presStyleIdx="2" presStyleCnt="16"/>
      <dgm:spPr/>
      <dgm:t>
        <a:bodyPr/>
        <a:lstStyle/>
        <a:p>
          <a:endParaRPr lang="en-US"/>
        </a:p>
      </dgm:t>
    </dgm:pt>
    <dgm:pt modelId="{31B378C4-ACCB-49CF-BECB-43A7DE6F01F9}" type="pres">
      <dgm:prSet presAssocID="{1785A38B-6CBA-4B47-A265-15D44EEDB3CF}" presName="connTx" presStyleLbl="parChTrans1D3" presStyleIdx="2" presStyleCnt="16"/>
      <dgm:spPr/>
      <dgm:t>
        <a:bodyPr/>
        <a:lstStyle/>
        <a:p>
          <a:endParaRPr lang="en-US"/>
        </a:p>
      </dgm:t>
    </dgm:pt>
    <dgm:pt modelId="{1484E3AF-7F1E-4A42-9C2A-B30EF191C2F6}" type="pres">
      <dgm:prSet presAssocID="{7C8EE1C2-FC0E-45F8-BF4E-01C942FDBF6E}" presName="root2" presStyleCnt="0"/>
      <dgm:spPr/>
    </dgm:pt>
    <dgm:pt modelId="{34836FAF-DA9B-4212-AA6C-8002F549199A}" type="pres">
      <dgm:prSet presAssocID="{7C8EE1C2-FC0E-45F8-BF4E-01C942FDBF6E}" presName="LevelTwoTextNode" presStyleLbl="node3" presStyleIdx="2" presStyleCnt="16">
        <dgm:presLayoutVars>
          <dgm:chPref val="3"/>
        </dgm:presLayoutVars>
      </dgm:prSet>
      <dgm:spPr/>
      <dgm:t>
        <a:bodyPr/>
        <a:lstStyle/>
        <a:p>
          <a:endParaRPr lang="en-US"/>
        </a:p>
      </dgm:t>
    </dgm:pt>
    <dgm:pt modelId="{84A2DE4B-54FB-4C49-BC1A-7FB0FBE7A391}" type="pres">
      <dgm:prSet presAssocID="{7C8EE1C2-FC0E-45F8-BF4E-01C942FDBF6E}" presName="level3hierChild" presStyleCnt="0"/>
      <dgm:spPr/>
    </dgm:pt>
    <dgm:pt modelId="{45EA05E5-7550-4699-BC10-BB9B6587FFCD}" type="pres">
      <dgm:prSet presAssocID="{A03AC34A-EC47-4B3F-9870-1ED3063C54F7}" presName="conn2-1" presStyleLbl="parChTrans1D4" presStyleIdx="6" presStyleCnt="14"/>
      <dgm:spPr/>
      <dgm:t>
        <a:bodyPr/>
        <a:lstStyle/>
        <a:p>
          <a:endParaRPr lang="en-US"/>
        </a:p>
      </dgm:t>
    </dgm:pt>
    <dgm:pt modelId="{485C013D-610E-4132-9B74-63D335A302CD}" type="pres">
      <dgm:prSet presAssocID="{A03AC34A-EC47-4B3F-9870-1ED3063C54F7}" presName="connTx" presStyleLbl="parChTrans1D4" presStyleIdx="6" presStyleCnt="14"/>
      <dgm:spPr/>
      <dgm:t>
        <a:bodyPr/>
        <a:lstStyle/>
        <a:p>
          <a:endParaRPr lang="en-US"/>
        </a:p>
      </dgm:t>
    </dgm:pt>
    <dgm:pt modelId="{89A66DBB-04DD-4343-8096-52FE825ADC23}" type="pres">
      <dgm:prSet presAssocID="{E601C36C-BEC3-4DD1-8A7B-B1687446166E}" presName="root2" presStyleCnt="0"/>
      <dgm:spPr/>
    </dgm:pt>
    <dgm:pt modelId="{E1FF08A6-9093-47CB-B0DE-C75DB04AAC04}" type="pres">
      <dgm:prSet presAssocID="{E601C36C-BEC3-4DD1-8A7B-B1687446166E}" presName="LevelTwoTextNode" presStyleLbl="node4" presStyleIdx="6" presStyleCnt="14">
        <dgm:presLayoutVars>
          <dgm:chPref val="3"/>
        </dgm:presLayoutVars>
      </dgm:prSet>
      <dgm:spPr/>
      <dgm:t>
        <a:bodyPr/>
        <a:lstStyle/>
        <a:p>
          <a:endParaRPr lang="en-US"/>
        </a:p>
      </dgm:t>
    </dgm:pt>
    <dgm:pt modelId="{6398BEF3-B883-493D-B8DB-4DAD9E4998A8}" type="pres">
      <dgm:prSet presAssocID="{E601C36C-BEC3-4DD1-8A7B-B1687446166E}" presName="level3hierChild" presStyleCnt="0"/>
      <dgm:spPr/>
    </dgm:pt>
    <dgm:pt modelId="{5C7B04CF-1119-4864-8DF3-7A00901947AF}" type="pres">
      <dgm:prSet presAssocID="{BF2A27EE-B6C5-42DA-A117-B47921D1FB68}" presName="conn2-1" presStyleLbl="parChTrans1D4" presStyleIdx="7" presStyleCnt="14"/>
      <dgm:spPr/>
      <dgm:t>
        <a:bodyPr/>
        <a:lstStyle/>
        <a:p>
          <a:endParaRPr lang="en-US"/>
        </a:p>
      </dgm:t>
    </dgm:pt>
    <dgm:pt modelId="{9F0A044E-1B00-4C16-A13F-0F29630AB07A}" type="pres">
      <dgm:prSet presAssocID="{BF2A27EE-B6C5-42DA-A117-B47921D1FB68}" presName="connTx" presStyleLbl="parChTrans1D4" presStyleIdx="7" presStyleCnt="14"/>
      <dgm:spPr/>
      <dgm:t>
        <a:bodyPr/>
        <a:lstStyle/>
        <a:p>
          <a:endParaRPr lang="en-US"/>
        </a:p>
      </dgm:t>
    </dgm:pt>
    <dgm:pt modelId="{01925E33-F43B-4843-A545-2E5C9564A19B}" type="pres">
      <dgm:prSet presAssocID="{489A2344-B9C8-49BF-B7ED-8930119919FB}" presName="root2" presStyleCnt="0"/>
      <dgm:spPr/>
    </dgm:pt>
    <dgm:pt modelId="{4FC0C984-AA7F-4681-84BA-28AE3DEDFAB3}" type="pres">
      <dgm:prSet presAssocID="{489A2344-B9C8-49BF-B7ED-8930119919FB}" presName="LevelTwoTextNode" presStyleLbl="node4" presStyleIdx="7" presStyleCnt="14">
        <dgm:presLayoutVars>
          <dgm:chPref val="3"/>
        </dgm:presLayoutVars>
      </dgm:prSet>
      <dgm:spPr/>
      <dgm:t>
        <a:bodyPr/>
        <a:lstStyle/>
        <a:p>
          <a:endParaRPr lang="en-US"/>
        </a:p>
      </dgm:t>
    </dgm:pt>
    <dgm:pt modelId="{B3ACA0C5-B167-4820-94A3-92553A1D3CC1}" type="pres">
      <dgm:prSet presAssocID="{489A2344-B9C8-49BF-B7ED-8930119919FB}" presName="level3hierChild" presStyleCnt="0"/>
      <dgm:spPr/>
    </dgm:pt>
    <dgm:pt modelId="{70BB5A89-0A88-4333-AAB9-E760D3BAB196}" type="pres">
      <dgm:prSet presAssocID="{FEA9EB22-E14B-401A-80D2-6D310F673EAD}" presName="conn2-1" presStyleLbl="parChTrans1D3" presStyleIdx="3" presStyleCnt="16"/>
      <dgm:spPr/>
      <dgm:t>
        <a:bodyPr/>
        <a:lstStyle/>
        <a:p>
          <a:endParaRPr lang="en-US"/>
        </a:p>
      </dgm:t>
    </dgm:pt>
    <dgm:pt modelId="{128ED0F1-E0DD-48E1-B843-69869FDBE90B}" type="pres">
      <dgm:prSet presAssocID="{FEA9EB22-E14B-401A-80D2-6D310F673EAD}" presName="connTx" presStyleLbl="parChTrans1D3" presStyleIdx="3" presStyleCnt="16"/>
      <dgm:spPr/>
      <dgm:t>
        <a:bodyPr/>
        <a:lstStyle/>
        <a:p>
          <a:endParaRPr lang="en-US"/>
        </a:p>
      </dgm:t>
    </dgm:pt>
    <dgm:pt modelId="{B20D9711-3326-4A92-9E6C-6B5424CB26FE}" type="pres">
      <dgm:prSet presAssocID="{086B6914-94B6-4172-A155-6DCCD8A7B416}" presName="root2" presStyleCnt="0"/>
      <dgm:spPr/>
    </dgm:pt>
    <dgm:pt modelId="{A20E0980-283B-4FC5-A60C-B13E4804FB8A}" type="pres">
      <dgm:prSet presAssocID="{086B6914-94B6-4172-A155-6DCCD8A7B416}" presName="LevelTwoTextNode" presStyleLbl="node3" presStyleIdx="3" presStyleCnt="16">
        <dgm:presLayoutVars>
          <dgm:chPref val="3"/>
        </dgm:presLayoutVars>
      </dgm:prSet>
      <dgm:spPr/>
      <dgm:t>
        <a:bodyPr/>
        <a:lstStyle/>
        <a:p>
          <a:endParaRPr lang="en-US"/>
        </a:p>
      </dgm:t>
    </dgm:pt>
    <dgm:pt modelId="{B733AD5E-7242-45BE-918B-6CA223A1F304}" type="pres">
      <dgm:prSet presAssocID="{086B6914-94B6-4172-A155-6DCCD8A7B416}" presName="level3hierChild" presStyleCnt="0"/>
      <dgm:spPr/>
    </dgm:pt>
    <dgm:pt modelId="{C083BFA6-BD05-437F-B91E-85FD9EEE9645}" type="pres">
      <dgm:prSet presAssocID="{5695808F-3F35-4CDB-82B9-0D65F7D94BFB}" presName="conn2-1" presStyleLbl="parChTrans1D3" presStyleIdx="4" presStyleCnt="16"/>
      <dgm:spPr/>
      <dgm:t>
        <a:bodyPr/>
        <a:lstStyle/>
        <a:p>
          <a:endParaRPr lang="en-US"/>
        </a:p>
      </dgm:t>
    </dgm:pt>
    <dgm:pt modelId="{4CE6C1D5-285D-44A7-9E2E-314A67B1AA3C}" type="pres">
      <dgm:prSet presAssocID="{5695808F-3F35-4CDB-82B9-0D65F7D94BFB}" presName="connTx" presStyleLbl="parChTrans1D3" presStyleIdx="4" presStyleCnt="16"/>
      <dgm:spPr/>
      <dgm:t>
        <a:bodyPr/>
        <a:lstStyle/>
        <a:p>
          <a:endParaRPr lang="en-US"/>
        </a:p>
      </dgm:t>
    </dgm:pt>
    <dgm:pt modelId="{FDF959AC-E32F-4A01-AE41-F28EBA07A68D}" type="pres">
      <dgm:prSet presAssocID="{885D455B-C94F-41AB-BB2C-1AB97DBDC0DB}" presName="root2" presStyleCnt="0"/>
      <dgm:spPr/>
    </dgm:pt>
    <dgm:pt modelId="{047F5CE2-8B74-4F91-BE51-8857D06DBB27}" type="pres">
      <dgm:prSet presAssocID="{885D455B-C94F-41AB-BB2C-1AB97DBDC0DB}" presName="LevelTwoTextNode" presStyleLbl="node3" presStyleIdx="4" presStyleCnt="16">
        <dgm:presLayoutVars>
          <dgm:chPref val="3"/>
        </dgm:presLayoutVars>
      </dgm:prSet>
      <dgm:spPr/>
      <dgm:t>
        <a:bodyPr/>
        <a:lstStyle/>
        <a:p>
          <a:endParaRPr lang="en-US"/>
        </a:p>
      </dgm:t>
    </dgm:pt>
    <dgm:pt modelId="{8E98850E-EFE3-448F-9665-11BAF572E231}" type="pres">
      <dgm:prSet presAssocID="{885D455B-C94F-41AB-BB2C-1AB97DBDC0DB}" presName="level3hierChild" presStyleCnt="0"/>
      <dgm:spPr/>
    </dgm:pt>
    <dgm:pt modelId="{AFC23C23-4876-46BA-8CA9-B277B78C4288}" type="pres">
      <dgm:prSet presAssocID="{CC840E1F-47EA-4470-AC63-1C65A005625B}" presName="conn2-1" presStyleLbl="parChTrans1D4" presStyleIdx="8" presStyleCnt="14"/>
      <dgm:spPr/>
      <dgm:t>
        <a:bodyPr/>
        <a:lstStyle/>
        <a:p>
          <a:endParaRPr lang="en-US"/>
        </a:p>
      </dgm:t>
    </dgm:pt>
    <dgm:pt modelId="{377974A2-2D02-4AAD-9471-6A6C5EE0CA5A}" type="pres">
      <dgm:prSet presAssocID="{CC840E1F-47EA-4470-AC63-1C65A005625B}" presName="connTx" presStyleLbl="parChTrans1D4" presStyleIdx="8" presStyleCnt="14"/>
      <dgm:spPr/>
      <dgm:t>
        <a:bodyPr/>
        <a:lstStyle/>
        <a:p>
          <a:endParaRPr lang="en-US"/>
        </a:p>
      </dgm:t>
    </dgm:pt>
    <dgm:pt modelId="{FF3C9162-6AB1-4B58-A536-2E12820A490C}" type="pres">
      <dgm:prSet presAssocID="{F698622B-8609-4FF0-BF00-728515DC24E2}" presName="root2" presStyleCnt="0"/>
      <dgm:spPr/>
    </dgm:pt>
    <dgm:pt modelId="{2BB92C48-DACA-46C4-B4B3-93F610BE3334}" type="pres">
      <dgm:prSet presAssocID="{F698622B-8609-4FF0-BF00-728515DC24E2}" presName="LevelTwoTextNode" presStyleLbl="node4" presStyleIdx="8" presStyleCnt="14">
        <dgm:presLayoutVars>
          <dgm:chPref val="3"/>
        </dgm:presLayoutVars>
      </dgm:prSet>
      <dgm:spPr/>
      <dgm:t>
        <a:bodyPr/>
        <a:lstStyle/>
        <a:p>
          <a:endParaRPr lang="en-US"/>
        </a:p>
      </dgm:t>
    </dgm:pt>
    <dgm:pt modelId="{3BAA2C27-2161-4F09-B1DA-2707B5C9E1B3}" type="pres">
      <dgm:prSet presAssocID="{F698622B-8609-4FF0-BF00-728515DC24E2}" presName="level3hierChild" presStyleCnt="0"/>
      <dgm:spPr/>
    </dgm:pt>
    <dgm:pt modelId="{5283C906-0C24-443C-89F1-E912F2AF99BD}" type="pres">
      <dgm:prSet presAssocID="{9572C415-8EF2-41A1-9A2F-7DC3A6BE5BEA}" presName="conn2-1" presStyleLbl="parChTrans1D3" presStyleIdx="5" presStyleCnt="16"/>
      <dgm:spPr/>
      <dgm:t>
        <a:bodyPr/>
        <a:lstStyle/>
        <a:p>
          <a:endParaRPr lang="en-US"/>
        </a:p>
      </dgm:t>
    </dgm:pt>
    <dgm:pt modelId="{6AC64068-AF00-400E-89B8-98FA0F040284}" type="pres">
      <dgm:prSet presAssocID="{9572C415-8EF2-41A1-9A2F-7DC3A6BE5BEA}" presName="connTx" presStyleLbl="parChTrans1D3" presStyleIdx="5" presStyleCnt="16"/>
      <dgm:spPr/>
      <dgm:t>
        <a:bodyPr/>
        <a:lstStyle/>
        <a:p>
          <a:endParaRPr lang="en-US"/>
        </a:p>
      </dgm:t>
    </dgm:pt>
    <dgm:pt modelId="{D7F975DA-8E45-4C52-ABF2-40E3B805AA3B}" type="pres">
      <dgm:prSet presAssocID="{FBF4766A-B47C-427F-918E-BDD73977DF7C}" presName="root2" presStyleCnt="0"/>
      <dgm:spPr/>
    </dgm:pt>
    <dgm:pt modelId="{75891E75-53B5-4A9E-8892-2D71B6E00F7B}" type="pres">
      <dgm:prSet presAssocID="{FBF4766A-B47C-427F-918E-BDD73977DF7C}" presName="LevelTwoTextNode" presStyleLbl="node3" presStyleIdx="5" presStyleCnt="16">
        <dgm:presLayoutVars>
          <dgm:chPref val="3"/>
        </dgm:presLayoutVars>
      </dgm:prSet>
      <dgm:spPr/>
      <dgm:t>
        <a:bodyPr/>
        <a:lstStyle/>
        <a:p>
          <a:endParaRPr lang="en-US"/>
        </a:p>
      </dgm:t>
    </dgm:pt>
    <dgm:pt modelId="{2F39B3FC-EF75-4E29-9E5F-2AFA10F9F9AD}" type="pres">
      <dgm:prSet presAssocID="{FBF4766A-B47C-427F-918E-BDD73977DF7C}" presName="level3hierChild" presStyleCnt="0"/>
      <dgm:spPr/>
    </dgm:pt>
    <dgm:pt modelId="{06C0F108-6B83-4DF9-96EF-147EECC0C428}" type="pres">
      <dgm:prSet presAssocID="{4EC6BD36-E67F-4A22-818D-1B5C98397792}" presName="conn2-1" presStyleLbl="parChTrans1D4" presStyleIdx="9" presStyleCnt="14"/>
      <dgm:spPr/>
      <dgm:t>
        <a:bodyPr/>
        <a:lstStyle/>
        <a:p>
          <a:endParaRPr lang="en-US"/>
        </a:p>
      </dgm:t>
    </dgm:pt>
    <dgm:pt modelId="{A278F878-8B0F-428C-8DE1-D9BC4B9C36A3}" type="pres">
      <dgm:prSet presAssocID="{4EC6BD36-E67F-4A22-818D-1B5C98397792}" presName="connTx" presStyleLbl="parChTrans1D4" presStyleIdx="9" presStyleCnt="14"/>
      <dgm:spPr/>
      <dgm:t>
        <a:bodyPr/>
        <a:lstStyle/>
        <a:p>
          <a:endParaRPr lang="en-US"/>
        </a:p>
      </dgm:t>
    </dgm:pt>
    <dgm:pt modelId="{D37E47F7-93ED-4C80-B03B-6926046B4823}" type="pres">
      <dgm:prSet presAssocID="{11A3C739-38A9-4501-89AB-2900441C1F05}" presName="root2" presStyleCnt="0"/>
      <dgm:spPr/>
    </dgm:pt>
    <dgm:pt modelId="{732D718F-17A7-43BA-AFBC-2E1102936EE3}" type="pres">
      <dgm:prSet presAssocID="{11A3C739-38A9-4501-89AB-2900441C1F05}" presName="LevelTwoTextNode" presStyleLbl="node4" presStyleIdx="9" presStyleCnt="14">
        <dgm:presLayoutVars>
          <dgm:chPref val="3"/>
        </dgm:presLayoutVars>
      </dgm:prSet>
      <dgm:spPr/>
      <dgm:t>
        <a:bodyPr/>
        <a:lstStyle/>
        <a:p>
          <a:endParaRPr lang="en-US"/>
        </a:p>
      </dgm:t>
    </dgm:pt>
    <dgm:pt modelId="{1C2C4A29-ABCE-4472-8FDB-F60C5D191BA8}" type="pres">
      <dgm:prSet presAssocID="{11A3C739-38A9-4501-89AB-2900441C1F05}" presName="level3hierChild" presStyleCnt="0"/>
      <dgm:spPr/>
    </dgm:pt>
    <dgm:pt modelId="{A4F5934C-A0BA-46E0-836A-98417E325588}" type="pres">
      <dgm:prSet presAssocID="{F0B0607F-EC83-4F97-A7B4-C23F3E72D401}" presName="conn2-1" presStyleLbl="parChTrans1D4" presStyleIdx="10" presStyleCnt="14"/>
      <dgm:spPr/>
      <dgm:t>
        <a:bodyPr/>
        <a:lstStyle/>
        <a:p>
          <a:endParaRPr lang="en-US"/>
        </a:p>
      </dgm:t>
    </dgm:pt>
    <dgm:pt modelId="{4BB8B400-0500-46C3-BF22-C393B9677E90}" type="pres">
      <dgm:prSet presAssocID="{F0B0607F-EC83-4F97-A7B4-C23F3E72D401}" presName="connTx" presStyleLbl="parChTrans1D4" presStyleIdx="10" presStyleCnt="14"/>
      <dgm:spPr/>
      <dgm:t>
        <a:bodyPr/>
        <a:lstStyle/>
        <a:p>
          <a:endParaRPr lang="en-US"/>
        </a:p>
      </dgm:t>
    </dgm:pt>
    <dgm:pt modelId="{924368AB-D31F-4666-B932-EB42B453FC98}" type="pres">
      <dgm:prSet presAssocID="{C6C4EFD4-2A8C-4BEC-B495-C13773328220}" presName="root2" presStyleCnt="0"/>
      <dgm:spPr/>
    </dgm:pt>
    <dgm:pt modelId="{ABFF5B00-14F4-45AC-9399-327B2A5AD75F}" type="pres">
      <dgm:prSet presAssocID="{C6C4EFD4-2A8C-4BEC-B495-C13773328220}" presName="LevelTwoTextNode" presStyleLbl="node4" presStyleIdx="10" presStyleCnt="14">
        <dgm:presLayoutVars>
          <dgm:chPref val="3"/>
        </dgm:presLayoutVars>
      </dgm:prSet>
      <dgm:spPr/>
      <dgm:t>
        <a:bodyPr/>
        <a:lstStyle/>
        <a:p>
          <a:endParaRPr lang="en-US"/>
        </a:p>
      </dgm:t>
    </dgm:pt>
    <dgm:pt modelId="{6DD39CA6-81B6-44B2-A6E6-38D51C3D24D4}" type="pres">
      <dgm:prSet presAssocID="{C6C4EFD4-2A8C-4BEC-B495-C13773328220}" presName="level3hierChild" presStyleCnt="0"/>
      <dgm:spPr/>
    </dgm:pt>
    <dgm:pt modelId="{ACD85488-53CD-413C-9470-9F6B8CE84EE7}" type="pres">
      <dgm:prSet presAssocID="{188FA502-5489-4C3D-A5ED-67144A7F2088}" presName="conn2-1" presStyleLbl="parChTrans1D4" presStyleIdx="11" presStyleCnt="14"/>
      <dgm:spPr/>
      <dgm:t>
        <a:bodyPr/>
        <a:lstStyle/>
        <a:p>
          <a:endParaRPr lang="en-US"/>
        </a:p>
      </dgm:t>
    </dgm:pt>
    <dgm:pt modelId="{FE7BDB81-CB0D-4C79-9C47-34D762E2E681}" type="pres">
      <dgm:prSet presAssocID="{188FA502-5489-4C3D-A5ED-67144A7F2088}" presName="connTx" presStyleLbl="parChTrans1D4" presStyleIdx="11" presStyleCnt="14"/>
      <dgm:spPr/>
      <dgm:t>
        <a:bodyPr/>
        <a:lstStyle/>
        <a:p>
          <a:endParaRPr lang="en-US"/>
        </a:p>
      </dgm:t>
    </dgm:pt>
    <dgm:pt modelId="{52181A0B-6E36-4BC7-B646-5DAC871374C8}" type="pres">
      <dgm:prSet presAssocID="{C9FEE462-7E93-4727-BA43-09A59C940205}" presName="root2" presStyleCnt="0"/>
      <dgm:spPr/>
    </dgm:pt>
    <dgm:pt modelId="{A7FB9EA4-F0D9-4DA5-AD00-CF5CC56674B3}" type="pres">
      <dgm:prSet presAssocID="{C9FEE462-7E93-4727-BA43-09A59C940205}" presName="LevelTwoTextNode" presStyleLbl="node4" presStyleIdx="11" presStyleCnt="14">
        <dgm:presLayoutVars>
          <dgm:chPref val="3"/>
        </dgm:presLayoutVars>
      </dgm:prSet>
      <dgm:spPr/>
      <dgm:t>
        <a:bodyPr/>
        <a:lstStyle/>
        <a:p>
          <a:endParaRPr lang="en-US"/>
        </a:p>
      </dgm:t>
    </dgm:pt>
    <dgm:pt modelId="{C057D02D-3F72-463A-8284-7C15BFEE431F}" type="pres">
      <dgm:prSet presAssocID="{C9FEE462-7E93-4727-BA43-09A59C940205}" presName="level3hierChild" presStyleCnt="0"/>
      <dgm:spPr/>
    </dgm:pt>
    <dgm:pt modelId="{BDCF2E22-F8CF-4457-812F-89738E320893}" type="pres">
      <dgm:prSet presAssocID="{09C8C97F-0C56-4640-A770-843A8D6F1270}" presName="conn2-1" presStyleLbl="parChTrans1D2" presStyleIdx="1" presStyleCnt="4"/>
      <dgm:spPr/>
      <dgm:t>
        <a:bodyPr/>
        <a:lstStyle/>
        <a:p>
          <a:endParaRPr lang="en-US"/>
        </a:p>
      </dgm:t>
    </dgm:pt>
    <dgm:pt modelId="{4E497AFB-E3EA-4CCA-8913-72E260560A47}" type="pres">
      <dgm:prSet presAssocID="{09C8C97F-0C56-4640-A770-843A8D6F1270}" presName="connTx" presStyleLbl="parChTrans1D2" presStyleIdx="1" presStyleCnt="4"/>
      <dgm:spPr/>
      <dgm:t>
        <a:bodyPr/>
        <a:lstStyle/>
        <a:p>
          <a:endParaRPr lang="en-US"/>
        </a:p>
      </dgm:t>
    </dgm:pt>
    <dgm:pt modelId="{0F5E07B8-15BC-4968-847F-425594B8E51E}" type="pres">
      <dgm:prSet presAssocID="{1ED4D2C5-949D-49F7-B839-8ED675DD0790}" presName="root2" presStyleCnt="0"/>
      <dgm:spPr/>
    </dgm:pt>
    <dgm:pt modelId="{BD362FF8-1DA2-4FAA-A12A-2DD45DA38926}" type="pres">
      <dgm:prSet presAssocID="{1ED4D2C5-949D-49F7-B839-8ED675DD0790}" presName="LevelTwoTextNode" presStyleLbl="node2" presStyleIdx="1" presStyleCnt="4" custScaleX="127094" custScaleY="143022" custLinFactNeighborX="-766" custLinFactNeighborY="2797">
        <dgm:presLayoutVars>
          <dgm:chPref val="3"/>
        </dgm:presLayoutVars>
      </dgm:prSet>
      <dgm:spPr/>
      <dgm:t>
        <a:bodyPr/>
        <a:lstStyle/>
        <a:p>
          <a:endParaRPr lang="en-US"/>
        </a:p>
      </dgm:t>
    </dgm:pt>
    <dgm:pt modelId="{4E312A41-F1D9-48D2-ADDD-4B08D3EEF141}" type="pres">
      <dgm:prSet presAssocID="{1ED4D2C5-949D-49F7-B839-8ED675DD0790}" presName="level3hierChild" presStyleCnt="0"/>
      <dgm:spPr/>
    </dgm:pt>
    <dgm:pt modelId="{899D67B7-5EAD-40DA-BA11-C40646F01A65}" type="pres">
      <dgm:prSet presAssocID="{B62742B6-5960-49BF-A993-914618C8B9DD}" presName="conn2-1" presStyleLbl="parChTrans1D3" presStyleIdx="6" presStyleCnt="16"/>
      <dgm:spPr/>
      <dgm:t>
        <a:bodyPr/>
        <a:lstStyle/>
        <a:p>
          <a:endParaRPr lang="en-US"/>
        </a:p>
      </dgm:t>
    </dgm:pt>
    <dgm:pt modelId="{66EB670A-A3D3-4AED-BE55-01009632A087}" type="pres">
      <dgm:prSet presAssocID="{B62742B6-5960-49BF-A993-914618C8B9DD}" presName="connTx" presStyleLbl="parChTrans1D3" presStyleIdx="6" presStyleCnt="16"/>
      <dgm:spPr/>
      <dgm:t>
        <a:bodyPr/>
        <a:lstStyle/>
        <a:p>
          <a:endParaRPr lang="en-US"/>
        </a:p>
      </dgm:t>
    </dgm:pt>
    <dgm:pt modelId="{39F0146E-C6E3-4BE1-80FC-F32E4FD4E0DC}" type="pres">
      <dgm:prSet presAssocID="{962AFFD5-9BF9-4507-97A8-DD986A8681DF}" presName="root2" presStyleCnt="0"/>
      <dgm:spPr/>
    </dgm:pt>
    <dgm:pt modelId="{F06085CA-20D0-41D5-9A3F-2757A8D17429}" type="pres">
      <dgm:prSet presAssocID="{962AFFD5-9BF9-4507-97A8-DD986A8681DF}" presName="LevelTwoTextNode" presStyleLbl="node3" presStyleIdx="6" presStyleCnt="16" custLinFactNeighborY="-8292">
        <dgm:presLayoutVars>
          <dgm:chPref val="3"/>
        </dgm:presLayoutVars>
      </dgm:prSet>
      <dgm:spPr/>
      <dgm:t>
        <a:bodyPr/>
        <a:lstStyle/>
        <a:p>
          <a:endParaRPr lang="en-US"/>
        </a:p>
      </dgm:t>
    </dgm:pt>
    <dgm:pt modelId="{AF298EE4-2032-468A-AB15-05A2A5CE6297}" type="pres">
      <dgm:prSet presAssocID="{962AFFD5-9BF9-4507-97A8-DD986A8681DF}" presName="level3hierChild" presStyleCnt="0"/>
      <dgm:spPr/>
    </dgm:pt>
    <dgm:pt modelId="{1F1DF977-D653-480A-8F78-531567E596B3}" type="pres">
      <dgm:prSet presAssocID="{70E188C2-E789-4311-8234-83D0B7FE1A9A}" presName="conn2-1" presStyleLbl="parChTrans1D3" presStyleIdx="7" presStyleCnt="16"/>
      <dgm:spPr/>
      <dgm:t>
        <a:bodyPr/>
        <a:lstStyle/>
        <a:p>
          <a:endParaRPr lang="en-US"/>
        </a:p>
      </dgm:t>
    </dgm:pt>
    <dgm:pt modelId="{F1C6A1A8-AB55-472F-AB6E-77B84B9D492A}" type="pres">
      <dgm:prSet presAssocID="{70E188C2-E789-4311-8234-83D0B7FE1A9A}" presName="connTx" presStyleLbl="parChTrans1D3" presStyleIdx="7" presStyleCnt="16"/>
      <dgm:spPr/>
      <dgm:t>
        <a:bodyPr/>
        <a:lstStyle/>
        <a:p>
          <a:endParaRPr lang="en-US"/>
        </a:p>
      </dgm:t>
    </dgm:pt>
    <dgm:pt modelId="{955AAD0E-4E77-4259-B057-7FB2BA76B7B3}" type="pres">
      <dgm:prSet presAssocID="{4F88F321-973D-4EDA-BC3B-7FED66FFEB39}" presName="root2" presStyleCnt="0"/>
      <dgm:spPr/>
    </dgm:pt>
    <dgm:pt modelId="{23EB4CF1-37E8-4679-9680-266A73350548}" type="pres">
      <dgm:prSet presAssocID="{4F88F321-973D-4EDA-BC3B-7FED66FFEB39}" presName="LevelTwoTextNode" presStyleLbl="node3" presStyleIdx="7" presStyleCnt="16">
        <dgm:presLayoutVars>
          <dgm:chPref val="3"/>
        </dgm:presLayoutVars>
      </dgm:prSet>
      <dgm:spPr/>
      <dgm:t>
        <a:bodyPr/>
        <a:lstStyle/>
        <a:p>
          <a:endParaRPr lang="en-US"/>
        </a:p>
      </dgm:t>
    </dgm:pt>
    <dgm:pt modelId="{BC122C4C-2891-49E6-8599-5E9BA9BAC45C}" type="pres">
      <dgm:prSet presAssocID="{4F88F321-973D-4EDA-BC3B-7FED66FFEB39}" presName="level3hierChild" presStyleCnt="0"/>
      <dgm:spPr/>
    </dgm:pt>
    <dgm:pt modelId="{FFC5E3D9-92C9-4A86-B49C-B8680391E47D}" type="pres">
      <dgm:prSet presAssocID="{6E33C606-BE53-4ACD-AB3B-38091EE67A6D}" presName="conn2-1" presStyleLbl="parChTrans1D4" presStyleIdx="12" presStyleCnt="14"/>
      <dgm:spPr/>
      <dgm:t>
        <a:bodyPr/>
        <a:lstStyle/>
        <a:p>
          <a:endParaRPr lang="en-US"/>
        </a:p>
      </dgm:t>
    </dgm:pt>
    <dgm:pt modelId="{7FD1E3B2-C3ED-4BA9-A78C-0C19DD4566EC}" type="pres">
      <dgm:prSet presAssocID="{6E33C606-BE53-4ACD-AB3B-38091EE67A6D}" presName="connTx" presStyleLbl="parChTrans1D4" presStyleIdx="12" presStyleCnt="14"/>
      <dgm:spPr/>
      <dgm:t>
        <a:bodyPr/>
        <a:lstStyle/>
        <a:p>
          <a:endParaRPr lang="en-US"/>
        </a:p>
      </dgm:t>
    </dgm:pt>
    <dgm:pt modelId="{5782BC0C-3172-4E0E-BB30-01419BB15421}" type="pres">
      <dgm:prSet presAssocID="{64DE994C-4F8C-4473-8B8F-875A5E1D5238}" presName="root2" presStyleCnt="0"/>
      <dgm:spPr/>
    </dgm:pt>
    <dgm:pt modelId="{6DCEDE63-E518-4BDA-898B-768810F586E2}" type="pres">
      <dgm:prSet presAssocID="{64DE994C-4F8C-4473-8B8F-875A5E1D5238}" presName="LevelTwoTextNode" presStyleLbl="node4" presStyleIdx="12" presStyleCnt="14" custLinFactNeighborX="7068">
        <dgm:presLayoutVars>
          <dgm:chPref val="3"/>
        </dgm:presLayoutVars>
      </dgm:prSet>
      <dgm:spPr/>
      <dgm:t>
        <a:bodyPr/>
        <a:lstStyle/>
        <a:p>
          <a:endParaRPr lang="en-US"/>
        </a:p>
      </dgm:t>
    </dgm:pt>
    <dgm:pt modelId="{23C1E400-6F29-4E06-A3EA-1AD84BDFDC25}" type="pres">
      <dgm:prSet presAssocID="{64DE994C-4F8C-4473-8B8F-875A5E1D5238}" presName="level3hierChild" presStyleCnt="0"/>
      <dgm:spPr/>
    </dgm:pt>
    <dgm:pt modelId="{1E06376C-0AE9-448F-8BA4-30614795E449}" type="pres">
      <dgm:prSet presAssocID="{2B0C82A5-4163-4749-8F87-6D4093BCE6C7}" presName="conn2-1" presStyleLbl="parChTrans1D3" presStyleIdx="8" presStyleCnt="16"/>
      <dgm:spPr/>
      <dgm:t>
        <a:bodyPr/>
        <a:lstStyle/>
        <a:p>
          <a:endParaRPr lang="en-US"/>
        </a:p>
      </dgm:t>
    </dgm:pt>
    <dgm:pt modelId="{52AF35B1-F50D-44AE-BE82-DDF078408F8B}" type="pres">
      <dgm:prSet presAssocID="{2B0C82A5-4163-4749-8F87-6D4093BCE6C7}" presName="connTx" presStyleLbl="parChTrans1D3" presStyleIdx="8" presStyleCnt="16"/>
      <dgm:spPr/>
      <dgm:t>
        <a:bodyPr/>
        <a:lstStyle/>
        <a:p>
          <a:endParaRPr lang="en-US"/>
        </a:p>
      </dgm:t>
    </dgm:pt>
    <dgm:pt modelId="{5B774501-A40B-45F7-AC6F-8CACE1C534C0}" type="pres">
      <dgm:prSet presAssocID="{711AF34C-8672-4B89-A34E-6ECDD87F76DD}" presName="root2" presStyleCnt="0"/>
      <dgm:spPr/>
    </dgm:pt>
    <dgm:pt modelId="{69ADE0B3-23D9-45C8-8083-391380D5C922}" type="pres">
      <dgm:prSet presAssocID="{711AF34C-8672-4B89-A34E-6ECDD87F76DD}" presName="LevelTwoTextNode" presStyleLbl="node3" presStyleIdx="8" presStyleCnt="16">
        <dgm:presLayoutVars>
          <dgm:chPref val="3"/>
        </dgm:presLayoutVars>
      </dgm:prSet>
      <dgm:spPr/>
      <dgm:t>
        <a:bodyPr/>
        <a:lstStyle/>
        <a:p>
          <a:endParaRPr lang="en-US"/>
        </a:p>
      </dgm:t>
    </dgm:pt>
    <dgm:pt modelId="{40B1FEC7-2346-4CC2-A424-FEAEA6A9BABE}" type="pres">
      <dgm:prSet presAssocID="{711AF34C-8672-4B89-A34E-6ECDD87F76DD}" presName="level3hierChild" presStyleCnt="0"/>
      <dgm:spPr/>
    </dgm:pt>
    <dgm:pt modelId="{8235F5A7-455C-4ED1-A0D6-BA9386B7EBE6}" type="pres">
      <dgm:prSet presAssocID="{67647BCF-91D4-469F-BA58-321C92A43FB0}" presName="conn2-1" presStyleLbl="parChTrans1D2" presStyleIdx="2" presStyleCnt="4"/>
      <dgm:spPr/>
      <dgm:t>
        <a:bodyPr/>
        <a:lstStyle/>
        <a:p>
          <a:endParaRPr lang="en-US"/>
        </a:p>
      </dgm:t>
    </dgm:pt>
    <dgm:pt modelId="{107FB77F-C12A-47D7-881A-253C61AB2807}" type="pres">
      <dgm:prSet presAssocID="{67647BCF-91D4-469F-BA58-321C92A43FB0}" presName="connTx" presStyleLbl="parChTrans1D2" presStyleIdx="2" presStyleCnt="4"/>
      <dgm:spPr/>
      <dgm:t>
        <a:bodyPr/>
        <a:lstStyle/>
        <a:p>
          <a:endParaRPr lang="en-US"/>
        </a:p>
      </dgm:t>
    </dgm:pt>
    <dgm:pt modelId="{8E9D122E-F761-4118-8411-1BBDF0857118}" type="pres">
      <dgm:prSet presAssocID="{5FFD69C3-227F-473E-BB70-1ABD0961EF3D}" presName="root2" presStyleCnt="0"/>
      <dgm:spPr/>
    </dgm:pt>
    <dgm:pt modelId="{F1C18595-E8CF-42F3-8673-8A84664325E0}" type="pres">
      <dgm:prSet presAssocID="{5FFD69C3-227F-473E-BB70-1ABD0961EF3D}" presName="LevelTwoTextNode" presStyleLbl="node2" presStyleIdx="2" presStyleCnt="4" custScaleX="129288" custScaleY="130237">
        <dgm:presLayoutVars>
          <dgm:chPref val="3"/>
        </dgm:presLayoutVars>
      </dgm:prSet>
      <dgm:spPr/>
      <dgm:t>
        <a:bodyPr/>
        <a:lstStyle/>
        <a:p>
          <a:endParaRPr lang="en-US"/>
        </a:p>
      </dgm:t>
    </dgm:pt>
    <dgm:pt modelId="{3A08BD73-F275-4760-BCD5-3C565269A067}" type="pres">
      <dgm:prSet presAssocID="{5FFD69C3-227F-473E-BB70-1ABD0961EF3D}" presName="level3hierChild" presStyleCnt="0"/>
      <dgm:spPr/>
    </dgm:pt>
    <dgm:pt modelId="{ACC7EE9C-47C5-4882-B9F0-7AEFD80333A8}" type="pres">
      <dgm:prSet presAssocID="{F6582F16-D3FA-4121-832D-D69CBCF2A97C}" presName="conn2-1" presStyleLbl="parChTrans1D3" presStyleIdx="9" presStyleCnt="16"/>
      <dgm:spPr/>
      <dgm:t>
        <a:bodyPr/>
        <a:lstStyle/>
        <a:p>
          <a:endParaRPr lang="en-US"/>
        </a:p>
      </dgm:t>
    </dgm:pt>
    <dgm:pt modelId="{0BA91806-3FB5-4C82-89D2-D267C6509D7B}" type="pres">
      <dgm:prSet presAssocID="{F6582F16-D3FA-4121-832D-D69CBCF2A97C}" presName="connTx" presStyleLbl="parChTrans1D3" presStyleIdx="9" presStyleCnt="16"/>
      <dgm:spPr/>
      <dgm:t>
        <a:bodyPr/>
        <a:lstStyle/>
        <a:p>
          <a:endParaRPr lang="en-US"/>
        </a:p>
      </dgm:t>
    </dgm:pt>
    <dgm:pt modelId="{2BE4EB1A-9B14-42F7-B56C-6609DCF1A1FF}" type="pres">
      <dgm:prSet presAssocID="{0ECDE406-D71B-4B1F-8B4D-FCFFF1D90338}" presName="root2" presStyleCnt="0"/>
      <dgm:spPr/>
    </dgm:pt>
    <dgm:pt modelId="{F74A32A5-F742-4246-8AC8-3C2581982200}" type="pres">
      <dgm:prSet presAssocID="{0ECDE406-D71B-4B1F-8B4D-FCFFF1D90338}" presName="LevelTwoTextNode" presStyleLbl="node3" presStyleIdx="9" presStyleCnt="16">
        <dgm:presLayoutVars>
          <dgm:chPref val="3"/>
        </dgm:presLayoutVars>
      </dgm:prSet>
      <dgm:spPr/>
      <dgm:t>
        <a:bodyPr/>
        <a:lstStyle/>
        <a:p>
          <a:endParaRPr lang="en-US"/>
        </a:p>
      </dgm:t>
    </dgm:pt>
    <dgm:pt modelId="{87D18150-EEC7-42B4-AA86-C6B3E5F29C97}" type="pres">
      <dgm:prSet presAssocID="{0ECDE406-D71B-4B1F-8B4D-FCFFF1D90338}" presName="level3hierChild" presStyleCnt="0"/>
      <dgm:spPr/>
    </dgm:pt>
    <dgm:pt modelId="{86661B70-F973-4297-9332-B0F451694DB8}" type="pres">
      <dgm:prSet presAssocID="{74DB6C90-2295-4E66-A4B6-948FFF7618B7}" presName="conn2-1" presStyleLbl="parChTrans1D4" presStyleIdx="13" presStyleCnt="14"/>
      <dgm:spPr/>
      <dgm:t>
        <a:bodyPr/>
        <a:lstStyle/>
        <a:p>
          <a:endParaRPr lang="en-US"/>
        </a:p>
      </dgm:t>
    </dgm:pt>
    <dgm:pt modelId="{4F42E423-58F7-4205-8DCF-F7AFB91B4B76}" type="pres">
      <dgm:prSet presAssocID="{74DB6C90-2295-4E66-A4B6-948FFF7618B7}" presName="connTx" presStyleLbl="parChTrans1D4" presStyleIdx="13" presStyleCnt="14"/>
      <dgm:spPr/>
      <dgm:t>
        <a:bodyPr/>
        <a:lstStyle/>
        <a:p>
          <a:endParaRPr lang="en-US"/>
        </a:p>
      </dgm:t>
    </dgm:pt>
    <dgm:pt modelId="{A8C89D32-7857-4BD8-8AF2-52B39973B2F5}" type="pres">
      <dgm:prSet presAssocID="{4C956974-1091-45C4-9C7B-0EF61053366B}" presName="root2" presStyleCnt="0"/>
      <dgm:spPr/>
    </dgm:pt>
    <dgm:pt modelId="{FA3713BA-A537-45F4-9C47-68D34E26C6BA}" type="pres">
      <dgm:prSet presAssocID="{4C956974-1091-45C4-9C7B-0EF61053366B}" presName="LevelTwoTextNode" presStyleLbl="node4" presStyleIdx="13" presStyleCnt="14" custLinFactNeighborX="3696" custLinFactNeighborY="-2236">
        <dgm:presLayoutVars>
          <dgm:chPref val="3"/>
        </dgm:presLayoutVars>
      </dgm:prSet>
      <dgm:spPr/>
      <dgm:t>
        <a:bodyPr/>
        <a:lstStyle/>
        <a:p>
          <a:endParaRPr lang="en-US"/>
        </a:p>
      </dgm:t>
    </dgm:pt>
    <dgm:pt modelId="{2C9B7BEC-78D0-49B3-BA81-2B092E84B2AD}" type="pres">
      <dgm:prSet presAssocID="{4C956974-1091-45C4-9C7B-0EF61053366B}" presName="level3hierChild" presStyleCnt="0"/>
      <dgm:spPr/>
    </dgm:pt>
    <dgm:pt modelId="{17AFFF27-F117-4E63-BF1C-AE2F5EDE5A6E}" type="pres">
      <dgm:prSet presAssocID="{240C2DB2-2684-4F3F-9B61-C6C8311AE5D2}" presName="conn2-1" presStyleLbl="parChTrans1D2" presStyleIdx="3" presStyleCnt="4"/>
      <dgm:spPr/>
      <dgm:t>
        <a:bodyPr/>
        <a:lstStyle/>
        <a:p>
          <a:endParaRPr lang="en-US"/>
        </a:p>
      </dgm:t>
    </dgm:pt>
    <dgm:pt modelId="{A40AD3AB-4C4C-4163-A40E-5D9267A7CDB9}" type="pres">
      <dgm:prSet presAssocID="{240C2DB2-2684-4F3F-9B61-C6C8311AE5D2}" presName="connTx" presStyleLbl="parChTrans1D2" presStyleIdx="3" presStyleCnt="4"/>
      <dgm:spPr/>
      <dgm:t>
        <a:bodyPr/>
        <a:lstStyle/>
        <a:p>
          <a:endParaRPr lang="en-US"/>
        </a:p>
      </dgm:t>
    </dgm:pt>
    <dgm:pt modelId="{D8D0CB4A-716D-47FD-B3AF-704528419650}" type="pres">
      <dgm:prSet presAssocID="{3B98F0A1-A017-470B-84DF-6FCCC0A2CB11}" presName="root2" presStyleCnt="0"/>
      <dgm:spPr/>
    </dgm:pt>
    <dgm:pt modelId="{79AA76A7-48EB-4AD6-950A-F4CBF77D1A3B}" type="pres">
      <dgm:prSet presAssocID="{3B98F0A1-A017-470B-84DF-6FCCC0A2CB11}" presName="LevelTwoTextNode" presStyleLbl="node2" presStyleIdx="3" presStyleCnt="4" custScaleX="125835" custScaleY="161757">
        <dgm:presLayoutVars>
          <dgm:chPref val="3"/>
        </dgm:presLayoutVars>
      </dgm:prSet>
      <dgm:spPr/>
      <dgm:t>
        <a:bodyPr/>
        <a:lstStyle/>
        <a:p>
          <a:endParaRPr lang="en-US"/>
        </a:p>
      </dgm:t>
    </dgm:pt>
    <dgm:pt modelId="{88AB3398-0235-43E8-9216-BB2C04B856D2}" type="pres">
      <dgm:prSet presAssocID="{3B98F0A1-A017-470B-84DF-6FCCC0A2CB11}" presName="level3hierChild" presStyleCnt="0"/>
      <dgm:spPr/>
    </dgm:pt>
    <dgm:pt modelId="{33F11ADE-FADE-4BC9-B449-27FE31562C2E}" type="pres">
      <dgm:prSet presAssocID="{2A2EDF56-0B9D-4327-B629-C691AB1B7DE8}" presName="conn2-1" presStyleLbl="parChTrans1D3" presStyleIdx="10" presStyleCnt="16"/>
      <dgm:spPr/>
      <dgm:t>
        <a:bodyPr/>
        <a:lstStyle/>
        <a:p>
          <a:endParaRPr lang="en-US"/>
        </a:p>
      </dgm:t>
    </dgm:pt>
    <dgm:pt modelId="{42BFFA29-5CAE-4F2A-A66D-4B7C0DA01D6E}" type="pres">
      <dgm:prSet presAssocID="{2A2EDF56-0B9D-4327-B629-C691AB1B7DE8}" presName="connTx" presStyleLbl="parChTrans1D3" presStyleIdx="10" presStyleCnt="16"/>
      <dgm:spPr/>
      <dgm:t>
        <a:bodyPr/>
        <a:lstStyle/>
        <a:p>
          <a:endParaRPr lang="en-US"/>
        </a:p>
      </dgm:t>
    </dgm:pt>
    <dgm:pt modelId="{F92B1AE7-C1B7-402E-A3BF-4DE50C517656}" type="pres">
      <dgm:prSet presAssocID="{4C587A56-92A8-488B-A3E3-AE93EA52967B}" presName="root2" presStyleCnt="0"/>
      <dgm:spPr/>
    </dgm:pt>
    <dgm:pt modelId="{99796B89-8DA7-4D3D-B04E-74B84F39FDEA}" type="pres">
      <dgm:prSet presAssocID="{4C587A56-92A8-488B-A3E3-AE93EA52967B}" presName="LevelTwoTextNode" presStyleLbl="node3" presStyleIdx="10" presStyleCnt="16">
        <dgm:presLayoutVars>
          <dgm:chPref val="3"/>
        </dgm:presLayoutVars>
      </dgm:prSet>
      <dgm:spPr/>
      <dgm:t>
        <a:bodyPr/>
        <a:lstStyle/>
        <a:p>
          <a:endParaRPr lang="en-US"/>
        </a:p>
      </dgm:t>
    </dgm:pt>
    <dgm:pt modelId="{AEEB3E94-0BEC-4E1E-BA08-D292D6D16B7B}" type="pres">
      <dgm:prSet presAssocID="{4C587A56-92A8-488B-A3E3-AE93EA52967B}" presName="level3hierChild" presStyleCnt="0"/>
      <dgm:spPr/>
    </dgm:pt>
    <dgm:pt modelId="{B2FD93C0-0CEE-4F85-8FEA-4409EF8E0586}" type="pres">
      <dgm:prSet presAssocID="{5A8A2F01-E752-4666-8ACE-48AE3452F05B}" presName="conn2-1" presStyleLbl="parChTrans1D3" presStyleIdx="11" presStyleCnt="16"/>
      <dgm:spPr/>
      <dgm:t>
        <a:bodyPr/>
        <a:lstStyle/>
        <a:p>
          <a:endParaRPr lang="en-US"/>
        </a:p>
      </dgm:t>
    </dgm:pt>
    <dgm:pt modelId="{FA5AD650-1A60-45FF-85CE-51850C598D27}" type="pres">
      <dgm:prSet presAssocID="{5A8A2F01-E752-4666-8ACE-48AE3452F05B}" presName="connTx" presStyleLbl="parChTrans1D3" presStyleIdx="11" presStyleCnt="16"/>
      <dgm:spPr/>
      <dgm:t>
        <a:bodyPr/>
        <a:lstStyle/>
        <a:p>
          <a:endParaRPr lang="en-US"/>
        </a:p>
      </dgm:t>
    </dgm:pt>
    <dgm:pt modelId="{C396C53A-7856-4CE0-9B7A-A685CDB76AA7}" type="pres">
      <dgm:prSet presAssocID="{B93DC219-CB0A-4952-8F5B-9C646A54321C}" presName="root2" presStyleCnt="0"/>
      <dgm:spPr/>
    </dgm:pt>
    <dgm:pt modelId="{24EA228F-88DF-475C-8F54-F5AF3886E1D2}" type="pres">
      <dgm:prSet presAssocID="{B93DC219-CB0A-4952-8F5B-9C646A54321C}" presName="LevelTwoTextNode" presStyleLbl="node3" presStyleIdx="11" presStyleCnt="16">
        <dgm:presLayoutVars>
          <dgm:chPref val="3"/>
        </dgm:presLayoutVars>
      </dgm:prSet>
      <dgm:spPr/>
      <dgm:t>
        <a:bodyPr/>
        <a:lstStyle/>
        <a:p>
          <a:endParaRPr lang="en-US"/>
        </a:p>
      </dgm:t>
    </dgm:pt>
    <dgm:pt modelId="{9E773CD7-2FE8-4C34-9498-AF1F818D48B4}" type="pres">
      <dgm:prSet presAssocID="{B93DC219-CB0A-4952-8F5B-9C646A54321C}" presName="level3hierChild" presStyleCnt="0"/>
      <dgm:spPr/>
    </dgm:pt>
    <dgm:pt modelId="{E765730B-192B-48AA-9A43-D2E8537384B8}" type="pres">
      <dgm:prSet presAssocID="{FCC6BDA9-DF0E-4194-8E96-321E3AC2981B}" presName="conn2-1" presStyleLbl="parChTrans1D3" presStyleIdx="12" presStyleCnt="16"/>
      <dgm:spPr/>
      <dgm:t>
        <a:bodyPr/>
        <a:lstStyle/>
        <a:p>
          <a:endParaRPr lang="en-US"/>
        </a:p>
      </dgm:t>
    </dgm:pt>
    <dgm:pt modelId="{59FD6AAA-B8E7-4EC5-A0BB-D267AC8D8422}" type="pres">
      <dgm:prSet presAssocID="{FCC6BDA9-DF0E-4194-8E96-321E3AC2981B}" presName="connTx" presStyleLbl="parChTrans1D3" presStyleIdx="12" presStyleCnt="16"/>
      <dgm:spPr/>
      <dgm:t>
        <a:bodyPr/>
        <a:lstStyle/>
        <a:p>
          <a:endParaRPr lang="en-US"/>
        </a:p>
      </dgm:t>
    </dgm:pt>
    <dgm:pt modelId="{8E286ECA-91EC-4F24-A190-A1C63A2B00AE}" type="pres">
      <dgm:prSet presAssocID="{266B3302-833B-4251-A06F-951ADF743ACD}" presName="root2" presStyleCnt="0"/>
      <dgm:spPr/>
    </dgm:pt>
    <dgm:pt modelId="{BEA99061-401A-493A-8C34-1D4B7B0E4897}" type="pres">
      <dgm:prSet presAssocID="{266B3302-833B-4251-A06F-951ADF743ACD}" presName="LevelTwoTextNode" presStyleLbl="node3" presStyleIdx="12" presStyleCnt="16">
        <dgm:presLayoutVars>
          <dgm:chPref val="3"/>
        </dgm:presLayoutVars>
      </dgm:prSet>
      <dgm:spPr/>
      <dgm:t>
        <a:bodyPr/>
        <a:lstStyle/>
        <a:p>
          <a:endParaRPr lang="en-US"/>
        </a:p>
      </dgm:t>
    </dgm:pt>
    <dgm:pt modelId="{25890785-CF88-415E-9457-76B96654B1D8}" type="pres">
      <dgm:prSet presAssocID="{266B3302-833B-4251-A06F-951ADF743ACD}" presName="level3hierChild" presStyleCnt="0"/>
      <dgm:spPr/>
    </dgm:pt>
    <dgm:pt modelId="{FD7EE649-A782-42E5-A6E8-681838E69DEA}" type="pres">
      <dgm:prSet presAssocID="{A1BBB9AA-BF82-4CC7-B575-E8D0CACAE178}" presName="conn2-1" presStyleLbl="parChTrans1D3" presStyleIdx="13" presStyleCnt="16"/>
      <dgm:spPr/>
      <dgm:t>
        <a:bodyPr/>
        <a:lstStyle/>
        <a:p>
          <a:endParaRPr lang="en-US"/>
        </a:p>
      </dgm:t>
    </dgm:pt>
    <dgm:pt modelId="{1450D465-4FED-4032-AB41-F50F04C3AAE6}" type="pres">
      <dgm:prSet presAssocID="{A1BBB9AA-BF82-4CC7-B575-E8D0CACAE178}" presName="connTx" presStyleLbl="parChTrans1D3" presStyleIdx="13" presStyleCnt="16"/>
      <dgm:spPr/>
      <dgm:t>
        <a:bodyPr/>
        <a:lstStyle/>
        <a:p>
          <a:endParaRPr lang="en-US"/>
        </a:p>
      </dgm:t>
    </dgm:pt>
    <dgm:pt modelId="{D012EFB5-B46D-4B8F-A964-8584CA3FC31F}" type="pres">
      <dgm:prSet presAssocID="{BF126468-FE6F-4666-882D-2EDA0E02EE78}" presName="root2" presStyleCnt="0"/>
      <dgm:spPr/>
    </dgm:pt>
    <dgm:pt modelId="{8D7B3A9F-81C5-4593-97C6-4923D1F1D6FA}" type="pres">
      <dgm:prSet presAssocID="{BF126468-FE6F-4666-882D-2EDA0E02EE78}" presName="LevelTwoTextNode" presStyleLbl="node3" presStyleIdx="13" presStyleCnt="16">
        <dgm:presLayoutVars>
          <dgm:chPref val="3"/>
        </dgm:presLayoutVars>
      </dgm:prSet>
      <dgm:spPr/>
      <dgm:t>
        <a:bodyPr/>
        <a:lstStyle/>
        <a:p>
          <a:endParaRPr lang="en-US"/>
        </a:p>
      </dgm:t>
    </dgm:pt>
    <dgm:pt modelId="{CAB46D95-06AA-42F6-AEE9-0BE2C1912463}" type="pres">
      <dgm:prSet presAssocID="{BF126468-FE6F-4666-882D-2EDA0E02EE78}" presName="level3hierChild" presStyleCnt="0"/>
      <dgm:spPr/>
    </dgm:pt>
    <dgm:pt modelId="{F7C0573F-3EF2-44F9-A184-10ED1A6B8DF0}" type="pres">
      <dgm:prSet presAssocID="{67504915-FCBE-4E41-B8AB-AC2CAB0AE080}" presName="conn2-1" presStyleLbl="parChTrans1D3" presStyleIdx="14" presStyleCnt="16"/>
      <dgm:spPr/>
      <dgm:t>
        <a:bodyPr/>
        <a:lstStyle/>
        <a:p>
          <a:endParaRPr lang="en-US"/>
        </a:p>
      </dgm:t>
    </dgm:pt>
    <dgm:pt modelId="{99E6ED08-97F0-4C94-929A-62E538FB8444}" type="pres">
      <dgm:prSet presAssocID="{67504915-FCBE-4E41-B8AB-AC2CAB0AE080}" presName="connTx" presStyleLbl="parChTrans1D3" presStyleIdx="14" presStyleCnt="16"/>
      <dgm:spPr/>
      <dgm:t>
        <a:bodyPr/>
        <a:lstStyle/>
        <a:p>
          <a:endParaRPr lang="en-US"/>
        </a:p>
      </dgm:t>
    </dgm:pt>
    <dgm:pt modelId="{3B2A7CD5-50B9-401F-9BAE-306002B4B349}" type="pres">
      <dgm:prSet presAssocID="{E48F9C72-34F6-4AE0-A68E-EE690BE44725}" presName="root2" presStyleCnt="0"/>
      <dgm:spPr/>
    </dgm:pt>
    <dgm:pt modelId="{BE3313FD-BAD8-4088-AAFB-F0B04E1F263E}" type="pres">
      <dgm:prSet presAssocID="{E48F9C72-34F6-4AE0-A68E-EE690BE44725}" presName="LevelTwoTextNode" presStyleLbl="node3" presStyleIdx="14" presStyleCnt="16">
        <dgm:presLayoutVars>
          <dgm:chPref val="3"/>
        </dgm:presLayoutVars>
      </dgm:prSet>
      <dgm:spPr/>
      <dgm:t>
        <a:bodyPr/>
        <a:lstStyle/>
        <a:p>
          <a:endParaRPr lang="en-US"/>
        </a:p>
      </dgm:t>
    </dgm:pt>
    <dgm:pt modelId="{8AAD0A5D-6BB9-4749-80DC-0C84C7D5D4BD}" type="pres">
      <dgm:prSet presAssocID="{E48F9C72-34F6-4AE0-A68E-EE690BE44725}" presName="level3hierChild" presStyleCnt="0"/>
      <dgm:spPr/>
    </dgm:pt>
    <dgm:pt modelId="{8D65C71A-8B87-4B30-8B1D-C811FE6C3ABC}" type="pres">
      <dgm:prSet presAssocID="{D8E57F8B-6DEF-4C2A-95E4-C6391701B545}" presName="conn2-1" presStyleLbl="parChTrans1D3" presStyleIdx="15" presStyleCnt="16"/>
      <dgm:spPr/>
      <dgm:t>
        <a:bodyPr/>
        <a:lstStyle/>
        <a:p>
          <a:endParaRPr lang="en-US"/>
        </a:p>
      </dgm:t>
    </dgm:pt>
    <dgm:pt modelId="{DE8D2761-E2DF-408C-9D41-C0C35CC01717}" type="pres">
      <dgm:prSet presAssocID="{D8E57F8B-6DEF-4C2A-95E4-C6391701B545}" presName="connTx" presStyleLbl="parChTrans1D3" presStyleIdx="15" presStyleCnt="16"/>
      <dgm:spPr/>
      <dgm:t>
        <a:bodyPr/>
        <a:lstStyle/>
        <a:p>
          <a:endParaRPr lang="en-US"/>
        </a:p>
      </dgm:t>
    </dgm:pt>
    <dgm:pt modelId="{BE4629FE-F7D5-42CB-99B9-6F0206757C74}" type="pres">
      <dgm:prSet presAssocID="{ADFB3AA6-B034-4439-BA2B-608E3AAA9B4A}" presName="root2" presStyleCnt="0"/>
      <dgm:spPr/>
    </dgm:pt>
    <dgm:pt modelId="{20FBE340-34D8-4366-A912-C02DF4120926}" type="pres">
      <dgm:prSet presAssocID="{ADFB3AA6-B034-4439-BA2B-608E3AAA9B4A}" presName="LevelTwoTextNode" presStyleLbl="node3" presStyleIdx="15" presStyleCnt="16">
        <dgm:presLayoutVars>
          <dgm:chPref val="3"/>
        </dgm:presLayoutVars>
      </dgm:prSet>
      <dgm:spPr/>
      <dgm:t>
        <a:bodyPr/>
        <a:lstStyle/>
        <a:p>
          <a:endParaRPr lang="en-US"/>
        </a:p>
      </dgm:t>
    </dgm:pt>
    <dgm:pt modelId="{ED7B6698-1850-4E8D-9807-3B056E3BC85E}" type="pres">
      <dgm:prSet presAssocID="{ADFB3AA6-B034-4439-BA2B-608E3AAA9B4A}" presName="level3hierChild" presStyleCnt="0"/>
      <dgm:spPr/>
    </dgm:pt>
  </dgm:ptLst>
  <dgm:cxnLst>
    <dgm:cxn modelId="{2C1B6C4F-0ED5-4F0A-BFE4-8C31370A9E77}" type="presOf" srcId="{C6C4EFD4-2A8C-4BEC-B495-C13773328220}" destId="{ABFF5B00-14F4-45AC-9399-327B2A5AD75F}" srcOrd="0" destOrd="0" presId="urn:microsoft.com/office/officeart/2008/layout/HorizontalMultiLevelHierarchy"/>
    <dgm:cxn modelId="{87534A84-985C-4015-B3F8-DF1211C6E7F4}" type="presOf" srcId="{67504915-FCBE-4E41-B8AB-AC2CAB0AE080}" destId="{99E6ED08-97F0-4C94-929A-62E538FB8444}" srcOrd="1" destOrd="0" presId="urn:microsoft.com/office/officeart/2008/layout/HorizontalMultiLevelHierarchy"/>
    <dgm:cxn modelId="{1B57F7FC-5468-45B3-BE18-A8F2A98B5846}" type="presOf" srcId="{D8E57F8B-6DEF-4C2A-95E4-C6391701B545}" destId="{8D65C71A-8B87-4B30-8B1D-C811FE6C3ABC}" srcOrd="0" destOrd="0" presId="urn:microsoft.com/office/officeart/2008/layout/HorizontalMultiLevelHierarchy"/>
    <dgm:cxn modelId="{C148B328-81B4-4962-BADC-36492D684C6E}" type="presOf" srcId="{2A2EDF56-0B9D-4327-B629-C691AB1B7DE8}" destId="{42BFFA29-5CAE-4F2A-A66D-4B7C0DA01D6E}" srcOrd="1" destOrd="0" presId="urn:microsoft.com/office/officeart/2008/layout/HorizontalMultiLevelHierarchy"/>
    <dgm:cxn modelId="{E6EB3F4D-7519-431D-9DF4-FBB2F2CCECCC}" srcId="{D5ED9738-F1CA-42AC-89D5-65500BEE3CBA}" destId="{7C8EE1C2-FC0E-45F8-BF4E-01C942FDBF6E}" srcOrd="2" destOrd="0" parTransId="{1785A38B-6CBA-4B47-A265-15D44EEDB3CF}" sibTransId="{6642B168-3454-4F4D-9518-3621D4D2DCA2}"/>
    <dgm:cxn modelId="{72DB141E-A836-4A82-AA9C-EB4017FEF76F}" type="presOf" srcId="{711AF34C-8672-4B89-A34E-6ECDD87F76DD}" destId="{69ADE0B3-23D9-45C8-8083-391380D5C922}" srcOrd="0" destOrd="0" presId="urn:microsoft.com/office/officeart/2008/layout/HorizontalMultiLevelHierarchy"/>
    <dgm:cxn modelId="{E0B0EFA7-0C62-4EE7-A25C-6C51186A3959}" type="presOf" srcId="{E2DF1D0E-99B1-4369-9C0A-20B0496B9501}" destId="{B8C30223-CD07-4F77-9992-B199C72F40F6}" srcOrd="1" destOrd="0" presId="urn:microsoft.com/office/officeart/2008/layout/HorizontalMultiLevelHierarchy"/>
    <dgm:cxn modelId="{6400B1B6-A7A9-4479-B0AA-CDF21FDED1FB}" type="presOf" srcId="{E48F9C72-34F6-4AE0-A68E-EE690BE44725}" destId="{BE3313FD-BAD8-4088-AAFB-F0B04E1F263E}" srcOrd="0" destOrd="0" presId="urn:microsoft.com/office/officeart/2008/layout/HorizontalMultiLevelHierarchy"/>
    <dgm:cxn modelId="{5DFAE999-1F48-43FF-88A1-1034DECDD8FE}" srcId="{D5ED9738-F1CA-42AC-89D5-65500BEE3CBA}" destId="{885D455B-C94F-41AB-BB2C-1AB97DBDC0DB}" srcOrd="4" destOrd="0" parTransId="{5695808F-3F35-4CDB-82B9-0D65F7D94BFB}" sibTransId="{F38C263A-4319-43BF-9021-A9F5B4E12912}"/>
    <dgm:cxn modelId="{19963A97-1070-4691-9D12-4BA19C6D3B9C}" type="presOf" srcId="{5FFD69C3-227F-473E-BB70-1ABD0961EF3D}" destId="{F1C18595-E8CF-42F3-8673-8A84664325E0}" srcOrd="0" destOrd="0" presId="urn:microsoft.com/office/officeart/2008/layout/HorizontalMultiLevelHierarchy"/>
    <dgm:cxn modelId="{F25DE5FD-AA6A-4E48-A9DA-48D01752A06D}" srcId="{1ED4D2C5-949D-49F7-B839-8ED675DD0790}" destId="{962AFFD5-9BF9-4507-97A8-DD986A8681DF}" srcOrd="0" destOrd="0" parTransId="{B62742B6-5960-49BF-A993-914618C8B9DD}" sibTransId="{2C393E7B-9C54-4555-A107-643A5729366F}"/>
    <dgm:cxn modelId="{4179AC7E-E1BB-47A4-806A-573D96B559C6}" srcId="{5FFD69C3-227F-473E-BB70-1ABD0961EF3D}" destId="{0ECDE406-D71B-4B1F-8B4D-FCFFF1D90338}" srcOrd="0" destOrd="0" parTransId="{F6582F16-D3FA-4121-832D-D69CBCF2A97C}" sibTransId="{5E332240-8A47-4EE3-9974-C024F2A897F7}"/>
    <dgm:cxn modelId="{207EB5A7-5F42-41F5-9486-BE4D4CCD65A8}" type="presOf" srcId="{BF2A27EE-B6C5-42DA-A117-B47921D1FB68}" destId="{9F0A044E-1B00-4C16-A13F-0F29630AB07A}" srcOrd="1" destOrd="0" presId="urn:microsoft.com/office/officeart/2008/layout/HorizontalMultiLevelHierarchy"/>
    <dgm:cxn modelId="{50543A17-B8CA-4382-ABD7-6EB30A4D9085}" srcId="{3B98F0A1-A017-470B-84DF-6FCCC0A2CB11}" destId="{4C587A56-92A8-488B-A3E3-AE93EA52967B}" srcOrd="0" destOrd="0" parTransId="{2A2EDF56-0B9D-4327-B629-C691AB1B7DE8}" sibTransId="{5AD76363-2F39-4C8C-9957-32B0D978FCEA}"/>
    <dgm:cxn modelId="{24837360-4653-4660-B439-D17E6BACC728}" type="presOf" srcId="{3B98F0A1-A017-470B-84DF-6FCCC0A2CB11}" destId="{79AA76A7-48EB-4AD6-950A-F4CBF77D1A3B}" srcOrd="0" destOrd="0" presId="urn:microsoft.com/office/officeart/2008/layout/HorizontalMultiLevelHierarchy"/>
    <dgm:cxn modelId="{2BD8B406-0921-47EC-BA08-676A36B9D532}" type="presOf" srcId="{FCC6BDA9-DF0E-4194-8E96-321E3AC2981B}" destId="{E765730B-192B-48AA-9A43-D2E8537384B8}" srcOrd="0" destOrd="0" presId="urn:microsoft.com/office/officeart/2008/layout/HorizontalMultiLevelHierarchy"/>
    <dgm:cxn modelId="{51317718-AB0E-4B97-8AEC-10869E4AC173}" type="presOf" srcId="{A4BFCA7F-9C99-4A76-BAC3-08189FE8E862}" destId="{F02F1A60-BE9E-4572-88B6-C84544E2376F}" srcOrd="0" destOrd="0" presId="urn:microsoft.com/office/officeart/2008/layout/HorizontalMultiLevelHierarchy"/>
    <dgm:cxn modelId="{96862A61-4817-464A-BF3B-882CAC117F84}" type="presOf" srcId="{1BF72304-5769-4FC9-B2C5-179D7AA7E7A1}" destId="{766E7435-C9E8-45E5-AEC3-684BD42FA880}" srcOrd="0" destOrd="0" presId="urn:microsoft.com/office/officeart/2008/layout/HorizontalMultiLevelHierarchy"/>
    <dgm:cxn modelId="{4820C046-9CC4-4FB7-B979-07AAAB7FA7E4}" srcId="{D5ED9738-F1CA-42AC-89D5-65500BEE3CBA}" destId="{086B6914-94B6-4172-A155-6DCCD8A7B416}" srcOrd="3" destOrd="0" parTransId="{FEA9EB22-E14B-401A-80D2-6D310F673EAD}" sibTransId="{BFAD1793-ED2D-4381-9E15-D08CE86C21B9}"/>
    <dgm:cxn modelId="{24FA99EF-E26E-4A89-A872-BBBF1D30038B}" type="presOf" srcId="{240C2DB2-2684-4F3F-9B61-C6C8311AE5D2}" destId="{A40AD3AB-4C4C-4163-A40E-5D9267A7CDB9}" srcOrd="1" destOrd="0" presId="urn:microsoft.com/office/officeart/2008/layout/HorizontalMultiLevelHierarchy"/>
    <dgm:cxn modelId="{7B9E89DD-9000-4BD0-92DE-CFE7F4775889}" type="presOf" srcId="{91CA7EAD-2371-42FC-94B6-4C1885B6D1EB}" destId="{82FCC3C7-1F39-4C45-B614-8259411554F8}" srcOrd="0" destOrd="0" presId="urn:microsoft.com/office/officeart/2008/layout/HorizontalMultiLevelHierarchy"/>
    <dgm:cxn modelId="{78AD631D-AE36-4897-88EA-7777FAB80219}" srcId="{3B98F0A1-A017-470B-84DF-6FCCC0A2CB11}" destId="{266B3302-833B-4251-A06F-951ADF743ACD}" srcOrd="2" destOrd="0" parTransId="{FCC6BDA9-DF0E-4194-8E96-321E3AC2981B}" sibTransId="{7A5F3B1A-7A98-404F-99CE-55EAB0718D63}"/>
    <dgm:cxn modelId="{8FC49A5B-4C8A-4173-8719-125C6CA1157C}" type="presOf" srcId="{5695808F-3F35-4CDB-82B9-0D65F7D94BFB}" destId="{4CE6C1D5-285D-44A7-9E2E-314A67B1AA3C}" srcOrd="1" destOrd="0" presId="urn:microsoft.com/office/officeart/2008/layout/HorizontalMultiLevelHierarchy"/>
    <dgm:cxn modelId="{302AB98B-9391-4CDB-AFAF-306C6439D3C5}" type="presOf" srcId="{9DAB4C4E-2A9D-460A-B101-2BFF78AEFA06}" destId="{7E25AA2A-9575-447C-B76B-10361C5A132B}" srcOrd="1" destOrd="0" presId="urn:microsoft.com/office/officeart/2008/layout/HorizontalMultiLevelHierarchy"/>
    <dgm:cxn modelId="{FC054C79-FF2D-48DE-B4F8-40C7308A0E71}" type="presOf" srcId="{37FDA1B5-C8B9-4AE8-84A8-E9F72027F3B6}" destId="{A71C8AA4-1146-4339-834B-12500E79B611}" srcOrd="0" destOrd="0" presId="urn:microsoft.com/office/officeart/2008/layout/HorizontalMultiLevelHierarchy"/>
    <dgm:cxn modelId="{EF68378F-3453-475B-BE02-07033BF30F2D}" srcId="{2B5B2DAD-BBD1-475D-81F6-19B160623DF2}" destId="{3B98F0A1-A017-470B-84DF-6FCCC0A2CB11}" srcOrd="3" destOrd="0" parTransId="{240C2DB2-2684-4F3F-9B61-C6C8311AE5D2}" sibTransId="{66BFC191-46B5-4AF9-B678-3E0624620AFD}"/>
    <dgm:cxn modelId="{504F70DC-9570-4086-A1AB-054C50CF6196}" type="presOf" srcId="{F698622B-8609-4FF0-BF00-728515DC24E2}" destId="{2BB92C48-DACA-46C4-B4B3-93F610BE3334}" srcOrd="0" destOrd="0" presId="urn:microsoft.com/office/officeart/2008/layout/HorizontalMultiLevelHierarchy"/>
    <dgm:cxn modelId="{95035888-1DDF-4C24-B2D6-D05D4D5A1E05}" srcId="{3B98F0A1-A017-470B-84DF-6FCCC0A2CB11}" destId="{ADFB3AA6-B034-4439-BA2B-608E3AAA9B4A}" srcOrd="5" destOrd="0" parTransId="{D8E57F8B-6DEF-4C2A-95E4-C6391701B545}" sibTransId="{FDE3503F-3DAF-4586-B840-6998FD2E0624}"/>
    <dgm:cxn modelId="{83BB72BB-69E8-49B2-BBCA-298E979A3760}" srcId="{95206552-982F-446B-83BA-C213F9BDA092}" destId="{9DC28628-B493-45FE-AF44-996FEFE21A6C}" srcOrd="0" destOrd="0" parTransId="{9DAB4C4E-2A9D-460A-B101-2BFF78AEFA06}" sibTransId="{D5C9E463-66B2-4554-9146-52FE4725DC6D}"/>
    <dgm:cxn modelId="{81C646F2-50D3-4370-9062-3600D9BBDA65}" type="presOf" srcId="{91CA7EAD-2371-42FC-94B6-4C1885B6D1EB}" destId="{BF8AD29E-33C9-4749-B20B-43222068D5E6}" srcOrd="1" destOrd="0" presId="urn:microsoft.com/office/officeart/2008/layout/HorizontalMultiLevelHierarchy"/>
    <dgm:cxn modelId="{3268B86A-1EBA-4F5E-92E4-1698DA22AEB2}" type="presOf" srcId="{086B6914-94B6-4172-A155-6DCCD8A7B416}" destId="{A20E0980-283B-4FC5-A60C-B13E4804FB8A}" srcOrd="0" destOrd="0" presId="urn:microsoft.com/office/officeart/2008/layout/HorizontalMultiLevelHierarchy"/>
    <dgm:cxn modelId="{3CFC7DEA-8866-47F7-93D1-AADAB3FBED90}" type="presOf" srcId="{F0B0607F-EC83-4F97-A7B4-C23F3E72D401}" destId="{A4F5934C-A0BA-46E0-836A-98417E325588}" srcOrd="0" destOrd="0" presId="urn:microsoft.com/office/officeart/2008/layout/HorizontalMultiLevelHierarchy"/>
    <dgm:cxn modelId="{A9EF2B93-1D3D-47A0-B7EB-BAD784F982C5}" type="presOf" srcId="{A1BBB9AA-BF82-4CC7-B575-E8D0CACAE178}" destId="{FD7EE649-A782-42E5-A6E8-681838E69DEA}" srcOrd="0" destOrd="0" presId="urn:microsoft.com/office/officeart/2008/layout/HorizontalMultiLevelHierarchy"/>
    <dgm:cxn modelId="{9DF43692-4DF0-40BA-AA5C-63B68B7244FC}" type="presOf" srcId="{BF2A27EE-B6C5-42DA-A117-B47921D1FB68}" destId="{5C7B04CF-1119-4864-8DF3-7A00901947AF}" srcOrd="0" destOrd="0" presId="urn:microsoft.com/office/officeart/2008/layout/HorizontalMultiLevelHierarchy"/>
    <dgm:cxn modelId="{E598B535-924D-41E9-88AF-E15A9D03E4D1}" srcId="{3B98F0A1-A017-470B-84DF-6FCCC0A2CB11}" destId="{E48F9C72-34F6-4AE0-A68E-EE690BE44725}" srcOrd="4" destOrd="0" parTransId="{67504915-FCBE-4E41-B8AB-AC2CAB0AE080}" sibTransId="{C1B8957B-039D-493F-8E5B-1FB2E33B72A8}"/>
    <dgm:cxn modelId="{1F8FA7B6-1189-420C-8BAB-26692D7EDA84}" type="presOf" srcId="{545F3543-9765-4EC9-BD60-ACD605245BAB}" destId="{695F4CA7-FFD7-45FA-9D59-6B6A436AB684}" srcOrd="1" destOrd="0" presId="urn:microsoft.com/office/officeart/2008/layout/HorizontalMultiLevelHierarchy"/>
    <dgm:cxn modelId="{B34B6625-1CBE-4CD0-BB8C-7D25C4403BAB}" type="presOf" srcId="{240C2DB2-2684-4F3F-9B61-C6C8311AE5D2}" destId="{17AFFF27-F117-4E63-BF1C-AE2F5EDE5A6E}" srcOrd="0" destOrd="0" presId="urn:microsoft.com/office/officeart/2008/layout/HorizontalMultiLevelHierarchy"/>
    <dgm:cxn modelId="{EF629830-1E36-4C24-B5D2-E7B5DE6A2250}" type="presOf" srcId="{2E9A67AE-1BA5-4ED0-9F0D-3FDFC8C7DCB4}" destId="{E302A2B1-2FCE-4598-9650-5C08F85B1C92}" srcOrd="0" destOrd="0" presId="urn:microsoft.com/office/officeart/2008/layout/HorizontalMultiLevelHierarchy"/>
    <dgm:cxn modelId="{4129463D-2211-46B4-BA4B-07621ADDE1AC}" type="presOf" srcId="{ADFB3AA6-B034-4439-BA2B-608E3AAA9B4A}" destId="{20FBE340-34D8-4366-A912-C02DF4120926}" srcOrd="0" destOrd="0" presId="urn:microsoft.com/office/officeart/2008/layout/HorizontalMultiLevelHierarchy"/>
    <dgm:cxn modelId="{C39A34B8-C97C-419D-90E9-CA637B829B8E}" type="presOf" srcId="{74DB6C90-2295-4E66-A4B6-948FFF7618B7}" destId="{4F42E423-58F7-4205-8DCF-F7AFB91B4B76}" srcOrd="1" destOrd="0" presId="urn:microsoft.com/office/officeart/2008/layout/HorizontalMultiLevelHierarchy"/>
    <dgm:cxn modelId="{495D8180-2338-44A1-964C-9C6BB030BE8C}" type="presOf" srcId="{FA2AADBE-D2A9-4659-84CB-5DFBCF2D7DB2}" destId="{FAEC942F-2956-4D8D-A774-7AB581E2FF9F}" srcOrd="1" destOrd="0" presId="urn:microsoft.com/office/officeart/2008/layout/HorizontalMultiLevelHierarchy"/>
    <dgm:cxn modelId="{DCFD6D90-341A-4EAC-80C9-58DA013A46B9}" type="presOf" srcId="{CC840E1F-47EA-4470-AC63-1C65A005625B}" destId="{AFC23C23-4876-46BA-8CA9-B277B78C4288}" srcOrd="0" destOrd="0" presId="urn:microsoft.com/office/officeart/2008/layout/HorizontalMultiLevelHierarchy"/>
    <dgm:cxn modelId="{E5166B0E-2823-40A7-AF56-362B9245D415}" type="presOf" srcId="{88F79B71-6EFD-4A87-B4A7-C3EBAF0F931A}" destId="{8C6105CE-82E6-4676-861F-DFD16E32D836}" srcOrd="0" destOrd="0" presId="urn:microsoft.com/office/officeart/2008/layout/HorizontalMultiLevelHierarchy"/>
    <dgm:cxn modelId="{87623BD4-FA78-480E-AC48-2E96998AABDF}" type="presOf" srcId="{2B0C82A5-4163-4749-8F87-6D4093BCE6C7}" destId="{1E06376C-0AE9-448F-8BA4-30614795E449}" srcOrd="0" destOrd="0" presId="urn:microsoft.com/office/officeart/2008/layout/HorizontalMultiLevelHierarchy"/>
    <dgm:cxn modelId="{A2FD4F6F-1ECE-48EA-96F8-EBB85513A136}" type="presOf" srcId="{70E188C2-E789-4311-8234-83D0B7FE1A9A}" destId="{1F1DF977-D653-480A-8F78-531567E596B3}" srcOrd="0" destOrd="0" presId="urn:microsoft.com/office/officeart/2008/layout/HorizontalMultiLevelHierarchy"/>
    <dgm:cxn modelId="{3AE0D8C7-90A7-427B-AEDC-4ABAC105C325}" type="presOf" srcId="{A03AC34A-EC47-4B3F-9870-1ED3063C54F7}" destId="{45EA05E5-7550-4699-BC10-BB9B6587FFCD}" srcOrd="0" destOrd="0" presId="urn:microsoft.com/office/officeart/2008/layout/HorizontalMultiLevelHierarchy"/>
    <dgm:cxn modelId="{CC5C977C-F9ED-42CC-BA09-85C253212694}" srcId="{D5ED9738-F1CA-42AC-89D5-65500BEE3CBA}" destId="{88F79B71-6EFD-4A87-B4A7-C3EBAF0F931A}" srcOrd="1" destOrd="0" parTransId="{545F3543-9765-4EC9-BD60-ACD605245BAB}" sibTransId="{A2737376-0449-4D50-B3FE-926EEC345C8E}"/>
    <dgm:cxn modelId="{4F8E6663-8311-4418-AF67-22F254F5AB75}" srcId="{3B98F0A1-A017-470B-84DF-6FCCC0A2CB11}" destId="{BF126468-FE6F-4666-882D-2EDA0E02EE78}" srcOrd="3" destOrd="0" parTransId="{A1BBB9AA-BF82-4CC7-B575-E8D0CACAE178}" sibTransId="{47562D0C-C5A1-4111-97FF-73EBC6BBC556}"/>
    <dgm:cxn modelId="{13FABE29-A9C5-4AE9-94CC-BC683BA56151}" type="presOf" srcId="{FCC6BDA9-DF0E-4194-8E96-321E3AC2981B}" destId="{59FD6AAA-B8E7-4EC5-A0BB-D267AC8D8422}" srcOrd="1" destOrd="0" presId="urn:microsoft.com/office/officeart/2008/layout/HorizontalMultiLevelHierarchy"/>
    <dgm:cxn modelId="{DF471B51-CF6F-41B1-915F-1A9565CF63AA}" type="presOf" srcId="{4EC6BD36-E67F-4A22-818D-1B5C98397792}" destId="{06C0F108-6B83-4DF9-96EF-147EECC0C428}" srcOrd="0" destOrd="0" presId="urn:microsoft.com/office/officeart/2008/layout/HorizontalMultiLevelHierarchy"/>
    <dgm:cxn modelId="{DEF9E1EC-0EE0-47EF-8A5E-1942B5BA0C1E}" type="presOf" srcId="{B62742B6-5960-49BF-A993-914618C8B9DD}" destId="{66EB670A-A3D3-4AED-BE55-01009632A087}" srcOrd="1" destOrd="0" presId="urn:microsoft.com/office/officeart/2008/layout/HorizontalMultiLevelHierarchy"/>
    <dgm:cxn modelId="{7DA6FD1D-CD4B-4677-8C97-4A72B9932AC0}" type="presOf" srcId="{545F3543-9765-4EC9-BD60-ACD605245BAB}" destId="{37092B0F-AE81-4EAE-8566-C5D661DDF83D}" srcOrd="0" destOrd="0" presId="urn:microsoft.com/office/officeart/2008/layout/HorizontalMultiLevelHierarchy"/>
    <dgm:cxn modelId="{B5A35369-3352-4B26-AD71-AB75EF01C3C3}" type="presOf" srcId="{63A87937-0644-4344-A76C-D9FA4842BEC7}" destId="{8FA41064-1F38-4181-8A8C-8B258F4FDA34}" srcOrd="1" destOrd="0" presId="urn:microsoft.com/office/officeart/2008/layout/HorizontalMultiLevelHierarchy"/>
    <dgm:cxn modelId="{13643056-0D41-45AB-962A-1B0C0BEAA5DB}" type="presOf" srcId="{188FA502-5489-4C3D-A5ED-67144A7F2088}" destId="{ACD85488-53CD-413C-9470-9F6B8CE84EE7}" srcOrd="0" destOrd="0" presId="urn:microsoft.com/office/officeart/2008/layout/HorizontalMultiLevelHierarchy"/>
    <dgm:cxn modelId="{5AFF60DC-5ECD-45DC-813C-0B159BAE2536}" type="presOf" srcId="{26318AE5-7D61-49B8-BCA0-7195DEAA5560}" destId="{40727A20-1BEC-4C8E-9121-8CBBA5ABBA59}" srcOrd="0" destOrd="0" presId="urn:microsoft.com/office/officeart/2008/layout/HorizontalMultiLevelHierarchy"/>
    <dgm:cxn modelId="{26CFBEE5-5B8C-488F-90FE-3AB766E15AAD}" type="presOf" srcId="{962AFFD5-9BF9-4507-97A8-DD986A8681DF}" destId="{F06085CA-20D0-41D5-9A3F-2757A8D17429}" srcOrd="0" destOrd="0" presId="urn:microsoft.com/office/officeart/2008/layout/HorizontalMultiLevelHierarchy"/>
    <dgm:cxn modelId="{3EE06214-272E-4BB7-9702-7305B844428F}" type="presOf" srcId="{9DC28628-B493-45FE-AF44-996FEFE21A6C}" destId="{2C2E50AF-9ACD-4299-95C5-94D75B963D92}" srcOrd="0" destOrd="0" presId="urn:microsoft.com/office/officeart/2008/layout/HorizontalMultiLevelHierarchy"/>
    <dgm:cxn modelId="{111D11C6-9F75-4D95-A908-AA4DC4A747EB}" type="presOf" srcId="{1785A38B-6CBA-4B47-A265-15D44EEDB3CF}" destId="{A5FDDB70-71C8-4934-93B0-D9FB37F11EB1}" srcOrd="0" destOrd="0" presId="urn:microsoft.com/office/officeart/2008/layout/HorizontalMultiLevelHierarchy"/>
    <dgm:cxn modelId="{0E1521FB-9EF2-4901-BE64-30963CEB36E8}" type="presOf" srcId="{6E33C606-BE53-4ACD-AB3B-38091EE67A6D}" destId="{FFC5E3D9-92C9-4A86-B49C-B8680391E47D}" srcOrd="0" destOrd="0" presId="urn:microsoft.com/office/officeart/2008/layout/HorizontalMultiLevelHierarchy"/>
    <dgm:cxn modelId="{55743115-B59A-4173-9462-34083FAA30A6}" type="presOf" srcId="{A03AC34A-EC47-4B3F-9870-1ED3063C54F7}" destId="{485C013D-610E-4132-9B74-63D335A302CD}" srcOrd="1" destOrd="0" presId="urn:microsoft.com/office/officeart/2008/layout/HorizontalMultiLevelHierarchy"/>
    <dgm:cxn modelId="{EFBBEBA9-4C8F-464A-8B72-C6A31DF517B0}" srcId="{885D455B-C94F-41AB-BB2C-1AB97DBDC0DB}" destId="{F698622B-8609-4FF0-BF00-728515DC24E2}" srcOrd="0" destOrd="0" parTransId="{CC840E1F-47EA-4470-AC63-1C65A005625B}" sibTransId="{1F0970E8-5F95-490F-BB49-EAC3DF31AF21}"/>
    <dgm:cxn modelId="{0FB78B4C-5A7D-447B-B3E5-49FA534A655D}" type="presOf" srcId="{D5ED9738-F1CA-42AC-89D5-65500BEE3CBA}" destId="{42F5F020-7E60-4D56-BC34-8479D1709571}" srcOrd="0" destOrd="0" presId="urn:microsoft.com/office/officeart/2008/layout/HorizontalMultiLevelHierarchy"/>
    <dgm:cxn modelId="{3C7AA8A0-4A6F-471F-A8C3-0DF3BD4DCA90}" srcId="{7C8EE1C2-FC0E-45F8-BF4E-01C942FDBF6E}" destId="{489A2344-B9C8-49BF-B7ED-8930119919FB}" srcOrd="1" destOrd="0" parTransId="{BF2A27EE-B6C5-42DA-A117-B47921D1FB68}" sibTransId="{9CD9BC91-2459-4C76-9CD7-D21311CD7B22}"/>
    <dgm:cxn modelId="{212A05E9-67AD-4AFA-A33C-F43A49F894F1}" type="presOf" srcId="{9DAB4C4E-2A9D-460A-B101-2BFF78AEFA06}" destId="{E8E1A99B-F730-48B4-AED3-B8E4FAC06270}" srcOrd="0" destOrd="0" presId="urn:microsoft.com/office/officeart/2008/layout/HorizontalMultiLevelHierarchy"/>
    <dgm:cxn modelId="{53ABF2E2-97B1-46B5-B91B-25E9D042C50E}" type="presOf" srcId="{266B3302-833B-4251-A06F-951ADF743ACD}" destId="{BEA99061-401A-493A-8C34-1D4B7B0E4897}" srcOrd="0" destOrd="0" presId="urn:microsoft.com/office/officeart/2008/layout/HorizontalMultiLevelHierarchy"/>
    <dgm:cxn modelId="{A41C20B0-92D2-4083-B677-044C9D281801}" type="presOf" srcId="{705C41BB-DB87-421D-B628-478F7C8B1288}" destId="{B4BE4968-4645-4EB4-99F4-E4574896ACEA}" srcOrd="0" destOrd="0" presId="urn:microsoft.com/office/officeart/2008/layout/HorizontalMultiLevelHierarchy"/>
    <dgm:cxn modelId="{B21BA21B-85A2-4A7F-8A01-4FFEBCD7FC76}" type="presOf" srcId="{2B0C82A5-4163-4749-8F87-6D4093BCE6C7}" destId="{52AF35B1-F50D-44AE-BE82-DDF078408F8B}" srcOrd="1" destOrd="0" presId="urn:microsoft.com/office/officeart/2008/layout/HorizontalMultiLevelHierarchy"/>
    <dgm:cxn modelId="{51C0B502-2241-42FB-8AEC-CC1782F65072}" type="presOf" srcId="{1ED4D2C5-949D-49F7-B839-8ED675DD0790}" destId="{BD362FF8-1DA2-4FAA-A12A-2DD45DA38926}" srcOrd="0" destOrd="0" presId="urn:microsoft.com/office/officeart/2008/layout/HorizontalMultiLevelHierarchy"/>
    <dgm:cxn modelId="{06E70135-5427-4A2B-BA55-6D4089AC5F37}" type="presOf" srcId="{9572C415-8EF2-41A1-9A2F-7DC3A6BE5BEA}" destId="{5283C906-0C24-443C-89F1-E912F2AF99BD}" srcOrd="0" destOrd="0" presId="urn:microsoft.com/office/officeart/2008/layout/HorizontalMultiLevelHierarchy"/>
    <dgm:cxn modelId="{0F1FBDFF-6304-41AB-AC10-072569998AC9}" srcId="{88F79B71-6EFD-4A87-B4A7-C3EBAF0F931A}" destId="{705C41BB-DB87-421D-B628-478F7C8B1288}" srcOrd="4" destOrd="0" parTransId="{EABCEC32-5360-42C9-96E8-0A65D7CD1E9E}" sibTransId="{60D869BA-470B-4F17-9DE7-79F825F97BD3}"/>
    <dgm:cxn modelId="{802EBD45-30F4-4B23-946F-186F34A6537A}" srcId="{D5ED9738-F1CA-42AC-89D5-65500BEE3CBA}" destId="{95206552-982F-446B-83BA-C213F9BDA092}" srcOrd="0" destOrd="0" parTransId="{FA2AADBE-D2A9-4659-84CB-5DFBCF2D7DB2}" sibTransId="{587DCE30-1893-4F91-818B-F26C8F5CB7BB}"/>
    <dgm:cxn modelId="{B54B2328-1F9C-4A7C-9EB3-868278FCC48D}" type="presOf" srcId="{CC840E1F-47EA-4470-AC63-1C65A005625B}" destId="{377974A2-2D02-4AAD-9471-6A6C5EE0CA5A}" srcOrd="1" destOrd="0" presId="urn:microsoft.com/office/officeart/2008/layout/HorizontalMultiLevelHierarchy"/>
    <dgm:cxn modelId="{02253C33-A684-4859-B28D-DAB0EB7786DE}" type="presOf" srcId="{B62742B6-5960-49BF-A993-914618C8B9DD}" destId="{899D67B7-5EAD-40DA-BA11-C40646F01A65}" srcOrd="0" destOrd="0" presId="urn:microsoft.com/office/officeart/2008/layout/HorizontalMultiLevelHierarchy"/>
    <dgm:cxn modelId="{3F7CBC5A-E7BF-4572-A3A3-678A7D6CEAD1}" type="presOf" srcId="{FEA9EB22-E14B-401A-80D2-6D310F673EAD}" destId="{70BB5A89-0A88-4333-AAB9-E760D3BAB196}" srcOrd="0" destOrd="0" presId="urn:microsoft.com/office/officeart/2008/layout/HorizontalMultiLevelHierarchy"/>
    <dgm:cxn modelId="{912D11EC-1D8E-439D-9B6F-B6F707B70089}" type="presOf" srcId="{FEA9EB22-E14B-401A-80D2-6D310F673EAD}" destId="{128ED0F1-E0DD-48E1-B843-69869FDBE90B}" srcOrd="1" destOrd="0" presId="urn:microsoft.com/office/officeart/2008/layout/HorizontalMultiLevelHierarchy"/>
    <dgm:cxn modelId="{8242EBDD-5CE1-46BF-ABF8-EB19F86650D1}" type="presOf" srcId="{26318AE5-7D61-49B8-BCA0-7195DEAA5560}" destId="{DCCC5B76-E40F-405E-AA0E-D80138735368}" srcOrd="1" destOrd="0" presId="urn:microsoft.com/office/officeart/2008/layout/HorizontalMultiLevelHierarchy"/>
    <dgm:cxn modelId="{BAE38FA6-1AEE-43FC-BF7B-68301A5D4D3B}" srcId="{88F79B71-6EFD-4A87-B4A7-C3EBAF0F931A}" destId="{62B13A55-2464-425A-9596-4FE2B41A1089}" srcOrd="0" destOrd="0" parTransId="{91CA7EAD-2371-42FC-94B6-4C1885B6D1EB}" sibTransId="{F7190748-BD58-41DC-AD44-F2E6021A0041}"/>
    <dgm:cxn modelId="{59C52F1E-B1CE-418C-9921-B5B2D2AABE9E}" srcId="{88F79B71-6EFD-4A87-B4A7-C3EBAF0F931A}" destId="{656DA2B2-98E1-4E64-981C-7328A0053CE2}" srcOrd="1" destOrd="0" parTransId="{26318AE5-7D61-49B8-BCA0-7195DEAA5560}" sibTransId="{56623553-2D9A-4A0E-B958-7D97523C223D}"/>
    <dgm:cxn modelId="{83C46CB5-74F7-488B-8C28-659460AF67CD}" type="presOf" srcId="{B93DC219-CB0A-4952-8F5B-9C646A54321C}" destId="{24EA228F-88DF-475C-8F54-F5AF3886E1D2}" srcOrd="0" destOrd="0" presId="urn:microsoft.com/office/officeart/2008/layout/HorizontalMultiLevelHierarchy"/>
    <dgm:cxn modelId="{98379843-3B9C-49FA-A39C-A594440894F6}" type="presOf" srcId="{09C8C97F-0C56-4640-A770-843A8D6F1270}" destId="{4E497AFB-E3EA-4CCA-8913-72E260560A47}" srcOrd="1" destOrd="0" presId="urn:microsoft.com/office/officeart/2008/layout/HorizontalMultiLevelHierarchy"/>
    <dgm:cxn modelId="{A10D4080-C530-43E9-993B-A16123B2D813}" type="presOf" srcId="{4C956974-1091-45C4-9C7B-0EF61053366B}" destId="{FA3713BA-A537-45F4-9C47-68D34E26C6BA}" srcOrd="0" destOrd="0" presId="urn:microsoft.com/office/officeart/2008/layout/HorizontalMultiLevelHierarchy"/>
    <dgm:cxn modelId="{EAF5F3A5-0FE7-4414-827D-097AED88CAFC}" type="presOf" srcId="{2E9A67AE-1BA5-4ED0-9F0D-3FDFC8C7DCB4}" destId="{FB75BB57-B50F-4546-81A5-857EC5D3819B}" srcOrd="1" destOrd="0" presId="urn:microsoft.com/office/officeart/2008/layout/HorizontalMultiLevelHierarchy"/>
    <dgm:cxn modelId="{D1FC24D7-5898-4702-915D-593315D5AF69}" type="presOf" srcId="{9572C415-8EF2-41A1-9A2F-7DC3A6BE5BEA}" destId="{6AC64068-AF00-400E-89B8-98FA0F040284}" srcOrd="1" destOrd="0" presId="urn:microsoft.com/office/officeart/2008/layout/HorizontalMultiLevelHierarchy"/>
    <dgm:cxn modelId="{02BB226D-8D4B-4D3A-8EE4-A98577A19FB7}" type="presOf" srcId="{67647BCF-91D4-469F-BA58-321C92A43FB0}" destId="{8235F5A7-455C-4ED1-A0D6-BA9386B7EBE6}" srcOrd="0" destOrd="0" presId="urn:microsoft.com/office/officeart/2008/layout/HorizontalMultiLevelHierarchy"/>
    <dgm:cxn modelId="{C72619DD-9091-44C8-A611-349D3F279D14}" type="presOf" srcId="{F6582F16-D3FA-4121-832D-D69CBCF2A97C}" destId="{ACC7EE9C-47C5-4882-B9F0-7AEFD80333A8}" srcOrd="0" destOrd="0" presId="urn:microsoft.com/office/officeart/2008/layout/HorizontalMultiLevelHierarchy"/>
    <dgm:cxn modelId="{A2EE93CA-2A79-490C-8B04-634A3547EB64}" type="presOf" srcId="{E601C36C-BEC3-4DD1-8A7B-B1687446166E}" destId="{E1FF08A6-9093-47CB-B0DE-C75DB04AAC04}" srcOrd="0" destOrd="0" presId="urn:microsoft.com/office/officeart/2008/layout/HorizontalMultiLevelHierarchy"/>
    <dgm:cxn modelId="{68C09875-FB43-4E6A-B6B7-8A6AEC94E05D}" type="presOf" srcId="{F6582F16-D3FA-4121-832D-D69CBCF2A97C}" destId="{0BA91806-3FB5-4C82-89D2-D267C6509D7B}" srcOrd="1" destOrd="0" presId="urn:microsoft.com/office/officeart/2008/layout/HorizontalMultiLevelHierarchy"/>
    <dgm:cxn modelId="{7DD6D390-958E-461D-AAC0-E8656B671C6E}" type="presOf" srcId="{70E188C2-E789-4311-8234-83D0B7FE1A9A}" destId="{F1C6A1A8-AB55-472F-AB6E-77B84B9D492A}" srcOrd="1" destOrd="0" presId="urn:microsoft.com/office/officeart/2008/layout/HorizontalMultiLevelHierarchy"/>
    <dgm:cxn modelId="{DFAF5169-1B40-4B33-8CA3-F9299D12ECE7}" srcId="{2B5B2DAD-BBD1-475D-81F6-19B160623DF2}" destId="{1ED4D2C5-949D-49F7-B839-8ED675DD0790}" srcOrd="1" destOrd="0" parTransId="{09C8C97F-0C56-4640-A770-843A8D6F1270}" sibTransId="{518DFB3B-B87C-4588-B362-2125061B117D}"/>
    <dgm:cxn modelId="{C4F22DB5-E5F2-4F18-BF7A-895ECD110409}" srcId="{FBF4766A-B47C-427F-918E-BDD73977DF7C}" destId="{C6C4EFD4-2A8C-4BEC-B495-C13773328220}" srcOrd="1" destOrd="0" parTransId="{F0B0607F-EC83-4F97-A7B4-C23F3E72D401}" sibTransId="{8188BB82-5DBF-4908-A921-53E8478E49CE}"/>
    <dgm:cxn modelId="{F1DD9BE5-6980-48C4-8B2A-3001B0235F89}" type="presOf" srcId="{BF126468-FE6F-4666-882D-2EDA0E02EE78}" destId="{8D7B3A9F-81C5-4593-97C6-4923D1F1D6FA}" srcOrd="0" destOrd="0" presId="urn:microsoft.com/office/officeart/2008/layout/HorizontalMultiLevelHierarchy"/>
    <dgm:cxn modelId="{566D48BA-4453-431D-8DFE-598A91B4FF93}" srcId="{FBF4766A-B47C-427F-918E-BDD73977DF7C}" destId="{11A3C739-38A9-4501-89AB-2900441C1F05}" srcOrd="0" destOrd="0" parTransId="{4EC6BD36-E67F-4A22-818D-1B5C98397792}" sibTransId="{3D21F86D-70AE-4348-94DB-5E33AA1175D2}"/>
    <dgm:cxn modelId="{C0E449EC-CDDC-43FE-B312-73C4F300FBA0}" type="presOf" srcId="{FBF4766A-B47C-427F-918E-BDD73977DF7C}" destId="{75891E75-53B5-4A9E-8892-2D71B6E00F7B}" srcOrd="0" destOrd="0" presId="urn:microsoft.com/office/officeart/2008/layout/HorizontalMultiLevelHierarchy"/>
    <dgm:cxn modelId="{E8D15038-B1AC-4ADB-811E-57D619A2D767}" type="presOf" srcId="{4F88F321-973D-4EDA-BC3B-7FED66FFEB39}" destId="{23EB4CF1-37E8-4679-9680-266A73350548}" srcOrd="0" destOrd="0" presId="urn:microsoft.com/office/officeart/2008/layout/HorizontalMultiLevelHierarchy"/>
    <dgm:cxn modelId="{4A819C6B-67CE-4C0E-9372-C298F7FFBFFB}" type="presOf" srcId="{0ECDE406-D71B-4B1F-8B4D-FCFFF1D90338}" destId="{F74A32A5-F742-4246-8AC8-3C2581982200}" srcOrd="0" destOrd="0" presId="urn:microsoft.com/office/officeart/2008/layout/HorizontalMultiLevelHierarchy"/>
    <dgm:cxn modelId="{70FC8750-5D33-4EBA-A2A1-426EC89DE7AF}" srcId="{0ECDE406-D71B-4B1F-8B4D-FCFFF1D90338}" destId="{4C956974-1091-45C4-9C7B-0EF61053366B}" srcOrd="0" destOrd="0" parTransId="{74DB6C90-2295-4E66-A4B6-948FFF7618B7}" sibTransId="{DC2C1F70-DB82-4459-85A9-815EF285AC37}"/>
    <dgm:cxn modelId="{6BD3A297-A876-4993-BF77-71445A22F8B1}" type="presOf" srcId="{EABCEC32-5360-42C9-96E8-0A65D7CD1E9E}" destId="{D6483009-3C2A-4958-B7DD-424FA53F92C7}" srcOrd="1" destOrd="0" presId="urn:microsoft.com/office/officeart/2008/layout/HorizontalMultiLevelHierarchy"/>
    <dgm:cxn modelId="{83F98C2C-4FBF-419D-859E-B4688B089553}" type="presOf" srcId="{188FA502-5489-4C3D-A5ED-67144A7F2088}" destId="{FE7BDB81-CB0D-4C79-9C47-34D762E2E681}" srcOrd="1" destOrd="0" presId="urn:microsoft.com/office/officeart/2008/layout/HorizontalMultiLevelHierarchy"/>
    <dgm:cxn modelId="{1AF3A399-3E8A-43F7-BDD6-5F8BD78E29F4}" type="presOf" srcId="{62B13A55-2464-425A-9596-4FE2B41A1089}" destId="{3E086721-83D3-4E99-89EA-C857EF1179B8}" srcOrd="0" destOrd="0" presId="urn:microsoft.com/office/officeart/2008/layout/HorizontalMultiLevelHierarchy"/>
    <dgm:cxn modelId="{06E69822-1B7F-42CF-9C44-C9CDDDB42090}" srcId="{2B5B2DAD-BBD1-475D-81F6-19B160623DF2}" destId="{5FFD69C3-227F-473E-BB70-1ABD0961EF3D}" srcOrd="2" destOrd="0" parTransId="{67647BCF-91D4-469F-BA58-321C92A43FB0}" sibTransId="{90334948-15E4-47B8-B1B9-8360EF0C6C16}"/>
    <dgm:cxn modelId="{53C6264B-4260-4C43-98E6-070D4970B5C5}" srcId="{1ED4D2C5-949D-49F7-B839-8ED675DD0790}" destId="{711AF34C-8672-4B89-A34E-6ECDD87F76DD}" srcOrd="2" destOrd="0" parTransId="{2B0C82A5-4163-4749-8F87-6D4093BCE6C7}" sibTransId="{E5F9A541-DCDA-423D-9F54-21FFE3A4AE6E}"/>
    <dgm:cxn modelId="{6706A36B-F449-428C-AFD8-E66CB22C5736}" srcId="{2B5B2DAD-BBD1-475D-81F6-19B160623DF2}" destId="{D5ED9738-F1CA-42AC-89D5-65500BEE3CBA}" srcOrd="0" destOrd="0" parTransId="{63A87937-0644-4344-A76C-D9FA4842BEC7}" sibTransId="{809F7680-FD76-41F5-A0E6-453407E29835}"/>
    <dgm:cxn modelId="{63983085-972C-47F9-B241-6488E3049047}" type="presOf" srcId="{489A2344-B9C8-49BF-B7ED-8930119919FB}" destId="{4FC0C984-AA7F-4681-84BA-28AE3DEDFAB3}" srcOrd="0" destOrd="0" presId="urn:microsoft.com/office/officeart/2008/layout/HorizontalMultiLevelHierarchy"/>
    <dgm:cxn modelId="{4B613D56-450F-4E82-981E-009B7BB06FE9}" srcId="{88F79B71-6EFD-4A87-B4A7-C3EBAF0F931A}" destId="{37FDA1B5-C8B9-4AE8-84A8-E9F72027F3B6}" srcOrd="2" destOrd="0" parTransId="{E2DF1D0E-99B1-4369-9C0A-20B0496B9501}" sibTransId="{1900A55E-6E1A-49D9-B460-1A1AF02A581C}"/>
    <dgm:cxn modelId="{D523FC1C-6ACB-4629-9A47-1A973F9AA361}" type="presOf" srcId="{656DA2B2-98E1-4E64-981C-7328A0053CE2}" destId="{7AE0D0C6-38B4-48C4-AABE-47BC1056B599}" srcOrd="0" destOrd="0" presId="urn:microsoft.com/office/officeart/2008/layout/HorizontalMultiLevelHierarchy"/>
    <dgm:cxn modelId="{D778AC06-9624-48EC-97F6-6609BE53B704}" srcId="{88F79B71-6EFD-4A87-B4A7-C3EBAF0F931A}" destId="{A4BFCA7F-9C99-4A76-BAC3-08189FE8E862}" srcOrd="3" destOrd="0" parTransId="{2E9A67AE-1BA5-4ED0-9F0D-3FDFC8C7DCB4}" sibTransId="{360B9733-6E71-45F2-AC9F-09F583C9EAD5}"/>
    <dgm:cxn modelId="{864698A4-0C27-4491-BDE0-49CB1C08BA60}" type="presOf" srcId="{F0B0607F-EC83-4F97-A7B4-C23F3E72D401}" destId="{4BB8B400-0500-46C3-BF22-C393B9677E90}" srcOrd="1" destOrd="0" presId="urn:microsoft.com/office/officeart/2008/layout/HorizontalMultiLevelHierarchy"/>
    <dgm:cxn modelId="{51F4E6AA-FEF3-4537-BF9E-977E723819D9}" type="presOf" srcId="{7C8EE1C2-FC0E-45F8-BF4E-01C942FDBF6E}" destId="{34836FAF-DA9B-4212-AA6C-8002F549199A}" srcOrd="0" destOrd="0" presId="urn:microsoft.com/office/officeart/2008/layout/HorizontalMultiLevelHierarchy"/>
    <dgm:cxn modelId="{B7474B1B-F7DB-4BBD-8FB6-1C5BE9820DB6}" type="presOf" srcId="{FA2AADBE-D2A9-4659-84CB-5DFBCF2D7DB2}" destId="{6F5A6BBF-1208-43FD-972F-6A07E07465B7}" srcOrd="0" destOrd="0" presId="urn:microsoft.com/office/officeart/2008/layout/HorizontalMultiLevelHierarchy"/>
    <dgm:cxn modelId="{DAAE6F71-D4CC-473C-A445-58A1BD947E7D}" type="presOf" srcId="{5A8A2F01-E752-4666-8ACE-48AE3452F05B}" destId="{FA5AD650-1A60-45FF-85CE-51850C598D27}" srcOrd="1" destOrd="0" presId="urn:microsoft.com/office/officeart/2008/layout/HorizontalMultiLevelHierarchy"/>
    <dgm:cxn modelId="{1D56B635-C241-406F-9B5B-2F6F4D6AF0F1}" srcId="{1BF72304-5769-4FC9-B2C5-179D7AA7E7A1}" destId="{2B5B2DAD-BBD1-475D-81F6-19B160623DF2}" srcOrd="0" destOrd="0" parTransId="{7F5758F4-6A65-451F-9AD4-93F9F15F6163}" sibTransId="{C543C911-AB72-4456-B44C-FAF7E2ABE483}"/>
    <dgm:cxn modelId="{47F4C9BB-C68C-4F4E-A772-8E75A16C72A2}" type="presOf" srcId="{5695808F-3F35-4CDB-82B9-0D65F7D94BFB}" destId="{C083BFA6-BD05-437F-B91E-85FD9EEE9645}" srcOrd="0" destOrd="0" presId="urn:microsoft.com/office/officeart/2008/layout/HorizontalMultiLevelHierarchy"/>
    <dgm:cxn modelId="{263D9E62-81F0-4DEB-9C71-152DDA5D61F7}" srcId="{1ED4D2C5-949D-49F7-B839-8ED675DD0790}" destId="{4F88F321-973D-4EDA-BC3B-7FED66FFEB39}" srcOrd="1" destOrd="0" parTransId="{70E188C2-E789-4311-8234-83D0B7FE1A9A}" sibTransId="{692EB3CE-3354-4229-8643-A267B055CD98}"/>
    <dgm:cxn modelId="{AE7E1B06-03CE-4B4A-BF93-E6BBFB39A5DF}" type="presOf" srcId="{63A87937-0644-4344-A76C-D9FA4842BEC7}" destId="{8665A4A3-1A81-44FA-8D3D-FBCDC5D0BF82}" srcOrd="0" destOrd="0" presId="urn:microsoft.com/office/officeart/2008/layout/HorizontalMultiLevelHierarchy"/>
    <dgm:cxn modelId="{680F7809-80D6-4AA2-90AB-93F06EFF8B6C}" srcId="{FBF4766A-B47C-427F-918E-BDD73977DF7C}" destId="{C9FEE462-7E93-4727-BA43-09A59C940205}" srcOrd="2" destOrd="0" parTransId="{188FA502-5489-4C3D-A5ED-67144A7F2088}" sibTransId="{E6CAB980-BB11-46DE-95A5-5E410A7F5CF0}"/>
    <dgm:cxn modelId="{AA1AC5B2-8529-4E29-B74A-74A3AFB7331B}" type="presOf" srcId="{11A3C739-38A9-4501-89AB-2900441C1F05}" destId="{732D718F-17A7-43BA-AFBC-2E1102936EE3}" srcOrd="0" destOrd="0" presId="urn:microsoft.com/office/officeart/2008/layout/HorizontalMultiLevelHierarchy"/>
    <dgm:cxn modelId="{BD1569D6-BBBA-4521-9AC7-5C0DB3596E71}" type="presOf" srcId="{74DB6C90-2295-4E66-A4B6-948FFF7618B7}" destId="{86661B70-F973-4297-9332-B0F451694DB8}" srcOrd="0" destOrd="0" presId="urn:microsoft.com/office/officeart/2008/layout/HorizontalMultiLevelHierarchy"/>
    <dgm:cxn modelId="{27F9C472-C55C-4054-AEDE-18F03DEC5831}" type="presOf" srcId="{09C8C97F-0C56-4640-A770-843A8D6F1270}" destId="{BDCF2E22-F8CF-4457-812F-89738E320893}" srcOrd="0" destOrd="0" presId="urn:microsoft.com/office/officeart/2008/layout/HorizontalMultiLevelHierarchy"/>
    <dgm:cxn modelId="{217A4B93-66F7-418B-B57A-3111456AE6C4}" type="presOf" srcId="{4C587A56-92A8-488B-A3E3-AE93EA52967B}" destId="{99796B89-8DA7-4D3D-B04E-74B84F39FDEA}" srcOrd="0" destOrd="0" presId="urn:microsoft.com/office/officeart/2008/layout/HorizontalMultiLevelHierarchy"/>
    <dgm:cxn modelId="{51412A48-36CE-4414-888A-8CB5F217233D}" type="presOf" srcId="{2A2EDF56-0B9D-4327-B629-C691AB1B7DE8}" destId="{33F11ADE-FADE-4BC9-B449-27FE31562C2E}" srcOrd="0" destOrd="0" presId="urn:microsoft.com/office/officeart/2008/layout/HorizontalMultiLevelHierarchy"/>
    <dgm:cxn modelId="{D8E800A2-78BD-4650-ABB5-2AF4590A2780}" type="presOf" srcId="{A1BBB9AA-BF82-4CC7-B575-E8D0CACAE178}" destId="{1450D465-4FED-4032-AB41-F50F04C3AAE6}" srcOrd="1" destOrd="0" presId="urn:microsoft.com/office/officeart/2008/layout/HorizontalMultiLevelHierarchy"/>
    <dgm:cxn modelId="{A7D046D9-EE07-4870-B175-CD1F72594B4C}" type="presOf" srcId="{6E33C606-BE53-4ACD-AB3B-38091EE67A6D}" destId="{7FD1E3B2-C3ED-4BA9-A78C-0C19DD4566EC}" srcOrd="1" destOrd="0" presId="urn:microsoft.com/office/officeart/2008/layout/HorizontalMultiLevelHierarchy"/>
    <dgm:cxn modelId="{EA13B2A4-A01A-4A5A-B06C-C521BEE1574C}" type="presOf" srcId="{67647BCF-91D4-469F-BA58-321C92A43FB0}" destId="{107FB77F-C12A-47D7-881A-253C61AB2807}" srcOrd="1" destOrd="0" presId="urn:microsoft.com/office/officeart/2008/layout/HorizontalMultiLevelHierarchy"/>
    <dgm:cxn modelId="{F73E50D6-A06F-42B4-BFE4-00643A29285B}" type="presOf" srcId="{67504915-FCBE-4E41-B8AB-AC2CAB0AE080}" destId="{F7C0573F-3EF2-44F9-A184-10ED1A6B8DF0}" srcOrd="0" destOrd="0" presId="urn:microsoft.com/office/officeart/2008/layout/HorizontalMultiLevelHierarchy"/>
    <dgm:cxn modelId="{C71518B1-E464-4380-81BE-4EA570A0DABD}" srcId="{7C8EE1C2-FC0E-45F8-BF4E-01C942FDBF6E}" destId="{E601C36C-BEC3-4DD1-8A7B-B1687446166E}" srcOrd="0" destOrd="0" parTransId="{A03AC34A-EC47-4B3F-9870-1ED3063C54F7}" sibTransId="{20FAB0B7-AC99-447E-92F9-EDAAFFBF89A3}"/>
    <dgm:cxn modelId="{653B41C4-5F97-40CA-9D2C-A858B914E10B}" type="presOf" srcId="{EABCEC32-5360-42C9-96E8-0A65D7CD1E9E}" destId="{FDE5BFD8-D911-49AF-B77A-09AADC8DEF25}" srcOrd="0" destOrd="0" presId="urn:microsoft.com/office/officeart/2008/layout/HorizontalMultiLevelHierarchy"/>
    <dgm:cxn modelId="{0B483662-74E9-4001-83F7-CC4794BD0828}" type="presOf" srcId="{C9FEE462-7E93-4727-BA43-09A59C940205}" destId="{A7FB9EA4-F0D9-4DA5-AD00-CF5CC56674B3}" srcOrd="0" destOrd="0" presId="urn:microsoft.com/office/officeart/2008/layout/HorizontalMultiLevelHierarchy"/>
    <dgm:cxn modelId="{D4788B21-A1B5-467D-A347-709DB77936E0}" type="presOf" srcId="{64DE994C-4F8C-4473-8B8F-875A5E1D5238}" destId="{6DCEDE63-E518-4BDA-898B-768810F586E2}" srcOrd="0" destOrd="0" presId="urn:microsoft.com/office/officeart/2008/layout/HorizontalMultiLevelHierarchy"/>
    <dgm:cxn modelId="{DAF4FEC7-1E0E-4ABD-98C3-30B65CB9F611}" srcId="{3B98F0A1-A017-470B-84DF-6FCCC0A2CB11}" destId="{B93DC219-CB0A-4952-8F5B-9C646A54321C}" srcOrd="1" destOrd="0" parTransId="{5A8A2F01-E752-4666-8ACE-48AE3452F05B}" sibTransId="{2EE0A02C-3446-41AB-B068-CA72F31583A6}"/>
    <dgm:cxn modelId="{FF603E3C-A361-415C-9ECC-6FA80B9746C4}" type="presOf" srcId="{5A8A2F01-E752-4666-8ACE-48AE3452F05B}" destId="{B2FD93C0-0CEE-4F85-8FEA-4409EF8E0586}" srcOrd="0" destOrd="0" presId="urn:microsoft.com/office/officeart/2008/layout/HorizontalMultiLevelHierarchy"/>
    <dgm:cxn modelId="{25826351-1780-493D-9464-1B66A810A5D9}" srcId="{D5ED9738-F1CA-42AC-89D5-65500BEE3CBA}" destId="{FBF4766A-B47C-427F-918E-BDD73977DF7C}" srcOrd="5" destOrd="0" parTransId="{9572C415-8EF2-41A1-9A2F-7DC3A6BE5BEA}" sibTransId="{48A5021D-1D14-4126-8E54-100B33F30228}"/>
    <dgm:cxn modelId="{9170C457-BBDD-4BF2-8EE2-16C5FFA8A235}" type="presOf" srcId="{4EC6BD36-E67F-4A22-818D-1B5C98397792}" destId="{A278F878-8B0F-428C-8DE1-D9BC4B9C36A3}" srcOrd="1" destOrd="0" presId="urn:microsoft.com/office/officeart/2008/layout/HorizontalMultiLevelHierarchy"/>
    <dgm:cxn modelId="{DAA9CCA5-A094-4B43-813C-08DA2EAB0D5A}" type="presOf" srcId="{1785A38B-6CBA-4B47-A265-15D44EEDB3CF}" destId="{31B378C4-ACCB-49CF-BECB-43A7DE6F01F9}" srcOrd="1" destOrd="0" presId="urn:microsoft.com/office/officeart/2008/layout/HorizontalMultiLevelHierarchy"/>
    <dgm:cxn modelId="{86DDE1BB-579F-49D0-BC6A-000F32F367DF}" srcId="{4F88F321-973D-4EDA-BC3B-7FED66FFEB39}" destId="{64DE994C-4F8C-4473-8B8F-875A5E1D5238}" srcOrd="0" destOrd="0" parTransId="{6E33C606-BE53-4ACD-AB3B-38091EE67A6D}" sibTransId="{4301D722-0FF3-4734-BD52-C9E2D1293D3A}"/>
    <dgm:cxn modelId="{24B2431E-1467-4E2D-83AD-BA6A50B56988}" type="presOf" srcId="{95206552-982F-446B-83BA-C213F9BDA092}" destId="{7B6544A1-261F-4B8C-B2D1-994D278B4067}" srcOrd="0" destOrd="0" presId="urn:microsoft.com/office/officeart/2008/layout/HorizontalMultiLevelHierarchy"/>
    <dgm:cxn modelId="{621AA9BA-9FFD-41B2-AD2C-60E40A62B158}" type="presOf" srcId="{2B5B2DAD-BBD1-475D-81F6-19B160623DF2}" destId="{9F8865D7-637B-40B2-83AA-02FFABA698A8}" srcOrd="0" destOrd="0" presId="urn:microsoft.com/office/officeart/2008/layout/HorizontalMultiLevelHierarchy"/>
    <dgm:cxn modelId="{20D0BEA9-8D49-4B30-9FFE-C92C159923EE}" type="presOf" srcId="{885D455B-C94F-41AB-BB2C-1AB97DBDC0DB}" destId="{047F5CE2-8B74-4F91-BE51-8857D06DBB27}" srcOrd="0" destOrd="0" presId="urn:microsoft.com/office/officeart/2008/layout/HorizontalMultiLevelHierarchy"/>
    <dgm:cxn modelId="{CB9BFA6A-A962-45D7-8A06-24F9FE6B0A45}" type="presOf" srcId="{D8E57F8B-6DEF-4C2A-95E4-C6391701B545}" destId="{DE8D2761-E2DF-408C-9D41-C0C35CC01717}" srcOrd="1" destOrd="0" presId="urn:microsoft.com/office/officeart/2008/layout/HorizontalMultiLevelHierarchy"/>
    <dgm:cxn modelId="{A7C3DD4E-7954-4659-A091-9940A134A968}" type="presOf" srcId="{E2DF1D0E-99B1-4369-9C0A-20B0496B9501}" destId="{CA94E458-E749-4443-98FE-D0CC5E699F44}" srcOrd="0" destOrd="0" presId="urn:microsoft.com/office/officeart/2008/layout/HorizontalMultiLevelHierarchy"/>
    <dgm:cxn modelId="{179FC0A9-E4B4-4D9C-A448-5F4503BBBFA9}" type="presParOf" srcId="{766E7435-C9E8-45E5-AEC3-684BD42FA880}" destId="{0ABE8B4B-CD80-4EFC-A44A-3A41859075B6}" srcOrd="0" destOrd="0" presId="urn:microsoft.com/office/officeart/2008/layout/HorizontalMultiLevelHierarchy"/>
    <dgm:cxn modelId="{9515C170-B616-434C-B6A5-AA40D09DC4DF}" type="presParOf" srcId="{0ABE8B4B-CD80-4EFC-A44A-3A41859075B6}" destId="{9F8865D7-637B-40B2-83AA-02FFABA698A8}" srcOrd="0" destOrd="0" presId="urn:microsoft.com/office/officeart/2008/layout/HorizontalMultiLevelHierarchy"/>
    <dgm:cxn modelId="{4E34FC15-D8C7-4168-94BD-CFD674E83221}" type="presParOf" srcId="{0ABE8B4B-CD80-4EFC-A44A-3A41859075B6}" destId="{A7A7FD8D-5BC1-45B2-8136-5AE49CC0EDB8}" srcOrd="1" destOrd="0" presId="urn:microsoft.com/office/officeart/2008/layout/HorizontalMultiLevelHierarchy"/>
    <dgm:cxn modelId="{E82D6077-95FC-4F31-B63D-DFF252F5176C}" type="presParOf" srcId="{A7A7FD8D-5BC1-45B2-8136-5AE49CC0EDB8}" destId="{8665A4A3-1A81-44FA-8D3D-FBCDC5D0BF82}" srcOrd="0" destOrd="0" presId="urn:microsoft.com/office/officeart/2008/layout/HorizontalMultiLevelHierarchy"/>
    <dgm:cxn modelId="{D4055646-70A7-42D0-9562-7FEA10A06992}" type="presParOf" srcId="{8665A4A3-1A81-44FA-8D3D-FBCDC5D0BF82}" destId="{8FA41064-1F38-4181-8A8C-8B258F4FDA34}" srcOrd="0" destOrd="0" presId="urn:microsoft.com/office/officeart/2008/layout/HorizontalMultiLevelHierarchy"/>
    <dgm:cxn modelId="{EED388CC-AE3E-44C3-83C1-94EB346D881D}" type="presParOf" srcId="{A7A7FD8D-5BC1-45B2-8136-5AE49CC0EDB8}" destId="{875933B4-DEF8-465A-8017-59E323A9C7FC}" srcOrd="1" destOrd="0" presId="urn:microsoft.com/office/officeart/2008/layout/HorizontalMultiLevelHierarchy"/>
    <dgm:cxn modelId="{881F3806-D71D-4F4F-A1F1-CC8B1A4AA4AA}" type="presParOf" srcId="{875933B4-DEF8-465A-8017-59E323A9C7FC}" destId="{42F5F020-7E60-4D56-BC34-8479D1709571}" srcOrd="0" destOrd="0" presId="urn:microsoft.com/office/officeart/2008/layout/HorizontalMultiLevelHierarchy"/>
    <dgm:cxn modelId="{E40EDA02-1FCF-427A-B816-39BA422E5147}" type="presParOf" srcId="{875933B4-DEF8-465A-8017-59E323A9C7FC}" destId="{85D8CCE2-D634-4710-8ADE-D553031DED7D}" srcOrd="1" destOrd="0" presId="urn:microsoft.com/office/officeart/2008/layout/HorizontalMultiLevelHierarchy"/>
    <dgm:cxn modelId="{B2EA584D-61B2-4F28-90CD-C9382833D4D3}" type="presParOf" srcId="{85D8CCE2-D634-4710-8ADE-D553031DED7D}" destId="{6F5A6BBF-1208-43FD-972F-6A07E07465B7}" srcOrd="0" destOrd="0" presId="urn:microsoft.com/office/officeart/2008/layout/HorizontalMultiLevelHierarchy"/>
    <dgm:cxn modelId="{891BA84C-E68C-4133-85EA-FDC49C816EC7}" type="presParOf" srcId="{6F5A6BBF-1208-43FD-972F-6A07E07465B7}" destId="{FAEC942F-2956-4D8D-A774-7AB581E2FF9F}" srcOrd="0" destOrd="0" presId="urn:microsoft.com/office/officeart/2008/layout/HorizontalMultiLevelHierarchy"/>
    <dgm:cxn modelId="{66AA7484-8949-4434-B4F4-64018985E583}" type="presParOf" srcId="{85D8CCE2-D634-4710-8ADE-D553031DED7D}" destId="{812EE7B7-7778-47DE-9572-A475F9C02109}" srcOrd="1" destOrd="0" presId="urn:microsoft.com/office/officeart/2008/layout/HorizontalMultiLevelHierarchy"/>
    <dgm:cxn modelId="{8A4EFC53-DCDC-44C1-8FDF-2D1C8C71AD46}" type="presParOf" srcId="{812EE7B7-7778-47DE-9572-A475F9C02109}" destId="{7B6544A1-261F-4B8C-B2D1-994D278B4067}" srcOrd="0" destOrd="0" presId="urn:microsoft.com/office/officeart/2008/layout/HorizontalMultiLevelHierarchy"/>
    <dgm:cxn modelId="{A28F9919-EAE8-4F18-8E5E-B37D90C6A1C0}" type="presParOf" srcId="{812EE7B7-7778-47DE-9572-A475F9C02109}" destId="{D9954B3F-04CD-4B13-9F25-72BE714531FC}" srcOrd="1" destOrd="0" presId="urn:microsoft.com/office/officeart/2008/layout/HorizontalMultiLevelHierarchy"/>
    <dgm:cxn modelId="{2343164C-B6B2-489E-BEC2-A19A3CBBB432}" type="presParOf" srcId="{D9954B3F-04CD-4B13-9F25-72BE714531FC}" destId="{E8E1A99B-F730-48B4-AED3-B8E4FAC06270}" srcOrd="0" destOrd="0" presId="urn:microsoft.com/office/officeart/2008/layout/HorizontalMultiLevelHierarchy"/>
    <dgm:cxn modelId="{03C32CD3-3955-45A1-A4C7-6A23BB0932F1}" type="presParOf" srcId="{E8E1A99B-F730-48B4-AED3-B8E4FAC06270}" destId="{7E25AA2A-9575-447C-B76B-10361C5A132B}" srcOrd="0" destOrd="0" presId="urn:microsoft.com/office/officeart/2008/layout/HorizontalMultiLevelHierarchy"/>
    <dgm:cxn modelId="{F597BA89-9B93-4CA7-BB04-72F6B99C5A17}" type="presParOf" srcId="{D9954B3F-04CD-4B13-9F25-72BE714531FC}" destId="{E8911751-1BC0-449B-9685-9D7325C2ED18}" srcOrd="1" destOrd="0" presId="urn:microsoft.com/office/officeart/2008/layout/HorizontalMultiLevelHierarchy"/>
    <dgm:cxn modelId="{A5CD3DB6-4E6E-4476-B6A0-56563550277E}" type="presParOf" srcId="{E8911751-1BC0-449B-9685-9D7325C2ED18}" destId="{2C2E50AF-9ACD-4299-95C5-94D75B963D92}" srcOrd="0" destOrd="0" presId="urn:microsoft.com/office/officeart/2008/layout/HorizontalMultiLevelHierarchy"/>
    <dgm:cxn modelId="{7B667691-C33E-4372-AA6C-B168B27BC708}" type="presParOf" srcId="{E8911751-1BC0-449B-9685-9D7325C2ED18}" destId="{21474F64-67BE-4FBF-ACFE-26F6B6D2D382}" srcOrd="1" destOrd="0" presId="urn:microsoft.com/office/officeart/2008/layout/HorizontalMultiLevelHierarchy"/>
    <dgm:cxn modelId="{65C5A4EB-2216-4BEA-A1B3-6D869C57F84B}" type="presParOf" srcId="{85D8CCE2-D634-4710-8ADE-D553031DED7D}" destId="{37092B0F-AE81-4EAE-8566-C5D661DDF83D}" srcOrd="2" destOrd="0" presId="urn:microsoft.com/office/officeart/2008/layout/HorizontalMultiLevelHierarchy"/>
    <dgm:cxn modelId="{E269879C-C6D4-4B14-B538-CC429347AB62}" type="presParOf" srcId="{37092B0F-AE81-4EAE-8566-C5D661DDF83D}" destId="{695F4CA7-FFD7-45FA-9D59-6B6A436AB684}" srcOrd="0" destOrd="0" presId="urn:microsoft.com/office/officeart/2008/layout/HorizontalMultiLevelHierarchy"/>
    <dgm:cxn modelId="{360123C7-F937-4E58-882C-5F3E3FD4B3D3}" type="presParOf" srcId="{85D8CCE2-D634-4710-8ADE-D553031DED7D}" destId="{D2FE4F20-2810-4DDE-B49C-1C021947C0A1}" srcOrd="3" destOrd="0" presId="urn:microsoft.com/office/officeart/2008/layout/HorizontalMultiLevelHierarchy"/>
    <dgm:cxn modelId="{C9477506-3EB3-4998-8C3C-CCF89CAA215F}" type="presParOf" srcId="{D2FE4F20-2810-4DDE-B49C-1C021947C0A1}" destId="{8C6105CE-82E6-4676-861F-DFD16E32D836}" srcOrd="0" destOrd="0" presId="urn:microsoft.com/office/officeart/2008/layout/HorizontalMultiLevelHierarchy"/>
    <dgm:cxn modelId="{E72BB4C5-9ACC-4B75-B985-49BF011874EF}" type="presParOf" srcId="{D2FE4F20-2810-4DDE-B49C-1C021947C0A1}" destId="{7DDABBF2-C9D8-4187-8211-236DFB18419A}" srcOrd="1" destOrd="0" presId="urn:microsoft.com/office/officeart/2008/layout/HorizontalMultiLevelHierarchy"/>
    <dgm:cxn modelId="{CBC5C2C1-29F2-415F-83C8-438C0DEBC465}" type="presParOf" srcId="{7DDABBF2-C9D8-4187-8211-236DFB18419A}" destId="{82FCC3C7-1F39-4C45-B614-8259411554F8}" srcOrd="0" destOrd="0" presId="urn:microsoft.com/office/officeart/2008/layout/HorizontalMultiLevelHierarchy"/>
    <dgm:cxn modelId="{952BAFE8-C6D3-415A-9937-E8F25939188C}" type="presParOf" srcId="{82FCC3C7-1F39-4C45-B614-8259411554F8}" destId="{BF8AD29E-33C9-4749-B20B-43222068D5E6}" srcOrd="0" destOrd="0" presId="urn:microsoft.com/office/officeart/2008/layout/HorizontalMultiLevelHierarchy"/>
    <dgm:cxn modelId="{5E568A9E-1F0D-44FE-B1F5-85598F00EB1D}" type="presParOf" srcId="{7DDABBF2-C9D8-4187-8211-236DFB18419A}" destId="{966277A9-C9A5-4C7A-9BE6-01AA8B64F7F7}" srcOrd="1" destOrd="0" presId="urn:microsoft.com/office/officeart/2008/layout/HorizontalMultiLevelHierarchy"/>
    <dgm:cxn modelId="{AFEF3D88-370C-49C2-9808-BE9EEC866AFA}" type="presParOf" srcId="{966277A9-C9A5-4C7A-9BE6-01AA8B64F7F7}" destId="{3E086721-83D3-4E99-89EA-C857EF1179B8}" srcOrd="0" destOrd="0" presId="urn:microsoft.com/office/officeart/2008/layout/HorizontalMultiLevelHierarchy"/>
    <dgm:cxn modelId="{E29F72E8-5B19-432F-82F8-3AC809D68346}" type="presParOf" srcId="{966277A9-C9A5-4C7A-9BE6-01AA8B64F7F7}" destId="{BCD27231-89CB-427B-96BB-E6EDB50257C9}" srcOrd="1" destOrd="0" presId="urn:microsoft.com/office/officeart/2008/layout/HorizontalMultiLevelHierarchy"/>
    <dgm:cxn modelId="{FF7287B9-3124-4093-8C6A-DD3F53C7CCDE}" type="presParOf" srcId="{7DDABBF2-C9D8-4187-8211-236DFB18419A}" destId="{40727A20-1BEC-4C8E-9121-8CBBA5ABBA59}" srcOrd="2" destOrd="0" presId="urn:microsoft.com/office/officeart/2008/layout/HorizontalMultiLevelHierarchy"/>
    <dgm:cxn modelId="{D2D3E81A-349E-4D89-89DC-FF5F1A09089E}" type="presParOf" srcId="{40727A20-1BEC-4C8E-9121-8CBBA5ABBA59}" destId="{DCCC5B76-E40F-405E-AA0E-D80138735368}" srcOrd="0" destOrd="0" presId="urn:microsoft.com/office/officeart/2008/layout/HorizontalMultiLevelHierarchy"/>
    <dgm:cxn modelId="{7DA31616-E0B8-444A-93AD-68D244545B8A}" type="presParOf" srcId="{7DDABBF2-C9D8-4187-8211-236DFB18419A}" destId="{FC8F88FB-46A5-4372-9A41-7CAC85053D49}" srcOrd="3" destOrd="0" presId="urn:microsoft.com/office/officeart/2008/layout/HorizontalMultiLevelHierarchy"/>
    <dgm:cxn modelId="{E2975AFA-9D3E-4C40-B6A2-F4E435675CAD}" type="presParOf" srcId="{FC8F88FB-46A5-4372-9A41-7CAC85053D49}" destId="{7AE0D0C6-38B4-48C4-AABE-47BC1056B599}" srcOrd="0" destOrd="0" presId="urn:microsoft.com/office/officeart/2008/layout/HorizontalMultiLevelHierarchy"/>
    <dgm:cxn modelId="{AAD9BD88-E8F0-4F6C-AB6A-C600F56FA38B}" type="presParOf" srcId="{FC8F88FB-46A5-4372-9A41-7CAC85053D49}" destId="{D6F398B6-B62A-4F62-B67D-E2D3FA5F868C}" srcOrd="1" destOrd="0" presId="urn:microsoft.com/office/officeart/2008/layout/HorizontalMultiLevelHierarchy"/>
    <dgm:cxn modelId="{42C50A43-98D0-4215-9354-9C024688E0E6}" type="presParOf" srcId="{7DDABBF2-C9D8-4187-8211-236DFB18419A}" destId="{CA94E458-E749-4443-98FE-D0CC5E699F44}" srcOrd="4" destOrd="0" presId="urn:microsoft.com/office/officeart/2008/layout/HorizontalMultiLevelHierarchy"/>
    <dgm:cxn modelId="{39A19EE0-9DA4-4134-92D7-95C6FEF7F0A7}" type="presParOf" srcId="{CA94E458-E749-4443-98FE-D0CC5E699F44}" destId="{B8C30223-CD07-4F77-9992-B199C72F40F6}" srcOrd="0" destOrd="0" presId="urn:microsoft.com/office/officeart/2008/layout/HorizontalMultiLevelHierarchy"/>
    <dgm:cxn modelId="{D17D4623-61FE-42D9-BF22-8AC7B53F39F2}" type="presParOf" srcId="{7DDABBF2-C9D8-4187-8211-236DFB18419A}" destId="{CED25F4A-C025-48DC-86B1-394A2BAD3D32}" srcOrd="5" destOrd="0" presId="urn:microsoft.com/office/officeart/2008/layout/HorizontalMultiLevelHierarchy"/>
    <dgm:cxn modelId="{903CE712-A44A-4BDA-8745-3D4F1D775F3D}" type="presParOf" srcId="{CED25F4A-C025-48DC-86B1-394A2BAD3D32}" destId="{A71C8AA4-1146-4339-834B-12500E79B611}" srcOrd="0" destOrd="0" presId="urn:microsoft.com/office/officeart/2008/layout/HorizontalMultiLevelHierarchy"/>
    <dgm:cxn modelId="{DF9ADB50-FC34-4779-A665-02F09A2613D3}" type="presParOf" srcId="{CED25F4A-C025-48DC-86B1-394A2BAD3D32}" destId="{1C3C5728-FB23-4DE9-8C32-A8BDBAC4284B}" srcOrd="1" destOrd="0" presId="urn:microsoft.com/office/officeart/2008/layout/HorizontalMultiLevelHierarchy"/>
    <dgm:cxn modelId="{C88FEB00-A89C-41FC-BC19-5DB58BF90732}" type="presParOf" srcId="{7DDABBF2-C9D8-4187-8211-236DFB18419A}" destId="{E302A2B1-2FCE-4598-9650-5C08F85B1C92}" srcOrd="6" destOrd="0" presId="urn:microsoft.com/office/officeart/2008/layout/HorizontalMultiLevelHierarchy"/>
    <dgm:cxn modelId="{B7B28E2B-2AFB-45AC-9CCF-261639784AA3}" type="presParOf" srcId="{E302A2B1-2FCE-4598-9650-5C08F85B1C92}" destId="{FB75BB57-B50F-4546-81A5-857EC5D3819B}" srcOrd="0" destOrd="0" presId="urn:microsoft.com/office/officeart/2008/layout/HorizontalMultiLevelHierarchy"/>
    <dgm:cxn modelId="{38E9D23B-885F-4B0D-B431-67505C835449}" type="presParOf" srcId="{7DDABBF2-C9D8-4187-8211-236DFB18419A}" destId="{50BEC9CE-A1D9-4172-B382-56DD27267AE0}" srcOrd="7" destOrd="0" presId="urn:microsoft.com/office/officeart/2008/layout/HorizontalMultiLevelHierarchy"/>
    <dgm:cxn modelId="{E882CC4D-75BB-4833-8512-61EA68C24BE3}" type="presParOf" srcId="{50BEC9CE-A1D9-4172-B382-56DD27267AE0}" destId="{F02F1A60-BE9E-4572-88B6-C84544E2376F}" srcOrd="0" destOrd="0" presId="urn:microsoft.com/office/officeart/2008/layout/HorizontalMultiLevelHierarchy"/>
    <dgm:cxn modelId="{37CFA48C-0E4A-4CA3-A2DB-6A8E89012EA0}" type="presParOf" srcId="{50BEC9CE-A1D9-4172-B382-56DD27267AE0}" destId="{180CBE21-CEF9-4EF7-9990-8133A678C7F5}" srcOrd="1" destOrd="0" presId="urn:microsoft.com/office/officeart/2008/layout/HorizontalMultiLevelHierarchy"/>
    <dgm:cxn modelId="{0C4B211C-8D4B-4D92-9C77-CF9B7EC0D392}" type="presParOf" srcId="{7DDABBF2-C9D8-4187-8211-236DFB18419A}" destId="{FDE5BFD8-D911-49AF-B77A-09AADC8DEF25}" srcOrd="8" destOrd="0" presId="urn:microsoft.com/office/officeart/2008/layout/HorizontalMultiLevelHierarchy"/>
    <dgm:cxn modelId="{4F530C04-0289-4A82-92B4-4C3E225C85F6}" type="presParOf" srcId="{FDE5BFD8-D911-49AF-B77A-09AADC8DEF25}" destId="{D6483009-3C2A-4958-B7DD-424FA53F92C7}" srcOrd="0" destOrd="0" presId="urn:microsoft.com/office/officeart/2008/layout/HorizontalMultiLevelHierarchy"/>
    <dgm:cxn modelId="{94E1ECBD-6402-4B6D-BF08-F173FCF1A467}" type="presParOf" srcId="{7DDABBF2-C9D8-4187-8211-236DFB18419A}" destId="{CE2A245E-6971-4871-BE5E-40405B2AF40F}" srcOrd="9" destOrd="0" presId="urn:microsoft.com/office/officeart/2008/layout/HorizontalMultiLevelHierarchy"/>
    <dgm:cxn modelId="{AD8EE372-E9CF-43D6-AF9E-D46D5AE517B2}" type="presParOf" srcId="{CE2A245E-6971-4871-BE5E-40405B2AF40F}" destId="{B4BE4968-4645-4EB4-99F4-E4574896ACEA}" srcOrd="0" destOrd="0" presId="urn:microsoft.com/office/officeart/2008/layout/HorizontalMultiLevelHierarchy"/>
    <dgm:cxn modelId="{0659802E-BE28-42CD-93F7-E98D256442EC}" type="presParOf" srcId="{CE2A245E-6971-4871-BE5E-40405B2AF40F}" destId="{16AAED11-7A4A-475A-B8DC-CCA587D37E3C}" srcOrd="1" destOrd="0" presId="urn:microsoft.com/office/officeart/2008/layout/HorizontalMultiLevelHierarchy"/>
    <dgm:cxn modelId="{95ABF7C2-7E4A-4C6D-9300-9B24F3984768}" type="presParOf" srcId="{85D8CCE2-D634-4710-8ADE-D553031DED7D}" destId="{A5FDDB70-71C8-4934-93B0-D9FB37F11EB1}" srcOrd="4" destOrd="0" presId="urn:microsoft.com/office/officeart/2008/layout/HorizontalMultiLevelHierarchy"/>
    <dgm:cxn modelId="{DB11FC9E-F18C-4FB0-A419-DE9E33715942}" type="presParOf" srcId="{A5FDDB70-71C8-4934-93B0-D9FB37F11EB1}" destId="{31B378C4-ACCB-49CF-BECB-43A7DE6F01F9}" srcOrd="0" destOrd="0" presId="urn:microsoft.com/office/officeart/2008/layout/HorizontalMultiLevelHierarchy"/>
    <dgm:cxn modelId="{66A3F407-DA1A-4F29-8F52-1F3B52B773B5}" type="presParOf" srcId="{85D8CCE2-D634-4710-8ADE-D553031DED7D}" destId="{1484E3AF-7F1E-4A42-9C2A-B30EF191C2F6}" srcOrd="5" destOrd="0" presId="urn:microsoft.com/office/officeart/2008/layout/HorizontalMultiLevelHierarchy"/>
    <dgm:cxn modelId="{2C165FAC-CBFB-4BEF-A9EF-A0AE775381C0}" type="presParOf" srcId="{1484E3AF-7F1E-4A42-9C2A-B30EF191C2F6}" destId="{34836FAF-DA9B-4212-AA6C-8002F549199A}" srcOrd="0" destOrd="0" presId="urn:microsoft.com/office/officeart/2008/layout/HorizontalMultiLevelHierarchy"/>
    <dgm:cxn modelId="{FF1256DA-D558-4A43-84FA-DE8121C3F4EB}" type="presParOf" srcId="{1484E3AF-7F1E-4A42-9C2A-B30EF191C2F6}" destId="{84A2DE4B-54FB-4C49-BC1A-7FB0FBE7A391}" srcOrd="1" destOrd="0" presId="urn:microsoft.com/office/officeart/2008/layout/HorizontalMultiLevelHierarchy"/>
    <dgm:cxn modelId="{6BBEC941-7B06-4DDA-B125-08FBF0D9332D}" type="presParOf" srcId="{84A2DE4B-54FB-4C49-BC1A-7FB0FBE7A391}" destId="{45EA05E5-7550-4699-BC10-BB9B6587FFCD}" srcOrd="0" destOrd="0" presId="urn:microsoft.com/office/officeart/2008/layout/HorizontalMultiLevelHierarchy"/>
    <dgm:cxn modelId="{8F3E7294-90AB-4F0E-994B-C743ABE0FA96}" type="presParOf" srcId="{45EA05E5-7550-4699-BC10-BB9B6587FFCD}" destId="{485C013D-610E-4132-9B74-63D335A302CD}" srcOrd="0" destOrd="0" presId="urn:microsoft.com/office/officeart/2008/layout/HorizontalMultiLevelHierarchy"/>
    <dgm:cxn modelId="{B8A7FF7D-B564-45E6-9B2E-438E870373C7}" type="presParOf" srcId="{84A2DE4B-54FB-4C49-BC1A-7FB0FBE7A391}" destId="{89A66DBB-04DD-4343-8096-52FE825ADC23}" srcOrd="1" destOrd="0" presId="urn:microsoft.com/office/officeart/2008/layout/HorizontalMultiLevelHierarchy"/>
    <dgm:cxn modelId="{BC094244-D674-41BD-8AF1-6E02DE4318CD}" type="presParOf" srcId="{89A66DBB-04DD-4343-8096-52FE825ADC23}" destId="{E1FF08A6-9093-47CB-B0DE-C75DB04AAC04}" srcOrd="0" destOrd="0" presId="urn:microsoft.com/office/officeart/2008/layout/HorizontalMultiLevelHierarchy"/>
    <dgm:cxn modelId="{AB4A88F6-9286-44E1-9747-A996C0D0BCB9}" type="presParOf" srcId="{89A66DBB-04DD-4343-8096-52FE825ADC23}" destId="{6398BEF3-B883-493D-B8DB-4DAD9E4998A8}" srcOrd="1" destOrd="0" presId="urn:microsoft.com/office/officeart/2008/layout/HorizontalMultiLevelHierarchy"/>
    <dgm:cxn modelId="{4F0003A5-7B77-4985-AE83-0C0FBBA11034}" type="presParOf" srcId="{84A2DE4B-54FB-4C49-BC1A-7FB0FBE7A391}" destId="{5C7B04CF-1119-4864-8DF3-7A00901947AF}" srcOrd="2" destOrd="0" presId="urn:microsoft.com/office/officeart/2008/layout/HorizontalMultiLevelHierarchy"/>
    <dgm:cxn modelId="{5923033E-EA2F-4269-A776-A118099D0410}" type="presParOf" srcId="{5C7B04CF-1119-4864-8DF3-7A00901947AF}" destId="{9F0A044E-1B00-4C16-A13F-0F29630AB07A}" srcOrd="0" destOrd="0" presId="urn:microsoft.com/office/officeart/2008/layout/HorizontalMultiLevelHierarchy"/>
    <dgm:cxn modelId="{340FFDCF-AC62-4513-9911-A4FFD6FB1350}" type="presParOf" srcId="{84A2DE4B-54FB-4C49-BC1A-7FB0FBE7A391}" destId="{01925E33-F43B-4843-A545-2E5C9564A19B}" srcOrd="3" destOrd="0" presId="urn:microsoft.com/office/officeart/2008/layout/HorizontalMultiLevelHierarchy"/>
    <dgm:cxn modelId="{710BBB96-9746-4E8F-837A-1635D6493102}" type="presParOf" srcId="{01925E33-F43B-4843-A545-2E5C9564A19B}" destId="{4FC0C984-AA7F-4681-84BA-28AE3DEDFAB3}" srcOrd="0" destOrd="0" presId="urn:microsoft.com/office/officeart/2008/layout/HorizontalMultiLevelHierarchy"/>
    <dgm:cxn modelId="{F47AE9D5-2EAE-4972-ACEB-F6DC8F2DDFD2}" type="presParOf" srcId="{01925E33-F43B-4843-A545-2E5C9564A19B}" destId="{B3ACA0C5-B167-4820-94A3-92553A1D3CC1}" srcOrd="1" destOrd="0" presId="urn:microsoft.com/office/officeart/2008/layout/HorizontalMultiLevelHierarchy"/>
    <dgm:cxn modelId="{E988D643-3CD7-4912-AA62-979D280BF09C}" type="presParOf" srcId="{85D8CCE2-D634-4710-8ADE-D553031DED7D}" destId="{70BB5A89-0A88-4333-AAB9-E760D3BAB196}" srcOrd="6" destOrd="0" presId="urn:microsoft.com/office/officeart/2008/layout/HorizontalMultiLevelHierarchy"/>
    <dgm:cxn modelId="{CAD976BD-CC6E-410E-91CC-15B216D90015}" type="presParOf" srcId="{70BB5A89-0A88-4333-AAB9-E760D3BAB196}" destId="{128ED0F1-E0DD-48E1-B843-69869FDBE90B}" srcOrd="0" destOrd="0" presId="urn:microsoft.com/office/officeart/2008/layout/HorizontalMultiLevelHierarchy"/>
    <dgm:cxn modelId="{45800985-B51A-405A-B599-C8D81FC68C43}" type="presParOf" srcId="{85D8CCE2-D634-4710-8ADE-D553031DED7D}" destId="{B20D9711-3326-4A92-9E6C-6B5424CB26FE}" srcOrd="7" destOrd="0" presId="urn:microsoft.com/office/officeart/2008/layout/HorizontalMultiLevelHierarchy"/>
    <dgm:cxn modelId="{6C051D81-9E64-43E0-8BD4-35D9BBC3E1F0}" type="presParOf" srcId="{B20D9711-3326-4A92-9E6C-6B5424CB26FE}" destId="{A20E0980-283B-4FC5-A60C-B13E4804FB8A}" srcOrd="0" destOrd="0" presId="urn:microsoft.com/office/officeart/2008/layout/HorizontalMultiLevelHierarchy"/>
    <dgm:cxn modelId="{25F2CDFE-D24A-45E6-85E0-DC5BDBA02AD8}" type="presParOf" srcId="{B20D9711-3326-4A92-9E6C-6B5424CB26FE}" destId="{B733AD5E-7242-45BE-918B-6CA223A1F304}" srcOrd="1" destOrd="0" presId="urn:microsoft.com/office/officeart/2008/layout/HorizontalMultiLevelHierarchy"/>
    <dgm:cxn modelId="{55EB2EAE-9BD6-4C37-B3E7-34B2D3EC269B}" type="presParOf" srcId="{85D8CCE2-D634-4710-8ADE-D553031DED7D}" destId="{C083BFA6-BD05-437F-B91E-85FD9EEE9645}" srcOrd="8" destOrd="0" presId="urn:microsoft.com/office/officeart/2008/layout/HorizontalMultiLevelHierarchy"/>
    <dgm:cxn modelId="{DB7370A5-F73C-4F02-8FD6-B2BFF8C07683}" type="presParOf" srcId="{C083BFA6-BD05-437F-B91E-85FD9EEE9645}" destId="{4CE6C1D5-285D-44A7-9E2E-314A67B1AA3C}" srcOrd="0" destOrd="0" presId="urn:microsoft.com/office/officeart/2008/layout/HorizontalMultiLevelHierarchy"/>
    <dgm:cxn modelId="{B6D88A5A-EB63-48FC-A1FE-47AB3A5112E3}" type="presParOf" srcId="{85D8CCE2-D634-4710-8ADE-D553031DED7D}" destId="{FDF959AC-E32F-4A01-AE41-F28EBA07A68D}" srcOrd="9" destOrd="0" presId="urn:microsoft.com/office/officeart/2008/layout/HorizontalMultiLevelHierarchy"/>
    <dgm:cxn modelId="{7D4BF5A0-A562-46EA-A68E-54BF5EB30FFE}" type="presParOf" srcId="{FDF959AC-E32F-4A01-AE41-F28EBA07A68D}" destId="{047F5CE2-8B74-4F91-BE51-8857D06DBB27}" srcOrd="0" destOrd="0" presId="urn:microsoft.com/office/officeart/2008/layout/HorizontalMultiLevelHierarchy"/>
    <dgm:cxn modelId="{62BDFD5C-3697-4F31-88E2-B06B15D36B64}" type="presParOf" srcId="{FDF959AC-E32F-4A01-AE41-F28EBA07A68D}" destId="{8E98850E-EFE3-448F-9665-11BAF572E231}" srcOrd="1" destOrd="0" presId="urn:microsoft.com/office/officeart/2008/layout/HorizontalMultiLevelHierarchy"/>
    <dgm:cxn modelId="{2F693945-0D07-4DBC-8A27-4177C27DA393}" type="presParOf" srcId="{8E98850E-EFE3-448F-9665-11BAF572E231}" destId="{AFC23C23-4876-46BA-8CA9-B277B78C4288}" srcOrd="0" destOrd="0" presId="urn:microsoft.com/office/officeart/2008/layout/HorizontalMultiLevelHierarchy"/>
    <dgm:cxn modelId="{E7C7CFF5-8550-4D03-B820-103DF4A2B187}" type="presParOf" srcId="{AFC23C23-4876-46BA-8CA9-B277B78C4288}" destId="{377974A2-2D02-4AAD-9471-6A6C5EE0CA5A}" srcOrd="0" destOrd="0" presId="urn:microsoft.com/office/officeart/2008/layout/HorizontalMultiLevelHierarchy"/>
    <dgm:cxn modelId="{202D1AA4-89CF-4A58-A1F3-5A319D10A2A0}" type="presParOf" srcId="{8E98850E-EFE3-448F-9665-11BAF572E231}" destId="{FF3C9162-6AB1-4B58-A536-2E12820A490C}" srcOrd="1" destOrd="0" presId="urn:microsoft.com/office/officeart/2008/layout/HorizontalMultiLevelHierarchy"/>
    <dgm:cxn modelId="{4DF50E82-0B94-431E-9FC8-0D05284BE414}" type="presParOf" srcId="{FF3C9162-6AB1-4B58-A536-2E12820A490C}" destId="{2BB92C48-DACA-46C4-B4B3-93F610BE3334}" srcOrd="0" destOrd="0" presId="urn:microsoft.com/office/officeart/2008/layout/HorizontalMultiLevelHierarchy"/>
    <dgm:cxn modelId="{0E8C07C0-4C59-4B81-9FA8-777F9E8D2593}" type="presParOf" srcId="{FF3C9162-6AB1-4B58-A536-2E12820A490C}" destId="{3BAA2C27-2161-4F09-B1DA-2707B5C9E1B3}" srcOrd="1" destOrd="0" presId="urn:microsoft.com/office/officeart/2008/layout/HorizontalMultiLevelHierarchy"/>
    <dgm:cxn modelId="{0B0C128F-8A7A-4E70-AADB-050226967FD3}" type="presParOf" srcId="{85D8CCE2-D634-4710-8ADE-D553031DED7D}" destId="{5283C906-0C24-443C-89F1-E912F2AF99BD}" srcOrd="10" destOrd="0" presId="urn:microsoft.com/office/officeart/2008/layout/HorizontalMultiLevelHierarchy"/>
    <dgm:cxn modelId="{80AD7D30-D438-4425-906D-DEB87394B9CF}" type="presParOf" srcId="{5283C906-0C24-443C-89F1-E912F2AF99BD}" destId="{6AC64068-AF00-400E-89B8-98FA0F040284}" srcOrd="0" destOrd="0" presId="urn:microsoft.com/office/officeart/2008/layout/HorizontalMultiLevelHierarchy"/>
    <dgm:cxn modelId="{B258E158-F221-4672-82CF-CC8FCDF0C5E7}" type="presParOf" srcId="{85D8CCE2-D634-4710-8ADE-D553031DED7D}" destId="{D7F975DA-8E45-4C52-ABF2-40E3B805AA3B}" srcOrd="11" destOrd="0" presId="urn:microsoft.com/office/officeart/2008/layout/HorizontalMultiLevelHierarchy"/>
    <dgm:cxn modelId="{5046DE3E-60DA-4CB5-999E-6AF628D2DE31}" type="presParOf" srcId="{D7F975DA-8E45-4C52-ABF2-40E3B805AA3B}" destId="{75891E75-53B5-4A9E-8892-2D71B6E00F7B}" srcOrd="0" destOrd="0" presId="urn:microsoft.com/office/officeart/2008/layout/HorizontalMultiLevelHierarchy"/>
    <dgm:cxn modelId="{4ED977E9-1216-4467-A27E-40CA7DC045FD}" type="presParOf" srcId="{D7F975DA-8E45-4C52-ABF2-40E3B805AA3B}" destId="{2F39B3FC-EF75-4E29-9E5F-2AFA10F9F9AD}" srcOrd="1" destOrd="0" presId="urn:microsoft.com/office/officeart/2008/layout/HorizontalMultiLevelHierarchy"/>
    <dgm:cxn modelId="{B06D637E-AE3A-46E0-94C9-A8BCD28883F6}" type="presParOf" srcId="{2F39B3FC-EF75-4E29-9E5F-2AFA10F9F9AD}" destId="{06C0F108-6B83-4DF9-96EF-147EECC0C428}" srcOrd="0" destOrd="0" presId="urn:microsoft.com/office/officeart/2008/layout/HorizontalMultiLevelHierarchy"/>
    <dgm:cxn modelId="{E87A28F5-A4D0-43A1-AE8C-EC2203749BD5}" type="presParOf" srcId="{06C0F108-6B83-4DF9-96EF-147EECC0C428}" destId="{A278F878-8B0F-428C-8DE1-D9BC4B9C36A3}" srcOrd="0" destOrd="0" presId="urn:microsoft.com/office/officeart/2008/layout/HorizontalMultiLevelHierarchy"/>
    <dgm:cxn modelId="{5B9CA4A1-75D8-487A-A8AA-722C6F7C0D07}" type="presParOf" srcId="{2F39B3FC-EF75-4E29-9E5F-2AFA10F9F9AD}" destId="{D37E47F7-93ED-4C80-B03B-6926046B4823}" srcOrd="1" destOrd="0" presId="urn:microsoft.com/office/officeart/2008/layout/HorizontalMultiLevelHierarchy"/>
    <dgm:cxn modelId="{E34E70C5-B7F1-4B13-AD27-40179828A041}" type="presParOf" srcId="{D37E47F7-93ED-4C80-B03B-6926046B4823}" destId="{732D718F-17A7-43BA-AFBC-2E1102936EE3}" srcOrd="0" destOrd="0" presId="urn:microsoft.com/office/officeart/2008/layout/HorizontalMultiLevelHierarchy"/>
    <dgm:cxn modelId="{6AC416FC-3ED9-4794-B07A-38080A90139D}" type="presParOf" srcId="{D37E47F7-93ED-4C80-B03B-6926046B4823}" destId="{1C2C4A29-ABCE-4472-8FDB-F60C5D191BA8}" srcOrd="1" destOrd="0" presId="urn:microsoft.com/office/officeart/2008/layout/HorizontalMultiLevelHierarchy"/>
    <dgm:cxn modelId="{11F1F982-0FAB-4014-B7DB-B31F70533F17}" type="presParOf" srcId="{2F39B3FC-EF75-4E29-9E5F-2AFA10F9F9AD}" destId="{A4F5934C-A0BA-46E0-836A-98417E325588}" srcOrd="2" destOrd="0" presId="urn:microsoft.com/office/officeart/2008/layout/HorizontalMultiLevelHierarchy"/>
    <dgm:cxn modelId="{A24A0BD6-5ADA-4299-B1ED-056881DACFF3}" type="presParOf" srcId="{A4F5934C-A0BA-46E0-836A-98417E325588}" destId="{4BB8B400-0500-46C3-BF22-C393B9677E90}" srcOrd="0" destOrd="0" presId="urn:microsoft.com/office/officeart/2008/layout/HorizontalMultiLevelHierarchy"/>
    <dgm:cxn modelId="{7E2944D5-2CCF-40A8-8195-A3B01D683E18}" type="presParOf" srcId="{2F39B3FC-EF75-4E29-9E5F-2AFA10F9F9AD}" destId="{924368AB-D31F-4666-B932-EB42B453FC98}" srcOrd="3" destOrd="0" presId="urn:microsoft.com/office/officeart/2008/layout/HorizontalMultiLevelHierarchy"/>
    <dgm:cxn modelId="{F8CCC8B4-C59B-4035-92CD-A45B282CB460}" type="presParOf" srcId="{924368AB-D31F-4666-B932-EB42B453FC98}" destId="{ABFF5B00-14F4-45AC-9399-327B2A5AD75F}" srcOrd="0" destOrd="0" presId="urn:microsoft.com/office/officeart/2008/layout/HorizontalMultiLevelHierarchy"/>
    <dgm:cxn modelId="{7DC9CD39-60B3-4FF7-9E18-DAAD84B728EB}" type="presParOf" srcId="{924368AB-D31F-4666-B932-EB42B453FC98}" destId="{6DD39CA6-81B6-44B2-A6E6-38D51C3D24D4}" srcOrd="1" destOrd="0" presId="urn:microsoft.com/office/officeart/2008/layout/HorizontalMultiLevelHierarchy"/>
    <dgm:cxn modelId="{199CE123-3AE0-4956-9369-82173A7CCD80}" type="presParOf" srcId="{2F39B3FC-EF75-4E29-9E5F-2AFA10F9F9AD}" destId="{ACD85488-53CD-413C-9470-9F6B8CE84EE7}" srcOrd="4" destOrd="0" presId="urn:microsoft.com/office/officeart/2008/layout/HorizontalMultiLevelHierarchy"/>
    <dgm:cxn modelId="{8FA99955-5059-40B3-A4F1-856F407415EC}" type="presParOf" srcId="{ACD85488-53CD-413C-9470-9F6B8CE84EE7}" destId="{FE7BDB81-CB0D-4C79-9C47-34D762E2E681}" srcOrd="0" destOrd="0" presId="urn:microsoft.com/office/officeart/2008/layout/HorizontalMultiLevelHierarchy"/>
    <dgm:cxn modelId="{80C2E15F-9B6F-4073-A8D5-0C5144BAD89B}" type="presParOf" srcId="{2F39B3FC-EF75-4E29-9E5F-2AFA10F9F9AD}" destId="{52181A0B-6E36-4BC7-B646-5DAC871374C8}" srcOrd="5" destOrd="0" presId="urn:microsoft.com/office/officeart/2008/layout/HorizontalMultiLevelHierarchy"/>
    <dgm:cxn modelId="{54CD1375-3EF8-423C-96E8-9F4216833BA1}" type="presParOf" srcId="{52181A0B-6E36-4BC7-B646-5DAC871374C8}" destId="{A7FB9EA4-F0D9-4DA5-AD00-CF5CC56674B3}" srcOrd="0" destOrd="0" presId="urn:microsoft.com/office/officeart/2008/layout/HorizontalMultiLevelHierarchy"/>
    <dgm:cxn modelId="{42276DBD-9CFF-4E78-8DEE-602234D71D59}" type="presParOf" srcId="{52181A0B-6E36-4BC7-B646-5DAC871374C8}" destId="{C057D02D-3F72-463A-8284-7C15BFEE431F}" srcOrd="1" destOrd="0" presId="urn:microsoft.com/office/officeart/2008/layout/HorizontalMultiLevelHierarchy"/>
    <dgm:cxn modelId="{7141BCE4-1753-4464-8518-87A80904B1E9}" type="presParOf" srcId="{A7A7FD8D-5BC1-45B2-8136-5AE49CC0EDB8}" destId="{BDCF2E22-F8CF-4457-812F-89738E320893}" srcOrd="2" destOrd="0" presId="urn:microsoft.com/office/officeart/2008/layout/HorizontalMultiLevelHierarchy"/>
    <dgm:cxn modelId="{6BBCC32D-D21D-4727-998F-C392BF29C12A}" type="presParOf" srcId="{BDCF2E22-F8CF-4457-812F-89738E320893}" destId="{4E497AFB-E3EA-4CCA-8913-72E260560A47}" srcOrd="0" destOrd="0" presId="urn:microsoft.com/office/officeart/2008/layout/HorizontalMultiLevelHierarchy"/>
    <dgm:cxn modelId="{5E496FE4-D678-4A10-B83A-3E9EB0121A0D}" type="presParOf" srcId="{A7A7FD8D-5BC1-45B2-8136-5AE49CC0EDB8}" destId="{0F5E07B8-15BC-4968-847F-425594B8E51E}" srcOrd="3" destOrd="0" presId="urn:microsoft.com/office/officeart/2008/layout/HorizontalMultiLevelHierarchy"/>
    <dgm:cxn modelId="{486A6BB6-DFAC-406C-B7D5-B8D6A71DC27B}" type="presParOf" srcId="{0F5E07B8-15BC-4968-847F-425594B8E51E}" destId="{BD362FF8-1DA2-4FAA-A12A-2DD45DA38926}" srcOrd="0" destOrd="0" presId="urn:microsoft.com/office/officeart/2008/layout/HorizontalMultiLevelHierarchy"/>
    <dgm:cxn modelId="{66837EB6-12CC-4AED-9D92-345256CCE5F5}" type="presParOf" srcId="{0F5E07B8-15BC-4968-847F-425594B8E51E}" destId="{4E312A41-F1D9-48D2-ADDD-4B08D3EEF141}" srcOrd="1" destOrd="0" presId="urn:microsoft.com/office/officeart/2008/layout/HorizontalMultiLevelHierarchy"/>
    <dgm:cxn modelId="{CE58BB61-C2CA-4DA4-9BF2-5CD23BD4A79A}" type="presParOf" srcId="{4E312A41-F1D9-48D2-ADDD-4B08D3EEF141}" destId="{899D67B7-5EAD-40DA-BA11-C40646F01A65}" srcOrd="0" destOrd="0" presId="urn:microsoft.com/office/officeart/2008/layout/HorizontalMultiLevelHierarchy"/>
    <dgm:cxn modelId="{6E50E55C-38D0-4550-A72A-41405B0D7F9E}" type="presParOf" srcId="{899D67B7-5EAD-40DA-BA11-C40646F01A65}" destId="{66EB670A-A3D3-4AED-BE55-01009632A087}" srcOrd="0" destOrd="0" presId="urn:microsoft.com/office/officeart/2008/layout/HorizontalMultiLevelHierarchy"/>
    <dgm:cxn modelId="{37E3E937-24DC-4AF1-87F3-633CEB9B63DB}" type="presParOf" srcId="{4E312A41-F1D9-48D2-ADDD-4B08D3EEF141}" destId="{39F0146E-C6E3-4BE1-80FC-F32E4FD4E0DC}" srcOrd="1" destOrd="0" presId="urn:microsoft.com/office/officeart/2008/layout/HorizontalMultiLevelHierarchy"/>
    <dgm:cxn modelId="{F7F220A1-20D2-4CD8-AACD-17516FBCCBC4}" type="presParOf" srcId="{39F0146E-C6E3-4BE1-80FC-F32E4FD4E0DC}" destId="{F06085CA-20D0-41D5-9A3F-2757A8D17429}" srcOrd="0" destOrd="0" presId="urn:microsoft.com/office/officeart/2008/layout/HorizontalMultiLevelHierarchy"/>
    <dgm:cxn modelId="{07AE72E9-C50A-479C-9C65-B420420EF72A}" type="presParOf" srcId="{39F0146E-C6E3-4BE1-80FC-F32E4FD4E0DC}" destId="{AF298EE4-2032-468A-AB15-05A2A5CE6297}" srcOrd="1" destOrd="0" presId="urn:microsoft.com/office/officeart/2008/layout/HorizontalMultiLevelHierarchy"/>
    <dgm:cxn modelId="{77CD2B75-9762-4118-9614-A27BE3BA8547}" type="presParOf" srcId="{4E312A41-F1D9-48D2-ADDD-4B08D3EEF141}" destId="{1F1DF977-D653-480A-8F78-531567E596B3}" srcOrd="2" destOrd="0" presId="urn:microsoft.com/office/officeart/2008/layout/HorizontalMultiLevelHierarchy"/>
    <dgm:cxn modelId="{BEFD7B69-9BB1-40C3-B4FA-F8C987DAA80B}" type="presParOf" srcId="{1F1DF977-D653-480A-8F78-531567E596B3}" destId="{F1C6A1A8-AB55-472F-AB6E-77B84B9D492A}" srcOrd="0" destOrd="0" presId="urn:microsoft.com/office/officeart/2008/layout/HorizontalMultiLevelHierarchy"/>
    <dgm:cxn modelId="{82E88EE9-ACFD-47F6-977C-AAFBFDBAB4D8}" type="presParOf" srcId="{4E312A41-F1D9-48D2-ADDD-4B08D3EEF141}" destId="{955AAD0E-4E77-4259-B057-7FB2BA76B7B3}" srcOrd="3" destOrd="0" presId="urn:microsoft.com/office/officeart/2008/layout/HorizontalMultiLevelHierarchy"/>
    <dgm:cxn modelId="{5BBAE83F-AA36-49D0-9FFD-406CDE918214}" type="presParOf" srcId="{955AAD0E-4E77-4259-B057-7FB2BA76B7B3}" destId="{23EB4CF1-37E8-4679-9680-266A73350548}" srcOrd="0" destOrd="0" presId="urn:microsoft.com/office/officeart/2008/layout/HorizontalMultiLevelHierarchy"/>
    <dgm:cxn modelId="{A709DE3A-05F6-4E79-9138-C00BA609A1D5}" type="presParOf" srcId="{955AAD0E-4E77-4259-B057-7FB2BA76B7B3}" destId="{BC122C4C-2891-49E6-8599-5E9BA9BAC45C}" srcOrd="1" destOrd="0" presId="urn:microsoft.com/office/officeart/2008/layout/HorizontalMultiLevelHierarchy"/>
    <dgm:cxn modelId="{30E740F8-1B4B-43A7-B2A3-6D1B99866F03}" type="presParOf" srcId="{BC122C4C-2891-49E6-8599-5E9BA9BAC45C}" destId="{FFC5E3D9-92C9-4A86-B49C-B8680391E47D}" srcOrd="0" destOrd="0" presId="urn:microsoft.com/office/officeart/2008/layout/HorizontalMultiLevelHierarchy"/>
    <dgm:cxn modelId="{E6916240-E14E-4530-9E0D-463355612439}" type="presParOf" srcId="{FFC5E3D9-92C9-4A86-B49C-B8680391E47D}" destId="{7FD1E3B2-C3ED-4BA9-A78C-0C19DD4566EC}" srcOrd="0" destOrd="0" presId="urn:microsoft.com/office/officeart/2008/layout/HorizontalMultiLevelHierarchy"/>
    <dgm:cxn modelId="{17D99685-7AD8-4ECF-8C9E-F4ECC28256B8}" type="presParOf" srcId="{BC122C4C-2891-49E6-8599-5E9BA9BAC45C}" destId="{5782BC0C-3172-4E0E-BB30-01419BB15421}" srcOrd="1" destOrd="0" presId="urn:microsoft.com/office/officeart/2008/layout/HorizontalMultiLevelHierarchy"/>
    <dgm:cxn modelId="{51052039-4252-4EA0-8D20-712A262B2516}" type="presParOf" srcId="{5782BC0C-3172-4E0E-BB30-01419BB15421}" destId="{6DCEDE63-E518-4BDA-898B-768810F586E2}" srcOrd="0" destOrd="0" presId="urn:microsoft.com/office/officeart/2008/layout/HorizontalMultiLevelHierarchy"/>
    <dgm:cxn modelId="{DEB44CF7-D8BF-4B27-9AA3-8BE8C9001E9D}" type="presParOf" srcId="{5782BC0C-3172-4E0E-BB30-01419BB15421}" destId="{23C1E400-6F29-4E06-A3EA-1AD84BDFDC25}" srcOrd="1" destOrd="0" presId="urn:microsoft.com/office/officeart/2008/layout/HorizontalMultiLevelHierarchy"/>
    <dgm:cxn modelId="{0C12C767-5AE4-4110-B5E7-DA3D546FAB3A}" type="presParOf" srcId="{4E312A41-F1D9-48D2-ADDD-4B08D3EEF141}" destId="{1E06376C-0AE9-448F-8BA4-30614795E449}" srcOrd="4" destOrd="0" presId="urn:microsoft.com/office/officeart/2008/layout/HorizontalMultiLevelHierarchy"/>
    <dgm:cxn modelId="{BB9A852D-902B-4EF7-9879-088E16E7DF56}" type="presParOf" srcId="{1E06376C-0AE9-448F-8BA4-30614795E449}" destId="{52AF35B1-F50D-44AE-BE82-DDF078408F8B}" srcOrd="0" destOrd="0" presId="urn:microsoft.com/office/officeart/2008/layout/HorizontalMultiLevelHierarchy"/>
    <dgm:cxn modelId="{669763C4-C730-4504-9B20-836245D88120}" type="presParOf" srcId="{4E312A41-F1D9-48D2-ADDD-4B08D3EEF141}" destId="{5B774501-A40B-45F7-AC6F-8CACE1C534C0}" srcOrd="5" destOrd="0" presId="urn:microsoft.com/office/officeart/2008/layout/HorizontalMultiLevelHierarchy"/>
    <dgm:cxn modelId="{F3D700A3-EFDD-4621-9C14-1B72BF177CB1}" type="presParOf" srcId="{5B774501-A40B-45F7-AC6F-8CACE1C534C0}" destId="{69ADE0B3-23D9-45C8-8083-391380D5C922}" srcOrd="0" destOrd="0" presId="urn:microsoft.com/office/officeart/2008/layout/HorizontalMultiLevelHierarchy"/>
    <dgm:cxn modelId="{A5B219A1-C3BA-4B47-A1A6-51BBE90DE0D9}" type="presParOf" srcId="{5B774501-A40B-45F7-AC6F-8CACE1C534C0}" destId="{40B1FEC7-2346-4CC2-A424-FEAEA6A9BABE}" srcOrd="1" destOrd="0" presId="urn:microsoft.com/office/officeart/2008/layout/HorizontalMultiLevelHierarchy"/>
    <dgm:cxn modelId="{65CFA0B4-0774-4B51-947D-F917B01C18FF}" type="presParOf" srcId="{A7A7FD8D-5BC1-45B2-8136-5AE49CC0EDB8}" destId="{8235F5A7-455C-4ED1-A0D6-BA9386B7EBE6}" srcOrd="4" destOrd="0" presId="urn:microsoft.com/office/officeart/2008/layout/HorizontalMultiLevelHierarchy"/>
    <dgm:cxn modelId="{359EC551-D61E-4D97-9894-D812E6707F13}" type="presParOf" srcId="{8235F5A7-455C-4ED1-A0D6-BA9386B7EBE6}" destId="{107FB77F-C12A-47D7-881A-253C61AB2807}" srcOrd="0" destOrd="0" presId="urn:microsoft.com/office/officeart/2008/layout/HorizontalMultiLevelHierarchy"/>
    <dgm:cxn modelId="{4268D78E-BDD8-474D-9668-2C69988D920E}" type="presParOf" srcId="{A7A7FD8D-5BC1-45B2-8136-5AE49CC0EDB8}" destId="{8E9D122E-F761-4118-8411-1BBDF0857118}" srcOrd="5" destOrd="0" presId="urn:microsoft.com/office/officeart/2008/layout/HorizontalMultiLevelHierarchy"/>
    <dgm:cxn modelId="{D7BFB914-7F3F-4C11-89C6-0B56A2E21D9C}" type="presParOf" srcId="{8E9D122E-F761-4118-8411-1BBDF0857118}" destId="{F1C18595-E8CF-42F3-8673-8A84664325E0}" srcOrd="0" destOrd="0" presId="urn:microsoft.com/office/officeart/2008/layout/HorizontalMultiLevelHierarchy"/>
    <dgm:cxn modelId="{2D57B4E8-21AD-4E91-8455-32E0AF3D1751}" type="presParOf" srcId="{8E9D122E-F761-4118-8411-1BBDF0857118}" destId="{3A08BD73-F275-4760-BCD5-3C565269A067}" srcOrd="1" destOrd="0" presId="urn:microsoft.com/office/officeart/2008/layout/HorizontalMultiLevelHierarchy"/>
    <dgm:cxn modelId="{9BA54F75-260E-4AD2-A449-FFDD7496CA1B}" type="presParOf" srcId="{3A08BD73-F275-4760-BCD5-3C565269A067}" destId="{ACC7EE9C-47C5-4882-B9F0-7AEFD80333A8}" srcOrd="0" destOrd="0" presId="urn:microsoft.com/office/officeart/2008/layout/HorizontalMultiLevelHierarchy"/>
    <dgm:cxn modelId="{72935A3C-8BD7-481E-A8B0-ACE1E328F910}" type="presParOf" srcId="{ACC7EE9C-47C5-4882-B9F0-7AEFD80333A8}" destId="{0BA91806-3FB5-4C82-89D2-D267C6509D7B}" srcOrd="0" destOrd="0" presId="urn:microsoft.com/office/officeart/2008/layout/HorizontalMultiLevelHierarchy"/>
    <dgm:cxn modelId="{EC3A5964-C789-4DA7-8D67-CCFAE98F25EB}" type="presParOf" srcId="{3A08BD73-F275-4760-BCD5-3C565269A067}" destId="{2BE4EB1A-9B14-42F7-B56C-6609DCF1A1FF}" srcOrd="1" destOrd="0" presId="urn:microsoft.com/office/officeart/2008/layout/HorizontalMultiLevelHierarchy"/>
    <dgm:cxn modelId="{0084A916-0526-46F2-A097-DC53948CFC70}" type="presParOf" srcId="{2BE4EB1A-9B14-42F7-B56C-6609DCF1A1FF}" destId="{F74A32A5-F742-4246-8AC8-3C2581982200}" srcOrd="0" destOrd="0" presId="urn:microsoft.com/office/officeart/2008/layout/HorizontalMultiLevelHierarchy"/>
    <dgm:cxn modelId="{6956330E-5DFE-454F-A158-75A5375F796D}" type="presParOf" srcId="{2BE4EB1A-9B14-42F7-B56C-6609DCF1A1FF}" destId="{87D18150-EEC7-42B4-AA86-C6B3E5F29C97}" srcOrd="1" destOrd="0" presId="urn:microsoft.com/office/officeart/2008/layout/HorizontalMultiLevelHierarchy"/>
    <dgm:cxn modelId="{FFFE7EF9-0904-46A6-9183-BDB51F561830}" type="presParOf" srcId="{87D18150-EEC7-42B4-AA86-C6B3E5F29C97}" destId="{86661B70-F973-4297-9332-B0F451694DB8}" srcOrd="0" destOrd="0" presId="urn:microsoft.com/office/officeart/2008/layout/HorizontalMultiLevelHierarchy"/>
    <dgm:cxn modelId="{68EC1124-381D-4C6C-979E-9D71F8033338}" type="presParOf" srcId="{86661B70-F973-4297-9332-B0F451694DB8}" destId="{4F42E423-58F7-4205-8DCF-F7AFB91B4B76}" srcOrd="0" destOrd="0" presId="urn:microsoft.com/office/officeart/2008/layout/HorizontalMultiLevelHierarchy"/>
    <dgm:cxn modelId="{E4C32C1D-1EC7-407D-B5FD-1E6D1B83D82B}" type="presParOf" srcId="{87D18150-EEC7-42B4-AA86-C6B3E5F29C97}" destId="{A8C89D32-7857-4BD8-8AF2-52B39973B2F5}" srcOrd="1" destOrd="0" presId="urn:microsoft.com/office/officeart/2008/layout/HorizontalMultiLevelHierarchy"/>
    <dgm:cxn modelId="{A31F6887-84EC-4644-8F8E-79C9451F42EF}" type="presParOf" srcId="{A8C89D32-7857-4BD8-8AF2-52B39973B2F5}" destId="{FA3713BA-A537-45F4-9C47-68D34E26C6BA}" srcOrd="0" destOrd="0" presId="urn:microsoft.com/office/officeart/2008/layout/HorizontalMultiLevelHierarchy"/>
    <dgm:cxn modelId="{27070AC3-2315-4017-B434-EC36738D3F70}" type="presParOf" srcId="{A8C89D32-7857-4BD8-8AF2-52B39973B2F5}" destId="{2C9B7BEC-78D0-49B3-BA81-2B092E84B2AD}" srcOrd="1" destOrd="0" presId="urn:microsoft.com/office/officeart/2008/layout/HorizontalMultiLevelHierarchy"/>
    <dgm:cxn modelId="{844926C1-AF2B-40AC-A96E-F31864E46D9A}" type="presParOf" srcId="{A7A7FD8D-5BC1-45B2-8136-5AE49CC0EDB8}" destId="{17AFFF27-F117-4E63-BF1C-AE2F5EDE5A6E}" srcOrd="6" destOrd="0" presId="urn:microsoft.com/office/officeart/2008/layout/HorizontalMultiLevelHierarchy"/>
    <dgm:cxn modelId="{53FC68DF-D725-4DB0-A609-FED96AAF5F6B}" type="presParOf" srcId="{17AFFF27-F117-4E63-BF1C-AE2F5EDE5A6E}" destId="{A40AD3AB-4C4C-4163-A40E-5D9267A7CDB9}" srcOrd="0" destOrd="0" presId="urn:microsoft.com/office/officeart/2008/layout/HorizontalMultiLevelHierarchy"/>
    <dgm:cxn modelId="{3DFF15D6-2029-406A-B918-26BCEE2CA553}" type="presParOf" srcId="{A7A7FD8D-5BC1-45B2-8136-5AE49CC0EDB8}" destId="{D8D0CB4A-716D-47FD-B3AF-704528419650}" srcOrd="7" destOrd="0" presId="urn:microsoft.com/office/officeart/2008/layout/HorizontalMultiLevelHierarchy"/>
    <dgm:cxn modelId="{6D097D41-66A5-4DA5-BEA8-17E842FEB390}" type="presParOf" srcId="{D8D0CB4A-716D-47FD-B3AF-704528419650}" destId="{79AA76A7-48EB-4AD6-950A-F4CBF77D1A3B}" srcOrd="0" destOrd="0" presId="urn:microsoft.com/office/officeart/2008/layout/HorizontalMultiLevelHierarchy"/>
    <dgm:cxn modelId="{64FCFB9E-E5D2-4D16-8AB0-06F088004818}" type="presParOf" srcId="{D8D0CB4A-716D-47FD-B3AF-704528419650}" destId="{88AB3398-0235-43E8-9216-BB2C04B856D2}" srcOrd="1" destOrd="0" presId="urn:microsoft.com/office/officeart/2008/layout/HorizontalMultiLevelHierarchy"/>
    <dgm:cxn modelId="{0510FB25-ABF3-4991-9C68-12C6A26C9E44}" type="presParOf" srcId="{88AB3398-0235-43E8-9216-BB2C04B856D2}" destId="{33F11ADE-FADE-4BC9-B449-27FE31562C2E}" srcOrd="0" destOrd="0" presId="urn:microsoft.com/office/officeart/2008/layout/HorizontalMultiLevelHierarchy"/>
    <dgm:cxn modelId="{C1ED1A63-F4A7-4E0B-A07E-07772507BB53}" type="presParOf" srcId="{33F11ADE-FADE-4BC9-B449-27FE31562C2E}" destId="{42BFFA29-5CAE-4F2A-A66D-4B7C0DA01D6E}" srcOrd="0" destOrd="0" presId="urn:microsoft.com/office/officeart/2008/layout/HorizontalMultiLevelHierarchy"/>
    <dgm:cxn modelId="{C60DC879-4629-412A-B4B5-E191C17D006F}" type="presParOf" srcId="{88AB3398-0235-43E8-9216-BB2C04B856D2}" destId="{F92B1AE7-C1B7-402E-A3BF-4DE50C517656}" srcOrd="1" destOrd="0" presId="urn:microsoft.com/office/officeart/2008/layout/HorizontalMultiLevelHierarchy"/>
    <dgm:cxn modelId="{764045DC-DC79-4825-8572-B539BD5E937A}" type="presParOf" srcId="{F92B1AE7-C1B7-402E-A3BF-4DE50C517656}" destId="{99796B89-8DA7-4D3D-B04E-74B84F39FDEA}" srcOrd="0" destOrd="0" presId="urn:microsoft.com/office/officeart/2008/layout/HorizontalMultiLevelHierarchy"/>
    <dgm:cxn modelId="{49DCC44C-2E1F-4961-9F47-B90D22B4AAC1}" type="presParOf" srcId="{F92B1AE7-C1B7-402E-A3BF-4DE50C517656}" destId="{AEEB3E94-0BEC-4E1E-BA08-D292D6D16B7B}" srcOrd="1" destOrd="0" presId="urn:microsoft.com/office/officeart/2008/layout/HorizontalMultiLevelHierarchy"/>
    <dgm:cxn modelId="{8D899CAB-486C-42D5-8B04-986F37E4FDEE}" type="presParOf" srcId="{88AB3398-0235-43E8-9216-BB2C04B856D2}" destId="{B2FD93C0-0CEE-4F85-8FEA-4409EF8E0586}" srcOrd="2" destOrd="0" presId="urn:microsoft.com/office/officeart/2008/layout/HorizontalMultiLevelHierarchy"/>
    <dgm:cxn modelId="{25FC7FCE-F49F-4716-BC7F-1C674A80C4DE}" type="presParOf" srcId="{B2FD93C0-0CEE-4F85-8FEA-4409EF8E0586}" destId="{FA5AD650-1A60-45FF-85CE-51850C598D27}" srcOrd="0" destOrd="0" presId="urn:microsoft.com/office/officeart/2008/layout/HorizontalMultiLevelHierarchy"/>
    <dgm:cxn modelId="{7469E57F-41E1-483C-96B4-ACE9B5116300}" type="presParOf" srcId="{88AB3398-0235-43E8-9216-BB2C04B856D2}" destId="{C396C53A-7856-4CE0-9B7A-A685CDB76AA7}" srcOrd="3" destOrd="0" presId="urn:microsoft.com/office/officeart/2008/layout/HorizontalMultiLevelHierarchy"/>
    <dgm:cxn modelId="{A7F06ADE-BACB-480E-9D7F-7BF18B34E1E8}" type="presParOf" srcId="{C396C53A-7856-4CE0-9B7A-A685CDB76AA7}" destId="{24EA228F-88DF-475C-8F54-F5AF3886E1D2}" srcOrd="0" destOrd="0" presId="urn:microsoft.com/office/officeart/2008/layout/HorizontalMultiLevelHierarchy"/>
    <dgm:cxn modelId="{9EE575A2-3084-4DA7-9E37-9F90569DB945}" type="presParOf" srcId="{C396C53A-7856-4CE0-9B7A-A685CDB76AA7}" destId="{9E773CD7-2FE8-4C34-9498-AF1F818D48B4}" srcOrd="1" destOrd="0" presId="urn:microsoft.com/office/officeart/2008/layout/HorizontalMultiLevelHierarchy"/>
    <dgm:cxn modelId="{B332B494-7052-4A9E-8FFA-7D72A630D04D}" type="presParOf" srcId="{88AB3398-0235-43E8-9216-BB2C04B856D2}" destId="{E765730B-192B-48AA-9A43-D2E8537384B8}" srcOrd="4" destOrd="0" presId="urn:microsoft.com/office/officeart/2008/layout/HorizontalMultiLevelHierarchy"/>
    <dgm:cxn modelId="{A78A4C24-61C5-4493-91FD-2CB93A8F36A6}" type="presParOf" srcId="{E765730B-192B-48AA-9A43-D2E8537384B8}" destId="{59FD6AAA-B8E7-4EC5-A0BB-D267AC8D8422}" srcOrd="0" destOrd="0" presId="urn:microsoft.com/office/officeart/2008/layout/HorizontalMultiLevelHierarchy"/>
    <dgm:cxn modelId="{050CCD3E-7398-4DD3-B47C-32A26EE85226}" type="presParOf" srcId="{88AB3398-0235-43E8-9216-BB2C04B856D2}" destId="{8E286ECA-91EC-4F24-A190-A1C63A2B00AE}" srcOrd="5" destOrd="0" presId="urn:microsoft.com/office/officeart/2008/layout/HorizontalMultiLevelHierarchy"/>
    <dgm:cxn modelId="{091160EA-33F6-4BEC-8BDE-2E881C38E60F}" type="presParOf" srcId="{8E286ECA-91EC-4F24-A190-A1C63A2B00AE}" destId="{BEA99061-401A-493A-8C34-1D4B7B0E4897}" srcOrd="0" destOrd="0" presId="urn:microsoft.com/office/officeart/2008/layout/HorizontalMultiLevelHierarchy"/>
    <dgm:cxn modelId="{EF8DE621-4C99-4E22-AAAC-C499874C2670}" type="presParOf" srcId="{8E286ECA-91EC-4F24-A190-A1C63A2B00AE}" destId="{25890785-CF88-415E-9457-76B96654B1D8}" srcOrd="1" destOrd="0" presId="urn:microsoft.com/office/officeart/2008/layout/HorizontalMultiLevelHierarchy"/>
    <dgm:cxn modelId="{B23254C1-4CBB-437B-9BD7-7A9E8E5C6B3E}" type="presParOf" srcId="{88AB3398-0235-43E8-9216-BB2C04B856D2}" destId="{FD7EE649-A782-42E5-A6E8-681838E69DEA}" srcOrd="6" destOrd="0" presId="urn:microsoft.com/office/officeart/2008/layout/HorizontalMultiLevelHierarchy"/>
    <dgm:cxn modelId="{8A2EB223-800E-4DF6-BBCB-1F6CF29CE7F0}" type="presParOf" srcId="{FD7EE649-A782-42E5-A6E8-681838E69DEA}" destId="{1450D465-4FED-4032-AB41-F50F04C3AAE6}" srcOrd="0" destOrd="0" presId="urn:microsoft.com/office/officeart/2008/layout/HorizontalMultiLevelHierarchy"/>
    <dgm:cxn modelId="{382CE15E-9786-49FE-985A-167518F64C3B}" type="presParOf" srcId="{88AB3398-0235-43E8-9216-BB2C04B856D2}" destId="{D012EFB5-B46D-4B8F-A964-8584CA3FC31F}" srcOrd="7" destOrd="0" presId="urn:microsoft.com/office/officeart/2008/layout/HorizontalMultiLevelHierarchy"/>
    <dgm:cxn modelId="{1649B85F-56DE-48AA-8DEB-A4D14355277E}" type="presParOf" srcId="{D012EFB5-B46D-4B8F-A964-8584CA3FC31F}" destId="{8D7B3A9F-81C5-4593-97C6-4923D1F1D6FA}" srcOrd="0" destOrd="0" presId="urn:microsoft.com/office/officeart/2008/layout/HorizontalMultiLevelHierarchy"/>
    <dgm:cxn modelId="{FA1627A7-CC5C-478F-8780-DC0B564E19E4}" type="presParOf" srcId="{D012EFB5-B46D-4B8F-A964-8584CA3FC31F}" destId="{CAB46D95-06AA-42F6-AEE9-0BE2C1912463}" srcOrd="1" destOrd="0" presId="urn:microsoft.com/office/officeart/2008/layout/HorizontalMultiLevelHierarchy"/>
    <dgm:cxn modelId="{ABED1EB2-64DE-427A-A33E-8F395E5A7B37}" type="presParOf" srcId="{88AB3398-0235-43E8-9216-BB2C04B856D2}" destId="{F7C0573F-3EF2-44F9-A184-10ED1A6B8DF0}" srcOrd="8" destOrd="0" presId="urn:microsoft.com/office/officeart/2008/layout/HorizontalMultiLevelHierarchy"/>
    <dgm:cxn modelId="{BBD73C54-4C79-44E3-A818-D94AC4A0275E}" type="presParOf" srcId="{F7C0573F-3EF2-44F9-A184-10ED1A6B8DF0}" destId="{99E6ED08-97F0-4C94-929A-62E538FB8444}" srcOrd="0" destOrd="0" presId="urn:microsoft.com/office/officeart/2008/layout/HorizontalMultiLevelHierarchy"/>
    <dgm:cxn modelId="{905FFFC7-4059-4664-A1FE-70EBB29CA192}" type="presParOf" srcId="{88AB3398-0235-43E8-9216-BB2C04B856D2}" destId="{3B2A7CD5-50B9-401F-9BAE-306002B4B349}" srcOrd="9" destOrd="0" presId="urn:microsoft.com/office/officeart/2008/layout/HorizontalMultiLevelHierarchy"/>
    <dgm:cxn modelId="{DBC4AF31-B8ED-4C11-9B94-9B550F87BAE1}" type="presParOf" srcId="{3B2A7CD5-50B9-401F-9BAE-306002B4B349}" destId="{BE3313FD-BAD8-4088-AAFB-F0B04E1F263E}" srcOrd="0" destOrd="0" presId="urn:microsoft.com/office/officeart/2008/layout/HorizontalMultiLevelHierarchy"/>
    <dgm:cxn modelId="{CBE2D924-9D17-4976-900C-DAF88C2DD6DE}" type="presParOf" srcId="{3B2A7CD5-50B9-401F-9BAE-306002B4B349}" destId="{8AAD0A5D-6BB9-4749-80DC-0C84C7D5D4BD}" srcOrd="1" destOrd="0" presId="urn:microsoft.com/office/officeart/2008/layout/HorizontalMultiLevelHierarchy"/>
    <dgm:cxn modelId="{3AC7841D-F37F-4DA0-8821-D949E3738D4D}" type="presParOf" srcId="{88AB3398-0235-43E8-9216-BB2C04B856D2}" destId="{8D65C71A-8B87-4B30-8B1D-C811FE6C3ABC}" srcOrd="10" destOrd="0" presId="urn:microsoft.com/office/officeart/2008/layout/HorizontalMultiLevelHierarchy"/>
    <dgm:cxn modelId="{E172D5DE-E90D-41FC-B14D-34FCC028AFBC}" type="presParOf" srcId="{8D65C71A-8B87-4B30-8B1D-C811FE6C3ABC}" destId="{DE8D2761-E2DF-408C-9D41-C0C35CC01717}" srcOrd="0" destOrd="0" presId="urn:microsoft.com/office/officeart/2008/layout/HorizontalMultiLevelHierarchy"/>
    <dgm:cxn modelId="{EE1CD386-9CB2-404D-A362-A578B50242BD}" type="presParOf" srcId="{88AB3398-0235-43E8-9216-BB2C04B856D2}" destId="{BE4629FE-F7D5-42CB-99B9-6F0206757C74}" srcOrd="11" destOrd="0" presId="urn:microsoft.com/office/officeart/2008/layout/HorizontalMultiLevelHierarchy"/>
    <dgm:cxn modelId="{D24475A5-2F60-4FD7-8403-0193C0518EB8}" type="presParOf" srcId="{BE4629FE-F7D5-42CB-99B9-6F0206757C74}" destId="{20FBE340-34D8-4366-A912-C02DF4120926}" srcOrd="0" destOrd="0" presId="urn:microsoft.com/office/officeart/2008/layout/HorizontalMultiLevelHierarchy"/>
    <dgm:cxn modelId="{955CACD6-4569-4F8B-BAE6-1E356AB78A50}" type="presParOf" srcId="{BE4629FE-F7D5-42CB-99B9-6F0206757C74}" destId="{ED7B6698-1850-4E8D-9807-3B056E3BC85E}" srcOrd="1" destOrd="0" presId="urn:microsoft.com/office/officeart/2008/layout/HorizontalMultiLevelHierarchy"/>
  </dgm:cxnLst>
  <dgm:bg>
    <a:noFill/>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65C71A-8B87-4B30-8B1D-C811FE6C3ABC}">
      <dsp:nvSpPr>
        <dsp:cNvPr id="0" name=""/>
        <dsp:cNvSpPr/>
      </dsp:nvSpPr>
      <dsp:spPr>
        <a:xfrm>
          <a:off x="2656635" y="5609608"/>
          <a:ext cx="159917" cy="761801"/>
        </a:xfrm>
        <a:custGeom>
          <a:avLst/>
          <a:gdLst/>
          <a:ahLst/>
          <a:cxnLst/>
          <a:rect l="0" t="0" r="0" b="0"/>
          <a:pathLst>
            <a:path>
              <a:moveTo>
                <a:pt x="0" y="0"/>
              </a:moveTo>
              <a:lnTo>
                <a:pt x="79958" y="0"/>
              </a:lnTo>
              <a:lnTo>
                <a:pt x="79958" y="761801"/>
              </a:lnTo>
              <a:lnTo>
                <a:pt x="159917" y="7618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17134" y="5971048"/>
        <a:ext cx="38920" cy="38920"/>
      </dsp:txXfrm>
    </dsp:sp>
    <dsp:sp modelId="{F7C0573F-3EF2-44F9-A184-10ED1A6B8DF0}">
      <dsp:nvSpPr>
        <dsp:cNvPr id="0" name=""/>
        <dsp:cNvSpPr/>
      </dsp:nvSpPr>
      <dsp:spPr>
        <a:xfrm>
          <a:off x="2656635" y="5609608"/>
          <a:ext cx="159917" cy="457080"/>
        </a:xfrm>
        <a:custGeom>
          <a:avLst/>
          <a:gdLst/>
          <a:ahLst/>
          <a:cxnLst/>
          <a:rect l="0" t="0" r="0" b="0"/>
          <a:pathLst>
            <a:path>
              <a:moveTo>
                <a:pt x="0" y="0"/>
              </a:moveTo>
              <a:lnTo>
                <a:pt x="79958" y="0"/>
              </a:lnTo>
              <a:lnTo>
                <a:pt x="79958" y="457080"/>
              </a:lnTo>
              <a:lnTo>
                <a:pt x="159917" y="4570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24488" y="5826042"/>
        <a:ext cx="24212" cy="24212"/>
      </dsp:txXfrm>
    </dsp:sp>
    <dsp:sp modelId="{FD7EE649-A782-42E5-A6E8-681838E69DEA}">
      <dsp:nvSpPr>
        <dsp:cNvPr id="0" name=""/>
        <dsp:cNvSpPr/>
      </dsp:nvSpPr>
      <dsp:spPr>
        <a:xfrm>
          <a:off x="2656635" y="5609608"/>
          <a:ext cx="159917" cy="152360"/>
        </a:xfrm>
        <a:custGeom>
          <a:avLst/>
          <a:gdLst/>
          <a:ahLst/>
          <a:cxnLst/>
          <a:rect l="0" t="0" r="0" b="0"/>
          <a:pathLst>
            <a:path>
              <a:moveTo>
                <a:pt x="0" y="0"/>
              </a:moveTo>
              <a:lnTo>
                <a:pt x="79958" y="0"/>
              </a:lnTo>
              <a:lnTo>
                <a:pt x="79958" y="152360"/>
              </a:lnTo>
              <a:lnTo>
                <a:pt x="159917" y="1523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1072" y="5680266"/>
        <a:ext cx="11043" cy="11043"/>
      </dsp:txXfrm>
    </dsp:sp>
    <dsp:sp modelId="{E765730B-192B-48AA-9A43-D2E8537384B8}">
      <dsp:nvSpPr>
        <dsp:cNvPr id="0" name=""/>
        <dsp:cNvSpPr/>
      </dsp:nvSpPr>
      <dsp:spPr>
        <a:xfrm>
          <a:off x="2656635" y="5457247"/>
          <a:ext cx="159917" cy="152360"/>
        </a:xfrm>
        <a:custGeom>
          <a:avLst/>
          <a:gdLst/>
          <a:ahLst/>
          <a:cxnLst/>
          <a:rect l="0" t="0" r="0" b="0"/>
          <a:pathLst>
            <a:path>
              <a:moveTo>
                <a:pt x="0" y="152360"/>
              </a:moveTo>
              <a:lnTo>
                <a:pt x="79958" y="15236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1072" y="5527906"/>
        <a:ext cx="11043" cy="11043"/>
      </dsp:txXfrm>
    </dsp:sp>
    <dsp:sp modelId="{B2FD93C0-0CEE-4F85-8FEA-4409EF8E0586}">
      <dsp:nvSpPr>
        <dsp:cNvPr id="0" name=""/>
        <dsp:cNvSpPr/>
      </dsp:nvSpPr>
      <dsp:spPr>
        <a:xfrm>
          <a:off x="2656635" y="5152527"/>
          <a:ext cx="159917" cy="457080"/>
        </a:xfrm>
        <a:custGeom>
          <a:avLst/>
          <a:gdLst/>
          <a:ahLst/>
          <a:cxnLst/>
          <a:rect l="0" t="0" r="0" b="0"/>
          <a:pathLst>
            <a:path>
              <a:moveTo>
                <a:pt x="0" y="457080"/>
              </a:moveTo>
              <a:lnTo>
                <a:pt x="79958" y="45708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24488" y="5368961"/>
        <a:ext cx="24212" cy="24212"/>
      </dsp:txXfrm>
    </dsp:sp>
    <dsp:sp modelId="{33F11ADE-FADE-4BC9-B449-27FE31562C2E}">
      <dsp:nvSpPr>
        <dsp:cNvPr id="0" name=""/>
        <dsp:cNvSpPr/>
      </dsp:nvSpPr>
      <dsp:spPr>
        <a:xfrm>
          <a:off x="2656635" y="4847807"/>
          <a:ext cx="159917" cy="761801"/>
        </a:xfrm>
        <a:custGeom>
          <a:avLst/>
          <a:gdLst/>
          <a:ahLst/>
          <a:cxnLst/>
          <a:rect l="0" t="0" r="0" b="0"/>
          <a:pathLst>
            <a:path>
              <a:moveTo>
                <a:pt x="0" y="761801"/>
              </a:moveTo>
              <a:lnTo>
                <a:pt x="79958" y="761801"/>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17134" y="5209247"/>
        <a:ext cx="38920" cy="38920"/>
      </dsp:txXfrm>
    </dsp:sp>
    <dsp:sp modelId="{17AFFF27-F117-4E63-BF1C-AE2F5EDE5A6E}">
      <dsp:nvSpPr>
        <dsp:cNvPr id="0" name=""/>
        <dsp:cNvSpPr/>
      </dsp:nvSpPr>
      <dsp:spPr>
        <a:xfrm>
          <a:off x="1490558" y="3668536"/>
          <a:ext cx="159917" cy="1941072"/>
        </a:xfrm>
        <a:custGeom>
          <a:avLst/>
          <a:gdLst/>
          <a:ahLst/>
          <a:cxnLst/>
          <a:rect l="0" t="0" r="0" b="0"/>
          <a:pathLst>
            <a:path>
              <a:moveTo>
                <a:pt x="0" y="0"/>
              </a:moveTo>
              <a:lnTo>
                <a:pt x="79958" y="0"/>
              </a:lnTo>
              <a:lnTo>
                <a:pt x="79958" y="1941072"/>
              </a:lnTo>
              <a:lnTo>
                <a:pt x="159917" y="19410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IE" sz="600" kern="1200"/>
        </a:p>
      </dsp:txBody>
      <dsp:txXfrm>
        <a:off x="1521826" y="4590380"/>
        <a:ext cx="97382" cy="97382"/>
      </dsp:txXfrm>
    </dsp:sp>
    <dsp:sp modelId="{86661B70-F973-4297-9332-B0F451694DB8}">
      <dsp:nvSpPr>
        <dsp:cNvPr id="0" name=""/>
        <dsp:cNvSpPr/>
      </dsp:nvSpPr>
      <dsp:spPr>
        <a:xfrm>
          <a:off x="3643749" y="4491915"/>
          <a:ext cx="189469" cy="91440"/>
        </a:xfrm>
        <a:custGeom>
          <a:avLst/>
          <a:gdLst/>
          <a:ahLst/>
          <a:cxnLst/>
          <a:rect l="0" t="0" r="0" b="0"/>
          <a:pathLst>
            <a:path>
              <a:moveTo>
                <a:pt x="0" y="51170"/>
              </a:moveTo>
              <a:lnTo>
                <a:pt x="94734" y="51170"/>
              </a:lnTo>
              <a:lnTo>
                <a:pt x="94734" y="45720"/>
              </a:lnTo>
              <a:lnTo>
                <a:pt x="189469"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33745" y="4532897"/>
        <a:ext cx="9477" cy="9477"/>
      </dsp:txXfrm>
    </dsp:sp>
    <dsp:sp modelId="{ACC7EE9C-47C5-4882-B9F0-7AEFD80333A8}">
      <dsp:nvSpPr>
        <dsp:cNvPr id="0" name=""/>
        <dsp:cNvSpPr/>
      </dsp:nvSpPr>
      <dsp:spPr>
        <a:xfrm>
          <a:off x="2684245" y="4497366"/>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60206" y="4539088"/>
        <a:ext cx="7995" cy="7995"/>
      </dsp:txXfrm>
    </dsp:sp>
    <dsp:sp modelId="{8235F5A7-455C-4ED1-A0D6-BA9386B7EBE6}">
      <dsp:nvSpPr>
        <dsp:cNvPr id="0" name=""/>
        <dsp:cNvSpPr/>
      </dsp:nvSpPr>
      <dsp:spPr>
        <a:xfrm>
          <a:off x="1490558" y="3668536"/>
          <a:ext cx="159917" cy="874550"/>
        </a:xfrm>
        <a:custGeom>
          <a:avLst/>
          <a:gdLst/>
          <a:ahLst/>
          <a:cxnLst/>
          <a:rect l="0" t="0" r="0" b="0"/>
          <a:pathLst>
            <a:path>
              <a:moveTo>
                <a:pt x="0" y="0"/>
              </a:moveTo>
              <a:lnTo>
                <a:pt x="79958" y="0"/>
              </a:lnTo>
              <a:lnTo>
                <a:pt x="79958" y="874550"/>
              </a:lnTo>
              <a:lnTo>
                <a:pt x="159917" y="8745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1548291" y="4083585"/>
        <a:ext cx="44452" cy="44452"/>
      </dsp:txXfrm>
    </dsp:sp>
    <dsp:sp modelId="{1E06376C-0AE9-448F-8BA4-30614795E449}">
      <dsp:nvSpPr>
        <dsp:cNvPr id="0" name=""/>
        <dsp:cNvSpPr/>
      </dsp:nvSpPr>
      <dsp:spPr>
        <a:xfrm>
          <a:off x="2660577" y="3940464"/>
          <a:ext cx="166042" cy="297901"/>
        </a:xfrm>
        <a:custGeom>
          <a:avLst/>
          <a:gdLst/>
          <a:ahLst/>
          <a:cxnLst/>
          <a:rect l="0" t="0" r="0" b="0"/>
          <a:pathLst>
            <a:path>
              <a:moveTo>
                <a:pt x="0" y="0"/>
              </a:moveTo>
              <a:lnTo>
                <a:pt x="83021" y="0"/>
              </a:lnTo>
              <a:lnTo>
                <a:pt x="83021" y="297901"/>
              </a:lnTo>
              <a:lnTo>
                <a:pt x="166042" y="2979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5072" y="4080889"/>
        <a:ext cx="17052" cy="17052"/>
      </dsp:txXfrm>
    </dsp:sp>
    <dsp:sp modelId="{FFC5E3D9-92C9-4A86-B49C-B8680391E47D}">
      <dsp:nvSpPr>
        <dsp:cNvPr id="0" name=""/>
        <dsp:cNvSpPr/>
      </dsp:nvSpPr>
      <dsp:spPr>
        <a:xfrm>
          <a:off x="3626206" y="3887925"/>
          <a:ext cx="216432" cy="91440"/>
        </a:xfrm>
        <a:custGeom>
          <a:avLst/>
          <a:gdLst/>
          <a:ahLst/>
          <a:cxnLst/>
          <a:rect l="0" t="0" r="0" b="0"/>
          <a:pathLst>
            <a:path>
              <a:moveTo>
                <a:pt x="0" y="45720"/>
              </a:moveTo>
              <a:lnTo>
                <a:pt x="216432"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29011" y="3928235"/>
        <a:ext cx="10821" cy="10821"/>
      </dsp:txXfrm>
    </dsp:sp>
    <dsp:sp modelId="{1F1DF977-D653-480A-8F78-531567E596B3}">
      <dsp:nvSpPr>
        <dsp:cNvPr id="0" name=""/>
        <dsp:cNvSpPr/>
      </dsp:nvSpPr>
      <dsp:spPr>
        <a:xfrm>
          <a:off x="2660577" y="3887925"/>
          <a:ext cx="166042" cy="91440"/>
        </a:xfrm>
        <a:custGeom>
          <a:avLst/>
          <a:gdLst/>
          <a:ahLst/>
          <a:cxnLst/>
          <a:rect l="0" t="0" r="0" b="0"/>
          <a:pathLst>
            <a:path>
              <a:moveTo>
                <a:pt x="0" y="52538"/>
              </a:moveTo>
              <a:lnTo>
                <a:pt x="83021" y="52538"/>
              </a:lnTo>
              <a:lnTo>
                <a:pt x="83021" y="45720"/>
              </a:lnTo>
              <a:lnTo>
                <a:pt x="166042"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9444" y="3929491"/>
        <a:ext cx="8309" cy="8309"/>
      </dsp:txXfrm>
    </dsp:sp>
    <dsp:sp modelId="{899D67B7-5EAD-40DA-BA11-C40646F01A65}">
      <dsp:nvSpPr>
        <dsp:cNvPr id="0" name=""/>
        <dsp:cNvSpPr/>
      </dsp:nvSpPr>
      <dsp:spPr>
        <a:xfrm>
          <a:off x="2660577" y="3608711"/>
          <a:ext cx="166042" cy="331752"/>
        </a:xfrm>
        <a:custGeom>
          <a:avLst/>
          <a:gdLst/>
          <a:ahLst/>
          <a:cxnLst/>
          <a:rect l="0" t="0" r="0" b="0"/>
          <a:pathLst>
            <a:path>
              <a:moveTo>
                <a:pt x="0" y="331752"/>
              </a:moveTo>
              <a:lnTo>
                <a:pt x="83021" y="331752"/>
              </a:lnTo>
              <a:lnTo>
                <a:pt x="83021" y="0"/>
              </a:lnTo>
              <a:lnTo>
                <a:pt x="166042"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34324" y="3765313"/>
        <a:ext cx="18549" cy="18549"/>
      </dsp:txXfrm>
    </dsp:sp>
    <dsp:sp modelId="{BDCF2E22-F8CF-4457-812F-89738E320893}">
      <dsp:nvSpPr>
        <dsp:cNvPr id="0" name=""/>
        <dsp:cNvSpPr/>
      </dsp:nvSpPr>
      <dsp:spPr>
        <a:xfrm>
          <a:off x="1490558" y="3668536"/>
          <a:ext cx="153792" cy="271928"/>
        </a:xfrm>
        <a:custGeom>
          <a:avLst/>
          <a:gdLst/>
          <a:ahLst/>
          <a:cxnLst/>
          <a:rect l="0" t="0" r="0" b="0"/>
          <a:pathLst>
            <a:path>
              <a:moveTo>
                <a:pt x="0" y="0"/>
              </a:moveTo>
              <a:lnTo>
                <a:pt x="76896" y="0"/>
              </a:lnTo>
              <a:lnTo>
                <a:pt x="76896" y="271928"/>
              </a:lnTo>
              <a:lnTo>
                <a:pt x="153792" y="271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1559645" y="3796690"/>
        <a:ext cx="15620" cy="15620"/>
      </dsp:txXfrm>
    </dsp:sp>
    <dsp:sp modelId="{ACD85488-53CD-413C-9470-9F6B8CE84EE7}">
      <dsp:nvSpPr>
        <dsp:cNvPr id="0" name=""/>
        <dsp:cNvSpPr/>
      </dsp:nvSpPr>
      <dsp:spPr>
        <a:xfrm>
          <a:off x="3688925" y="3324205"/>
          <a:ext cx="159917" cy="304720"/>
        </a:xfrm>
        <a:custGeom>
          <a:avLst/>
          <a:gdLst/>
          <a:ahLst/>
          <a:cxnLst/>
          <a:rect l="0" t="0" r="0" b="0"/>
          <a:pathLst>
            <a:path>
              <a:moveTo>
                <a:pt x="0" y="0"/>
              </a:moveTo>
              <a:lnTo>
                <a:pt x="79958" y="0"/>
              </a:lnTo>
              <a:lnTo>
                <a:pt x="79958" y="304720"/>
              </a:lnTo>
              <a:lnTo>
                <a:pt x="159917" y="304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3467961"/>
        <a:ext cx="17206" cy="17206"/>
      </dsp:txXfrm>
    </dsp:sp>
    <dsp:sp modelId="{A4F5934C-A0BA-46E0-836A-98417E325588}">
      <dsp:nvSpPr>
        <dsp:cNvPr id="0" name=""/>
        <dsp:cNvSpPr/>
      </dsp:nvSpPr>
      <dsp:spPr>
        <a:xfrm>
          <a:off x="3688925" y="3278485"/>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3320207"/>
        <a:ext cx="7995" cy="7995"/>
      </dsp:txXfrm>
    </dsp:sp>
    <dsp:sp modelId="{06C0F108-6B83-4DF9-96EF-147EECC0C428}">
      <dsp:nvSpPr>
        <dsp:cNvPr id="0" name=""/>
        <dsp:cNvSpPr/>
      </dsp:nvSpPr>
      <dsp:spPr>
        <a:xfrm>
          <a:off x="3688925" y="3019484"/>
          <a:ext cx="159917" cy="304720"/>
        </a:xfrm>
        <a:custGeom>
          <a:avLst/>
          <a:gdLst/>
          <a:ahLst/>
          <a:cxnLst/>
          <a:rect l="0" t="0" r="0" b="0"/>
          <a:pathLst>
            <a:path>
              <a:moveTo>
                <a:pt x="0" y="304720"/>
              </a:moveTo>
              <a:lnTo>
                <a:pt x="79958" y="30472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3163241"/>
        <a:ext cx="17206" cy="17206"/>
      </dsp:txXfrm>
    </dsp:sp>
    <dsp:sp modelId="{5283C906-0C24-443C-89F1-E912F2AF99BD}">
      <dsp:nvSpPr>
        <dsp:cNvPr id="0" name=""/>
        <dsp:cNvSpPr/>
      </dsp:nvSpPr>
      <dsp:spPr>
        <a:xfrm>
          <a:off x="2729422" y="1724422"/>
          <a:ext cx="159917" cy="1599782"/>
        </a:xfrm>
        <a:custGeom>
          <a:avLst/>
          <a:gdLst/>
          <a:ahLst/>
          <a:cxnLst/>
          <a:rect l="0" t="0" r="0" b="0"/>
          <a:pathLst>
            <a:path>
              <a:moveTo>
                <a:pt x="0" y="0"/>
              </a:moveTo>
              <a:lnTo>
                <a:pt x="79958" y="0"/>
              </a:lnTo>
              <a:lnTo>
                <a:pt x="79958" y="1599782"/>
              </a:lnTo>
              <a:lnTo>
                <a:pt x="159917" y="15997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69186" y="2484120"/>
        <a:ext cx="80387" cy="80387"/>
      </dsp:txXfrm>
    </dsp:sp>
    <dsp:sp modelId="{AFC23C23-4876-46BA-8CA9-B277B78C4288}">
      <dsp:nvSpPr>
        <dsp:cNvPr id="0" name=""/>
        <dsp:cNvSpPr/>
      </dsp:nvSpPr>
      <dsp:spPr>
        <a:xfrm>
          <a:off x="3688925" y="2669044"/>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2710766"/>
        <a:ext cx="7995" cy="7995"/>
      </dsp:txXfrm>
    </dsp:sp>
    <dsp:sp modelId="{C083BFA6-BD05-437F-B91E-85FD9EEE9645}">
      <dsp:nvSpPr>
        <dsp:cNvPr id="0" name=""/>
        <dsp:cNvSpPr/>
      </dsp:nvSpPr>
      <dsp:spPr>
        <a:xfrm>
          <a:off x="2729422" y="1724422"/>
          <a:ext cx="159917" cy="990341"/>
        </a:xfrm>
        <a:custGeom>
          <a:avLst/>
          <a:gdLst/>
          <a:ahLst/>
          <a:cxnLst/>
          <a:rect l="0" t="0" r="0" b="0"/>
          <a:pathLst>
            <a:path>
              <a:moveTo>
                <a:pt x="0" y="0"/>
              </a:moveTo>
              <a:lnTo>
                <a:pt x="79958" y="0"/>
              </a:lnTo>
              <a:lnTo>
                <a:pt x="79958" y="990341"/>
              </a:lnTo>
              <a:lnTo>
                <a:pt x="159917" y="9903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84301" y="2194514"/>
        <a:ext cx="50158" cy="50158"/>
      </dsp:txXfrm>
    </dsp:sp>
    <dsp:sp modelId="{70BB5A89-0A88-4333-AAB9-E760D3BAB196}">
      <dsp:nvSpPr>
        <dsp:cNvPr id="0" name=""/>
        <dsp:cNvSpPr/>
      </dsp:nvSpPr>
      <dsp:spPr>
        <a:xfrm>
          <a:off x="2729422" y="1724422"/>
          <a:ext cx="159917" cy="685620"/>
        </a:xfrm>
        <a:custGeom>
          <a:avLst/>
          <a:gdLst/>
          <a:ahLst/>
          <a:cxnLst/>
          <a:rect l="0" t="0" r="0" b="0"/>
          <a:pathLst>
            <a:path>
              <a:moveTo>
                <a:pt x="0" y="0"/>
              </a:moveTo>
              <a:lnTo>
                <a:pt x="79958" y="0"/>
              </a:lnTo>
              <a:lnTo>
                <a:pt x="79958" y="685620"/>
              </a:lnTo>
              <a:lnTo>
                <a:pt x="159917" y="685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91780" y="2049632"/>
        <a:ext cx="35201" cy="35201"/>
      </dsp:txXfrm>
    </dsp:sp>
    <dsp:sp modelId="{5C7B04CF-1119-4864-8DF3-7A00901947AF}">
      <dsp:nvSpPr>
        <dsp:cNvPr id="0" name=""/>
        <dsp:cNvSpPr/>
      </dsp:nvSpPr>
      <dsp:spPr>
        <a:xfrm>
          <a:off x="3688925" y="2105323"/>
          <a:ext cx="159917" cy="152360"/>
        </a:xfrm>
        <a:custGeom>
          <a:avLst/>
          <a:gdLst/>
          <a:ahLst/>
          <a:cxnLst/>
          <a:rect l="0" t="0" r="0" b="0"/>
          <a:pathLst>
            <a:path>
              <a:moveTo>
                <a:pt x="0" y="0"/>
              </a:moveTo>
              <a:lnTo>
                <a:pt x="79958" y="0"/>
              </a:lnTo>
              <a:lnTo>
                <a:pt x="79958" y="152360"/>
              </a:lnTo>
              <a:lnTo>
                <a:pt x="159917" y="1523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3362" y="2175981"/>
        <a:ext cx="11043" cy="11043"/>
      </dsp:txXfrm>
    </dsp:sp>
    <dsp:sp modelId="{45EA05E5-7550-4699-BC10-BB9B6587FFCD}">
      <dsp:nvSpPr>
        <dsp:cNvPr id="0" name=""/>
        <dsp:cNvSpPr/>
      </dsp:nvSpPr>
      <dsp:spPr>
        <a:xfrm>
          <a:off x="3688925" y="1952963"/>
          <a:ext cx="159917" cy="152360"/>
        </a:xfrm>
        <a:custGeom>
          <a:avLst/>
          <a:gdLst/>
          <a:ahLst/>
          <a:cxnLst/>
          <a:rect l="0" t="0" r="0" b="0"/>
          <a:pathLst>
            <a:path>
              <a:moveTo>
                <a:pt x="0" y="152360"/>
              </a:moveTo>
              <a:lnTo>
                <a:pt x="79958" y="15236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3362" y="2023621"/>
        <a:ext cx="11043" cy="11043"/>
      </dsp:txXfrm>
    </dsp:sp>
    <dsp:sp modelId="{A5FDDB70-71C8-4934-93B0-D9FB37F11EB1}">
      <dsp:nvSpPr>
        <dsp:cNvPr id="0" name=""/>
        <dsp:cNvSpPr/>
      </dsp:nvSpPr>
      <dsp:spPr>
        <a:xfrm>
          <a:off x="2729422" y="1724422"/>
          <a:ext cx="159917" cy="380900"/>
        </a:xfrm>
        <a:custGeom>
          <a:avLst/>
          <a:gdLst/>
          <a:ahLst/>
          <a:cxnLst/>
          <a:rect l="0" t="0" r="0" b="0"/>
          <a:pathLst>
            <a:path>
              <a:moveTo>
                <a:pt x="0" y="0"/>
              </a:moveTo>
              <a:lnTo>
                <a:pt x="79958" y="0"/>
              </a:lnTo>
              <a:lnTo>
                <a:pt x="79958" y="380900"/>
              </a:lnTo>
              <a:lnTo>
                <a:pt x="159917" y="3809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99053" y="1904545"/>
        <a:ext cx="20655" cy="20655"/>
      </dsp:txXfrm>
    </dsp:sp>
    <dsp:sp modelId="{FDE5BFD8-D911-49AF-B77A-09AADC8DEF25}">
      <dsp:nvSpPr>
        <dsp:cNvPr id="0" name=""/>
        <dsp:cNvSpPr/>
      </dsp:nvSpPr>
      <dsp:spPr>
        <a:xfrm>
          <a:off x="3688925" y="1038802"/>
          <a:ext cx="159917" cy="609440"/>
        </a:xfrm>
        <a:custGeom>
          <a:avLst/>
          <a:gdLst/>
          <a:ahLst/>
          <a:cxnLst/>
          <a:rect l="0" t="0" r="0" b="0"/>
          <a:pathLst>
            <a:path>
              <a:moveTo>
                <a:pt x="0" y="0"/>
              </a:moveTo>
              <a:lnTo>
                <a:pt x="79958" y="0"/>
              </a:lnTo>
              <a:lnTo>
                <a:pt x="79958" y="609440"/>
              </a:lnTo>
              <a:lnTo>
                <a:pt x="159917" y="6094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53132" y="1327770"/>
        <a:ext cx="31503" cy="31503"/>
      </dsp:txXfrm>
    </dsp:sp>
    <dsp:sp modelId="{E302A2B1-2FCE-4598-9650-5C08F85B1C92}">
      <dsp:nvSpPr>
        <dsp:cNvPr id="0" name=""/>
        <dsp:cNvSpPr/>
      </dsp:nvSpPr>
      <dsp:spPr>
        <a:xfrm>
          <a:off x="3688925" y="1038802"/>
          <a:ext cx="159917" cy="304720"/>
        </a:xfrm>
        <a:custGeom>
          <a:avLst/>
          <a:gdLst/>
          <a:ahLst/>
          <a:cxnLst/>
          <a:rect l="0" t="0" r="0" b="0"/>
          <a:pathLst>
            <a:path>
              <a:moveTo>
                <a:pt x="0" y="0"/>
              </a:moveTo>
              <a:lnTo>
                <a:pt x="79958" y="0"/>
              </a:lnTo>
              <a:lnTo>
                <a:pt x="79958" y="304720"/>
              </a:lnTo>
              <a:lnTo>
                <a:pt x="159917" y="304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1182558"/>
        <a:ext cx="17206" cy="17206"/>
      </dsp:txXfrm>
    </dsp:sp>
    <dsp:sp modelId="{CA94E458-E749-4443-98FE-D0CC5E699F44}">
      <dsp:nvSpPr>
        <dsp:cNvPr id="0" name=""/>
        <dsp:cNvSpPr/>
      </dsp:nvSpPr>
      <dsp:spPr>
        <a:xfrm>
          <a:off x="3688925" y="993082"/>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1034804"/>
        <a:ext cx="7995" cy="7995"/>
      </dsp:txXfrm>
    </dsp:sp>
    <dsp:sp modelId="{40727A20-1BEC-4C8E-9121-8CBBA5ABBA59}">
      <dsp:nvSpPr>
        <dsp:cNvPr id="0" name=""/>
        <dsp:cNvSpPr/>
      </dsp:nvSpPr>
      <dsp:spPr>
        <a:xfrm>
          <a:off x="3688925" y="734081"/>
          <a:ext cx="159917" cy="304720"/>
        </a:xfrm>
        <a:custGeom>
          <a:avLst/>
          <a:gdLst/>
          <a:ahLst/>
          <a:cxnLst/>
          <a:rect l="0" t="0" r="0" b="0"/>
          <a:pathLst>
            <a:path>
              <a:moveTo>
                <a:pt x="0" y="304720"/>
              </a:moveTo>
              <a:lnTo>
                <a:pt x="79958" y="30472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0281" y="877838"/>
        <a:ext cx="17206" cy="17206"/>
      </dsp:txXfrm>
    </dsp:sp>
    <dsp:sp modelId="{82FCC3C7-1F39-4C45-B614-8259411554F8}">
      <dsp:nvSpPr>
        <dsp:cNvPr id="0" name=""/>
        <dsp:cNvSpPr/>
      </dsp:nvSpPr>
      <dsp:spPr>
        <a:xfrm>
          <a:off x="3688925" y="429361"/>
          <a:ext cx="159917" cy="609440"/>
        </a:xfrm>
        <a:custGeom>
          <a:avLst/>
          <a:gdLst/>
          <a:ahLst/>
          <a:cxnLst/>
          <a:rect l="0" t="0" r="0" b="0"/>
          <a:pathLst>
            <a:path>
              <a:moveTo>
                <a:pt x="0" y="609440"/>
              </a:moveTo>
              <a:lnTo>
                <a:pt x="79958" y="60944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53132" y="718329"/>
        <a:ext cx="31503" cy="31503"/>
      </dsp:txXfrm>
    </dsp:sp>
    <dsp:sp modelId="{37092B0F-AE81-4EAE-8566-C5D661DDF83D}">
      <dsp:nvSpPr>
        <dsp:cNvPr id="0" name=""/>
        <dsp:cNvSpPr/>
      </dsp:nvSpPr>
      <dsp:spPr>
        <a:xfrm>
          <a:off x="2729422" y="1038802"/>
          <a:ext cx="159917" cy="685620"/>
        </a:xfrm>
        <a:custGeom>
          <a:avLst/>
          <a:gdLst/>
          <a:ahLst/>
          <a:cxnLst/>
          <a:rect l="0" t="0" r="0" b="0"/>
          <a:pathLst>
            <a:path>
              <a:moveTo>
                <a:pt x="0" y="685620"/>
              </a:moveTo>
              <a:lnTo>
                <a:pt x="79958" y="685620"/>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91780" y="1364011"/>
        <a:ext cx="35201" cy="35201"/>
      </dsp:txXfrm>
    </dsp:sp>
    <dsp:sp modelId="{E8E1A99B-F730-48B4-AED3-B8E4FAC06270}">
      <dsp:nvSpPr>
        <dsp:cNvPr id="0" name=""/>
        <dsp:cNvSpPr/>
      </dsp:nvSpPr>
      <dsp:spPr>
        <a:xfrm>
          <a:off x="3688925" y="78920"/>
          <a:ext cx="159917" cy="91440"/>
        </a:xfrm>
        <a:custGeom>
          <a:avLst/>
          <a:gdLst/>
          <a:ahLst/>
          <a:cxnLst/>
          <a:rect l="0" t="0" r="0" b="0"/>
          <a:pathLst>
            <a:path>
              <a:moveTo>
                <a:pt x="0" y="45720"/>
              </a:moveTo>
              <a:lnTo>
                <a:pt x="159917"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3764886" y="120642"/>
        <a:ext cx="7995" cy="7995"/>
      </dsp:txXfrm>
    </dsp:sp>
    <dsp:sp modelId="{6F5A6BBF-1208-43FD-972F-6A07E07465B7}">
      <dsp:nvSpPr>
        <dsp:cNvPr id="0" name=""/>
        <dsp:cNvSpPr/>
      </dsp:nvSpPr>
      <dsp:spPr>
        <a:xfrm>
          <a:off x="2729422" y="124640"/>
          <a:ext cx="159917" cy="1599782"/>
        </a:xfrm>
        <a:custGeom>
          <a:avLst/>
          <a:gdLst/>
          <a:ahLst/>
          <a:cxnLst/>
          <a:rect l="0" t="0" r="0" b="0"/>
          <a:pathLst>
            <a:path>
              <a:moveTo>
                <a:pt x="0" y="1599782"/>
              </a:moveTo>
              <a:lnTo>
                <a:pt x="79958" y="1599782"/>
              </a:lnTo>
              <a:lnTo>
                <a:pt x="79958" y="0"/>
              </a:lnTo>
              <a:lnTo>
                <a:pt x="159917"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IE" sz="500" kern="1200"/>
        </a:p>
      </dsp:txBody>
      <dsp:txXfrm>
        <a:off x="2769186" y="884337"/>
        <a:ext cx="80387" cy="80387"/>
      </dsp:txXfrm>
    </dsp:sp>
    <dsp:sp modelId="{8665A4A3-1A81-44FA-8D3D-FBCDC5D0BF82}">
      <dsp:nvSpPr>
        <dsp:cNvPr id="0" name=""/>
        <dsp:cNvSpPr/>
      </dsp:nvSpPr>
      <dsp:spPr>
        <a:xfrm>
          <a:off x="1490558" y="1724422"/>
          <a:ext cx="159917" cy="1944113"/>
        </a:xfrm>
        <a:custGeom>
          <a:avLst/>
          <a:gdLst/>
          <a:ahLst/>
          <a:cxnLst/>
          <a:rect l="0" t="0" r="0" b="0"/>
          <a:pathLst>
            <a:path>
              <a:moveTo>
                <a:pt x="0" y="1944113"/>
              </a:moveTo>
              <a:lnTo>
                <a:pt x="79958" y="1944113"/>
              </a:lnTo>
              <a:lnTo>
                <a:pt x="79958" y="0"/>
              </a:lnTo>
              <a:lnTo>
                <a:pt x="15991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IE" sz="600" kern="1200"/>
        </a:p>
      </dsp:txBody>
      <dsp:txXfrm>
        <a:off x="1521750" y="2647712"/>
        <a:ext cx="97533" cy="97533"/>
      </dsp:txXfrm>
    </dsp:sp>
    <dsp:sp modelId="{9F8865D7-637B-40B2-83AA-02FFABA698A8}">
      <dsp:nvSpPr>
        <dsp:cNvPr id="0" name=""/>
        <dsp:cNvSpPr/>
      </dsp:nvSpPr>
      <dsp:spPr>
        <a:xfrm rot="16200000">
          <a:off x="450886" y="3453366"/>
          <a:ext cx="1649005" cy="43033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fr-FR" sz="1300" b="1" kern="1200"/>
            <a:t>Équipements radioélectriques</a:t>
          </a:r>
        </a:p>
      </dsp:txBody>
      <dsp:txXfrm>
        <a:off x="450886" y="3453366"/>
        <a:ext cx="1649005" cy="430338"/>
      </dsp:txXfrm>
    </dsp:sp>
    <dsp:sp modelId="{42F5F020-7E60-4D56-BC34-8479D1709571}">
      <dsp:nvSpPr>
        <dsp:cNvPr id="0" name=""/>
        <dsp:cNvSpPr/>
      </dsp:nvSpPr>
      <dsp:spPr>
        <a:xfrm>
          <a:off x="1650476" y="1530301"/>
          <a:ext cx="1078945" cy="388243"/>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Électronique grand public</a:t>
          </a:r>
        </a:p>
      </dsp:txBody>
      <dsp:txXfrm>
        <a:off x="1650476" y="1530301"/>
        <a:ext cx="1078945" cy="388243"/>
      </dsp:txXfrm>
    </dsp:sp>
    <dsp:sp modelId="{7B6544A1-261F-4B8C-B2D1-994D278B4067}">
      <dsp:nvSpPr>
        <dsp:cNvPr id="0" name=""/>
        <dsp:cNvSpPr/>
      </dsp:nvSpPr>
      <dsp:spPr>
        <a:xfrm>
          <a:off x="2889339" y="2752"/>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Téléphonie</a:t>
          </a:r>
        </a:p>
      </dsp:txBody>
      <dsp:txXfrm>
        <a:off x="2889339" y="2752"/>
        <a:ext cx="799586" cy="243776"/>
      </dsp:txXfrm>
    </dsp:sp>
    <dsp:sp modelId="{2C2E50AF-9ACD-4299-95C5-94D75B963D92}">
      <dsp:nvSpPr>
        <dsp:cNvPr id="0" name=""/>
        <dsp:cNvSpPr/>
      </dsp:nvSpPr>
      <dsp:spPr>
        <a:xfrm>
          <a:off x="3848843" y="2752"/>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Téléphones mobiles</a:t>
          </a:r>
        </a:p>
      </dsp:txBody>
      <dsp:txXfrm>
        <a:off x="3848843" y="2752"/>
        <a:ext cx="799586" cy="243776"/>
      </dsp:txXfrm>
    </dsp:sp>
    <dsp:sp modelId="{8C6105CE-82E6-4676-861F-DFD16E32D836}">
      <dsp:nvSpPr>
        <dsp:cNvPr id="0" name=""/>
        <dsp:cNvSpPr/>
      </dsp:nvSpPr>
      <dsp:spPr>
        <a:xfrm>
          <a:off x="2889339" y="916913"/>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Télévision, radio et multimédia</a:t>
          </a:r>
        </a:p>
      </dsp:txBody>
      <dsp:txXfrm>
        <a:off x="2889339" y="916913"/>
        <a:ext cx="799586" cy="243776"/>
      </dsp:txXfrm>
    </dsp:sp>
    <dsp:sp modelId="{3E086721-83D3-4E99-89EA-C857EF1179B8}">
      <dsp:nvSpPr>
        <dsp:cNvPr id="0" name=""/>
        <dsp:cNvSpPr/>
      </dsp:nvSpPr>
      <dsp:spPr>
        <a:xfrm>
          <a:off x="3848843" y="307473"/>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Tablettes et liseuses numériques</a:t>
          </a:r>
        </a:p>
      </dsp:txBody>
      <dsp:txXfrm>
        <a:off x="3848843" y="307473"/>
        <a:ext cx="799586" cy="243776"/>
      </dsp:txXfrm>
    </dsp:sp>
    <dsp:sp modelId="{7AE0D0C6-38B4-48C4-AABE-47BC1056B599}">
      <dsp:nvSpPr>
        <dsp:cNvPr id="0" name=""/>
        <dsp:cNvSpPr/>
      </dsp:nvSpPr>
      <dsp:spPr>
        <a:xfrm>
          <a:off x="3848843" y="612193"/>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Caméras numériques</a:t>
          </a:r>
        </a:p>
      </dsp:txBody>
      <dsp:txXfrm>
        <a:off x="3848843" y="612193"/>
        <a:ext cx="799586" cy="243776"/>
      </dsp:txXfrm>
    </dsp:sp>
    <dsp:sp modelId="{A71C8AA4-1146-4339-834B-12500E79B611}">
      <dsp:nvSpPr>
        <dsp:cNvPr id="0" name=""/>
        <dsp:cNvSpPr/>
      </dsp:nvSpPr>
      <dsp:spPr>
        <a:xfrm>
          <a:off x="3848843" y="916913"/>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Dispositifs portés à l’oreille: casques d’écoute, casques-micro, écouteurs intra-auriculaires</a:t>
          </a:r>
        </a:p>
      </dsp:txBody>
      <dsp:txXfrm>
        <a:off x="3848843" y="916913"/>
        <a:ext cx="799586" cy="243776"/>
      </dsp:txXfrm>
    </dsp:sp>
    <dsp:sp modelId="{F02F1A60-BE9E-4572-88B6-C84544E2376F}">
      <dsp:nvSpPr>
        <dsp:cNvPr id="0" name=""/>
        <dsp:cNvSpPr/>
      </dsp:nvSpPr>
      <dsp:spPr>
        <a:xfrm>
          <a:off x="3848843" y="1221634"/>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Haut-parleurs portatifs</a:t>
          </a:r>
        </a:p>
      </dsp:txBody>
      <dsp:txXfrm>
        <a:off x="3848843" y="1221634"/>
        <a:ext cx="799586" cy="243776"/>
      </dsp:txXfrm>
    </dsp:sp>
    <dsp:sp modelId="{B4BE4968-4645-4EB4-99F4-E4574896ACEA}">
      <dsp:nvSpPr>
        <dsp:cNvPr id="0" name=""/>
        <dsp:cNvSpPr/>
      </dsp:nvSpPr>
      <dsp:spPr>
        <a:xfrm>
          <a:off x="3848843" y="1526354"/>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Systèmes de navigation portables</a:t>
          </a:r>
        </a:p>
      </dsp:txBody>
      <dsp:txXfrm>
        <a:off x="3848843" y="1526354"/>
        <a:ext cx="799586" cy="243776"/>
      </dsp:txXfrm>
    </dsp:sp>
    <dsp:sp modelId="{34836FAF-DA9B-4212-AA6C-8002F549199A}">
      <dsp:nvSpPr>
        <dsp:cNvPr id="0" name=""/>
        <dsp:cNvSpPr/>
      </dsp:nvSpPr>
      <dsp:spPr>
        <a:xfrm>
          <a:off x="2889339" y="1983435"/>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Informatique</a:t>
          </a:r>
        </a:p>
      </dsp:txBody>
      <dsp:txXfrm>
        <a:off x="2889339" y="1983435"/>
        <a:ext cx="799586" cy="243776"/>
      </dsp:txXfrm>
    </dsp:sp>
    <dsp:sp modelId="{E1FF08A6-9093-47CB-B0DE-C75DB04AAC04}">
      <dsp:nvSpPr>
        <dsp:cNvPr id="0" name=""/>
        <dsp:cNvSpPr/>
      </dsp:nvSpPr>
      <dsp:spPr>
        <a:xfrm>
          <a:off x="3848843" y="1831075"/>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Ordinateurs portables</a:t>
          </a:r>
        </a:p>
      </dsp:txBody>
      <dsp:txXfrm>
        <a:off x="3848843" y="1831075"/>
        <a:ext cx="799586" cy="243776"/>
      </dsp:txXfrm>
    </dsp:sp>
    <dsp:sp modelId="{4FC0C984-AA7F-4681-84BA-28AE3DEDFAB3}">
      <dsp:nvSpPr>
        <dsp:cNvPr id="0" name=""/>
        <dsp:cNvSpPr/>
      </dsp:nvSpPr>
      <dsp:spPr>
        <a:xfrm>
          <a:off x="3848843" y="2135795"/>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Claviers et souris</a:t>
          </a:r>
        </a:p>
      </dsp:txBody>
      <dsp:txXfrm>
        <a:off x="3848843" y="2135795"/>
        <a:ext cx="799586" cy="243776"/>
      </dsp:txXfrm>
    </dsp:sp>
    <dsp:sp modelId="{A20E0980-283B-4FC5-A60C-B13E4804FB8A}">
      <dsp:nvSpPr>
        <dsp:cNvPr id="0" name=""/>
        <dsp:cNvSpPr/>
      </dsp:nvSpPr>
      <dsp:spPr>
        <a:xfrm>
          <a:off x="2889339" y="2288155"/>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Périphériques TV</a:t>
          </a:r>
        </a:p>
      </dsp:txBody>
      <dsp:txXfrm>
        <a:off x="2889339" y="2288155"/>
        <a:ext cx="799586" cy="243776"/>
      </dsp:txXfrm>
    </dsp:sp>
    <dsp:sp modelId="{047F5CE2-8B74-4F91-BE51-8857D06DBB27}">
      <dsp:nvSpPr>
        <dsp:cNvPr id="0" name=""/>
        <dsp:cNvSpPr/>
      </dsp:nvSpPr>
      <dsp:spPr>
        <a:xfrm>
          <a:off x="2889339" y="2592876"/>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Drones</a:t>
          </a:r>
        </a:p>
      </dsp:txBody>
      <dsp:txXfrm>
        <a:off x="2889339" y="2592876"/>
        <a:ext cx="799586" cy="243776"/>
      </dsp:txXfrm>
    </dsp:sp>
    <dsp:sp modelId="{2BB92C48-DACA-46C4-B4B3-93F610BE3334}">
      <dsp:nvSpPr>
        <dsp:cNvPr id="0" name=""/>
        <dsp:cNvSpPr/>
      </dsp:nvSpPr>
      <dsp:spPr>
        <a:xfrm>
          <a:off x="3848843" y="2592876"/>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Drones destinés à des fins personnelles</a:t>
          </a:r>
        </a:p>
      </dsp:txBody>
      <dsp:txXfrm>
        <a:off x="3848843" y="2592876"/>
        <a:ext cx="799586" cy="243776"/>
      </dsp:txXfrm>
    </dsp:sp>
    <dsp:sp modelId="{75891E75-53B5-4A9E-8892-2D71B6E00F7B}">
      <dsp:nvSpPr>
        <dsp:cNvPr id="0" name=""/>
        <dsp:cNvSpPr/>
      </dsp:nvSpPr>
      <dsp:spPr>
        <a:xfrm>
          <a:off x="2889339" y="3202316"/>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Équipements de jeux</a:t>
          </a:r>
        </a:p>
      </dsp:txBody>
      <dsp:txXfrm>
        <a:off x="2889339" y="3202316"/>
        <a:ext cx="799586" cy="243776"/>
      </dsp:txXfrm>
    </dsp:sp>
    <dsp:sp modelId="{732D718F-17A7-43BA-AFBC-2E1102936EE3}">
      <dsp:nvSpPr>
        <dsp:cNvPr id="0" name=""/>
        <dsp:cNvSpPr/>
      </dsp:nvSpPr>
      <dsp:spPr>
        <a:xfrm>
          <a:off x="3848843" y="2897596"/>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Casques de réalité augmentée/virtuelle</a:t>
          </a:r>
        </a:p>
      </dsp:txBody>
      <dsp:txXfrm>
        <a:off x="3848843" y="2897596"/>
        <a:ext cx="799586" cy="243776"/>
      </dsp:txXfrm>
    </dsp:sp>
    <dsp:sp modelId="{ABFF5B00-14F4-45AC-9399-327B2A5AD75F}">
      <dsp:nvSpPr>
        <dsp:cNvPr id="0" name=""/>
        <dsp:cNvSpPr/>
      </dsp:nvSpPr>
      <dsp:spPr>
        <a:xfrm>
          <a:off x="3848843" y="3202316"/>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Manettes de jeux vidéo</a:t>
          </a:r>
        </a:p>
      </dsp:txBody>
      <dsp:txXfrm>
        <a:off x="3848843" y="3202316"/>
        <a:ext cx="799586" cy="243776"/>
      </dsp:txXfrm>
    </dsp:sp>
    <dsp:sp modelId="{A7FB9EA4-F0D9-4DA5-AD00-CF5CC56674B3}">
      <dsp:nvSpPr>
        <dsp:cNvPr id="0" name=""/>
        <dsp:cNvSpPr/>
      </dsp:nvSpPr>
      <dsp:spPr>
        <a:xfrm>
          <a:off x="3848843" y="3507037"/>
          <a:ext cx="799586" cy="243776"/>
        </a:xfrm>
        <a:prstGeom prst="rect">
          <a:avLst/>
        </a:prstGeom>
        <a:solidFill>
          <a:schemeClr val="accent1">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Consoles de jeux vidéo portatives</a:t>
          </a:r>
        </a:p>
      </dsp:txBody>
      <dsp:txXfrm>
        <a:off x="3848843" y="3507037"/>
        <a:ext cx="799586" cy="243776"/>
      </dsp:txXfrm>
    </dsp:sp>
    <dsp:sp modelId="{BD362FF8-1DA2-4FAA-A12A-2DD45DA38926}">
      <dsp:nvSpPr>
        <dsp:cNvPr id="0" name=""/>
        <dsp:cNvSpPr/>
      </dsp:nvSpPr>
      <dsp:spPr>
        <a:xfrm>
          <a:off x="1644351" y="3766137"/>
          <a:ext cx="1016226" cy="348653"/>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Appareils intelligents</a:t>
          </a:r>
        </a:p>
      </dsp:txBody>
      <dsp:txXfrm>
        <a:off x="1644351" y="3766137"/>
        <a:ext cx="1016226" cy="348653"/>
      </dsp:txXfrm>
    </dsp:sp>
    <dsp:sp modelId="{F06085CA-20D0-41D5-9A3F-2757A8D17429}">
      <dsp:nvSpPr>
        <dsp:cNvPr id="0" name=""/>
        <dsp:cNvSpPr/>
      </dsp:nvSpPr>
      <dsp:spPr>
        <a:xfrm>
          <a:off x="2826619" y="3486823"/>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Appareils domestiques intelligents de grande taille</a:t>
          </a:r>
        </a:p>
      </dsp:txBody>
      <dsp:txXfrm>
        <a:off x="2826619" y="3486823"/>
        <a:ext cx="799586" cy="243776"/>
      </dsp:txXfrm>
    </dsp:sp>
    <dsp:sp modelId="{23EB4CF1-37E8-4679-9680-266A73350548}">
      <dsp:nvSpPr>
        <dsp:cNvPr id="0" name=""/>
        <dsp:cNvSpPr/>
      </dsp:nvSpPr>
      <dsp:spPr>
        <a:xfrm>
          <a:off x="2826619" y="3811757"/>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Dispositifs de soins personnels</a:t>
          </a:r>
        </a:p>
      </dsp:txBody>
      <dsp:txXfrm>
        <a:off x="2826619" y="3811757"/>
        <a:ext cx="799586" cy="243776"/>
      </dsp:txXfrm>
    </dsp:sp>
    <dsp:sp modelId="{6DCEDE63-E518-4BDA-898B-768810F586E2}">
      <dsp:nvSpPr>
        <dsp:cNvPr id="0" name=""/>
        <dsp:cNvSpPr/>
      </dsp:nvSpPr>
      <dsp:spPr>
        <a:xfrm>
          <a:off x="3842638" y="3811757"/>
          <a:ext cx="799586" cy="243776"/>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Brosses à dents électriques</a:t>
          </a:r>
        </a:p>
      </dsp:txBody>
      <dsp:txXfrm>
        <a:off x="3842638" y="3811757"/>
        <a:ext cx="799586" cy="243776"/>
      </dsp:txXfrm>
    </dsp:sp>
    <dsp:sp modelId="{69ADE0B3-23D9-45C8-8083-391380D5C922}">
      <dsp:nvSpPr>
        <dsp:cNvPr id="0" name=""/>
        <dsp:cNvSpPr/>
      </dsp:nvSpPr>
      <dsp:spPr>
        <a:xfrm>
          <a:off x="2826619" y="4116478"/>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Appareils domestiques intelligents de petite taille</a:t>
          </a:r>
        </a:p>
      </dsp:txBody>
      <dsp:txXfrm>
        <a:off x="2826619" y="4116478"/>
        <a:ext cx="799586" cy="243776"/>
      </dsp:txXfrm>
    </dsp:sp>
    <dsp:sp modelId="{F1C18595-E8CF-42F3-8673-8A84664325E0}">
      <dsp:nvSpPr>
        <dsp:cNvPr id="0" name=""/>
        <dsp:cNvSpPr/>
      </dsp:nvSpPr>
      <dsp:spPr>
        <a:xfrm>
          <a:off x="1650476" y="4384343"/>
          <a:ext cx="1033769" cy="31748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Jouets en plastique et autres</a:t>
          </a:r>
        </a:p>
      </dsp:txBody>
      <dsp:txXfrm>
        <a:off x="1650476" y="4384343"/>
        <a:ext cx="1033769" cy="317486"/>
      </dsp:txXfrm>
    </dsp:sp>
    <dsp:sp modelId="{F74A32A5-F742-4246-8AC8-3C2581982200}">
      <dsp:nvSpPr>
        <dsp:cNvPr id="0" name=""/>
        <dsp:cNvSpPr/>
      </dsp:nvSpPr>
      <dsp:spPr>
        <a:xfrm>
          <a:off x="2844162" y="4421198"/>
          <a:ext cx="799586" cy="243776"/>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Jouets fonctionnant sur batterie</a:t>
          </a:r>
        </a:p>
      </dsp:txBody>
      <dsp:txXfrm>
        <a:off x="2844162" y="4421198"/>
        <a:ext cx="799586" cy="243776"/>
      </dsp:txXfrm>
    </dsp:sp>
    <dsp:sp modelId="{FA3713BA-A537-45F4-9C47-68D34E26C6BA}">
      <dsp:nvSpPr>
        <dsp:cNvPr id="0" name=""/>
        <dsp:cNvSpPr/>
      </dsp:nvSpPr>
      <dsp:spPr>
        <a:xfrm>
          <a:off x="3833219" y="4415747"/>
          <a:ext cx="799586" cy="243776"/>
        </a:xfrm>
        <a:prstGeom prst="rect">
          <a:avLst/>
        </a:prstGeom>
        <a:solidFill>
          <a:schemeClr val="accent1">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Jouets télécommandés</a:t>
          </a:r>
        </a:p>
      </dsp:txBody>
      <dsp:txXfrm>
        <a:off x="3833219" y="4415747"/>
        <a:ext cx="799586" cy="243776"/>
      </dsp:txXfrm>
    </dsp:sp>
    <dsp:sp modelId="{79AA76A7-48EB-4AD6-950A-F4CBF77D1A3B}">
      <dsp:nvSpPr>
        <dsp:cNvPr id="0" name=""/>
        <dsp:cNvSpPr/>
      </dsp:nvSpPr>
      <dsp:spPr>
        <a:xfrm>
          <a:off x="1650476" y="5412445"/>
          <a:ext cx="1006159" cy="394325"/>
        </a:xfrm>
        <a:prstGeom prst="rect">
          <a:avLst/>
        </a:prstGeom>
        <a:blipFill rotWithShape="0">
          <a:blip xmlns:r="http://schemas.openxmlformats.org/officeDocument/2006/relationships" r:embed="rId1"/>
          <a:tile tx="0" ty="0" sx="100000" sy="100000" flip="none" algn="tl"/>
        </a:blip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Objets personnels connectés</a:t>
          </a:r>
        </a:p>
      </dsp:txBody>
      <dsp:txXfrm>
        <a:off x="1650476" y="5412445"/>
        <a:ext cx="1006159" cy="394325"/>
      </dsp:txXfrm>
    </dsp:sp>
    <dsp:sp modelId="{99796B89-8DA7-4D3D-B04E-74B84F39FDEA}">
      <dsp:nvSpPr>
        <dsp:cNvPr id="0" name=""/>
        <dsp:cNvSpPr/>
      </dsp:nvSpPr>
      <dsp:spPr>
        <a:xfrm>
          <a:off x="2816553" y="4725918"/>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Montres intelligentes</a:t>
          </a:r>
        </a:p>
      </dsp:txBody>
      <dsp:txXfrm>
        <a:off x="2816553" y="4725918"/>
        <a:ext cx="799586" cy="243776"/>
      </dsp:txXfrm>
    </dsp:sp>
    <dsp:sp modelId="{24EA228F-88DF-475C-8F54-F5AF3886E1D2}">
      <dsp:nvSpPr>
        <dsp:cNvPr id="0" name=""/>
        <dsp:cNvSpPr/>
      </dsp:nvSpPr>
      <dsp:spPr>
        <a:xfrm>
          <a:off x="2816553" y="5030639"/>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Dispositifs de suivi de la condition physique</a:t>
          </a:r>
        </a:p>
      </dsp:txBody>
      <dsp:txXfrm>
        <a:off x="2816553" y="5030639"/>
        <a:ext cx="799586" cy="243776"/>
      </dsp:txXfrm>
    </dsp:sp>
    <dsp:sp modelId="{BEA99061-401A-493A-8C34-1D4B7B0E4897}">
      <dsp:nvSpPr>
        <dsp:cNvPr id="0" name=""/>
        <dsp:cNvSpPr/>
      </dsp:nvSpPr>
      <dsp:spPr>
        <a:xfrm>
          <a:off x="2816553" y="5335359"/>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Lunettes intelligentes</a:t>
          </a:r>
        </a:p>
      </dsp:txBody>
      <dsp:txXfrm>
        <a:off x="2816553" y="5335359"/>
        <a:ext cx="799586" cy="243776"/>
      </dsp:txXfrm>
    </dsp:sp>
    <dsp:sp modelId="{8D7B3A9F-81C5-4593-97C6-4923D1F1D6FA}">
      <dsp:nvSpPr>
        <dsp:cNvPr id="0" name=""/>
        <dsp:cNvSpPr/>
      </dsp:nvSpPr>
      <dsp:spPr>
        <a:xfrm>
          <a:off x="2816553" y="5640080"/>
          <a:ext cx="799586" cy="2437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t>Bracelets de fitness</a:t>
          </a:r>
        </a:p>
      </dsp:txBody>
      <dsp:txXfrm>
        <a:off x="2816553" y="5640080"/>
        <a:ext cx="799586" cy="243776"/>
      </dsp:txXfrm>
    </dsp:sp>
    <dsp:sp modelId="{BE3313FD-BAD8-4088-AAFB-F0B04E1F263E}">
      <dsp:nvSpPr>
        <dsp:cNvPr id="0" name=""/>
        <dsp:cNvSpPr/>
      </dsp:nvSpPr>
      <dsp:spPr>
        <a:xfrm>
          <a:off x="2816553" y="5944800"/>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Vêtements intelligents</a:t>
          </a:r>
        </a:p>
      </dsp:txBody>
      <dsp:txXfrm>
        <a:off x="2816553" y="5944800"/>
        <a:ext cx="799586" cy="243776"/>
      </dsp:txXfrm>
    </dsp:sp>
    <dsp:sp modelId="{20FBE340-34D8-4366-A912-C02DF4120926}">
      <dsp:nvSpPr>
        <dsp:cNvPr id="0" name=""/>
        <dsp:cNvSpPr/>
      </dsp:nvSpPr>
      <dsp:spPr>
        <a:xfrm>
          <a:off x="2816553" y="6249521"/>
          <a:ext cx="799586" cy="243776"/>
        </a:xfrm>
        <a:prstGeom prst="rect">
          <a:avLst/>
        </a:prstGeom>
        <a:solidFill>
          <a:schemeClr val="bg1"/>
        </a:solidFill>
        <a:ln w="12700" cap="flat" cmpd="sng" algn="ctr">
          <a:solidFill>
            <a:schemeClr val="accent1">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 tIns="2540" rIns="2540" bIns="2540" numCol="1" spcCol="1270" anchor="ctr" anchorCtr="0">
          <a:noAutofit/>
        </a:bodyPr>
        <a:lstStyle/>
        <a:p>
          <a:pPr lvl="0" algn="ctr" defTabSz="177800">
            <a:lnSpc>
              <a:spcPct val="90000"/>
            </a:lnSpc>
            <a:spcBef>
              <a:spcPct val="0"/>
            </a:spcBef>
            <a:spcAft>
              <a:spcPct val="35000"/>
            </a:spcAft>
          </a:pPr>
          <a:r>
            <a:rPr lang="fr-FR" sz="400" kern="1200">
              <a:solidFill>
                <a:sysClr val="windowText" lastClr="000000"/>
              </a:solidFill>
            </a:rPr>
            <a:t>Dispositifs modulaires</a:t>
          </a:r>
        </a:p>
      </dsp:txBody>
      <dsp:txXfrm>
        <a:off x="2816553" y="6249521"/>
        <a:ext cx="799586" cy="24377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6BFFC83E899B44BF2A0557138AC357" ma:contentTypeVersion="3" ma:contentTypeDescription="Create a new document." ma:contentTypeScope="" ma:versionID="f2570642b2128f0d051d1065bba1ed41">
  <xsd:schema xmlns:xsd="http://www.w3.org/2001/XMLSchema" xmlns:xs="http://www.w3.org/2001/XMLSchema" xmlns:p="http://schemas.microsoft.com/office/2006/metadata/properties" xmlns:ns2="cdf18c37-c661-42de-bc34-3cb198dcf113" targetNamespace="http://schemas.microsoft.com/office/2006/metadata/properties" ma:root="true" ma:fieldsID="ce41dffd07bbe7a0472adb493a604bed" ns2:_="">
    <xsd:import namespace="cdf18c37-c661-42de-bc34-3cb198dcf11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18c37-c661-42de-bc34-3cb198dcf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28939-ED06-4500-8626-023D17EA684F}">
  <ds:schemaRefs>
    <ds:schemaRef ds:uri="http://schemas.microsoft.com/sharepoint/v3/contenttype/forms"/>
  </ds:schemaRefs>
</ds:datastoreItem>
</file>

<file path=customXml/itemProps2.xml><?xml version="1.0" encoding="utf-8"?>
<ds:datastoreItem xmlns:ds="http://schemas.openxmlformats.org/officeDocument/2006/customXml" ds:itemID="{4E76C0EA-3124-40AD-B958-646B5F274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348AFF-975C-409A-9CB6-133A6A493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18c37-c661-42de-bc34-3cb198dcf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1B4218-5407-441A-A2A8-5C5974FC5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4889</Words>
  <Characters>27868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32692</CharactersWithSpaces>
  <SharedDoc>false</SharedDoc>
  <HLinks>
    <vt:vector size="66" baseType="variant">
      <vt:variant>
        <vt:i4>3276851</vt:i4>
      </vt:variant>
      <vt:variant>
        <vt:i4>18</vt:i4>
      </vt:variant>
      <vt:variant>
        <vt:i4>0</vt:i4>
      </vt:variant>
      <vt:variant>
        <vt:i4>5</vt:i4>
      </vt:variant>
      <vt:variant>
        <vt:lpwstr>https://www.grandviewresearch.com/industry-analysis/wearable-technology-market</vt:lpwstr>
      </vt:variant>
      <vt:variant>
        <vt:lpwstr/>
      </vt:variant>
      <vt:variant>
        <vt:i4>2097271</vt:i4>
      </vt:variant>
      <vt:variant>
        <vt:i4>15</vt:i4>
      </vt:variant>
      <vt:variant>
        <vt:i4>0</vt:i4>
      </vt:variant>
      <vt:variant>
        <vt:i4>5</vt:i4>
      </vt:variant>
      <vt:variant>
        <vt:lpwstr>https://www.datainsightsmarket.com/reports/remote-control-toys-1917195</vt:lpwstr>
      </vt:variant>
      <vt:variant>
        <vt:lpwstr/>
      </vt:variant>
      <vt:variant>
        <vt:i4>6488171</vt:i4>
      </vt:variant>
      <vt:variant>
        <vt:i4>12</vt:i4>
      </vt:variant>
      <vt:variant>
        <vt:i4>0</vt:i4>
      </vt:variant>
      <vt:variant>
        <vt:i4>5</vt:i4>
      </vt:variant>
      <vt:variant>
        <vt:lpwstr>https://www.statista.com/outlook/amo/ar-vr/worldwide</vt:lpwstr>
      </vt:variant>
      <vt:variant>
        <vt:lpwstr>revenue</vt:lpwstr>
      </vt:variant>
      <vt:variant>
        <vt:i4>589846</vt:i4>
      </vt:variant>
      <vt:variant>
        <vt:i4>9</vt:i4>
      </vt:variant>
      <vt:variant>
        <vt:i4>0</vt:i4>
      </vt:variant>
      <vt:variant>
        <vt:i4>5</vt:i4>
      </vt:variant>
      <vt:variant>
        <vt:lpwstr>https://data.europa.eu/doi/10.2873/628130</vt:lpwstr>
      </vt:variant>
      <vt:variant>
        <vt:lpwstr/>
      </vt:variant>
      <vt:variant>
        <vt:i4>6946926</vt:i4>
      </vt:variant>
      <vt:variant>
        <vt:i4>6</vt:i4>
      </vt:variant>
      <vt:variant>
        <vt:i4>0</vt:i4>
      </vt:variant>
      <vt:variant>
        <vt:i4>5</vt:i4>
      </vt:variant>
      <vt:variant>
        <vt:lpwstr>http://data.europa.eu/eli/reg/2025/2052/oj</vt:lpwstr>
      </vt:variant>
      <vt:variant>
        <vt:lpwstr/>
      </vt:variant>
      <vt:variant>
        <vt:i4>7077996</vt:i4>
      </vt:variant>
      <vt:variant>
        <vt:i4>3</vt:i4>
      </vt:variant>
      <vt:variant>
        <vt:i4>0</vt:i4>
      </vt:variant>
      <vt:variant>
        <vt:i4>5</vt:i4>
      </vt:variant>
      <vt:variant>
        <vt:lpwstr>http://data.europa.eu/eli/dir/2022/2380/oj</vt:lpwstr>
      </vt:variant>
      <vt:variant>
        <vt:lpwstr/>
      </vt:variant>
      <vt:variant>
        <vt:i4>5570655</vt:i4>
      </vt:variant>
      <vt:variant>
        <vt:i4>0</vt:i4>
      </vt:variant>
      <vt:variant>
        <vt:i4>0</vt:i4>
      </vt:variant>
      <vt:variant>
        <vt:i4>5</vt:i4>
      </vt:variant>
      <vt:variant>
        <vt:lpwstr>http://data.europa.eu/eli/dir/2014/53/oj</vt:lpwstr>
      </vt:variant>
      <vt:variant>
        <vt:lpwstr/>
      </vt:variant>
      <vt:variant>
        <vt:i4>6488082</vt:i4>
      </vt:variant>
      <vt:variant>
        <vt:i4>9</vt:i4>
      </vt:variant>
      <vt:variant>
        <vt:i4>0</vt:i4>
      </vt:variant>
      <vt:variant>
        <vt:i4>5</vt:i4>
      </vt:variant>
      <vt:variant>
        <vt:lpwstr>https://webgate.ec.europa.eu/cas/login?loginRequestId=ECAS_LR-5732026-GRmATZie7pRMZWclPy2gm6rpW4HfZgPGdzqrZh7zPr8V2GHzV3YoQQzIitShY3gaGbiH5NPasEmI3c5Zd4RztmQ-R2zIpfT8xjM8awAMRxa4wq-2UkTF3WGDC2KnvWpZlEZacrp8eV1M2uuKgVEhgCuwgowCpiiZ3Pl6edpw0RvfyDTKzWxixGaJV0nHoPsy4WvFO</vt:lpwstr>
      </vt:variant>
      <vt:variant>
        <vt:lpwstr/>
      </vt:variant>
      <vt:variant>
        <vt:i4>6488082</vt:i4>
      </vt:variant>
      <vt:variant>
        <vt:i4>6</vt:i4>
      </vt:variant>
      <vt:variant>
        <vt:i4>0</vt:i4>
      </vt:variant>
      <vt:variant>
        <vt:i4>5</vt:i4>
      </vt:variant>
      <vt:variant>
        <vt:lpwstr>https://webgate.ec.europa.eu/cas/login?loginRequestId=ECAS_LR-5732026-GRmATZie7pRMZWclPy2gm6rpW4HfZgPGdzqrZh7zPr8V2GHzV3YoQQzIitShY3gaGbiH5NPasEmI3c5Zd4RztmQ-R2zIpfT8xjM8awAMRxa4wq-2UkTF3WGDC2KnvWpZlEZacrp8eV1M2uuKgVEhgCuwgowCpiiZ3Pl6edpw0RvfyDTKzWxixGaJV0nHoPsy4WvFO</vt:lpwstr>
      </vt:variant>
      <vt:variant>
        <vt:lpwstr/>
      </vt:variant>
      <vt:variant>
        <vt:i4>4063349</vt:i4>
      </vt:variant>
      <vt:variant>
        <vt:i4>3</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ariant>
        <vt:i4>4063349</vt:i4>
      </vt:variant>
      <vt:variant>
        <vt:i4>0</vt:i4>
      </vt:variant>
      <vt:variant>
        <vt:i4>0</vt:i4>
      </vt:variant>
      <vt:variant>
        <vt:i4>5</vt:i4>
      </vt:variant>
      <vt:variant>
        <vt:lpwstr>https://eceuropaeu.sharepoint.com/sites/sg-activities/Shared Documents/Forms/AllItems.aspx?id=%2Fsites%2Fsg%2Dactivities%2FShared%20Documents%2Feuropean%2Dcommission%2Dstyle%2Dguide%2Den%2Epdf&amp;parent=%2Fsites%2Fsg%2Dactivities%2FShared%20Documents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2026-05-27T10:03:00Z</dcterms:created>
  <dcterms:modified xsi:type="dcterms:W3CDTF">2026-06-23T07:50:00Z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2026-04-23T06:58:49Z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c1ff7a3d-31e2-48db-a650-55266879eec3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reated using">
    <vt:lpwstr>LW 9.1, Build 20240808</vt:lpwstr>
  </property>
  <property fmtid="{D5CDD505-2E9C-101B-9397-08002B2CF9AE}" pid="17" name="ContentTypeId">
    <vt:lpwstr>0x0101008D6BFFC83E899B44BF2A0557138AC357</vt:lpwstr>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ies>
</file>