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15BBE7" w14:textId="38171FBE" w:rsidR="00780E1F" w:rsidRDefault="0084151F" w:rsidP="0084151F">
      <w:pPr>
        <w:pStyle w:val="Pagedecouverture"/>
        <w:rPr>
          <w:noProof/>
        </w:rPr>
      </w:pPr>
      <w:bookmarkStart w:id="0" w:name="LW_BM_COVERPAGE"/>
      <w:r>
        <w:rPr>
          <w:noProof/>
        </w:rPr>
        <w:pict w14:anchorId="644B72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08AE646-74F1-4B59-910C-6F019E5D7295" style="width:455.15pt;height:313.75pt">
            <v:imagedata r:id="rId8" o:title=""/>
          </v:shape>
        </w:pict>
      </w:r>
    </w:p>
    <w:bookmarkEnd w:id="0"/>
    <w:p w14:paraId="0ED68050" w14:textId="77777777" w:rsidR="00780E1F" w:rsidRDefault="00780E1F">
      <w:pPr>
        <w:pStyle w:val="Pagedecouverture"/>
        <w:rPr>
          <w:noProof/>
        </w:rPr>
        <w:sectPr w:rsidR="00780E1F" w:rsidSect="0084151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605260C" w14:textId="77777777" w:rsidR="00780E1F" w:rsidRDefault="00535025">
      <w:pPr>
        <w:pStyle w:val="Heading2"/>
        <w:rPr>
          <w:noProof/>
        </w:rPr>
      </w:pPr>
      <w:bookmarkStart w:id="1" w:name="_GoBack"/>
      <w:bookmarkEnd w:id="1"/>
      <w:r>
        <w:rPr>
          <w:noProof/>
        </w:rPr>
        <w:lastRenderedPageBreak/>
        <w:t>Introducere</w:t>
      </w:r>
    </w:p>
    <w:p w14:paraId="1E9181EA" w14:textId="77777777" w:rsidR="00780E1F" w:rsidRDefault="00535025">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Vara anului </w:t>
      </w:r>
      <w:r w:rsidRPr="00596869">
        <w:rPr>
          <w:rFonts w:ascii="Times New Roman" w:hAnsi="Times New Roman"/>
          <w:noProof/>
          <w:sz w:val="24"/>
        </w:rPr>
        <w:t>2025</w:t>
      </w:r>
      <w:r>
        <w:rPr>
          <w:rFonts w:ascii="Times New Roman" w:hAnsi="Times New Roman"/>
          <w:noProof/>
          <w:sz w:val="24"/>
        </w:rPr>
        <w:t xml:space="preserve"> a subliniat amenințarea tot mai mare reprezentată de incendiile forestiere</w:t>
      </w:r>
      <w:r>
        <w:rPr>
          <w:rStyle w:val="FootnoteReference"/>
          <w:rFonts w:ascii="Times New Roman" w:eastAsia="Times New Roman" w:hAnsi="Times New Roman" w:cs="Times New Roman"/>
          <w:noProof/>
          <w:sz w:val="24"/>
          <w:szCs w:val="24"/>
        </w:rPr>
        <w:footnoteReference w:id="2"/>
      </w:r>
      <w:r>
        <w:rPr>
          <w:rFonts w:ascii="Times New Roman" w:hAnsi="Times New Roman"/>
          <w:noProof/>
          <w:sz w:val="24"/>
        </w:rPr>
        <w:t xml:space="preserve"> din Europa și necesitatea urgentă de a acționa. În pofida intensificării eforturilor de prevenire și pregătire atât la nivel național, cât și la nivelul Uniunii Europene (UE), suprafața arsă cumulată în UE a fost mai mare ca niciodată: aceasta a depășit un milion de hectare, o suprafață mai mare decât cea a Ciprului. Mecanismul de protecție civilă al Uniunii (UCPM) a fost activat mai frecvent ca niciodată pentru a oferi asistență. </w:t>
      </w:r>
    </w:p>
    <w:p w14:paraId="4F31A288" w14:textId="77777777" w:rsidR="00780E1F" w:rsidRDefault="00780E1F">
      <w:pPr>
        <w:spacing w:after="0"/>
        <w:jc w:val="both"/>
        <w:rPr>
          <w:noProof/>
        </w:rPr>
      </w:pPr>
    </w:p>
    <w:p w14:paraId="3E3521E9" w14:textId="77777777" w:rsidR="00780E1F" w:rsidRDefault="00535025">
      <w:pPr>
        <w:spacing w:after="0"/>
        <w:jc w:val="both"/>
        <w:rPr>
          <w:rFonts w:ascii="Times New Roman" w:eastAsia="Times New Roman" w:hAnsi="Times New Roman" w:cs="Times New Roman"/>
          <w:noProof/>
          <w:sz w:val="24"/>
          <w:szCs w:val="24"/>
        </w:rPr>
      </w:pPr>
      <w:r>
        <w:rPr>
          <w:rFonts w:ascii="Times New Roman" w:hAnsi="Times New Roman"/>
          <w:noProof/>
          <w:sz w:val="24"/>
        </w:rPr>
        <w:t>Suprafața arsă înregistrată în UE în patru din ultimii cinci ani a fost peste medie, iar amploarea și intensitatea incendiilor forestiere sunt în creștere</w:t>
      </w:r>
      <w:r>
        <w:rPr>
          <w:rStyle w:val="FootnoteReference"/>
          <w:rFonts w:ascii="Times New Roman" w:eastAsia="Times New Roman" w:hAnsi="Times New Roman" w:cs="Times New Roman"/>
          <w:noProof/>
          <w:sz w:val="24"/>
          <w:szCs w:val="24"/>
        </w:rPr>
        <w:footnoteReference w:id="3"/>
      </w:r>
      <w:r>
        <w:rPr>
          <w:rFonts w:ascii="Times New Roman" w:hAnsi="Times New Roman"/>
          <w:noProof/>
          <w:sz w:val="24"/>
        </w:rPr>
        <w:t>. Acest lucru coincide cu intensificarea încălzirii globale, ultimii trei ani fiind cei mai calzi din istorie</w:t>
      </w:r>
      <w:r>
        <w:rPr>
          <w:rStyle w:val="FootnoteReference"/>
          <w:rFonts w:ascii="Times New Roman" w:eastAsia="Times New Roman" w:hAnsi="Times New Roman" w:cs="Times New Roman"/>
          <w:noProof/>
          <w:sz w:val="24"/>
          <w:szCs w:val="24"/>
        </w:rPr>
        <w:footnoteReference w:id="4"/>
      </w:r>
      <w:r>
        <w:rPr>
          <w:rFonts w:ascii="Times New Roman" w:hAnsi="Times New Roman"/>
          <w:noProof/>
          <w:sz w:val="24"/>
        </w:rPr>
        <w:t>. Există mai multe incendii de mare amploare sau „megaincendii”, care nu pot fi ținute sub control prin mijloace tradiționale de stingere a incendiilor</w:t>
      </w:r>
      <w:r>
        <w:rPr>
          <w:rStyle w:val="FootnoteReference"/>
          <w:rFonts w:ascii="Times New Roman" w:eastAsia="Times New Roman" w:hAnsi="Times New Roman" w:cs="Times New Roman"/>
          <w:noProof/>
          <w:sz w:val="24"/>
          <w:szCs w:val="24"/>
        </w:rPr>
        <w:footnoteReference w:id="5"/>
      </w:r>
      <w:r>
        <w:rPr>
          <w:noProof/>
        </w:rPr>
        <w:t>.</w:t>
      </w:r>
      <w:r>
        <w:rPr>
          <w:rFonts w:ascii="Times New Roman" w:hAnsi="Times New Roman"/>
          <w:noProof/>
          <w:sz w:val="24"/>
        </w:rPr>
        <w:t xml:space="preserve"> Se preconizează că probabilitatea producerii unor astfel de incendii extreme va crește de peste două ori până la sfârșitul secolului</w:t>
      </w:r>
      <w:r>
        <w:rPr>
          <w:rStyle w:val="FootnoteReference"/>
          <w:rFonts w:ascii="Times New Roman" w:eastAsia="Times New Roman" w:hAnsi="Times New Roman" w:cs="Times New Roman"/>
          <w:noProof/>
          <w:sz w:val="24"/>
          <w:szCs w:val="24"/>
        </w:rPr>
        <w:footnoteReference w:id="6"/>
      </w:r>
      <w:r>
        <w:rPr>
          <w:rFonts w:ascii="Times New Roman" w:hAnsi="Times New Roman"/>
          <w:noProof/>
          <w:sz w:val="24"/>
        </w:rPr>
        <w:t>. Deși se preconizează că cea mai puternică creștere a pericolului de incendii extreme este în sudul Europei, incendiile forestiere afectează din ce în ce mai mult și zone care nu au fost considerate regiuni predispuse la incendii în trecut, cum ar fi Scandinavia, Europa Centrală, de Est sau de Nord-Vest</w:t>
      </w:r>
      <w:r>
        <w:rPr>
          <w:rStyle w:val="FootnoteReference"/>
          <w:rFonts w:ascii="Times New Roman" w:eastAsia="Times New Roman" w:hAnsi="Times New Roman" w:cs="Times New Roman"/>
          <w:noProof/>
          <w:sz w:val="24"/>
          <w:szCs w:val="24"/>
        </w:rPr>
        <w:footnoteReference w:id="7"/>
      </w:r>
      <w:r>
        <w:rPr>
          <w:rFonts w:ascii="Times New Roman" w:hAnsi="Times New Roman"/>
          <w:noProof/>
          <w:sz w:val="24"/>
        </w:rPr>
        <w:t xml:space="preserve">. </w:t>
      </w:r>
    </w:p>
    <w:p w14:paraId="1762ADB5" w14:textId="77777777" w:rsidR="00780E1F" w:rsidRDefault="00780E1F">
      <w:pPr>
        <w:spacing w:after="0"/>
        <w:jc w:val="both"/>
        <w:rPr>
          <w:rFonts w:ascii="Times New Roman" w:eastAsia="Times New Roman" w:hAnsi="Times New Roman" w:cs="Times New Roman"/>
          <w:noProof/>
          <w:sz w:val="24"/>
          <w:szCs w:val="24"/>
        </w:rPr>
      </w:pPr>
    </w:p>
    <w:p w14:paraId="3FAEA5DC" w14:textId="77777777" w:rsidR="00780E1F" w:rsidRDefault="00535025">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Incendiile forestiere reprezintă o provocare complexă pentru UE, având potențialul de a provoca daune profunde societății, economiei, mediului, climei, infrastructurii și patrimoniului cultural al Europei. Costurile umane, inclusiv pierderile de vieți omenești și de mijloace de subzistență, sunt inestimabile, iar efectele asupra sănătății publice cauzate de degradarea ecosistemelor și de înrăutățirea calității aerului sunt semnificative. În plus, incendiile forestiere amenință aprovizionarea locală cu alimente și au un impact negativ asupra veniturilor fermierilor și silvicultorilor afectați. Se estimează că daunele provocate bunurilor și infrastructurii costă UE aproximativ </w:t>
      </w:r>
      <w:r w:rsidRPr="00596869">
        <w:rPr>
          <w:rFonts w:ascii="Times New Roman" w:hAnsi="Times New Roman"/>
          <w:noProof/>
          <w:sz w:val="24"/>
        </w:rPr>
        <w:t>2</w:t>
      </w:r>
      <w:r>
        <w:rPr>
          <w:rFonts w:ascii="Times New Roman" w:hAnsi="Times New Roman"/>
          <w:noProof/>
          <w:sz w:val="24"/>
        </w:rPr>
        <w:t>,</w:t>
      </w:r>
      <w:r w:rsidRPr="00596869">
        <w:rPr>
          <w:rFonts w:ascii="Times New Roman" w:hAnsi="Times New Roman"/>
          <w:noProof/>
          <w:sz w:val="24"/>
        </w:rPr>
        <w:t>5</w:t>
      </w:r>
      <w:r>
        <w:rPr>
          <w:rFonts w:ascii="Times New Roman" w:hAnsi="Times New Roman"/>
          <w:noProof/>
          <w:sz w:val="24"/>
        </w:rPr>
        <w:t xml:space="preserve"> miliarde EUR în fiecare an</w:t>
      </w:r>
      <w:r>
        <w:rPr>
          <w:rStyle w:val="FootnoteReference"/>
          <w:rFonts w:ascii="Times New Roman" w:eastAsia="Times New Roman" w:hAnsi="Times New Roman" w:cs="Times New Roman"/>
          <w:noProof/>
          <w:sz w:val="24"/>
          <w:szCs w:val="24"/>
        </w:rPr>
        <w:footnoteReference w:id="8"/>
      </w:r>
      <w:r>
        <w:rPr>
          <w:rFonts w:ascii="Times New Roman" w:hAnsi="Times New Roman"/>
          <w:noProof/>
          <w:sz w:val="24"/>
        </w:rPr>
        <w:t xml:space="preserve">. Prin urmare, reducerea riscurilor de incendii forestiere nu este doar o necesitate de mediu, ci și o componentă esențială a rezilienței și competitivității Europei, necesitând investiții mai puternice în prevenire. Consolidarea peisajelor reziliente la incendii necesită o gestionare activă și durabilă a terenurilor, restaurarea ecosistemelor și implicarea fermierilor, a deținătorilor de păduri și a comunităților rurale. </w:t>
      </w:r>
    </w:p>
    <w:p w14:paraId="2A1DD01A" w14:textId="77777777" w:rsidR="00780E1F" w:rsidRDefault="00780E1F">
      <w:pPr>
        <w:spacing w:after="0"/>
        <w:jc w:val="both"/>
        <w:rPr>
          <w:rFonts w:ascii="Times New Roman" w:eastAsia="Times New Roman" w:hAnsi="Times New Roman" w:cs="Times New Roman"/>
          <w:noProof/>
          <w:sz w:val="24"/>
          <w:szCs w:val="24"/>
        </w:rPr>
      </w:pPr>
    </w:p>
    <w:p w14:paraId="54C52D7E" w14:textId="77777777" w:rsidR="00780E1F" w:rsidRPr="00596869" w:rsidRDefault="00535025">
      <w:pPr>
        <w:jc w:val="both"/>
        <w:rPr>
          <w:rFonts w:ascii="Times New Roman" w:eastAsia="Times New Roman" w:hAnsi="Times New Roman" w:cs="Times New Roman"/>
          <w:b/>
          <w:bCs/>
          <w:noProof/>
          <w:sz w:val="24"/>
          <w:szCs w:val="24"/>
        </w:rPr>
      </w:pPr>
      <w:r w:rsidRPr="00596869">
        <w:rPr>
          <w:rFonts w:ascii="Times New Roman" w:hAnsi="Times New Roman"/>
          <w:b/>
          <w:noProof/>
          <w:sz w:val="24"/>
        </w:rPr>
        <w:t>Creșterea riscului de incendii forestiere în UE</w:t>
      </w:r>
      <w:r>
        <w:rPr>
          <w:rFonts w:ascii="Times New Roman" w:hAnsi="Times New Roman"/>
          <w:noProof/>
          <w:sz w:val="24"/>
        </w:rPr>
        <w:t xml:space="preserve"> poate fi explicată prin trei </w:t>
      </w:r>
      <w:r w:rsidRPr="00596869">
        <w:rPr>
          <w:rFonts w:ascii="Times New Roman" w:hAnsi="Times New Roman"/>
          <w:b/>
          <w:noProof/>
          <w:sz w:val="24"/>
        </w:rPr>
        <w:t>factori principali: schimbările climatice, schimbările în gestionarea terenurilor și comportamentul uman</w:t>
      </w:r>
      <w:r>
        <w:rPr>
          <w:rFonts w:ascii="Times New Roman" w:hAnsi="Times New Roman"/>
          <w:noProof/>
          <w:sz w:val="24"/>
        </w:rPr>
        <w:t xml:space="preserve">. </w:t>
      </w:r>
    </w:p>
    <w:p w14:paraId="2B6F0F85" w14:textId="77777777" w:rsidR="00780E1F" w:rsidRPr="00596869" w:rsidRDefault="00535025">
      <w:pPr>
        <w:jc w:val="both"/>
        <w:rPr>
          <w:rFonts w:ascii="Times New Roman" w:eastAsia="Times New Roman" w:hAnsi="Times New Roman" w:cs="Times New Roman"/>
          <w:b/>
          <w:bCs/>
          <w:noProof/>
          <w:sz w:val="24"/>
          <w:szCs w:val="24"/>
        </w:rPr>
      </w:pPr>
      <w:r>
        <w:rPr>
          <w:rFonts w:ascii="Times New Roman" w:hAnsi="Times New Roman"/>
          <w:noProof/>
          <w:sz w:val="24"/>
        </w:rPr>
        <w:t>Schimbările climatice cresc probabilitatea apariției unor condiții meteorologice extreme: valurile de căldură, perioadele lungi de secetă și creșterea temperaturilor conduc la soluri și vegetație uscate, oferind combustibil adecvat pentru incendiile forestiere. Se preconizează că aceste condiții meteorologice de incendiu</w:t>
      </w:r>
      <w:r>
        <w:rPr>
          <w:rStyle w:val="FootnoteReference"/>
          <w:rFonts w:ascii="Times New Roman" w:eastAsia="Times New Roman" w:hAnsi="Times New Roman" w:cs="Times New Roman"/>
          <w:noProof/>
          <w:sz w:val="24"/>
          <w:szCs w:val="24"/>
        </w:rPr>
        <w:footnoteReference w:id="9"/>
      </w:r>
      <w:r>
        <w:rPr>
          <w:rFonts w:ascii="Times New Roman" w:hAnsi="Times New Roman"/>
          <w:noProof/>
          <w:sz w:val="24"/>
        </w:rPr>
        <w:t xml:space="preserve"> se vor înrăutăți în întreaga Europă</w:t>
      </w:r>
      <w:r>
        <w:rPr>
          <w:rStyle w:val="FootnoteReference"/>
          <w:rFonts w:ascii="Times New Roman" w:eastAsia="Times New Roman" w:hAnsi="Times New Roman" w:cs="Times New Roman"/>
          <w:noProof/>
          <w:sz w:val="24"/>
          <w:szCs w:val="24"/>
        </w:rPr>
        <w:footnoteReference w:id="10"/>
      </w:r>
      <w:r>
        <w:rPr>
          <w:rFonts w:ascii="Times New Roman" w:hAnsi="Times New Roman"/>
          <w:noProof/>
          <w:sz w:val="24"/>
        </w:rPr>
        <w:t xml:space="preserve">. </w:t>
      </w:r>
      <w:r w:rsidRPr="00596869">
        <w:rPr>
          <w:rFonts w:ascii="Times New Roman" w:hAnsi="Times New Roman"/>
          <w:b/>
          <w:noProof/>
          <w:sz w:val="24"/>
        </w:rPr>
        <w:t>Realizarea neutralității climatice a Europei până în 2050</w:t>
      </w:r>
      <w:r>
        <w:rPr>
          <w:rFonts w:ascii="Times New Roman" w:hAnsi="Times New Roman"/>
          <w:noProof/>
          <w:sz w:val="24"/>
        </w:rPr>
        <w:t xml:space="preserve"> și </w:t>
      </w:r>
      <w:r w:rsidRPr="00596869">
        <w:rPr>
          <w:rFonts w:ascii="Times New Roman" w:hAnsi="Times New Roman"/>
          <w:b/>
          <w:noProof/>
          <w:sz w:val="24"/>
        </w:rPr>
        <w:t>stimularea rezilienței la schimbările climatice și a pregătirii pentru acestea</w:t>
      </w:r>
      <w:r>
        <w:rPr>
          <w:rFonts w:ascii="Times New Roman" w:hAnsi="Times New Roman"/>
          <w:noProof/>
          <w:sz w:val="24"/>
        </w:rPr>
        <w:t xml:space="preserve"> sunt esențiale pentru gestionarea riscurilor de incendii forestiere.</w:t>
      </w:r>
    </w:p>
    <w:p w14:paraId="5EB32580" w14:textId="77777777" w:rsidR="00780E1F" w:rsidRDefault="00535025">
      <w:pPr>
        <w:jc w:val="both"/>
        <w:rPr>
          <w:rFonts w:ascii="Times New Roman" w:eastAsia="Times New Roman" w:hAnsi="Times New Roman" w:cs="Times New Roman"/>
          <w:noProof/>
          <w:sz w:val="24"/>
          <w:szCs w:val="24"/>
        </w:rPr>
      </w:pPr>
      <w:r>
        <w:rPr>
          <w:rFonts w:ascii="Times New Roman" w:hAnsi="Times New Roman"/>
          <w:noProof/>
          <w:sz w:val="24"/>
        </w:rPr>
        <w:t xml:space="preserve">Schimbările în ceea ce privește gestionarea terenurilor și degradarea ecosistemelor naturale din ultimele decenii au jucat un rol la fel de important în incidența și amploarea incendiilor forestiere. Schimbările socioeconomice și culturale au condus la depopularea zonelor rurale, la abandonarea practicilor agricole tradiționale și la lipsa unei gestionări active a pădurilor, ceea ce a dus la acumularea de combustibil pe zone extinse. În același timp, extinderea continuă a zonelor urbane în păduri și în zone sălbatice a sporit riscul de incendiu pentru persoanele care locuiesc în aceste zone. </w:t>
      </w:r>
    </w:p>
    <w:p w14:paraId="19B28495" w14:textId="3B4D1EAA" w:rsidR="00780E1F" w:rsidRDefault="00535025">
      <w:pPr>
        <w:jc w:val="both"/>
        <w:rPr>
          <w:rFonts w:ascii="Times New Roman" w:eastAsia="Times New Roman" w:hAnsi="Times New Roman" w:cs="Times New Roman"/>
          <w:noProof/>
          <w:sz w:val="24"/>
          <w:szCs w:val="24"/>
        </w:rPr>
      </w:pPr>
      <w:r>
        <w:rPr>
          <w:rFonts w:ascii="Times New Roman" w:hAnsi="Times New Roman"/>
          <w:noProof/>
          <w:sz w:val="24"/>
        </w:rPr>
        <w:t xml:space="preserve">În plus, </w:t>
      </w:r>
      <w:r w:rsidRPr="00596869">
        <w:rPr>
          <w:rFonts w:ascii="Times New Roman" w:hAnsi="Times New Roman"/>
          <w:b/>
          <w:noProof/>
          <w:sz w:val="24"/>
        </w:rPr>
        <w:t>activitatea umană</w:t>
      </w:r>
      <w:r>
        <w:rPr>
          <w:rFonts w:ascii="Times New Roman" w:hAnsi="Times New Roman"/>
          <w:noProof/>
          <w:sz w:val="24"/>
        </w:rPr>
        <w:t xml:space="preserve"> joacă un rol principal în izbucnirea incendiilor forestiere. Se estimează că, în UE, ponderea incendiilor forestiere provocate de activitatea umană o depășește cu mult pe cea a incendiilor forestiere izbucnite din cauze naturale și ar putea ajunge până la </w:t>
      </w:r>
      <w:r w:rsidRPr="00596869">
        <w:rPr>
          <w:rFonts w:ascii="Times New Roman" w:hAnsi="Times New Roman"/>
          <w:noProof/>
          <w:sz w:val="24"/>
        </w:rPr>
        <w:t>96</w:t>
      </w:r>
      <w:r>
        <w:rPr>
          <w:rFonts w:ascii="Times New Roman" w:hAnsi="Times New Roman"/>
          <w:noProof/>
          <w:sz w:val="24"/>
        </w:rPr>
        <w:t> %</w:t>
      </w:r>
      <w:r>
        <w:rPr>
          <w:rStyle w:val="FootnoteReference"/>
          <w:rFonts w:ascii="Times New Roman" w:eastAsia="Times New Roman" w:hAnsi="Times New Roman" w:cs="Times New Roman"/>
          <w:noProof/>
          <w:sz w:val="24"/>
          <w:szCs w:val="24"/>
        </w:rPr>
        <w:footnoteReference w:id="11"/>
      </w:r>
      <w:r>
        <w:rPr>
          <w:rFonts w:ascii="Times New Roman" w:hAnsi="Times New Roman"/>
          <w:noProof/>
          <w:sz w:val="24"/>
        </w:rPr>
        <w:t>. Pe lângă scânteile produse de liniile electrice, scânteile produse de tren sau focurile de artificii, neglijența, cum ar fi țigările aruncate pe jos sau scrumul fierbinte, și incendierea cu intenție sunt cauze frecvente ale incendiilor forestiere.</w:t>
      </w:r>
      <w:r w:rsidR="00596869">
        <w:rPr>
          <w:rFonts w:ascii="Times New Roman" w:hAnsi="Times New Roman"/>
          <w:noProof/>
          <w:sz w:val="24"/>
        </w:rPr>
        <w:t xml:space="preserve"> </w:t>
      </w:r>
      <w:r>
        <w:rPr>
          <w:rFonts w:ascii="Times New Roman" w:hAnsi="Times New Roman"/>
          <w:noProof/>
          <w:sz w:val="24"/>
        </w:rPr>
        <w:t xml:space="preserve">Unele dintre acestea sunt declanșate și în mod intenționat, de exemplu pentru a modifica statutul de protecție a terenurilor și pentru a permite diferite utilizări ale terenurilor. Acest lucru subliniază importanța măsurilor de sensibilizare a populației și de prevenire pentru atenuarea acestor riscuri. </w:t>
      </w:r>
    </w:p>
    <w:p w14:paraId="7094FCE0" w14:textId="77777777" w:rsidR="00780E1F" w:rsidRDefault="00535025">
      <w:pPr>
        <w:jc w:val="both"/>
        <w:rPr>
          <w:noProof/>
        </w:rPr>
      </w:pPr>
      <w:r w:rsidRPr="00596869">
        <w:rPr>
          <w:rFonts w:ascii="Times New Roman" w:hAnsi="Times New Roman"/>
          <w:b/>
          <w:noProof/>
          <w:sz w:val="24"/>
        </w:rPr>
        <w:t>Responsabilitatea pentru punerea în aplicare a gestionării riscurilor de incendii forestiere revine în primul rând statelor membre</w:t>
      </w:r>
      <w:r>
        <w:rPr>
          <w:rStyle w:val="FootnoteReference"/>
          <w:rFonts w:ascii="Times New Roman" w:eastAsia="Times New Roman" w:hAnsi="Times New Roman" w:cs="Times New Roman"/>
          <w:noProof/>
          <w:sz w:val="24"/>
          <w:szCs w:val="24"/>
        </w:rPr>
        <w:footnoteReference w:id="12"/>
      </w:r>
      <w:r>
        <w:rPr>
          <w:rFonts w:ascii="Times New Roman" w:hAnsi="Times New Roman"/>
          <w:noProof/>
          <w:sz w:val="24"/>
        </w:rPr>
        <w:t xml:space="preserve">, autorităților regionale și administratorilor de terenuri, în timp ce </w:t>
      </w:r>
      <w:r w:rsidRPr="00596869">
        <w:rPr>
          <w:rFonts w:ascii="Times New Roman" w:hAnsi="Times New Roman"/>
          <w:b/>
          <w:noProof/>
          <w:sz w:val="24"/>
        </w:rPr>
        <w:t>UE sprijină aceste eforturi</w:t>
      </w:r>
      <w:r>
        <w:rPr>
          <w:rFonts w:ascii="Times New Roman" w:hAnsi="Times New Roman"/>
          <w:noProof/>
          <w:sz w:val="24"/>
        </w:rPr>
        <w:t xml:space="preserve"> prin furnizarea fondurilor, datelor și cunoștințelor necesare. Având în vedere diversitatea peisajelor, a structurilor forestiere și a condițiilor climatice din Europa, gestionarea riscurilor de incendii forestiere trebuie adaptată la nivel local și pusă în aplicare la nivelul cel mai adecvat. Prezenta comunicare recunoaște că nu există o soluție universală și prezintă acțiuni concrete cu privire la modul în care UE poate sprijini și completa mai bine eforturile de gestionare a riscurilor de incendii forestiere la toate nivelurile. În conformitate cu Strategia privind o Uniune a pregătirii</w:t>
      </w:r>
      <w:r>
        <w:rPr>
          <w:rStyle w:val="FootnoteReference"/>
          <w:rFonts w:ascii="Times New Roman" w:eastAsia="Times New Roman" w:hAnsi="Times New Roman" w:cs="Times New Roman"/>
          <w:noProof/>
          <w:sz w:val="24"/>
          <w:szCs w:val="24"/>
        </w:rPr>
        <w:footnoteReference w:id="13"/>
      </w:r>
      <w:r>
        <w:rPr>
          <w:rFonts w:ascii="Times New Roman" w:hAnsi="Times New Roman"/>
          <w:noProof/>
          <w:sz w:val="24"/>
        </w:rPr>
        <w:t xml:space="preserve">, comunicarea </w:t>
      </w:r>
      <w:r w:rsidRPr="00596869">
        <w:rPr>
          <w:rFonts w:ascii="Times New Roman" w:hAnsi="Times New Roman"/>
          <w:b/>
          <w:noProof/>
          <w:sz w:val="24"/>
        </w:rPr>
        <w:t>prezintă o abordare integrată a gestionării riscurilor de incendii forestiere</w:t>
      </w:r>
      <w:r>
        <w:rPr>
          <w:rFonts w:ascii="Times New Roman" w:hAnsi="Times New Roman"/>
          <w:noProof/>
          <w:sz w:val="24"/>
        </w:rPr>
        <w:t xml:space="preserve"> și identifică măsuri de sprijinire a punerii sale în aplicare </w:t>
      </w:r>
      <w:r w:rsidRPr="00596869">
        <w:rPr>
          <w:rFonts w:ascii="Times New Roman" w:hAnsi="Times New Roman"/>
          <w:b/>
          <w:noProof/>
          <w:sz w:val="24"/>
        </w:rPr>
        <w:t>atât la nivelul UE, cât și la nivel național</w:t>
      </w:r>
      <w:r>
        <w:rPr>
          <w:rStyle w:val="FootnoteReference"/>
          <w:rFonts w:ascii="Times New Roman" w:eastAsia="Times New Roman" w:hAnsi="Times New Roman" w:cs="Times New Roman"/>
          <w:noProof/>
          <w:sz w:val="24"/>
          <w:szCs w:val="24"/>
        </w:rPr>
        <w:footnoteReference w:id="14"/>
      </w:r>
      <w:r>
        <w:rPr>
          <w:rFonts w:ascii="Times New Roman" w:hAnsi="Times New Roman"/>
          <w:noProof/>
          <w:sz w:val="24"/>
        </w:rPr>
        <w:t xml:space="preserve">. </w:t>
      </w:r>
      <w:r w:rsidRPr="00596869">
        <w:rPr>
          <w:rFonts w:ascii="Times New Roman" w:hAnsi="Times New Roman"/>
          <w:b/>
          <w:noProof/>
          <w:sz w:val="24"/>
        </w:rPr>
        <w:t>Gestionarea integrată a riscurilor de incendii forestiere</w:t>
      </w:r>
      <w:r>
        <w:rPr>
          <w:rFonts w:ascii="Times New Roman" w:hAnsi="Times New Roman"/>
          <w:noProof/>
          <w:sz w:val="24"/>
        </w:rPr>
        <w:t xml:space="preserve"> abordează riscurile de incendii forestiere în mod global, ca o problemă pe termen lung, în toate dimensiunile sale ecologice, sociale, culturale și economice, acoperind întregul ciclu de gestionare a riscurilor, și anume prevenirea, pregătirea, răspunsul și refacerea</w:t>
      </w:r>
      <w:r>
        <w:rPr>
          <w:rStyle w:val="FootnoteReference"/>
          <w:rFonts w:ascii="Times New Roman" w:eastAsia="Times New Roman" w:hAnsi="Times New Roman" w:cs="Times New Roman"/>
          <w:noProof/>
          <w:sz w:val="24"/>
          <w:szCs w:val="24"/>
        </w:rPr>
        <w:footnoteReference w:id="15"/>
      </w:r>
      <w:r>
        <w:rPr>
          <w:rFonts w:ascii="Times New Roman" w:hAnsi="Times New Roman"/>
          <w:noProof/>
          <w:sz w:val="24"/>
        </w:rPr>
        <w:t>.</w:t>
      </w:r>
    </w:p>
    <w:p w14:paraId="1EB618C9" w14:textId="4C797B83" w:rsidR="00780E1F" w:rsidRDefault="00F8753B">
      <w:pPr>
        <w:jc w:val="center"/>
        <w:rPr>
          <w:noProof/>
        </w:rPr>
      </w:pPr>
      <w:r>
        <w:rPr>
          <w:noProof/>
          <w:lang w:val="en-GB" w:eastAsia="en-GB"/>
        </w:rPr>
        <w:drawing>
          <wp:inline distT="0" distB="0" distL="0" distR="0" wp14:anchorId="6B8DF393" wp14:editId="208E4BF4">
            <wp:extent cx="5324400" cy="3016800"/>
            <wp:effectExtent l="0" t="0" r="0" b="0"/>
            <wp:docPr id="1904868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24400" cy="3016800"/>
                    </a:xfrm>
                    <a:prstGeom prst="rect">
                      <a:avLst/>
                    </a:prstGeom>
                    <a:noFill/>
                  </pic:spPr>
                </pic:pic>
              </a:graphicData>
            </a:graphic>
          </wp:inline>
        </w:drawing>
      </w:r>
    </w:p>
    <w:p w14:paraId="4AE190CA" w14:textId="060F370C" w:rsidR="00780E1F" w:rsidRDefault="00535025">
      <w:pPr>
        <w:spacing w:after="0"/>
        <w:jc w:val="center"/>
        <w:rPr>
          <w:rFonts w:ascii="Times New Roman" w:hAnsi="Times New Roman" w:cs="Times New Roman"/>
          <w:noProof/>
          <w:sz w:val="18"/>
          <w:szCs w:val="18"/>
        </w:rPr>
      </w:pPr>
      <w:r>
        <w:rPr>
          <w:rFonts w:ascii="Times New Roman" w:hAnsi="Times New Roman"/>
          <w:noProof/>
          <w:sz w:val="18"/>
        </w:rPr>
        <w:t xml:space="preserve">Figura </w:t>
      </w:r>
      <w:r w:rsidRPr="00596869">
        <w:rPr>
          <w:rFonts w:ascii="Times New Roman" w:hAnsi="Times New Roman"/>
          <w:noProof/>
          <w:sz w:val="18"/>
        </w:rPr>
        <w:t>1</w:t>
      </w:r>
      <w:r>
        <w:rPr>
          <w:rFonts w:ascii="Times New Roman" w:hAnsi="Times New Roman"/>
          <w:noProof/>
          <w:sz w:val="18"/>
        </w:rPr>
        <w:t>:</w:t>
      </w:r>
      <w:r w:rsidR="00596869">
        <w:rPr>
          <w:rFonts w:ascii="Times New Roman" w:hAnsi="Times New Roman"/>
          <w:noProof/>
          <w:sz w:val="18"/>
        </w:rPr>
        <w:t xml:space="preserve"> </w:t>
      </w:r>
      <w:r>
        <w:rPr>
          <w:rFonts w:ascii="Times New Roman" w:hAnsi="Times New Roman"/>
          <w:noProof/>
          <w:sz w:val="18"/>
        </w:rPr>
        <w:t>Diferite elemente care constituie gestionarea integrată a riscurilor de incendii forestiere</w:t>
      </w:r>
    </w:p>
    <w:p w14:paraId="4A7C70F2" w14:textId="77777777" w:rsidR="00780E1F" w:rsidRDefault="00780E1F">
      <w:pPr>
        <w:spacing w:after="0"/>
        <w:jc w:val="both"/>
        <w:rPr>
          <w:rFonts w:ascii="Times New Roman" w:eastAsia="Times New Roman" w:hAnsi="Times New Roman" w:cs="Times New Roman"/>
          <w:noProof/>
          <w:sz w:val="24"/>
          <w:szCs w:val="24"/>
        </w:rPr>
      </w:pPr>
    </w:p>
    <w:p w14:paraId="2305CC68" w14:textId="77777777" w:rsidR="00780E1F" w:rsidRDefault="00535025">
      <w:p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Comunicarea se bazează pe consultări cu instituțiile și organismele UE, cu statele membre, cu experți, cu părțile interesate și cu mediul academic și urmărește să consolideze cooperarea cu acestea pentru a aborda riscurile din ce în ce mai complexe de incendii forestiere.</w:t>
      </w:r>
    </w:p>
    <w:p w14:paraId="307F791D" w14:textId="77777777" w:rsidR="00780E1F" w:rsidRDefault="00535025">
      <w:pPr>
        <w:pStyle w:val="Heading2"/>
        <w:rPr>
          <w:rStyle w:val="Heading2Char"/>
          <w:noProof/>
        </w:rPr>
      </w:pPr>
      <w:r>
        <w:rPr>
          <w:rStyle w:val="Heading2Char"/>
          <w:noProof/>
        </w:rPr>
        <w:t>I. Prevenirea incendiilor forestiere prin gestionarea și restaurarea peisajului</w:t>
      </w:r>
    </w:p>
    <w:p w14:paraId="25562461" w14:textId="77777777" w:rsidR="00780E1F" w:rsidRPr="00F8753B" w:rsidRDefault="00535025">
      <w:pPr>
        <w:jc w:val="both"/>
        <w:rPr>
          <w:rFonts w:ascii="Times New Roman" w:hAnsi="Times New Roman" w:cs="Times New Roman"/>
          <w:b/>
          <w:noProof/>
          <w:sz w:val="24"/>
          <w:szCs w:val="24"/>
          <w:u w:val="single"/>
        </w:rPr>
      </w:pPr>
      <w:r w:rsidRPr="00F8753B">
        <w:rPr>
          <w:rFonts w:ascii="Times New Roman" w:hAnsi="Times New Roman"/>
          <w:b/>
          <w:noProof/>
          <w:sz w:val="24"/>
          <w:u w:val="single"/>
        </w:rPr>
        <w:t xml:space="preserve">I.1 Crearea unor peisaje reziliente la incendii </w:t>
      </w:r>
    </w:p>
    <w:p w14:paraId="74BE64B8" w14:textId="77777777" w:rsidR="00780E1F" w:rsidRDefault="00535025">
      <w:pPr>
        <w:jc w:val="both"/>
        <w:rPr>
          <w:rFonts w:ascii="Times New Roman" w:hAnsi="Times New Roman" w:cs="Times New Roman"/>
          <w:noProof/>
          <w:sz w:val="24"/>
          <w:szCs w:val="24"/>
        </w:rPr>
      </w:pPr>
      <w:r>
        <w:rPr>
          <w:rFonts w:ascii="Times New Roman" w:hAnsi="Times New Roman"/>
          <w:noProof/>
          <w:sz w:val="24"/>
        </w:rPr>
        <w:t>Depopularea zonelor rurale și abandonarea terenurilor sporesc riscul lipsei unei gestionări active a pădurilor și a terenurilor, ceea ce duce la acumularea de vegetație inflamabilă și la crearea de peisaje omogene cu un potențial ridicat de a avea un comportament de incendiu extrem, în special în regiunea mediteraneeană</w:t>
      </w:r>
      <w:r>
        <w:rPr>
          <w:rStyle w:val="FootnoteReference"/>
          <w:rFonts w:ascii="Times New Roman" w:eastAsia="Times New Roman" w:hAnsi="Times New Roman" w:cs="Times New Roman"/>
          <w:noProof/>
          <w:sz w:val="24"/>
          <w:szCs w:val="24"/>
        </w:rPr>
        <w:footnoteReference w:id="16"/>
      </w:r>
      <w:r>
        <w:rPr>
          <w:rFonts w:ascii="Times New Roman" w:hAnsi="Times New Roman"/>
          <w:noProof/>
          <w:sz w:val="24"/>
        </w:rPr>
        <w:t>. În același timp, nu au fost utilizate în mod suficient practicile tradiționale care reduc cantitatea de combustibil (și anume cantitatea de vegetație combustibilă) și continuitatea acestuia în peisaj, cum ar fi arderea și pășunatul recomandate, transhumanța</w:t>
      </w:r>
      <w:r>
        <w:rPr>
          <w:rStyle w:val="FootnoteReference"/>
          <w:rFonts w:ascii="Times New Roman" w:hAnsi="Times New Roman" w:cs="Times New Roman"/>
          <w:noProof/>
          <w:sz w:val="24"/>
          <w:szCs w:val="24"/>
        </w:rPr>
        <w:footnoteReference w:id="17"/>
      </w:r>
      <w:r>
        <w:rPr>
          <w:rFonts w:ascii="Times New Roman" w:hAnsi="Times New Roman"/>
          <w:noProof/>
          <w:sz w:val="24"/>
        </w:rPr>
        <w:t xml:space="preserve"> și alte tipuri de gestionare a pajiștilor. Promovarea unor peisaje mai diverse și a unei gestionări durabile a pădurilor poate contribui la reducerea acumulării de vegetație care ar putea alimenta incendiile, poate încetini răspândirea incendiilor și poate reduce probabilitatea producerii unor incendii de mare amploare. </w:t>
      </w:r>
    </w:p>
    <w:p w14:paraId="472ACB9F" w14:textId="77777777" w:rsidR="00780E1F" w:rsidRDefault="00535025">
      <w:pPr>
        <w:jc w:val="both"/>
        <w:rPr>
          <w:rFonts w:ascii="Times New Roman" w:eastAsia="Times New Roman" w:hAnsi="Times New Roman" w:cs="Times New Roman"/>
          <w:noProof/>
          <w:sz w:val="24"/>
          <w:szCs w:val="24"/>
        </w:rPr>
      </w:pPr>
      <w:r>
        <w:rPr>
          <w:rFonts w:ascii="Times New Roman" w:hAnsi="Times New Roman"/>
          <w:noProof/>
          <w:sz w:val="24"/>
        </w:rPr>
        <w:t xml:space="preserve">Prin urmare, gestionarea adaptabilă a terenurilor și planificarea globală a peisajului joacă un rol esențial prin crearea unor </w:t>
      </w:r>
      <w:r w:rsidRPr="00596869">
        <w:rPr>
          <w:rFonts w:ascii="Times New Roman" w:hAnsi="Times New Roman"/>
          <w:b/>
          <w:noProof/>
          <w:sz w:val="24"/>
        </w:rPr>
        <w:t>peisaje multifuncționale reziliente la incendii</w:t>
      </w:r>
      <w:r>
        <w:rPr>
          <w:rStyle w:val="FootnoteReference"/>
          <w:rFonts w:ascii="Times New Roman" w:hAnsi="Times New Roman" w:cs="Times New Roman"/>
          <w:noProof/>
          <w:sz w:val="24"/>
          <w:szCs w:val="24"/>
        </w:rPr>
        <w:footnoteReference w:id="18"/>
      </w:r>
      <w:r>
        <w:rPr>
          <w:rFonts w:ascii="Times New Roman" w:hAnsi="Times New Roman"/>
          <w:noProof/>
          <w:sz w:val="24"/>
        </w:rPr>
        <w:t>.</w:t>
      </w:r>
      <w:r w:rsidRPr="00596869">
        <w:rPr>
          <w:rFonts w:ascii="Times New Roman" w:hAnsi="Times New Roman"/>
          <w:b/>
          <w:noProof/>
          <w:sz w:val="24"/>
        </w:rPr>
        <w:t xml:space="preserve"> </w:t>
      </w:r>
      <w:r>
        <w:rPr>
          <w:rFonts w:ascii="Times New Roman" w:hAnsi="Times New Roman"/>
          <w:noProof/>
          <w:sz w:val="24"/>
        </w:rPr>
        <w:t>De asemenea, ar trebui să se acorde o atenție deosebită interfeței dintre zonele sălbatice și zonele urbane, unde măsurile de prevenire pot reduce în mod semnificativ riscurile de incendii forestiere.</w:t>
      </w:r>
    </w:p>
    <w:p w14:paraId="4FD27870" w14:textId="77777777" w:rsidR="00780E1F" w:rsidRDefault="00535025">
      <w:pPr>
        <w:jc w:val="both"/>
        <w:rPr>
          <w:rFonts w:ascii="Times New Roman" w:hAnsi="Times New Roman" w:cs="Times New Roman"/>
          <w:noProof/>
          <w:sz w:val="24"/>
          <w:szCs w:val="24"/>
        </w:rPr>
      </w:pPr>
      <w:r>
        <w:rPr>
          <w:rFonts w:ascii="Times New Roman" w:hAnsi="Times New Roman"/>
          <w:noProof/>
          <w:sz w:val="24"/>
        </w:rPr>
        <w:t xml:space="preserve">UE și statele sale membre trebuie să </w:t>
      </w:r>
      <w:r w:rsidRPr="00596869">
        <w:rPr>
          <w:rFonts w:ascii="Times New Roman" w:hAnsi="Times New Roman"/>
          <w:b/>
          <w:noProof/>
          <w:color w:val="000000" w:themeColor="text1"/>
          <w:sz w:val="24"/>
        </w:rPr>
        <w:t>promoveze condiții de viață și de muncă echitabile în zone rurale dinamice,</w:t>
      </w:r>
      <w:r>
        <w:rPr>
          <w:rFonts w:ascii="Times New Roman" w:hAnsi="Times New Roman"/>
          <w:noProof/>
          <w:color w:val="000000" w:themeColor="text1"/>
          <w:sz w:val="24"/>
        </w:rPr>
        <w:t xml:space="preserve"> </w:t>
      </w:r>
      <w:r>
        <w:rPr>
          <w:rFonts w:ascii="Times New Roman" w:hAnsi="Times New Roman"/>
          <w:noProof/>
          <w:sz w:val="24"/>
        </w:rPr>
        <w:t xml:space="preserve">în conformitate cu Viziunea pentru agricultură și sectorul alimentar. În special fermierii, silvicultorii și alți administratori locali de terenuri sunt actori principali în prevenirea incendiilor forestiere, deoarece dețin cunoștințe practice adaptate la condițiile locale de mediu și climatice. Recunoașterea și recompensarea rolului lor sunt esențiale pentru menținerea zonelor rurale și pentru asigurarea rezilienței peisajelor pe termen lung. </w:t>
      </w:r>
    </w:p>
    <w:p w14:paraId="58634D2F" w14:textId="77777777" w:rsidR="00780E1F" w:rsidRDefault="00535025">
      <w:pPr>
        <w:jc w:val="both"/>
        <w:rPr>
          <w:rFonts w:ascii="Times New Roman" w:hAnsi="Times New Roman" w:cs="Times New Roman"/>
          <w:noProof/>
          <w:sz w:val="24"/>
          <w:szCs w:val="24"/>
        </w:rPr>
      </w:pPr>
      <w:r w:rsidRPr="00596869">
        <w:rPr>
          <w:rFonts w:ascii="Times New Roman" w:hAnsi="Times New Roman"/>
          <w:b/>
          <w:noProof/>
          <w:sz w:val="24"/>
        </w:rPr>
        <w:t>Politica agricolă comună</w:t>
      </w:r>
      <w:r>
        <w:rPr>
          <w:rFonts w:ascii="Times New Roman" w:hAnsi="Times New Roman"/>
          <w:noProof/>
          <w:sz w:val="24"/>
        </w:rPr>
        <w:t xml:space="preserve"> (PAC) este principala sursă de finanțare din partea UE pentru prevenirea incendiilor forestiere de origine terestră. PAC sprijină intervențiile și investițiile pentru gestionarea activă, adaptabilă și durabilă a pădurilor (de exemplu, rărirea, tăierea, diversificarea speciilor), pentru măsurile de prevenire, cum ar fi zonele de protecție împotriva incendiilor, și pentru infrastructura de stingere a incendiilor, cum ar fi drumurile forestiere. Aceasta promovează crearea și menținerea unor elemente de peisaj de tip mozaic</w:t>
      </w:r>
      <w:r>
        <w:rPr>
          <w:rStyle w:val="FootnoteReference"/>
          <w:rFonts w:ascii="Times New Roman" w:hAnsi="Times New Roman" w:cs="Times New Roman"/>
          <w:noProof/>
          <w:sz w:val="24"/>
          <w:szCs w:val="24"/>
        </w:rPr>
        <w:footnoteReference w:id="19"/>
      </w:r>
      <w:r>
        <w:rPr>
          <w:rFonts w:ascii="Times New Roman" w:hAnsi="Times New Roman"/>
          <w:noProof/>
          <w:sz w:val="24"/>
        </w:rPr>
        <w:t>, gestionarea zonelor predispuse la abandon</w:t>
      </w:r>
      <w:r>
        <w:rPr>
          <w:rStyle w:val="FootnoteReference"/>
          <w:rFonts w:ascii="Times New Roman" w:hAnsi="Times New Roman" w:cs="Times New Roman"/>
          <w:noProof/>
          <w:sz w:val="24"/>
          <w:szCs w:val="24"/>
          <w:lang w:val="en-US"/>
        </w:rPr>
        <w:footnoteReference w:id="20"/>
      </w:r>
      <w:r>
        <w:rPr>
          <w:rFonts w:ascii="Times New Roman" w:hAnsi="Times New Roman"/>
          <w:noProof/>
          <w:sz w:val="24"/>
        </w:rPr>
        <w:t>, pășunatul mai extensiv</w:t>
      </w:r>
      <w:r>
        <w:rPr>
          <w:rStyle w:val="FootnoteReference"/>
          <w:rFonts w:ascii="Times New Roman" w:hAnsi="Times New Roman" w:cs="Times New Roman"/>
          <w:noProof/>
          <w:sz w:val="24"/>
          <w:szCs w:val="24"/>
          <w:lang w:val="en-US"/>
        </w:rPr>
        <w:footnoteReference w:id="21"/>
      </w:r>
      <w:r>
        <w:rPr>
          <w:rFonts w:ascii="Times New Roman" w:hAnsi="Times New Roman"/>
          <w:noProof/>
          <w:sz w:val="24"/>
        </w:rPr>
        <w:t xml:space="preserve"> și gestionarea activă a pajiștilor</w:t>
      </w:r>
      <w:r>
        <w:rPr>
          <w:rStyle w:val="FootnoteReference"/>
          <w:rFonts w:ascii="Times New Roman" w:hAnsi="Times New Roman" w:cs="Times New Roman"/>
          <w:noProof/>
          <w:sz w:val="24"/>
          <w:szCs w:val="24"/>
          <w:lang w:val="en-US"/>
        </w:rPr>
        <w:footnoteReference w:id="22"/>
      </w:r>
      <w:r>
        <w:rPr>
          <w:rFonts w:ascii="Times New Roman" w:hAnsi="Times New Roman"/>
          <w:noProof/>
          <w:sz w:val="24"/>
        </w:rPr>
        <w:t xml:space="preserve"> ca instrument durabil de gestionare a combustibilului în peisajele vulnerabile. În perioada de programare </w:t>
      </w:r>
      <w:r w:rsidRPr="00596869">
        <w:rPr>
          <w:rFonts w:ascii="Times New Roman" w:hAnsi="Times New Roman"/>
          <w:noProof/>
          <w:sz w:val="24"/>
        </w:rPr>
        <w:t>2028</w:t>
      </w:r>
      <w:r>
        <w:rPr>
          <w:rFonts w:ascii="Times New Roman" w:hAnsi="Times New Roman"/>
          <w:noProof/>
          <w:sz w:val="24"/>
        </w:rPr>
        <w:t>-</w:t>
      </w:r>
      <w:r w:rsidRPr="00596869">
        <w:rPr>
          <w:rFonts w:ascii="Times New Roman" w:hAnsi="Times New Roman"/>
          <w:noProof/>
          <w:sz w:val="24"/>
        </w:rPr>
        <w:t>2034</w:t>
      </w:r>
      <w:r>
        <w:rPr>
          <w:rFonts w:ascii="Times New Roman" w:hAnsi="Times New Roman"/>
          <w:noProof/>
          <w:sz w:val="24"/>
        </w:rPr>
        <w:t>, Comisia urmărește să continue finanțarea investițiilor disponibile în prezent și a măsurilor de prevenire și restaurare legate de gestionarea terenurilor</w:t>
      </w:r>
      <w:r>
        <w:rPr>
          <w:rStyle w:val="FootnoteReference"/>
          <w:rFonts w:ascii="Times New Roman" w:eastAsia="Times New Roman" w:hAnsi="Times New Roman" w:cs="Times New Roman"/>
          <w:noProof/>
          <w:sz w:val="24"/>
          <w:szCs w:val="24"/>
        </w:rPr>
        <w:footnoteReference w:id="23"/>
      </w:r>
      <w:r>
        <w:rPr>
          <w:rFonts w:ascii="Times New Roman" w:hAnsi="Times New Roman"/>
          <w:noProof/>
          <w:sz w:val="24"/>
        </w:rPr>
        <w:t>. Printre acestea se numără acțiuni în domeniul agromediului și al climei, cu scopul de a recompensa fermierii și deținătorii de păduri pentru eforturile lor pozitive, punând un accent deosebit pe sprijinirea tranziției voluntare către sisteme de producție mai reziliente, inclusiv sisteme extensive de creștere a animalelor. Acțiunile includ, de asemenea, sprijinul pentru angajamentele voluntare în zonele naturale și seminaturale, în special în zonele montane și marginale. Comisia propune, de asemenea, o mai bună direcționare a sprijinului pentru venit către fermierii aflați în dificultate, inclusiv către tipurile specifice de agricultură care gestionează zonele agricole expuse riscului de abandonare a producției agricole.</w:t>
      </w:r>
    </w:p>
    <w:p w14:paraId="7494DE83" w14:textId="77777777" w:rsidR="00780E1F" w:rsidRDefault="00535025">
      <w:pPr>
        <w:jc w:val="both"/>
        <w:rPr>
          <w:rFonts w:ascii="Times New Roman" w:hAnsi="Times New Roman" w:cs="Times New Roman"/>
          <w:noProof/>
          <w:sz w:val="24"/>
          <w:szCs w:val="24"/>
        </w:rPr>
      </w:pPr>
      <w:r w:rsidRPr="00596869">
        <w:rPr>
          <w:rFonts w:ascii="Times New Roman" w:hAnsi="Times New Roman"/>
          <w:b/>
          <w:noProof/>
          <w:sz w:val="24"/>
        </w:rPr>
        <w:t>Strategia UE în domeniul bioeconomiei</w:t>
      </w:r>
      <w:r>
        <w:rPr>
          <w:rFonts w:ascii="Times New Roman" w:hAnsi="Times New Roman"/>
          <w:noProof/>
          <w:sz w:val="24"/>
        </w:rPr>
        <w:t xml:space="preserve"> sprijină utilizarea durabilă a biomasei, inclusiv a regiunilor predispuse la incendii, prin dezvoltarea unor lanțuri valorice bazate pe conceptul bio. Consolidarea acestor lanțuri valorice poate contribui la mobilizarea biomasei insuficient utilizate, reducând riscurile de incendii și creând totodată noi oportunități economice pentru regiunile rurale. </w:t>
      </w:r>
    </w:p>
    <w:p w14:paraId="0E292AA6" w14:textId="77777777" w:rsidR="00780E1F" w:rsidRDefault="00535025">
      <w:pPr>
        <w:spacing w:after="0"/>
        <w:jc w:val="both"/>
        <w:rPr>
          <w:rFonts w:ascii="Times New Roman" w:eastAsia="Aptos" w:hAnsi="Times New Roman" w:cs="Times New Roman"/>
          <w:noProof/>
          <w:sz w:val="24"/>
          <w:szCs w:val="24"/>
        </w:rPr>
      </w:pPr>
      <w:r>
        <w:rPr>
          <w:noProof/>
          <w:lang w:val="en-GB" w:eastAsia="en-GB"/>
        </w:rPr>
        <mc:AlternateContent>
          <mc:Choice Requires="wps">
            <w:drawing>
              <wp:inline distT="0" distB="0" distL="0" distR="0" wp14:anchorId="7E3B3942" wp14:editId="41108C5E">
                <wp:extent cx="5800725" cy="1223645"/>
                <wp:effectExtent l="0" t="0" r="28575" b="27940"/>
                <wp:docPr id="816396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1223645"/>
                        </a:xfrm>
                        <a:prstGeom prst="rect">
                          <a:avLst/>
                        </a:prstGeom>
                        <a:solidFill>
                          <a:srgbClr val="FFFFFF"/>
                        </a:solidFill>
                        <a:ln w="9525">
                          <a:solidFill>
                            <a:srgbClr val="000000"/>
                          </a:solidFill>
                          <a:miter lim="800000"/>
                          <a:headEnd/>
                          <a:tailEnd/>
                        </a:ln>
                      </wps:spPr>
                      <wps:txbx>
                        <w:txbxContent>
                          <w:p w14:paraId="1E02994C" w14:textId="77777777" w:rsidR="00780E1F" w:rsidRDefault="00535025">
                            <w:pPr>
                              <w:rPr>
                                <w:rFonts w:ascii="Times New Roman" w:hAnsi="Times New Roman" w:cs="Times New Roman"/>
                                <w:b/>
                                <w:bCs/>
                              </w:rPr>
                            </w:pPr>
                            <w:r>
                              <w:rPr>
                                <w:rFonts w:ascii="Times New Roman" w:hAnsi="Times New Roman"/>
                                <w:b/>
                              </w:rPr>
                              <w:t xml:space="preserve">Pășunatul ca bună practică de reducere a riscurilor de incendii forestiere </w:t>
                            </w:r>
                          </w:p>
                          <w:p w14:paraId="64BFA830" w14:textId="77777777" w:rsidR="00780E1F" w:rsidRDefault="0084151F">
                            <w:pPr>
                              <w:jc w:val="both"/>
                            </w:pPr>
                            <w:hyperlink r:id="rId16" w:history="1">
                              <w:r w:rsidR="00535025">
                                <w:rPr>
                                  <w:rStyle w:val="Hyperlink"/>
                                  <w:rFonts w:ascii="Times New Roman" w:hAnsi="Times New Roman"/>
                                </w:rPr>
                                <w:t>Rețeaua andaluză a zonelor de protecție împotriva incendiilor (RAPCA)</w:t>
                              </w:r>
                            </w:hyperlink>
                            <w:r w:rsidR="00535025">
                              <w:rPr>
                                <w:rFonts w:ascii="Times New Roman" w:hAnsi="Times New Roman"/>
                              </w:rPr>
                              <w:t xml:space="preserve">, gestionată de guvernul regional andaluz (Spania), este un sistem de plată bine stabilit pentru prevenirea incendiilor forestiere prin utilizarea pășunatului direcționat (în principal ovine și caprine) în zonele de protecție împotriva incendiilor, selectate strategic, din păduri. În prezent, RAPCA acoperă peste 5 000 de hectare de păduri publice prin contracte încheiate între păstori și agențiile locale de mediu sau de apă și este completată de finanțarea prin PAC. </w:t>
                            </w:r>
                          </w:p>
                        </w:txbxContent>
                      </wps:txbx>
                      <wps:bodyPr rot="0" vert="horz" wrap="square" lIns="91440" tIns="45720" rIns="91440" bIns="45720" anchor="t" anchorCtr="0">
                        <a:spAutoFit/>
                      </wps:bodyPr>
                    </wps:wsp>
                  </a:graphicData>
                </a:graphic>
              </wp:inline>
            </w:drawing>
          </mc:Choice>
          <mc:Fallback>
            <w:pict>
              <v:shapetype w14:anchorId="7E3B3942" id="_x0000_t202" coordsize="21600,21600" o:spt="202" path="m,l,21600r21600,l21600,xe">
                <v:stroke joinstyle="miter"/>
                <v:path gradientshapeok="t" o:connecttype="rect"/>
              </v:shapetype>
              <v:shape id="Text Box 2" o:spid="_x0000_s1026" type="#_x0000_t202" style="width:456.75pt;height:9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VyxKQIAAE0EAAAOAAAAZHJzL2Uyb0RvYy54bWysVNtu2zAMfR+wfxD0vthx4zQx4hRdugwD&#10;ugvQ7gNoWY6FyZImKbG7rx8lu1l2wR6G+UEQRero8JD05mboJDlx64RWJZ3PUkq4YroW6lDSz4/7&#10;VytKnAdVg9SKl/SJO3qzffli05uCZ7rVsuaWIIhyRW9K2npviiRxrOUduJk2XKGz0bYDj6Y9JLWF&#10;HtE7mWRpukx6bWtjNePO4end6KTbiN80nPmPTeO4J7KkyM3H1ca1Cmuy3UBxsGBawSYa8A8sOhAK&#10;Hz1D3YEHcrTiN6hOMKudbvyM6S7RTSMYjzlgNvP0l2weWjA85oLiOHOWyf0/WPbh9MkSUZd0NV9e&#10;rZd5jiop6LBUj3zw5LUeSBZU6o0rMPjBYLgf8BirHTN25l6zL44ovWtBHfittbpvOdTIch5uJhdX&#10;RxwXQKr+va7xGTh6HYGGxnZBQhSFIDryeDpXKFBheJiv0vQ6yylh6Jtn2dVykcc3oHi+bqzzb7nu&#10;SNiU1GILRHg43Tsf6EDxHBJec1qKei+kjIY9VDtpyQmwXfbxm9B/CpOK9CVd50jk7xBp/P4E0QmP&#10;fS9Fh8Kfg6AIur1RdexKD0KOe6Qs1SRk0G5U0Q/VMBWm0vUTSmr12N84j7hptf1GSY+9XVL39QiW&#10;UyLfKSzLer5YhGGIxiK/ztCwl57q0gOKIVRJPSXjdufjAMXUzS2Wby+isKHOI5OJK/Zs1HuarzAU&#10;l3aM+vEX2H4HAAD//wMAUEsDBBQABgAIAAAAIQA8fNf/3AAAAAUBAAAPAAAAZHJzL2Rvd25yZXYu&#10;eG1sTI/BTsMwEETvSPyDtUjcqNOiAg1xKkTVM6UgIW6OvY2jxusQu2nK17P0ApeRVjOaeVssR9+K&#10;AfvYBFIwnWQgkEywDdUK3t/WNw8gYtJkdRsIFZwwwrK8vCh0bsORXnHYplpwCcVcK3ApdbmU0Tj0&#10;Ok5Ch8TeLvReJz77WtpeH7nct3KWZXfS64Z4wekOnx2a/fbgFcTV5qszu021d/b0/bIa5uZj/anU&#10;9dX49Agi4Zj+wvCLz+hQMlMVDmSjaBXwI+ms7C2mt3MQFYcWs3uQZSH/05c/AAAA//8DAFBLAQIt&#10;ABQABgAIAAAAIQC2gziS/gAAAOEBAAATAAAAAAAAAAAAAAAAAAAAAABbQ29udGVudF9UeXBlc10u&#10;eG1sUEsBAi0AFAAGAAgAAAAhADj9If/WAAAAlAEAAAsAAAAAAAAAAAAAAAAALwEAAF9yZWxzLy5y&#10;ZWxzUEsBAi0AFAAGAAgAAAAhAOflXLEpAgAATQQAAA4AAAAAAAAAAAAAAAAALgIAAGRycy9lMm9E&#10;b2MueG1sUEsBAi0AFAAGAAgAAAAhADx81//cAAAABQEAAA8AAAAAAAAAAAAAAAAAgwQAAGRycy9k&#10;b3ducmV2LnhtbFBLBQYAAAAABAAEAPMAAACMBQAAAAA=&#10;">
                <v:textbox style="mso-fit-shape-to-text:t">
                  <w:txbxContent>
                    <w:p w14:paraId="1E02994C" w14:textId="77777777" w:rsidR="00780E1F" w:rsidRDefault="00535025">
                      <w:pPr>
                        <w:rPr>
                          <w:rFonts w:ascii="Times New Roman" w:hAnsi="Times New Roman" w:cs="Times New Roman"/>
                          <w:b/>
                          <w:bCs/>
                        </w:rPr>
                      </w:pPr>
                      <w:r>
                        <w:rPr>
                          <w:rFonts w:ascii="Times New Roman" w:hAnsi="Times New Roman"/>
                          <w:b/>
                        </w:rPr>
                        <w:t xml:space="preserve">Pășunatul ca bună practică de reducere a riscurilor de incendii forestiere </w:t>
                      </w:r>
                    </w:p>
                    <w:p w14:paraId="64BFA830" w14:textId="77777777" w:rsidR="00780E1F" w:rsidRDefault="0084151F">
                      <w:pPr>
                        <w:jc w:val="both"/>
                      </w:pPr>
                      <w:hyperlink r:id="rId17" w:history="1">
                        <w:r w:rsidR="00535025">
                          <w:rPr>
                            <w:rStyle w:val="Hyperlink"/>
                            <w:rFonts w:ascii="Times New Roman" w:hAnsi="Times New Roman"/>
                          </w:rPr>
                          <w:t>Rețeaua andaluză a zonelor de protecție împotriva incendiilor (RAPCA)</w:t>
                        </w:r>
                      </w:hyperlink>
                      <w:r w:rsidR="00535025">
                        <w:rPr>
                          <w:rFonts w:ascii="Times New Roman" w:hAnsi="Times New Roman"/>
                        </w:rPr>
                        <w:t xml:space="preserve">, gestionată de guvernul regional andaluz (Spania), este un sistem de plată bine stabilit pentru prevenirea incendiilor forestiere prin utilizarea pășunatului direcționat (în principal ovine și caprine) în zonele de protecție împotriva incendiilor, selectate strategic, din păduri. În prezent, RAPCA acoperă peste 5 000 de hectare de păduri publice prin contracte încheiate între păstori și agențiile locale de mediu sau de apă și este completată de finanțarea prin PAC. </w:t>
                      </w:r>
                    </w:p>
                  </w:txbxContent>
                </v:textbox>
                <w10:anchorlock/>
              </v:shape>
            </w:pict>
          </mc:Fallback>
        </mc:AlternateContent>
      </w:r>
    </w:p>
    <w:p w14:paraId="5C55DAE0" w14:textId="77777777" w:rsidR="00780E1F" w:rsidRPr="00F8753B" w:rsidRDefault="00535025">
      <w:pPr>
        <w:jc w:val="both"/>
        <w:rPr>
          <w:rFonts w:ascii="Times New Roman" w:hAnsi="Times New Roman" w:cs="Times New Roman"/>
          <w:b/>
          <w:noProof/>
          <w:sz w:val="24"/>
          <w:szCs w:val="24"/>
          <w:u w:val="single"/>
        </w:rPr>
      </w:pPr>
      <w:r w:rsidRPr="00F8753B">
        <w:rPr>
          <w:rFonts w:ascii="Times New Roman" w:hAnsi="Times New Roman"/>
          <w:b/>
          <w:noProof/>
          <w:sz w:val="24"/>
          <w:u w:val="single"/>
        </w:rPr>
        <w:t>I.2 Gestionarea riscurilor de incendii forestiere prin protecția și restaurarea naturii</w:t>
      </w:r>
    </w:p>
    <w:p w14:paraId="64BAA288" w14:textId="77777777" w:rsidR="00780E1F" w:rsidRDefault="00535025">
      <w:pPr>
        <w:jc w:val="both"/>
        <w:rPr>
          <w:rFonts w:ascii="Times New Roman" w:hAnsi="Times New Roman" w:cs="Times New Roman"/>
          <w:noProof/>
          <w:sz w:val="24"/>
          <w:szCs w:val="24"/>
        </w:rPr>
      </w:pPr>
      <w:r>
        <w:rPr>
          <w:rFonts w:ascii="Times New Roman" w:hAnsi="Times New Roman"/>
          <w:noProof/>
          <w:sz w:val="24"/>
        </w:rPr>
        <w:t>Activitățile de protecție și restaurare a naturii fac parte integrantă din gestionarea riscurilor de incendii forestiere, deoarece stimulează reziliența și sănătatea ecosistemelor, atenuând riscul și impactul evenimentelor extreme. Soluțiile bazate pe natură, care sunt adaptate la particularitățile regiunilor biogeografice și sunt reziliente la condițiile climatice viitoare preconizate, joacă un rol esențial</w:t>
      </w:r>
      <w:r>
        <w:rPr>
          <w:rStyle w:val="FootnoteReference"/>
          <w:rFonts w:ascii="Times New Roman" w:hAnsi="Times New Roman" w:cs="Times New Roman"/>
          <w:noProof/>
          <w:sz w:val="24"/>
          <w:szCs w:val="24"/>
        </w:rPr>
        <w:footnoteReference w:id="24"/>
      </w:r>
      <w:r>
        <w:rPr>
          <w:rFonts w:ascii="Times New Roman" w:hAnsi="Times New Roman"/>
          <w:noProof/>
          <w:sz w:val="24"/>
        </w:rPr>
        <w:t xml:space="preserve">. </w:t>
      </w:r>
    </w:p>
    <w:p w14:paraId="66FA2F78" w14:textId="77777777" w:rsidR="00780E1F" w:rsidRDefault="00535025">
      <w:pPr>
        <w:jc w:val="both"/>
        <w:rPr>
          <w:rFonts w:ascii="Times New Roman" w:hAnsi="Times New Roman" w:cs="Times New Roman"/>
          <w:noProof/>
          <w:sz w:val="24"/>
          <w:szCs w:val="24"/>
        </w:rPr>
      </w:pPr>
      <w:r>
        <w:rPr>
          <w:noProof/>
          <w:lang w:val="en-GB" w:eastAsia="en-GB"/>
        </w:rPr>
        <mc:AlternateContent>
          <mc:Choice Requires="wps">
            <w:drawing>
              <wp:inline distT="45720" distB="45720" distL="114300" distR="114300" wp14:anchorId="32E5C180" wp14:editId="333D0CB0">
                <wp:extent cx="5791200" cy="1519238"/>
                <wp:effectExtent l="0" t="0" r="19050" b="10795"/>
                <wp:docPr id="1238465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1519238"/>
                        </a:xfrm>
                        <a:prstGeom prst="rect">
                          <a:avLst/>
                        </a:prstGeom>
                        <a:solidFill>
                          <a:srgbClr val="FFFFFF"/>
                        </a:solidFill>
                        <a:ln w="9525">
                          <a:solidFill>
                            <a:srgbClr val="000000"/>
                          </a:solidFill>
                          <a:miter lim="800000"/>
                          <a:headEnd/>
                          <a:tailEnd/>
                        </a:ln>
                      </wps:spPr>
                      <wps:txbx>
                        <w:txbxContent>
                          <w:p w14:paraId="5E7B65D5" w14:textId="77777777" w:rsidR="00780E1F" w:rsidRDefault="00535025">
                            <w:pPr>
                              <w:rPr>
                                <w:rFonts w:ascii="Times New Roman" w:hAnsi="Times New Roman" w:cs="Times New Roman"/>
                                <w:b/>
                                <w:bCs/>
                                <w:sz w:val="24"/>
                                <w:szCs w:val="24"/>
                              </w:rPr>
                            </w:pPr>
                            <w:r>
                              <w:rPr>
                                <w:rFonts w:ascii="Times New Roman" w:hAnsi="Times New Roman"/>
                                <w:b/>
                                <w:sz w:val="24"/>
                              </w:rPr>
                              <w:t xml:space="preserve">Restaurarea pădurilor pentru îmbunătățirea rezilienței la incendiile forestiere </w:t>
                            </w:r>
                          </w:p>
                          <w:p w14:paraId="3EFE7D7D" w14:textId="77777777" w:rsidR="00780E1F" w:rsidRDefault="0084151F">
                            <w:pPr>
                              <w:jc w:val="both"/>
                              <w:rPr>
                                <w:rFonts w:ascii="Times New Roman" w:hAnsi="Times New Roman" w:cs="Times New Roman"/>
                                <w:sz w:val="24"/>
                                <w:szCs w:val="24"/>
                              </w:rPr>
                            </w:pPr>
                            <w:hyperlink r:id="rId18" w:history="1">
                              <w:r w:rsidR="00535025">
                                <w:rPr>
                                  <w:rStyle w:val="Hyperlink"/>
                                  <w:rFonts w:ascii="Times New Roman" w:hAnsi="Times New Roman"/>
                                  <w:sz w:val="24"/>
                                </w:rPr>
                                <w:t>Proiectul LIFE GOPROFOR MED</w:t>
                              </w:r>
                            </w:hyperlink>
                            <w:r w:rsidR="00535025">
                              <w:rPr>
                                <w:rFonts w:ascii="Times New Roman" w:hAnsi="Times New Roman"/>
                                <w:sz w:val="24"/>
                              </w:rPr>
                              <w:t xml:space="preserve"> a identificat intervenții în habitatele mediteraneene protejate, care îndeplinesc simultan obiectivele de conservare a biodiversității și obiectivele de reducere a riscurilor de incendii forestiere. De exemplu, promovarea structurării arboretului în grupuri poate contribui la reducerea riscului de incendii ale coroanelor prin ruperea continuității verticale și orizontale a vegetației. În același timp, promovarea diverselor specii de arbori, în special a foioaselor indigene reziliente la incendii, poate reduce gradul general de inflamabilitate și poate susține refacerea după incendii. </w:t>
                            </w:r>
                          </w:p>
                        </w:txbxContent>
                      </wps:txbx>
                      <wps:bodyPr rot="0" vert="horz" wrap="square" lIns="91440" tIns="45720" rIns="91440" bIns="45720" anchor="t" anchorCtr="0">
                        <a:spAutoFit/>
                      </wps:bodyPr>
                    </wps:wsp>
                  </a:graphicData>
                </a:graphic>
              </wp:inline>
            </w:drawing>
          </mc:Choice>
          <mc:Fallback>
            <w:pict>
              <v:shape w14:anchorId="32E5C180" id="_x0000_s1027" type="#_x0000_t202" style="width:456pt;height:11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SeiLAIAAFUEAAAOAAAAZHJzL2Uyb0RvYy54bWysVNtu2zAMfR+wfxD0vjh24yYx4hRdugwD&#10;ugvQ7gNkWY6FyaImKbGzry8lp2l2exnmB0GUqMPDQ9Krm6FT5CCsk6BLmk6mlAjNoZZ6V9Kvj9s3&#10;C0qcZ7pmCrQo6VE4erN+/WrVm0Jk0IKqhSUIol3Rm5K23psiSRxvRcfcBIzQeNmA7ZhH0+6S2rIe&#10;0TuVZNPpddKDrY0FLpzD07vxkq4jftMI7j83jROeqJIiNx9XG9cqrMl6xYqdZaaV/ESD/QOLjkmN&#10;Qc9Qd8wzsrfyN6hOcgsOGj/h0CXQNJKLmANmk05/yeahZUbEXFAcZ84yuf8Hyz8dvlgia6xddrWY&#10;XedX8xklmnVYq0cxePIWBpIFmXrjCvR+MOjvBzzGJzFlZ+6Bf3NEw6ZleidurYW+FaxGmml4mVw8&#10;HXFcAKn6j1BjGLb3EIGGxnZBQ1SFIDqW63guUaDC8TCfL1OsOyUc79I8XSLrGIMVz8+Ndf69gI6E&#10;TUkt9kCEZ4d75wMdVjy7hGgOlKy3Uqlo2F21UZYcGPbLNn4n9J/clCZ9SZd5lo8K/BViGr8/QXTS&#10;Y+Mr2ZV0cXZiRdDtna5jW3om1bhHykqfhAzajSr6oRrG0oUAQeQK6iMqa2Hsc5xL3LRgf1DSY4+X&#10;1H3fMysoUR80VmeZzmZhKKIxy+cZGvbyprq8YZojVEk9JeN24+MgRd3MLVZxK6O+L0xOlLF3o+yn&#10;OQvDcWlHr5e/wfoJAAD//wMAUEsDBBQABgAIAAAAIQCgn+a42wAAAAUBAAAPAAAAZHJzL2Rvd25y&#10;ZXYueG1sTI/BTsMwEETvSPyDtUjcqNNUIBriVIiqZ0pBQtwcextHjdchdtOUr2fhApeRRrOaeVuu&#10;Jt+JEYfYBlIwn2UgkEywLTUK3l43N/cgYtJkdRcIFZwxwqq6vCh1YcOJXnDcpUZwCcVCK3Ap9YWU&#10;0Tj0Os5Cj8TZPgxeJ7ZDI+2gT1zuO5ln2Z30uiVecLrHJ4fmsDt6BXG9/ezNflsfnD1/Pa/HW/O+&#10;+VDq+mp6fACRcEp/x/CDz+hQMVMdjmSj6BTwI+lXOVvOc7a1gnyxXICsSvmfvvoGAAD//wMAUEsB&#10;Ai0AFAAGAAgAAAAhALaDOJL+AAAA4QEAABMAAAAAAAAAAAAAAAAAAAAAAFtDb250ZW50X1R5cGVz&#10;XS54bWxQSwECLQAUAAYACAAAACEAOP0h/9YAAACUAQAACwAAAAAAAAAAAAAAAAAvAQAAX3JlbHMv&#10;LnJlbHNQSwECLQAUAAYACAAAACEAcCUnoiwCAABVBAAADgAAAAAAAAAAAAAAAAAuAgAAZHJzL2Uy&#10;b0RvYy54bWxQSwECLQAUAAYACAAAACEAoJ/muNsAAAAFAQAADwAAAAAAAAAAAAAAAACGBAAAZHJz&#10;L2Rvd25yZXYueG1sUEsFBgAAAAAEAAQA8wAAAI4FAAAAAA==&#10;">
                <v:textbox style="mso-fit-shape-to-text:t">
                  <w:txbxContent>
                    <w:p w14:paraId="5E7B65D5" w14:textId="77777777" w:rsidR="00780E1F" w:rsidRDefault="00535025">
                      <w:pPr>
                        <w:rPr>
                          <w:rFonts w:ascii="Times New Roman" w:hAnsi="Times New Roman" w:cs="Times New Roman"/>
                          <w:b/>
                          <w:bCs/>
                          <w:sz w:val="24"/>
                          <w:szCs w:val="24"/>
                        </w:rPr>
                      </w:pPr>
                      <w:r>
                        <w:rPr>
                          <w:rFonts w:ascii="Times New Roman" w:hAnsi="Times New Roman"/>
                          <w:b/>
                          <w:sz w:val="24"/>
                        </w:rPr>
                        <w:t xml:space="preserve">Restaurarea pădurilor pentru îmbunătățirea rezilienței la incendiile forestiere </w:t>
                      </w:r>
                    </w:p>
                    <w:p w14:paraId="3EFE7D7D" w14:textId="77777777" w:rsidR="00780E1F" w:rsidRDefault="0084151F">
                      <w:pPr>
                        <w:jc w:val="both"/>
                        <w:rPr>
                          <w:rFonts w:ascii="Times New Roman" w:hAnsi="Times New Roman" w:cs="Times New Roman"/>
                          <w:sz w:val="24"/>
                          <w:szCs w:val="24"/>
                        </w:rPr>
                      </w:pPr>
                      <w:hyperlink r:id="rId19" w:history="1">
                        <w:r w:rsidR="00535025">
                          <w:rPr>
                            <w:rStyle w:val="Hyperlink"/>
                            <w:rFonts w:ascii="Times New Roman" w:hAnsi="Times New Roman"/>
                            <w:sz w:val="24"/>
                          </w:rPr>
                          <w:t>Proiectul LIFE GOPROFOR MED</w:t>
                        </w:r>
                      </w:hyperlink>
                      <w:r w:rsidR="00535025">
                        <w:rPr>
                          <w:rFonts w:ascii="Times New Roman" w:hAnsi="Times New Roman"/>
                          <w:sz w:val="24"/>
                        </w:rPr>
                        <w:t xml:space="preserve"> a identificat intervenții în habitatele mediteraneene protejate, care îndeplinesc simultan obiectivele de conservare a biodiversității și obiectivele de reducere a riscurilor de incendii forestiere. De exemplu, promovarea structurării arboretului în grupuri poate contribui la reducerea riscului de incendii ale coroanelor prin ruperea continuității verticale și orizontale a vegetației. În același timp, promovarea diverselor specii de arbori, în special a foioaselor indigene reziliente la incendii, poate reduce gradul general de inflamabilitate și poate susține refacerea după incendii. </w:t>
                      </w:r>
                    </w:p>
                  </w:txbxContent>
                </v:textbox>
                <w10:anchorlock/>
              </v:shape>
            </w:pict>
          </mc:Fallback>
        </mc:AlternateContent>
      </w:r>
      <w:r>
        <w:rPr>
          <w:rFonts w:ascii="Times New Roman" w:hAnsi="Times New Roman"/>
          <w:noProof/>
          <w:sz w:val="24"/>
        </w:rPr>
        <w:t xml:space="preserve">Este esențial și fezabil să se definească obiective și măsuri de conservare a biodiversității care să fie compatibile cu obiectivele de gestionare a riscurilor de incendii forestiere și viceversa. Prin urmare, Comisia </w:t>
      </w:r>
      <w:r w:rsidRPr="00596869">
        <w:rPr>
          <w:rFonts w:ascii="Times New Roman" w:hAnsi="Times New Roman"/>
          <w:b/>
          <w:noProof/>
          <w:sz w:val="24"/>
        </w:rPr>
        <w:t>va publica un document de orientare privind Natura 2000 și schimbările climatice</w:t>
      </w:r>
      <w:r>
        <w:rPr>
          <w:rFonts w:ascii="Times New Roman" w:hAnsi="Times New Roman"/>
          <w:noProof/>
          <w:sz w:val="24"/>
        </w:rPr>
        <w:t xml:space="preserve"> pentru a promova măsuri de reducere a combustibilului bazate pe ecosisteme, care să fie compatibile cu obiectivele de conservare ale siturilor, și invită statele membre să utilizeze aceste orientări.</w:t>
      </w:r>
    </w:p>
    <w:p w14:paraId="26FBF64C" w14:textId="77777777" w:rsidR="00780E1F" w:rsidRDefault="00535025">
      <w:pPr>
        <w:jc w:val="both"/>
        <w:rPr>
          <w:rFonts w:ascii="Times New Roman" w:hAnsi="Times New Roman" w:cs="Times New Roman"/>
          <w:noProof/>
          <w:sz w:val="24"/>
          <w:szCs w:val="24"/>
        </w:rPr>
      </w:pPr>
      <w:r>
        <w:rPr>
          <w:rFonts w:ascii="Times New Roman" w:hAnsi="Times New Roman"/>
          <w:noProof/>
          <w:sz w:val="24"/>
        </w:rPr>
        <w:t xml:space="preserve">De asemenea, statele membre își pot utiliza planurile naționale de restaurare în temeiul </w:t>
      </w:r>
      <w:r w:rsidRPr="00596869">
        <w:rPr>
          <w:rFonts w:ascii="Times New Roman" w:hAnsi="Times New Roman"/>
          <w:b/>
          <w:noProof/>
          <w:sz w:val="24"/>
        </w:rPr>
        <w:t>Regulamentului privind restaurarea naturii</w:t>
      </w:r>
      <w:r>
        <w:rPr>
          <w:rStyle w:val="FootnoteReference"/>
          <w:rFonts w:ascii="Times New Roman" w:hAnsi="Times New Roman" w:cs="Times New Roman"/>
          <w:noProof/>
          <w:sz w:val="24"/>
          <w:szCs w:val="24"/>
        </w:rPr>
        <w:footnoteReference w:id="25"/>
      </w:r>
      <w:r>
        <w:rPr>
          <w:rFonts w:ascii="Times New Roman" w:hAnsi="Times New Roman"/>
          <w:noProof/>
          <w:sz w:val="24"/>
        </w:rPr>
        <w:t xml:space="preserve"> pentru a integra obiectivele în materie de biodiversitate în gestionarea riscurilor de incendii forestiere. Riscurile de incendii forestiere trebuie luate în considerare la planificarea și punerea în aplicare a măsurilor de restaurare necesare și la stabilirea unor niveluri satisfăcătoare pentru indicatorii de biodiversitate pentru păduri. </w:t>
      </w:r>
    </w:p>
    <w:p w14:paraId="2B248413" w14:textId="77777777" w:rsidR="00780E1F" w:rsidRDefault="00535025">
      <w:pPr>
        <w:jc w:val="both"/>
        <w:rPr>
          <w:rFonts w:ascii="Times New Roman" w:hAnsi="Times New Roman" w:cs="Times New Roman"/>
          <w:noProof/>
          <w:sz w:val="24"/>
          <w:szCs w:val="24"/>
        </w:rPr>
      </w:pPr>
      <w:r>
        <w:rPr>
          <w:rFonts w:ascii="Times New Roman" w:hAnsi="Times New Roman"/>
          <w:noProof/>
          <w:sz w:val="24"/>
        </w:rPr>
        <w:t xml:space="preserve">În ecosistemele forestiere, este important să se promoveze gestionarea durabilă a pădurilor și diversitatea structurilor forestiere, acolo unde este posibil, inclusiv utilizarea alternativelor la plantațiile monoculturale de specii foarte inflamabile, în conformitate cu criteriile de gestionare durabilă a pădurilor, astfel cum sunt definite de Forest Europe. Dacă este cazul, Comisia va încuraja </w:t>
      </w:r>
      <w:r w:rsidRPr="00596869">
        <w:rPr>
          <w:rFonts w:ascii="Times New Roman" w:hAnsi="Times New Roman"/>
          <w:b/>
          <w:noProof/>
          <w:sz w:val="24"/>
        </w:rPr>
        <w:t>utilizarea orientărilor existente privind gestionarea pădurilor mai apropiată de natură</w:t>
      </w:r>
      <w:r>
        <w:rPr>
          <w:rFonts w:ascii="Times New Roman" w:hAnsi="Times New Roman"/>
          <w:noProof/>
          <w:sz w:val="24"/>
        </w:rPr>
        <w:t xml:space="preserve"> și împădurirea și reîmpădurirea favorabile biodiversității</w:t>
      </w:r>
      <w:r>
        <w:rPr>
          <w:rStyle w:val="FootnoteReference"/>
          <w:rFonts w:ascii="Times New Roman" w:hAnsi="Times New Roman" w:cs="Times New Roman"/>
          <w:noProof/>
          <w:sz w:val="24"/>
          <w:szCs w:val="24"/>
        </w:rPr>
        <w:footnoteReference w:id="26"/>
      </w:r>
      <w:r>
        <w:rPr>
          <w:rFonts w:ascii="Times New Roman" w:hAnsi="Times New Roman"/>
          <w:noProof/>
          <w:sz w:val="24"/>
        </w:rPr>
        <w:t xml:space="preserve">, cu accent pe regiunea mediteraneeană și pe sinergiile cu obiectivele Regulamentului privind restaurarea naturii. </w:t>
      </w:r>
    </w:p>
    <w:p w14:paraId="32EB84CD" w14:textId="1C2E9D0C" w:rsidR="00780E1F" w:rsidRDefault="00535025">
      <w:pPr>
        <w:jc w:val="both"/>
        <w:rPr>
          <w:rFonts w:ascii="Times New Roman" w:hAnsi="Times New Roman" w:cs="Times New Roman"/>
          <w:noProof/>
          <w:sz w:val="24"/>
          <w:szCs w:val="24"/>
        </w:rPr>
      </w:pPr>
      <w:r w:rsidRPr="00596869">
        <w:rPr>
          <w:rFonts w:ascii="Times New Roman Bold" w:hAnsi="Times New Roman Bold"/>
          <w:b/>
          <w:noProof/>
          <w:sz w:val="24"/>
        </w:rPr>
        <w:t>Strategia europeană pentru reziliența în domeniul apei</w:t>
      </w:r>
      <w:r>
        <w:rPr>
          <w:rStyle w:val="FootnoteReference"/>
          <w:rFonts w:ascii="Times New Roman" w:hAnsi="Times New Roman" w:cs="Times New Roman"/>
          <w:noProof/>
          <w:sz w:val="24"/>
          <w:szCs w:val="24"/>
        </w:rPr>
        <w:footnoteReference w:id="27"/>
      </w:r>
      <w:r w:rsidR="00596869">
        <w:rPr>
          <w:rStyle w:val="FootnoteReference"/>
          <w:rFonts w:ascii="Times New Roman" w:hAnsi="Times New Roman" w:cs="Times New Roman"/>
          <w:noProof/>
          <w:sz w:val="24"/>
          <w:szCs w:val="24"/>
        </w:rPr>
        <w:t xml:space="preserve"> </w:t>
      </w:r>
      <w:r>
        <w:rPr>
          <w:rFonts w:ascii="Times New Roman" w:hAnsi="Times New Roman"/>
          <w:noProof/>
          <w:sz w:val="24"/>
        </w:rPr>
        <w:t>sprijină crearea unor peisaje reziliente în domeniul apei, care acționează ca bureți prin reținerea apei. Restaurarea zonelor umede, a turbăriilor, a râurilor și a zonelor inundabile va crea zone naturale de protecție împotriva incendiilor și va contribui la stabilizarea ciclurilor hidrologice ale peisajului, reducând astfel seceta și deficitul de presiune a vaporilor care sunt factori determinanți ai riscurilor de incendii forestiere prin faptul că usucă și omoară plantele. Strategia abordează, de asemenea, infrastructurile de apă învechite și disfuncționale din multe state membre.</w:t>
      </w:r>
    </w:p>
    <w:p w14:paraId="10527348" w14:textId="77777777" w:rsidR="00780E1F" w:rsidRPr="00596869"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sidRPr="00596869">
        <w:rPr>
          <w:rFonts w:ascii="Times New Roman" w:hAnsi="Times New Roman"/>
          <w:b/>
          <w:noProof/>
          <w:color w:val="000000" w:themeColor="text1"/>
          <w:sz w:val="24"/>
        </w:rPr>
        <w:t>Măsuri de sprijinire a gestionării și restaurării peisajului</w:t>
      </w:r>
    </w:p>
    <w:p w14:paraId="461D5D95" w14:textId="77777777" w:rsidR="00780E1F" w:rsidRPr="00F8753B"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sidRPr="00F8753B">
        <w:rPr>
          <w:rFonts w:ascii="Times New Roman" w:hAnsi="Times New Roman"/>
          <w:noProof/>
          <w:color w:val="000000" w:themeColor="text1"/>
          <w:sz w:val="24"/>
          <w:u w:val="single"/>
        </w:rPr>
        <w:t>Comisia:</w:t>
      </w:r>
    </w:p>
    <w:p w14:paraId="6F9C0175"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va sprijini </w:t>
      </w:r>
      <w:r w:rsidRPr="00596869">
        <w:rPr>
          <w:rFonts w:ascii="Times New Roman" w:hAnsi="Times New Roman"/>
          <w:b/>
          <w:noProof/>
          <w:sz w:val="24"/>
        </w:rPr>
        <w:t xml:space="preserve">schimbul de cunoștințe </w:t>
      </w:r>
      <w:r>
        <w:rPr>
          <w:rFonts w:ascii="Times New Roman" w:hAnsi="Times New Roman"/>
          <w:noProof/>
          <w:sz w:val="24"/>
        </w:rPr>
        <w:t>între experții de la nivelul UE</w:t>
      </w:r>
      <w:r w:rsidRPr="00596869">
        <w:rPr>
          <w:rFonts w:ascii="Times New Roman" w:hAnsi="Times New Roman"/>
          <w:b/>
          <w:noProof/>
          <w:sz w:val="24"/>
        </w:rPr>
        <w:t xml:space="preserve"> cu privire la tehnicile, procedurile, reglementările și competențele de ardere recomandate,</w:t>
      </w:r>
      <w:r>
        <w:rPr>
          <w:rFonts w:ascii="Times New Roman" w:hAnsi="Times New Roman"/>
          <w:noProof/>
          <w:sz w:val="24"/>
        </w:rPr>
        <w:t xml:space="preserve"> prin intermediul Rețelei de cunoștințe a UCPM; </w:t>
      </w:r>
    </w:p>
    <w:p w14:paraId="4EF0C7A9"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va promova pășunatul, sistemele silvopastorale și agrosilvicultura prin intermediul viitoarei </w:t>
      </w:r>
      <w:r w:rsidRPr="00596869">
        <w:rPr>
          <w:rFonts w:ascii="Times New Roman" w:hAnsi="Times New Roman"/>
          <w:b/>
          <w:noProof/>
          <w:sz w:val="24"/>
        </w:rPr>
        <w:t>strategii privind creșterea animalelor</w:t>
      </w:r>
      <w:r>
        <w:rPr>
          <w:rFonts w:ascii="Times New Roman" w:hAnsi="Times New Roman"/>
          <w:noProof/>
          <w:sz w:val="24"/>
        </w:rPr>
        <w:t xml:space="preserve"> pentru a reduce riscurile de incendii forestiere;</w:t>
      </w:r>
    </w:p>
    <w:p w14:paraId="06287670"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va colecta </w:t>
      </w:r>
      <w:r w:rsidRPr="00596869">
        <w:rPr>
          <w:rFonts w:ascii="Times New Roman" w:hAnsi="Times New Roman"/>
          <w:b/>
          <w:noProof/>
          <w:color w:val="000000" w:themeColor="text1"/>
          <w:sz w:val="24"/>
        </w:rPr>
        <w:t>bune practici privind gestionarea durabilă a combustibilului vegetal</w:t>
      </w:r>
      <w:r w:rsidRPr="00596869">
        <w:rPr>
          <w:rStyle w:val="FootnoteReference"/>
          <w:rFonts w:ascii="Times New Roman" w:eastAsia="Times New Roman" w:hAnsi="Times New Roman" w:cs="Times New Roman"/>
          <w:b/>
          <w:bCs/>
          <w:noProof/>
          <w:color w:val="000000" w:themeColor="text1"/>
          <w:sz w:val="24"/>
          <w:szCs w:val="24"/>
        </w:rPr>
        <w:footnoteReference w:id="28"/>
      </w:r>
      <w:r>
        <w:rPr>
          <w:rFonts w:ascii="Times New Roman" w:hAnsi="Times New Roman"/>
          <w:noProof/>
          <w:color w:val="000000" w:themeColor="text1"/>
          <w:sz w:val="24"/>
        </w:rPr>
        <w:t xml:space="preserve"> și va promova </w:t>
      </w:r>
      <w:r w:rsidRPr="00596869">
        <w:rPr>
          <w:rFonts w:ascii="Times New Roman" w:hAnsi="Times New Roman"/>
          <w:b/>
          <w:noProof/>
          <w:color w:val="000000" w:themeColor="text1"/>
          <w:sz w:val="24"/>
        </w:rPr>
        <w:t>diseminarea acestora</w:t>
      </w:r>
      <w:r>
        <w:rPr>
          <w:rFonts w:ascii="Times New Roman" w:hAnsi="Times New Roman"/>
          <w:noProof/>
          <w:color w:val="000000" w:themeColor="text1"/>
          <w:sz w:val="24"/>
        </w:rPr>
        <w:t xml:space="preserve"> pe platformele relevante; </w:t>
      </w:r>
    </w:p>
    <w:p w14:paraId="59546A92"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va oferi </w:t>
      </w:r>
      <w:r w:rsidRPr="00596869">
        <w:rPr>
          <w:rFonts w:ascii="Times New Roman" w:hAnsi="Times New Roman"/>
          <w:b/>
          <w:noProof/>
          <w:color w:val="000000" w:themeColor="text1"/>
          <w:sz w:val="24"/>
        </w:rPr>
        <w:t>sprijin tehnic statelor membre pentru a integra considerentele privind riscurile de incendii forestiere în planurile lor naționale de restaurare</w:t>
      </w:r>
      <w:r>
        <w:rPr>
          <w:rFonts w:ascii="Times New Roman" w:hAnsi="Times New Roman"/>
          <w:noProof/>
          <w:color w:val="000000" w:themeColor="text1"/>
          <w:sz w:val="24"/>
        </w:rPr>
        <w:t xml:space="preserve"> pe parcursul anilor </w:t>
      </w:r>
      <w:r w:rsidRPr="00596869">
        <w:rPr>
          <w:rFonts w:ascii="Times New Roman" w:hAnsi="Times New Roman"/>
          <w:noProof/>
          <w:color w:val="000000" w:themeColor="text1"/>
          <w:sz w:val="24"/>
        </w:rPr>
        <w:t>2026</w:t>
      </w:r>
      <w:r>
        <w:rPr>
          <w:rFonts w:ascii="Times New Roman" w:hAnsi="Times New Roman"/>
          <w:noProof/>
          <w:color w:val="000000" w:themeColor="text1"/>
          <w:sz w:val="24"/>
        </w:rPr>
        <w:t xml:space="preserve"> și </w:t>
      </w:r>
      <w:r w:rsidRPr="00596869">
        <w:rPr>
          <w:rFonts w:ascii="Times New Roman" w:hAnsi="Times New Roman"/>
          <w:noProof/>
          <w:color w:val="000000" w:themeColor="text1"/>
          <w:sz w:val="24"/>
        </w:rPr>
        <w:t>2027</w:t>
      </w:r>
      <w:r>
        <w:rPr>
          <w:rFonts w:ascii="Times New Roman" w:hAnsi="Times New Roman"/>
          <w:noProof/>
          <w:color w:val="000000" w:themeColor="text1"/>
          <w:sz w:val="24"/>
        </w:rPr>
        <w:t>.</w:t>
      </w:r>
    </w:p>
    <w:p w14:paraId="1689529C" w14:textId="77777777" w:rsidR="00780E1F" w:rsidRPr="00F8753B"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sidRPr="00F8753B">
        <w:rPr>
          <w:rFonts w:ascii="Times New Roman" w:hAnsi="Times New Roman"/>
          <w:noProof/>
          <w:color w:val="000000" w:themeColor="text1"/>
          <w:sz w:val="24"/>
          <w:u w:val="single"/>
        </w:rPr>
        <w:t>Statele membre sunt încurajate:</w:t>
      </w:r>
    </w:p>
    <w:p w14:paraId="2D32EFE8"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să aibă în vedere introducerea în grupurile operaționale a unui subiect privind incendiile forestiere, în conformitate cu planurile lor strategice PAC, în cererile lor de propuneri pentru </w:t>
      </w:r>
      <w:r w:rsidRPr="00596869">
        <w:rPr>
          <w:rFonts w:ascii="Times New Roman" w:hAnsi="Times New Roman"/>
          <w:b/>
          <w:noProof/>
          <w:color w:val="000000" w:themeColor="text1"/>
          <w:sz w:val="24"/>
        </w:rPr>
        <w:t>parteneriate europene pentru inovare</w:t>
      </w:r>
      <w:r>
        <w:rPr>
          <w:rFonts w:ascii="Times New Roman" w:hAnsi="Times New Roman"/>
          <w:noProof/>
          <w:color w:val="000000" w:themeColor="text1"/>
          <w:sz w:val="24"/>
        </w:rPr>
        <w:t xml:space="preserve"> (PEI-AGRI);</w:t>
      </w:r>
    </w:p>
    <w:p w14:paraId="162A6AD4"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să integreze prevenirea riscurilor de incendii forestiere și reziliența la acestea în </w:t>
      </w:r>
      <w:r w:rsidRPr="00596869">
        <w:rPr>
          <w:rFonts w:ascii="Times New Roman" w:hAnsi="Times New Roman"/>
          <w:b/>
          <w:noProof/>
          <w:color w:val="000000" w:themeColor="text1"/>
          <w:sz w:val="24"/>
        </w:rPr>
        <w:t>planurile naționale de restaurare</w:t>
      </w:r>
      <w:r>
        <w:rPr>
          <w:rFonts w:ascii="Times New Roman" w:hAnsi="Times New Roman"/>
          <w:noProof/>
          <w:color w:val="000000" w:themeColor="text1"/>
          <w:sz w:val="24"/>
        </w:rPr>
        <w:t xml:space="preserve"> și în politicile de conservare, precum și viceversa; </w:t>
      </w:r>
    </w:p>
    <w:p w14:paraId="74510ECB"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să aibă în vedere măsuri specifice de restaurare </w:t>
      </w:r>
      <w:r w:rsidRPr="00596869">
        <w:rPr>
          <w:rFonts w:ascii="Times New Roman" w:hAnsi="Times New Roman"/>
          <w:b/>
          <w:noProof/>
          <w:color w:val="000000" w:themeColor="text1"/>
          <w:sz w:val="24"/>
        </w:rPr>
        <w:t>a zonelor umede, a turbăriilor, a râurilor și a zonelor inundabile</w:t>
      </w:r>
      <w:r>
        <w:rPr>
          <w:rFonts w:ascii="Times New Roman" w:hAnsi="Times New Roman"/>
          <w:noProof/>
          <w:color w:val="000000" w:themeColor="text1"/>
          <w:sz w:val="24"/>
        </w:rPr>
        <w:t>, în conformitate cu recomandările Comisiei pentru punerea în aplicare a Directivei-cadru privind apa</w:t>
      </w:r>
      <w:r>
        <w:rPr>
          <w:rStyle w:val="FootnoteReference"/>
          <w:rFonts w:ascii="Times New Roman" w:eastAsia="Times New Roman" w:hAnsi="Times New Roman" w:cs="Times New Roman"/>
          <w:noProof/>
          <w:color w:val="000000" w:themeColor="text1"/>
          <w:sz w:val="24"/>
          <w:szCs w:val="24"/>
        </w:rPr>
        <w:footnoteReference w:id="29"/>
      </w:r>
      <w:r>
        <w:rPr>
          <w:rFonts w:ascii="Times New Roman" w:hAnsi="Times New Roman"/>
          <w:noProof/>
          <w:color w:val="000000" w:themeColor="text1"/>
          <w:sz w:val="24"/>
        </w:rPr>
        <w:t xml:space="preserve">, inclusiv cu </w:t>
      </w:r>
      <w:r w:rsidRPr="00596869">
        <w:rPr>
          <w:rFonts w:ascii="Times New Roman" w:hAnsi="Times New Roman"/>
          <w:b/>
          <w:noProof/>
          <w:color w:val="000000" w:themeColor="text1"/>
          <w:sz w:val="24"/>
        </w:rPr>
        <w:t>viitoarele orientări ale Comisiei privind planurile de gestionare a secetei</w:t>
      </w:r>
      <w:r>
        <w:rPr>
          <w:rFonts w:ascii="Times New Roman" w:hAnsi="Times New Roman"/>
          <w:noProof/>
          <w:color w:val="000000" w:themeColor="text1"/>
          <w:sz w:val="24"/>
        </w:rPr>
        <w:t>;</w:t>
      </w:r>
    </w:p>
    <w:p w14:paraId="64B18265"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596869">
        <w:rPr>
          <w:rFonts w:ascii="Times New Roman" w:hAnsi="Times New Roman"/>
          <w:b/>
          <w:noProof/>
          <w:color w:val="000000" w:themeColor="text1"/>
          <w:sz w:val="24"/>
        </w:rPr>
        <w:t>să elaboreze orientări și instrumente de gestionare a combustibilului adaptate la nivel local</w:t>
      </w:r>
      <w:r>
        <w:rPr>
          <w:rFonts w:ascii="Times New Roman" w:hAnsi="Times New Roman"/>
          <w:noProof/>
          <w:color w:val="000000" w:themeColor="text1"/>
          <w:sz w:val="24"/>
        </w:rPr>
        <w:t xml:space="preserve">, cu implicarea partenerilor sociali și a autorităților locale. </w:t>
      </w:r>
    </w:p>
    <w:p w14:paraId="08E45840" w14:textId="77777777" w:rsidR="00780E1F" w:rsidRDefault="00780E1F">
      <w:pPr>
        <w:pStyle w:val="Heading2"/>
        <w:rPr>
          <w:rStyle w:val="Heading2Char"/>
          <w:noProof/>
          <w:sz w:val="20"/>
          <w:szCs w:val="20"/>
        </w:rPr>
      </w:pPr>
    </w:p>
    <w:p w14:paraId="3B1A56E2" w14:textId="77777777" w:rsidR="00780E1F" w:rsidRDefault="00535025">
      <w:pPr>
        <w:pStyle w:val="Heading2"/>
        <w:rPr>
          <w:rStyle w:val="Heading2Char"/>
          <w:noProof/>
        </w:rPr>
      </w:pPr>
      <w:r>
        <w:rPr>
          <w:rStyle w:val="Heading2Char"/>
          <w:noProof/>
        </w:rPr>
        <w:t>II. Consolidarea pregătirii prin îmbunătățirea datelor și a cercetării</w:t>
      </w:r>
    </w:p>
    <w:p w14:paraId="7C83E873" w14:textId="77777777" w:rsidR="00780E1F" w:rsidRDefault="00535025">
      <w:pPr>
        <w:jc w:val="both"/>
        <w:rPr>
          <w:rFonts w:ascii="Times New Roman" w:hAnsi="Times New Roman" w:cs="Times New Roman"/>
          <w:noProof/>
          <w:sz w:val="24"/>
          <w:szCs w:val="24"/>
        </w:rPr>
      </w:pPr>
      <w:r w:rsidRPr="00596869">
        <w:rPr>
          <w:rFonts w:ascii="Times New Roman" w:hAnsi="Times New Roman"/>
          <w:b/>
          <w:noProof/>
          <w:sz w:val="24"/>
        </w:rPr>
        <w:t>Monitorizarea incendiilor forestiere și evaluarea riscurilor</w:t>
      </w:r>
      <w:r>
        <w:rPr>
          <w:rFonts w:ascii="Times New Roman" w:hAnsi="Times New Roman"/>
          <w:noProof/>
          <w:sz w:val="24"/>
        </w:rPr>
        <w:t xml:space="preserve"> în UE se confruntă în continuare cu provocări care limitează eficacitatea prevenirii, pregătirii și răspunsului. </w:t>
      </w:r>
      <w:r>
        <w:rPr>
          <w:rFonts w:ascii="Times New Roman" w:hAnsi="Times New Roman"/>
          <w:noProof/>
          <w:color w:val="000000" w:themeColor="text1"/>
          <w:sz w:val="24"/>
        </w:rPr>
        <w:t xml:space="preserve">Există în continuare </w:t>
      </w:r>
      <w:r w:rsidRPr="00596869">
        <w:rPr>
          <w:rFonts w:ascii="Times New Roman" w:hAnsi="Times New Roman"/>
          <w:b/>
          <w:noProof/>
          <w:color w:val="000000" w:themeColor="text1"/>
          <w:sz w:val="24"/>
        </w:rPr>
        <w:t>lacune</w:t>
      </w:r>
      <w:r>
        <w:rPr>
          <w:rFonts w:ascii="Times New Roman" w:hAnsi="Times New Roman"/>
          <w:noProof/>
          <w:color w:val="000000" w:themeColor="text1"/>
          <w:sz w:val="24"/>
        </w:rPr>
        <w:t xml:space="preserve"> în ceea ce privește consecvența, acoperirea geografică și demografică și integrarea transfrontalieră </w:t>
      </w:r>
      <w:r w:rsidRPr="00596869">
        <w:rPr>
          <w:rFonts w:ascii="Times New Roman" w:hAnsi="Times New Roman"/>
          <w:b/>
          <w:noProof/>
          <w:color w:val="000000" w:themeColor="text1"/>
          <w:sz w:val="24"/>
        </w:rPr>
        <w:t>a evaluărilor riscurilor</w:t>
      </w:r>
      <w:r>
        <w:rPr>
          <w:rFonts w:ascii="Times New Roman" w:hAnsi="Times New Roman"/>
          <w:noProof/>
          <w:color w:val="000000" w:themeColor="text1"/>
          <w:sz w:val="24"/>
        </w:rPr>
        <w:t xml:space="preserve"> din cauza disponibilității limitate a datelor de calitate. </w:t>
      </w:r>
      <w:r>
        <w:rPr>
          <w:rFonts w:ascii="Times New Roman" w:hAnsi="Times New Roman"/>
          <w:noProof/>
          <w:sz w:val="24"/>
        </w:rPr>
        <w:t xml:space="preserve">Multe state membre se bazează pe </w:t>
      </w:r>
      <w:r w:rsidRPr="00596869">
        <w:rPr>
          <w:rFonts w:ascii="Times New Roman" w:hAnsi="Times New Roman"/>
          <w:b/>
          <w:noProof/>
          <w:sz w:val="24"/>
        </w:rPr>
        <w:t>hărți ale pericolelor care nu mai sunt de actualitate</w:t>
      </w:r>
      <w:r>
        <w:rPr>
          <w:rStyle w:val="FootnoteReference"/>
          <w:rFonts w:ascii="Times New Roman" w:hAnsi="Times New Roman" w:cs="Times New Roman"/>
          <w:noProof/>
          <w:sz w:val="24"/>
          <w:szCs w:val="24"/>
        </w:rPr>
        <w:footnoteReference w:id="30"/>
      </w:r>
      <w:r>
        <w:rPr>
          <w:rFonts w:ascii="Times New Roman" w:hAnsi="Times New Roman"/>
          <w:noProof/>
          <w:sz w:val="24"/>
        </w:rPr>
        <w:t xml:space="preserve">. În plus, întrucât riscurile în cascadă, cum ar fi alunecările de teren provocate de incendiile forestiere, poluarea aerului și eroziunea solului, nu sunt integrate în evaluările riscurilor, autoritățile sunt mai puțin în măsură să anticipeze scenarii care implică mai multe pericole. În ceea ce privește previziunile pe termen scurt, </w:t>
      </w:r>
      <w:r w:rsidRPr="00596869">
        <w:rPr>
          <w:rFonts w:ascii="Times New Roman" w:hAnsi="Times New Roman"/>
          <w:b/>
          <w:noProof/>
          <w:sz w:val="24"/>
        </w:rPr>
        <w:t>modelarea sub nivelul optim a evoluției comportamentului incendiilor</w:t>
      </w:r>
      <w:r>
        <w:rPr>
          <w:rFonts w:ascii="Times New Roman" w:hAnsi="Times New Roman"/>
          <w:noProof/>
          <w:sz w:val="24"/>
        </w:rPr>
        <w:t xml:space="preserve"> împiedică eforturile de răspuns eficace.  </w:t>
      </w:r>
    </w:p>
    <w:p w14:paraId="6B798780" w14:textId="77777777" w:rsidR="00780E1F" w:rsidRDefault="00535025">
      <w:pPr>
        <w:pStyle w:val="ListParagraph"/>
        <w:ind w:left="0"/>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Prin intermediul instrumentului său de sprijin tehnic</w:t>
      </w:r>
      <w:r>
        <w:rPr>
          <w:rStyle w:val="FootnoteReference"/>
          <w:rFonts w:ascii="Times New Roman" w:eastAsia="Times New Roman" w:hAnsi="Times New Roman" w:cs="Times New Roman"/>
          <w:noProof/>
          <w:sz w:val="24"/>
          <w:szCs w:val="24"/>
        </w:rPr>
        <w:footnoteReference w:id="31"/>
      </w:r>
      <w:r>
        <w:rPr>
          <w:rFonts w:ascii="Times New Roman" w:hAnsi="Times New Roman"/>
          <w:noProof/>
          <w:sz w:val="24"/>
        </w:rPr>
        <w:t xml:space="preserve">, Comisia sprijină deja mai multe state membre la elaborarea unor </w:t>
      </w:r>
      <w:r>
        <w:rPr>
          <w:rFonts w:ascii="Times New Roman" w:hAnsi="Times New Roman"/>
          <w:noProof/>
          <w:color w:val="000000" w:themeColor="text1"/>
          <w:sz w:val="24"/>
        </w:rPr>
        <w:t>metodologii de evaluare a riscurilor de incendii forestiere și oferă</w:t>
      </w:r>
      <w:r>
        <w:rPr>
          <w:rFonts w:ascii="Times New Roman" w:hAnsi="Times New Roman"/>
          <w:noProof/>
          <w:sz w:val="24"/>
        </w:rPr>
        <w:t xml:space="preserve"> module de formare online privind cartografierea riscurilor de incendii și instrumentele de analiză spațială. </w:t>
      </w:r>
      <w:r>
        <w:rPr>
          <w:rFonts w:ascii="Times New Roman" w:hAnsi="Times New Roman"/>
          <w:noProof/>
          <w:color w:val="000000" w:themeColor="text1"/>
          <w:sz w:val="24"/>
        </w:rPr>
        <w:t xml:space="preserve">Acțiunile viitoare vor acorda prioritate consolidării capacităților paneuropene prin </w:t>
      </w:r>
      <w:r w:rsidRPr="00596869">
        <w:rPr>
          <w:rFonts w:ascii="Times New Roman" w:hAnsi="Times New Roman"/>
          <w:b/>
          <w:noProof/>
          <w:color w:val="000000" w:themeColor="text1"/>
          <w:sz w:val="24"/>
        </w:rPr>
        <w:t>stabilirea unor evaluări periodice și standardizate ale riscurilor de incendii forestiere</w:t>
      </w:r>
      <w:r>
        <w:rPr>
          <w:rFonts w:ascii="Times New Roman" w:hAnsi="Times New Roman"/>
          <w:noProof/>
          <w:color w:val="000000" w:themeColor="text1"/>
          <w:sz w:val="24"/>
        </w:rPr>
        <w:t xml:space="preserve"> în cadrul scenariilor climatice actuale și viitoare. În același timp, Comisia promovează utilizarea platformei </w:t>
      </w:r>
      <w:r w:rsidRPr="00596869">
        <w:rPr>
          <w:rFonts w:ascii="Times New Roman" w:hAnsi="Times New Roman"/>
          <w:b/>
          <w:noProof/>
          <w:color w:val="000000" w:themeColor="text1"/>
          <w:sz w:val="24"/>
        </w:rPr>
        <w:t>„Destinația Pământ”</w:t>
      </w:r>
      <w:r>
        <w:rPr>
          <w:rFonts w:ascii="Times New Roman" w:hAnsi="Times New Roman"/>
          <w:noProof/>
          <w:color w:val="000000" w:themeColor="text1"/>
          <w:sz w:val="24"/>
        </w:rPr>
        <w:t xml:space="preserve">, a gemenilor digitali și a altor platforme pentru a simula riscurile de incendii forestiere cu date integrate și modele de înaltă rezoluție generate de supercalculatoare. În plus, pentru a certifica agricultura carbonului în temeiul Regulamentului privind absorbțiile de carbon și agricultura carbonului, Comisia va furniza </w:t>
      </w:r>
      <w:r w:rsidRPr="00596869">
        <w:rPr>
          <w:rFonts w:ascii="Times New Roman" w:hAnsi="Times New Roman"/>
          <w:b/>
          <w:noProof/>
          <w:color w:val="000000" w:themeColor="text1"/>
          <w:sz w:val="24"/>
        </w:rPr>
        <w:t>seturi de date armonizate pentru a evalua riscurile de perturbări naturale</w:t>
      </w:r>
      <w:r>
        <w:rPr>
          <w:rFonts w:ascii="Times New Roman" w:hAnsi="Times New Roman"/>
          <w:noProof/>
          <w:color w:val="000000" w:themeColor="text1"/>
          <w:sz w:val="24"/>
        </w:rPr>
        <w:t>.</w:t>
      </w:r>
    </w:p>
    <w:p w14:paraId="30501FEE" w14:textId="77777777" w:rsidR="00780E1F" w:rsidRDefault="00535025">
      <w:pPr>
        <w:pStyle w:val="ListParagraph"/>
        <w:ind w:left="0"/>
        <w:jc w:val="both"/>
        <w:rPr>
          <w:rFonts w:ascii="Times New Roman" w:eastAsia="Times New Roman" w:hAnsi="Times New Roman" w:cs="Times New Roman"/>
          <w:noProof/>
          <w:sz w:val="24"/>
          <w:szCs w:val="24"/>
        </w:rPr>
      </w:pPr>
      <w:r>
        <w:rPr>
          <w:noProof/>
        </w:rPr>
        <w:t xml:space="preserve"> </w:t>
      </w:r>
      <w:r>
        <w:rPr>
          <w:noProof/>
        </w:rPr>
        <w:br/>
      </w:r>
      <w:r>
        <w:rPr>
          <w:rFonts w:ascii="Times New Roman" w:hAnsi="Times New Roman"/>
          <w:noProof/>
          <w:sz w:val="24"/>
        </w:rPr>
        <w:t xml:space="preserve">Capacitățile UE de monitorizare a incendiilor forestiere furnizează date esențiale și continuă să evolueze. </w:t>
      </w:r>
      <w:r w:rsidRPr="00596869">
        <w:rPr>
          <w:rFonts w:ascii="Times New Roman" w:hAnsi="Times New Roman"/>
          <w:b/>
          <w:noProof/>
          <w:sz w:val="24"/>
        </w:rPr>
        <w:t>Sistemul european de informare privind incendiile forestiere</w:t>
      </w:r>
      <w:r>
        <w:rPr>
          <w:rFonts w:ascii="Times New Roman" w:hAnsi="Times New Roman"/>
          <w:noProof/>
          <w:sz w:val="24"/>
        </w:rPr>
        <w:t xml:space="preserve"> (EFFIS)</w:t>
      </w:r>
      <w:r>
        <w:rPr>
          <w:rStyle w:val="FootnoteReference"/>
          <w:rFonts w:ascii="Times New Roman" w:eastAsia="Times New Roman" w:hAnsi="Times New Roman" w:cs="Times New Roman"/>
          <w:noProof/>
          <w:sz w:val="24"/>
          <w:szCs w:val="24"/>
        </w:rPr>
        <w:footnoteReference w:id="32"/>
      </w:r>
      <w:r>
        <w:rPr>
          <w:rFonts w:ascii="Times New Roman" w:hAnsi="Times New Roman"/>
          <w:noProof/>
          <w:sz w:val="24"/>
        </w:rPr>
        <w:t>, care este o componentă a serviciului Copernicus de gestionare a situațiilor de urgență (CEMS), oferă responsabililor cu situațiile de urgență un serviciu gratuit de cartografiere pentru detectarea, cartografierea și evaluarea incendiilor forestiere și a impactului acestora. Serviciul la cerere al CEMS oferă, de asemenea, evaluări rapide de foarte înaltă rezoluție în timpul fazelor de răspuns și de refacere. Pentru a îmbunătăți și mai mult capacitățile de monitorizare, este esențial să se consolideze autonomia și interoperabilitatea acestor servicii. EFFIS va include date satelitare europene</w:t>
      </w:r>
      <w:r>
        <w:rPr>
          <w:rStyle w:val="FootnoteReference"/>
          <w:rFonts w:ascii="Times New Roman" w:eastAsia="Times New Roman" w:hAnsi="Times New Roman" w:cs="Times New Roman"/>
          <w:noProof/>
          <w:sz w:val="24"/>
          <w:szCs w:val="24"/>
        </w:rPr>
        <w:footnoteReference w:id="33"/>
      </w:r>
      <w:r>
        <w:rPr>
          <w:rFonts w:ascii="Times New Roman" w:hAnsi="Times New Roman"/>
          <w:noProof/>
          <w:sz w:val="24"/>
        </w:rPr>
        <w:t xml:space="preserve"> pentru a reduce dependența de alte programe și pentru a pregăti terenul în vederea includerii datelor primite de la agențiile spațiale internaționale partenere (de exemplu, Canada WildFireSat).</w:t>
      </w:r>
    </w:p>
    <w:p w14:paraId="0CE5ACA1" w14:textId="77777777" w:rsidR="00780E1F" w:rsidRDefault="00780E1F">
      <w:pPr>
        <w:pStyle w:val="ListParagraph"/>
        <w:ind w:left="0"/>
        <w:jc w:val="both"/>
        <w:rPr>
          <w:rFonts w:ascii="Times New Roman" w:eastAsia="Times New Roman" w:hAnsi="Times New Roman" w:cs="Times New Roman"/>
          <w:noProof/>
          <w:sz w:val="24"/>
          <w:szCs w:val="24"/>
        </w:rPr>
      </w:pPr>
    </w:p>
    <w:p w14:paraId="621C54AF" w14:textId="77777777" w:rsidR="00780E1F" w:rsidRDefault="00535025">
      <w:pPr>
        <w:pStyle w:val="ListParagraph"/>
        <w:ind w:left="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Pentru a elimina lacunele existente, statele membre trebuie să își </w:t>
      </w:r>
      <w:r w:rsidRPr="00596869">
        <w:rPr>
          <w:rFonts w:ascii="Times New Roman" w:hAnsi="Times New Roman"/>
          <w:b/>
          <w:noProof/>
          <w:color w:val="000000" w:themeColor="text1"/>
          <w:sz w:val="24"/>
        </w:rPr>
        <w:t xml:space="preserve">îmbunătățească în continuare sistemele de alertă timpurie, </w:t>
      </w:r>
      <w:r>
        <w:rPr>
          <w:rFonts w:ascii="Times New Roman" w:hAnsi="Times New Roman"/>
          <w:noProof/>
          <w:color w:val="000000" w:themeColor="text1"/>
          <w:sz w:val="24"/>
        </w:rPr>
        <w:t xml:space="preserve">capacitățile de </w:t>
      </w:r>
      <w:r w:rsidRPr="00596869">
        <w:rPr>
          <w:rFonts w:ascii="Times New Roman" w:hAnsi="Times New Roman"/>
          <w:b/>
          <w:noProof/>
          <w:color w:val="000000" w:themeColor="text1"/>
          <w:sz w:val="24"/>
        </w:rPr>
        <w:t>monitorizare a incendiilor</w:t>
      </w:r>
      <w:r>
        <w:rPr>
          <w:rFonts w:ascii="Times New Roman" w:hAnsi="Times New Roman"/>
          <w:noProof/>
          <w:color w:val="000000" w:themeColor="text1"/>
          <w:sz w:val="24"/>
        </w:rPr>
        <w:t xml:space="preserve"> și de</w:t>
      </w:r>
      <w:r w:rsidRPr="00596869">
        <w:rPr>
          <w:rFonts w:ascii="Times New Roman" w:hAnsi="Times New Roman"/>
          <w:b/>
          <w:noProof/>
          <w:color w:val="000000" w:themeColor="text1"/>
          <w:sz w:val="24"/>
        </w:rPr>
        <w:t xml:space="preserve"> modelare a comportamentului incendiilor</w:t>
      </w:r>
      <w:r>
        <w:rPr>
          <w:rFonts w:ascii="Times New Roman" w:hAnsi="Times New Roman"/>
          <w:noProof/>
          <w:color w:val="000000" w:themeColor="text1"/>
          <w:sz w:val="24"/>
        </w:rPr>
        <w:t xml:space="preserve">, precum și </w:t>
      </w:r>
      <w:r w:rsidRPr="00596869">
        <w:rPr>
          <w:rFonts w:ascii="Times New Roman" w:hAnsi="Times New Roman"/>
          <w:b/>
          <w:noProof/>
          <w:color w:val="000000" w:themeColor="text1"/>
          <w:sz w:val="24"/>
        </w:rPr>
        <w:t>cadrul lor pentru evaluările riscurilor de incendii forestiere</w:t>
      </w:r>
      <w:r>
        <w:rPr>
          <w:rFonts w:ascii="Times New Roman" w:hAnsi="Times New Roman"/>
          <w:noProof/>
          <w:color w:val="000000" w:themeColor="text1"/>
          <w:sz w:val="24"/>
        </w:rPr>
        <w:t xml:space="preserve">, inclusiv prin utilizarea cartografierii de înaltă rezoluție a vegetației. Aceste instrumente trebuie să fie însoțite de </w:t>
      </w:r>
      <w:r w:rsidRPr="00596869">
        <w:rPr>
          <w:rFonts w:ascii="Times New Roman" w:hAnsi="Times New Roman"/>
          <w:b/>
          <w:noProof/>
          <w:color w:val="000000" w:themeColor="text1"/>
          <w:sz w:val="24"/>
        </w:rPr>
        <w:t>capacități consolidate de utilizare a datelor disponibile</w:t>
      </w:r>
      <w:r>
        <w:rPr>
          <w:rFonts w:ascii="Times New Roman" w:hAnsi="Times New Roman"/>
          <w:noProof/>
          <w:color w:val="000000" w:themeColor="text1"/>
          <w:sz w:val="24"/>
        </w:rPr>
        <w:t xml:space="preserve"> și de încorporare a acestora în procesul decizional bazat pe dovezi</w:t>
      </w:r>
      <w:r>
        <w:rPr>
          <w:rFonts w:ascii="Times New Roman" w:hAnsi="Times New Roman"/>
          <w:noProof/>
          <w:sz w:val="24"/>
        </w:rPr>
        <w:t>. C</w:t>
      </w:r>
      <w:r>
        <w:rPr>
          <w:rFonts w:ascii="Times New Roman" w:hAnsi="Times New Roman"/>
          <w:noProof/>
          <w:color w:val="000000" w:themeColor="text1"/>
          <w:sz w:val="24"/>
        </w:rPr>
        <w:t xml:space="preserve">omisia va sprijini statele membre în aceste eforturi prin îmbunătățirea instrumentelor de alertă timpurie și prin oferirea unei </w:t>
      </w:r>
      <w:r w:rsidRPr="00596869">
        <w:rPr>
          <w:rFonts w:ascii="Times New Roman" w:hAnsi="Times New Roman"/>
          <w:b/>
          <w:noProof/>
          <w:sz w:val="24"/>
        </w:rPr>
        <w:t>modelări standardizate a riscurilor de incendii forestiere la scară paneuropeană</w:t>
      </w:r>
      <w:r>
        <w:rPr>
          <w:rFonts w:ascii="Times New Roman" w:hAnsi="Times New Roman"/>
          <w:noProof/>
          <w:color w:val="000000" w:themeColor="text1"/>
          <w:sz w:val="24"/>
        </w:rPr>
        <w:t xml:space="preserve"> în cadrul EFFIS. </w:t>
      </w:r>
    </w:p>
    <w:p w14:paraId="73E9A040" w14:textId="77777777" w:rsidR="00780E1F" w:rsidRDefault="00780E1F">
      <w:pPr>
        <w:pStyle w:val="ListParagraph"/>
        <w:ind w:left="0"/>
        <w:jc w:val="both"/>
        <w:rPr>
          <w:rFonts w:ascii="Times New Roman" w:eastAsia="Aptos" w:hAnsi="Times New Roman" w:cs="Times New Roman"/>
          <w:noProof/>
          <w:sz w:val="24"/>
          <w:szCs w:val="24"/>
        </w:rPr>
      </w:pPr>
    </w:p>
    <w:p w14:paraId="64B5BFEB" w14:textId="77777777" w:rsidR="00780E1F" w:rsidRDefault="00535025">
      <w:pPr>
        <w:pStyle w:val="ListParagraph"/>
        <w:ind w:left="0"/>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Consolidarea tehnologiilor europene de observare și previzionare a incendiilor, de exemplu prin intermediul platformelor de informații despre Pământ și al sistemelor bazate pe IA, poate sprijini gestionarea integrată a riscurilor de incendii forestiere și competitivitatea industrială a UE prin programul Orizont Europa și serviciile Copernicus. </w:t>
      </w:r>
    </w:p>
    <w:tbl>
      <w:tblPr>
        <w:tblStyle w:val="TableGrid"/>
        <w:tblW w:w="0" w:type="auto"/>
        <w:shd w:val="clear" w:color="auto" w:fill="D9D9D9" w:themeFill="background1" w:themeFillShade="D9"/>
        <w:tblLook w:val="04A0" w:firstRow="1" w:lastRow="0" w:firstColumn="1" w:lastColumn="0" w:noHBand="0" w:noVBand="1"/>
      </w:tblPr>
      <w:tblGrid>
        <w:gridCol w:w="9016"/>
      </w:tblGrid>
      <w:tr w:rsidR="00780E1F" w14:paraId="0088ABA5" w14:textId="77777777">
        <w:tc>
          <w:tcPr>
            <w:tcW w:w="9016" w:type="dxa"/>
            <w:shd w:val="clear" w:color="auto" w:fill="D9D9D9" w:themeFill="background1" w:themeFillShade="D9"/>
          </w:tcPr>
          <w:p w14:paraId="2B908033" w14:textId="77777777" w:rsidR="00780E1F" w:rsidRPr="00596869" w:rsidRDefault="00535025">
            <w:pPr>
              <w:jc w:val="both"/>
              <w:rPr>
                <w:rFonts w:ascii="Times New Roman" w:hAnsi="Times New Roman" w:cs="Times New Roman"/>
                <w:b/>
                <w:bCs/>
                <w:noProof/>
                <w:sz w:val="24"/>
                <w:szCs w:val="24"/>
              </w:rPr>
            </w:pPr>
            <w:r w:rsidRPr="00596869">
              <w:rPr>
                <w:rFonts w:ascii="Times New Roman" w:hAnsi="Times New Roman"/>
                <w:b/>
                <w:noProof/>
                <w:sz w:val="24"/>
              </w:rPr>
              <w:t>Măsuri de consolidare a pregătirii prin îmbunătățirea datelor și a cercetării</w:t>
            </w:r>
          </w:p>
          <w:p w14:paraId="6192F898" w14:textId="77777777" w:rsidR="00780E1F" w:rsidRPr="00596869" w:rsidRDefault="00780E1F">
            <w:pPr>
              <w:jc w:val="both"/>
              <w:rPr>
                <w:rFonts w:ascii="Times New Roman" w:hAnsi="Times New Roman" w:cs="Times New Roman"/>
                <w:b/>
                <w:bCs/>
                <w:noProof/>
                <w:sz w:val="24"/>
                <w:szCs w:val="24"/>
              </w:rPr>
            </w:pPr>
          </w:p>
          <w:p w14:paraId="5E57D7C7" w14:textId="77777777" w:rsidR="00780E1F" w:rsidRPr="00F8753B" w:rsidRDefault="00535025">
            <w:pPr>
              <w:jc w:val="both"/>
              <w:rPr>
                <w:rFonts w:ascii="Times New Roman" w:hAnsi="Times New Roman" w:cs="Times New Roman"/>
                <w:noProof/>
                <w:sz w:val="24"/>
                <w:szCs w:val="24"/>
                <w:u w:val="single"/>
              </w:rPr>
            </w:pPr>
            <w:r w:rsidRPr="00F8753B">
              <w:rPr>
                <w:rFonts w:ascii="Times New Roman" w:hAnsi="Times New Roman"/>
                <w:noProof/>
                <w:sz w:val="24"/>
                <w:u w:val="single"/>
              </w:rPr>
              <w:t>Comisia:</w:t>
            </w:r>
          </w:p>
          <w:p w14:paraId="6AFDD118" w14:textId="77777777" w:rsidR="00780E1F" w:rsidRPr="00F8753B" w:rsidRDefault="00780E1F">
            <w:pPr>
              <w:jc w:val="both"/>
              <w:rPr>
                <w:rFonts w:ascii="Times New Roman" w:hAnsi="Times New Roman" w:cs="Times New Roman"/>
                <w:noProof/>
                <w:sz w:val="24"/>
                <w:szCs w:val="24"/>
                <w:u w:val="single"/>
              </w:rPr>
            </w:pPr>
          </w:p>
          <w:p w14:paraId="264B83D3" w14:textId="77777777" w:rsidR="00780E1F" w:rsidRDefault="00535025">
            <w:pPr>
              <w:spacing w:after="160"/>
              <w:jc w:val="both"/>
              <w:rPr>
                <w:rFonts w:ascii="Times New Roman" w:eastAsia="Aptos" w:hAnsi="Times New Roman" w:cs="Times New Roman"/>
                <w:noProof/>
                <w:color w:val="000000" w:themeColor="text1"/>
                <w:sz w:val="24"/>
                <w:szCs w:val="24"/>
              </w:rPr>
            </w:pPr>
            <w:r>
              <w:rPr>
                <w:rFonts w:ascii="Times New Roman" w:hAnsi="Times New Roman"/>
                <w:noProof/>
                <w:color w:val="000000" w:themeColor="text1"/>
                <w:sz w:val="24"/>
              </w:rPr>
              <w:t xml:space="preserve">va dezvolta în continuare EFFIS pentru a-și îmbunătăți instrumentele de alertă timpurie și de monitorizare, va elabora, în </w:t>
            </w:r>
            <w:r w:rsidRPr="00596869">
              <w:rPr>
                <w:rFonts w:ascii="Times New Roman" w:hAnsi="Times New Roman"/>
                <w:noProof/>
                <w:color w:val="000000" w:themeColor="text1"/>
                <w:sz w:val="24"/>
              </w:rPr>
              <w:t>2026</w:t>
            </w:r>
            <w:r>
              <w:rPr>
                <w:rFonts w:ascii="Times New Roman" w:hAnsi="Times New Roman"/>
                <w:noProof/>
                <w:color w:val="000000" w:themeColor="text1"/>
                <w:sz w:val="24"/>
              </w:rPr>
              <w:t xml:space="preserve">, o foaie de parcurs pentru realizarea de hărți actualizate periodic ale combustibililor în întreaga Europă, va dezvolta, până în </w:t>
            </w:r>
            <w:r w:rsidRPr="00596869">
              <w:rPr>
                <w:rFonts w:ascii="Times New Roman" w:hAnsi="Times New Roman"/>
                <w:noProof/>
                <w:color w:val="000000" w:themeColor="text1"/>
                <w:sz w:val="24"/>
              </w:rPr>
              <w:t>2027</w:t>
            </w:r>
            <w:r>
              <w:rPr>
                <w:rFonts w:ascii="Times New Roman" w:hAnsi="Times New Roman"/>
                <w:noProof/>
                <w:color w:val="000000" w:themeColor="text1"/>
                <w:sz w:val="24"/>
              </w:rPr>
              <w:t xml:space="preserve">, capacități de realizare a unei </w:t>
            </w:r>
            <w:r w:rsidRPr="00596869">
              <w:rPr>
                <w:rFonts w:ascii="Times New Roman" w:hAnsi="Times New Roman"/>
                <w:b/>
                <w:noProof/>
                <w:color w:val="000000" w:themeColor="text1"/>
                <w:sz w:val="24"/>
              </w:rPr>
              <w:t>modelări standardizate a riscurilor de incendii forestiere la scară paneuropeană</w:t>
            </w:r>
            <w:r>
              <w:rPr>
                <w:rFonts w:ascii="Times New Roman" w:hAnsi="Times New Roman"/>
                <w:noProof/>
                <w:color w:val="000000" w:themeColor="text1"/>
                <w:sz w:val="24"/>
              </w:rPr>
              <w:t xml:space="preserve"> și va identifica strategii de gestionare și bune practici care să reducă riscul de incendiu și să consolideze reziliența peisajului în interfața dintre zonele sălbatice și zonele urbane; </w:t>
            </w:r>
          </w:p>
          <w:p w14:paraId="3A0D041A" w14:textId="77777777" w:rsidR="00780E1F" w:rsidRDefault="00535025">
            <w:pPr>
              <w:jc w:val="both"/>
              <w:rPr>
                <w:rFonts w:ascii="Times New Roman" w:hAnsi="Times New Roman" w:cs="Times New Roman"/>
                <w:noProof/>
                <w:sz w:val="24"/>
                <w:szCs w:val="24"/>
              </w:rPr>
            </w:pPr>
            <w:r>
              <w:rPr>
                <w:rFonts w:ascii="Times New Roman" w:hAnsi="Times New Roman"/>
                <w:noProof/>
                <w:sz w:val="24"/>
              </w:rPr>
              <w:t xml:space="preserve">va analiza </w:t>
            </w:r>
            <w:r w:rsidRPr="00596869">
              <w:rPr>
                <w:rFonts w:ascii="Times New Roman" w:hAnsi="Times New Roman"/>
                <w:b/>
                <w:noProof/>
                <w:sz w:val="24"/>
              </w:rPr>
              <w:t>oportunitățile de sprijin viitor pentru cercetare și inovare</w:t>
            </w:r>
            <w:r>
              <w:rPr>
                <w:rFonts w:ascii="Times New Roman" w:hAnsi="Times New Roman"/>
                <w:noProof/>
                <w:sz w:val="24"/>
              </w:rPr>
              <w:t xml:space="preserve"> în vederea gestionării integrate a riscurilor de incendii forestiere în agricultură, silvicultură și zonele rurale în cadrul programului Orizont Europa, inclusiv parteneriatul propus privind pădurile și silvicultura pentru un viitor durabil și o posibilă cerere de propuneri privind biodiversitatea în perioada </w:t>
            </w:r>
            <w:r w:rsidRPr="00596869">
              <w:rPr>
                <w:rFonts w:ascii="Times New Roman" w:hAnsi="Times New Roman"/>
                <w:noProof/>
                <w:sz w:val="24"/>
              </w:rPr>
              <w:t>2026</w:t>
            </w:r>
            <w:r>
              <w:rPr>
                <w:rFonts w:ascii="Times New Roman" w:hAnsi="Times New Roman"/>
                <w:noProof/>
                <w:sz w:val="24"/>
              </w:rPr>
              <w:t>-</w:t>
            </w:r>
            <w:r w:rsidRPr="00596869">
              <w:rPr>
                <w:rFonts w:ascii="Times New Roman" w:hAnsi="Times New Roman"/>
                <w:noProof/>
                <w:sz w:val="24"/>
              </w:rPr>
              <w:t>2027</w:t>
            </w:r>
            <w:r>
              <w:rPr>
                <w:rFonts w:ascii="Times New Roman" w:hAnsi="Times New Roman"/>
                <w:noProof/>
                <w:sz w:val="24"/>
              </w:rPr>
              <w:t xml:space="preserve">; </w:t>
            </w:r>
          </w:p>
          <w:p w14:paraId="20633A1B" w14:textId="77777777" w:rsidR="00780E1F" w:rsidRDefault="00780E1F">
            <w:pPr>
              <w:jc w:val="both"/>
              <w:rPr>
                <w:rFonts w:ascii="Times New Roman" w:hAnsi="Times New Roman" w:cs="Times New Roman"/>
                <w:noProof/>
                <w:sz w:val="24"/>
                <w:szCs w:val="24"/>
              </w:rPr>
            </w:pPr>
          </w:p>
          <w:p w14:paraId="19B8DD6D" w14:textId="77777777" w:rsidR="00780E1F" w:rsidRDefault="00535025">
            <w:p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va promova adoptarea unor măsuri inovatoare de prevenire a incendiilor forestiere de origine terestră, inclusiv a unor soluții bazate pe natură, și, în acest scop, va </w:t>
            </w:r>
            <w:r w:rsidRPr="00596869">
              <w:rPr>
                <w:rFonts w:ascii="Times New Roman" w:hAnsi="Times New Roman"/>
                <w:b/>
                <w:noProof/>
                <w:color w:val="000000" w:themeColor="text1"/>
                <w:sz w:val="24"/>
              </w:rPr>
              <w:t>prezenta până în 2027 practici eficace în agricultura durabilă și gestionarea durabilă a pădurilor</w:t>
            </w:r>
            <w:r>
              <w:rPr>
                <w:rFonts w:ascii="Times New Roman" w:hAnsi="Times New Roman"/>
                <w:noProof/>
                <w:color w:val="000000" w:themeColor="text1"/>
                <w:sz w:val="24"/>
              </w:rPr>
              <w:t>, care au fost demonstrate cu succes în diferite proiecte finanțate de UE;</w:t>
            </w:r>
          </w:p>
          <w:p w14:paraId="64135A3D" w14:textId="77777777" w:rsidR="00780E1F" w:rsidRDefault="00780E1F">
            <w:pPr>
              <w:jc w:val="both"/>
              <w:rPr>
                <w:rFonts w:ascii="Times New Roman" w:eastAsia="Times New Roman" w:hAnsi="Times New Roman" w:cs="Times New Roman"/>
                <w:noProof/>
                <w:color w:val="000000" w:themeColor="text1"/>
                <w:sz w:val="24"/>
                <w:szCs w:val="24"/>
              </w:rPr>
            </w:pPr>
          </w:p>
          <w:p w14:paraId="5579C67A" w14:textId="77777777" w:rsidR="00780E1F" w:rsidRDefault="00535025">
            <w:p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va oferi </w:t>
            </w:r>
            <w:r w:rsidRPr="00596869">
              <w:rPr>
                <w:rFonts w:ascii="Times New Roman" w:hAnsi="Times New Roman"/>
                <w:b/>
                <w:noProof/>
                <w:color w:val="000000" w:themeColor="text1"/>
                <w:sz w:val="24"/>
              </w:rPr>
              <w:t>orientări actualizate privind evaluarea riscurilor</w:t>
            </w:r>
            <w:r>
              <w:rPr>
                <w:rFonts w:ascii="Times New Roman" w:hAnsi="Times New Roman"/>
                <w:noProof/>
                <w:color w:val="000000" w:themeColor="text1"/>
                <w:sz w:val="24"/>
              </w:rPr>
              <w:t>, ținând seama de gestionarea integrată a riscurilor de incendii forestiere, pentru raportarea periodică a statelor membre către Comisie</w:t>
            </w:r>
            <w:r>
              <w:rPr>
                <w:rStyle w:val="FootnoteReference"/>
                <w:rFonts w:ascii="Times New Roman" w:eastAsia="Times New Roman" w:hAnsi="Times New Roman" w:cs="Times New Roman"/>
                <w:noProof/>
                <w:color w:val="000000" w:themeColor="text1"/>
                <w:sz w:val="24"/>
                <w:szCs w:val="24"/>
              </w:rPr>
              <w:footnoteReference w:id="34"/>
            </w:r>
            <w:r>
              <w:rPr>
                <w:rFonts w:ascii="Times New Roman" w:hAnsi="Times New Roman"/>
                <w:noProof/>
                <w:color w:val="000000" w:themeColor="text1"/>
                <w:sz w:val="24"/>
              </w:rPr>
              <w:t xml:space="preserve"> până în </w:t>
            </w:r>
            <w:r w:rsidRPr="00596869">
              <w:rPr>
                <w:rFonts w:ascii="Times New Roman" w:hAnsi="Times New Roman"/>
                <w:noProof/>
                <w:color w:val="000000" w:themeColor="text1"/>
                <w:sz w:val="24"/>
              </w:rPr>
              <w:t>2027</w:t>
            </w:r>
            <w:r>
              <w:rPr>
                <w:rFonts w:ascii="Times New Roman" w:hAnsi="Times New Roman"/>
                <w:noProof/>
                <w:color w:val="000000" w:themeColor="text1"/>
                <w:sz w:val="24"/>
              </w:rPr>
              <w:t>.</w:t>
            </w:r>
          </w:p>
          <w:p w14:paraId="3BC01AE0" w14:textId="77777777" w:rsidR="00780E1F" w:rsidRDefault="00780E1F">
            <w:pPr>
              <w:jc w:val="both"/>
              <w:rPr>
                <w:rFonts w:ascii="Times New Roman" w:eastAsia="Times New Roman" w:hAnsi="Times New Roman" w:cs="Times New Roman"/>
                <w:noProof/>
                <w:color w:val="000000" w:themeColor="text1"/>
                <w:sz w:val="24"/>
                <w:szCs w:val="24"/>
              </w:rPr>
            </w:pPr>
          </w:p>
          <w:p w14:paraId="22F96166" w14:textId="77777777" w:rsidR="00780E1F" w:rsidRPr="00F8753B" w:rsidRDefault="00535025">
            <w:pPr>
              <w:jc w:val="both"/>
              <w:rPr>
                <w:rFonts w:ascii="Times New Roman" w:hAnsi="Times New Roman" w:cs="Times New Roman"/>
                <w:noProof/>
                <w:sz w:val="24"/>
                <w:szCs w:val="24"/>
                <w:u w:val="single"/>
              </w:rPr>
            </w:pPr>
            <w:r w:rsidRPr="00F8753B">
              <w:rPr>
                <w:rFonts w:ascii="Times New Roman" w:hAnsi="Times New Roman"/>
                <w:noProof/>
                <w:sz w:val="24"/>
                <w:u w:val="single"/>
              </w:rPr>
              <w:t>Statele membre sunt încurajate:</w:t>
            </w:r>
          </w:p>
          <w:p w14:paraId="541A4CF0" w14:textId="77777777" w:rsidR="00780E1F" w:rsidRDefault="00535025">
            <w:pPr>
              <w:jc w:val="both"/>
              <w:rPr>
                <w:rFonts w:ascii="Times New Roman" w:hAnsi="Times New Roman" w:cs="Times New Roman"/>
                <w:noProof/>
                <w:sz w:val="24"/>
                <w:szCs w:val="24"/>
              </w:rPr>
            </w:pPr>
            <w:r>
              <w:rPr>
                <w:rFonts w:ascii="Times New Roman" w:hAnsi="Times New Roman"/>
                <w:noProof/>
                <w:sz w:val="24"/>
              </w:rPr>
              <w:t xml:space="preserve"> </w:t>
            </w:r>
          </w:p>
          <w:p w14:paraId="10067216" w14:textId="77777777" w:rsidR="00780E1F" w:rsidRDefault="00535025">
            <w:pPr>
              <w:jc w:val="both"/>
              <w:rPr>
                <w:rFonts w:ascii="Times New Roman" w:hAnsi="Times New Roman" w:cs="Times New Roman"/>
                <w:noProof/>
                <w:sz w:val="24"/>
                <w:szCs w:val="24"/>
              </w:rPr>
            </w:pPr>
            <w:r w:rsidRPr="00596869">
              <w:rPr>
                <w:rFonts w:ascii="Times New Roman" w:hAnsi="Times New Roman"/>
                <w:b/>
                <w:noProof/>
                <w:sz w:val="24"/>
              </w:rPr>
              <w:t>să participe la dezvoltarea și promovarea inițiativei „Destinația Pământ”</w:t>
            </w:r>
            <w:r>
              <w:rPr>
                <w:rFonts w:ascii="Times New Roman" w:hAnsi="Times New Roman"/>
                <w:noProof/>
                <w:sz w:val="24"/>
              </w:rPr>
              <w:t xml:space="preserve"> pentru protecție civilă și pregătire, de exemplu prin demonstrarea unor c</w:t>
            </w:r>
            <w:r>
              <w:rPr>
                <w:rFonts w:ascii="Times New Roman" w:hAnsi="Times New Roman"/>
                <w:noProof/>
                <w:color w:val="000000" w:themeColor="text1"/>
                <w:sz w:val="24"/>
              </w:rPr>
              <w:t xml:space="preserve">azuri-pilot de utilizare pentru modelarea și previzionarea riscurilor de incendii forestiere în funcție de nevoile suplimentare ale UCPM; </w:t>
            </w:r>
            <w:r>
              <w:rPr>
                <w:rFonts w:ascii="Times New Roman" w:hAnsi="Times New Roman"/>
                <w:noProof/>
                <w:sz w:val="24"/>
              </w:rPr>
              <w:t xml:space="preserve"> </w:t>
            </w:r>
          </w:p>
          <w:p w14:paraId="62537E85" w14:textId="77777777" w:rsidR="00780E1F" w:rsidRDefault="00780E1F">
            <w:pPr>
              <w:jc w:val="both"/>
              <w:rPr>
                <w:rFonts w:ascii="Times New Roman" w:hAnsi="Times New Roman" w:cs="Times New Roman"/>
                <w:noProof/>
                <w:sz w:val="24"/>
                <w:szCs w:val="24"/>
              </w:rPr>
            </w:pPr>
          </w:p>
          <w:p w14:paraId="3829ADED" w14:textId="77777777" w:rsidR="00780E1F" w:rsidRDefault="00535025">
            <w:pPr>
              <w:jc w:val="both"/>
              <w:rPr>
                <w:rFonts w:ascii="Times New Roman" w:hAnsi="Times New Roman" w:cs="Times New Roman"/>
                <w:noProof/>
                <w:sz w:val="24"/>
                <w:szCs w:val="24"/>
              </w:rPr>
            </w:pPr>
            <w:r w:rsidRPr="00596869">
              <w:rPr>
                <w:rFonts w:ascii="Times New Roman" w:hAnsi="Times New Roman"/>
                <w:b/>
                <w:noProof/>
                <w:sz w:val="24"/>
              </w:rPr>
              <w:t>să utilizeze în mod sistematic instrumentele și datele de la nivelul UE</w:t>
            </w:r>
            <w:r>
              <w:rPr>
                <w:rFonts w:ascii="Times New Roman" w:hAnsi="Times New Roman"/>
                <w:noProof/>
                <w:sz w:val="24"/>
              </w:rPr>
              <w:t xml:space="preserve"> (de exemplu, serviciile Copernicus și EFFIS), pentru a sprijini gestionarea bazată pe dovezi a riscurilor de incendii forestiere, precum și deciziile lor de finanțare a proiectelor;</w:t>
            </w:r>
          </w:p>
          <w:p w14:paraId="32022F5F" w14:textId="77777777" w:rsidR="00780E1F" w:rsidRDefault="00535025">
            <w:pPr>
              <w:jc w:val="both"/>
              <w:rPr>
                <w:rFonts w:ascii="Times New Roman" w:hAnsi="Times New Roman" w:cs="Times New Roman"/>
                <w:noProof/>
                <w:sz w:val="24"/>
                <w:szCs w:val="24"/>
              </w:rPr>
            </w:pPr>
            <w:r>
              <w:rPr>
                <w:rFonts w:ascii="Times New Roman" w:hAnsi="Times New Roman"/>
                <w:noProof/>
                <w:sz w:val="24"/>
              </w:rPr>
              <w:t xml:space="preserve"> </w:t>
            </w:r>
          </w:p>
          <w:p w14:paraId="18E013ED" w14:textId="77777777" w:rsidR="00780E1F" w:rsidRDefault="00535025">
            <w:pPr>
              <w:jc w:val="both"/>
              <w:rPr>
                <w:rFonts w:ascii="Times New Roman" w:hAnsi="Times New Roman" w:cs="Times New Roman"/>
                <w:noProof/>
                <w:sz w:val="24"/>
                <w:szCs w:val="24"/>
              </w:rPr>
            </w:pPr>
            <w:r w:rsidRPr="00596869">
              <w:rPr>
                <w:rFonts w:ascii="Times New Roman" w:hAnsi="Times New Roman"/>
                <w:b/>
                <w:noProof/>
                <w:sz w:val="24"/>
              </w:rPr>
              <w:t>să actualizeze evaluările riscurilor de incendii forestiere</w:t>
            </w:r>
            <w:r>
              <w:rPr>
                <w:rFonts w:ascii="Times New Roman" w:hAnsi="Times New Roman"/>
                <w:noProof/>
                <w:sz w:val="24"/>
              </w:rPr>
              <w:t xml:space="preserve"> și să utilizeze analize îmbunătățite ale comportamentului incendiilor pentru a desemna domeniile prioritare pentru prevenire și pregătire;  </w:t>
            </w:r>
          </w:p>
          <w:p w14:paraId="6769185A" w14:textId="77777777" w:rsidR="00780E1F" w:rsidRDefault="00535025">
            <w:pPr>
              <w:jc w:val="both"/>
              <w:rPr>
                <w:rFonts w:ascii="Times New Roman" w:hAnsi="Times New Roman" w:cs="Times New Roman"/>
                <w:noProof/>
                <w:sz w:val="24"/>
                <w:szCs w:val="24"/>
              </w:rPr>
            </w:pPr>
            <w:r>
              <w:rPr>
                <w:rFonts w:ascii="Times New Roman" w:hAnsi="Times New Roman"/>
                <w:noProof/>
                <w:sz w:val="24"/>
              </w:rPr>
              <w:t xml:space="preserve"> </w:t>
            </w:r>
          </w:p>
          <w:p w14:paraId="45D829CF" w14:textId="77777777" w:rsidR="00780E1F" w:rsidRDefault="00535025">
            <w:pPr>
              <w:jc w:val="both"/>
              <w:rPr>
                <w:rFonts w:ascii="Times New Roman" w:hAnsi="Times New Roman" w:cs="Times New Roman"/>
                <w:noProof/>
                <w:sz w:val="24"/>
                <w:szCs w:val="24"/>
              </w:rPr>
            </w:pPr>
            <w:r w:rsidRPr="00596869">
              <w:rPr>
                <w:rFonts w:ascii="Times New Roman" w:hAnsi="Times New Roman"/>
                <w:b/>
                <w:noProof/>
                <w:sz w:val="24"/>
              </w:rPr>
              <w:t>să dezvolte capacitățile de analiză a comportamentului incendiilor forestiere</w:t>
            </w:r>
            <w:r>
              <w:rPr>
                <w:rStyle w:val="FootnoteReference"/>
                <w:rFonts w:ascii="Times New Roman" w:hAnsi="Times New Roman" w:cs="Times New Roman"/>
                <w:noProof/>
                <w:sz w:val="24"/>
                <w:szCs w:val="24"/>
              </w:rPr>
              <w:footnoteReference w:id="35"/>
            </w:r>
            <w:r>
              <w:rPr>
                <w:rFonts w:ascii="Times New Roman" w:hAnsi="Times New Roman"/>
                <w:noProof/>
                <w:sz w:val="24"/>
              </w:rPr>
              <w:t xml:space="preserve"> și sistemele de asistență decizională dedicate gestionării riscurilor de incendii forestiere. </w:t>
            </w:r>
          </w:p>
          <w:p w14:paraId="10C8C05F" w14:textId="77777777" w:rsidR="00780E1F" w:rsidRDefault="00780E1F">
            <w:pPr>
              <w:jc w:val="both"/>
              <w:rPr>
                <w:rFonts w:ascii="Times New Roman" w:hAnsi="Times New Roman" w:cs="Times New Roman"/>
                <w:noProof/>
                <w:sz w:val="24"/>
                <w:szCs w:val="24"/>
              </w:rPr>
            </w:pPr>
          </w:p>
        </w:tc>
      </w:tr>
    </w:tbl>
    <w:p w14:paraId="162D9616" w14:textId="77777777" w:rsidR="00780E1F" w:rsidRPr="00F8753B" w:rsidRDefault="00780E1F">
      <w:pPr>
        <w:jc w:val="both"/>
        <w:rPr>
          <w:rFonts w:ascii="Times New Roman" w:hAnsi="Times New Roman" w:cs="Times New Roman"/>
          <w:b/>
          <w:bCs/>
          <w:noProof/>
          <w:sz w:val="24"/>
          <w:szCs w:val="24"/>
          <w:u w:val="single"/>
        </w:rPr>
      </w:pPr>
    </w:p>
    <w:p w14:paraId="6DE385DC" w14:textId="77777777" w:rsidR="00780E1F" w:rsidRDefault="00535025">
      <w:pPr>
        <w:keepNext/>
        <w:keepLines/>
        <w:spacing w:before="160" w:after="80"/>
        <w:outlineLvl w:val="1"/>
        <w:rPr>
          <w:rFonts w:asciiTheme="majorHAnsi" w:eastAsiaTheme="majorEastAsia" w:hAnsiTheme="majorHAnsi" w:cstheme="majorBidi"/>
          <w:noProof/>
          <w:color w:val="0F4761" w:themeColor="accent1" w:themeShade="BF"/>
          <w:sz w:val="32"/>
          <w:szCs w:val="32"/>
        </w:rPr>
      </w:pPr>
      <w:r>
        <w:rPr>
          <w:rFonts w:asciiTheme="majorHAnsi" w:hAnsiTheme="majorHAnsi"/>
          <w:noProof/>
          <w:color w:val="0F4761" w:themeColor="accent1" w:themeShade="BF"/>
          <w:sz w:val="32"/>
        </w:rPr>
        <w:t xml:space="preserve">III. Sensibilizarea și pregătirea populației </w:t>
      </w:r>
    </w:p>
    <w:p w14:paraId="4C933348" w14:textId="77777777" w:rsidR="00780E1F" w:rsidRPr="00F8753B" w:rsidRDefault="00535025">
      <w:pPr>
        <w:spacing w:line="240" w:lineRule="auto"/>
        <w:jc w:val="both"/>
        <w:rPr>
          <w:rFonts w:ascii="Times New Roman" w:eastAsia="Times New Roman" w:hAnsi="Times New Roman" w:cs="Times New Roman"/>
          <w:b/>
          <w:bCs/>
          <w:noProof/>
          <w:sz w:val="24"/>
          <w:szCs w:val="24"/>
          <w:u w:val="single"/>
        </w:rPr>
      </w:pPr>
      <w:r w:rsidRPr="00F8753B">
        <w:rPr>
          <w:rFonts w:ascii="Times New Roman" w:hAnsi="Times New Roman"/>
          <w:b/>
          <w:noProof/>
          <w:sz w:val="24"/>
          <w:u w:val="single"/>
        </w:rPr>
        <w:t>III.1 Sensibilizarea cu privire la riscurile de incendii forestiere</w:t>
      </w:r>
    </w:p>
    <w:p w14:paraId="46233808" w14:textId="77777777" w:rsidR="00780E1F" w:rsidRDefault="00535025">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Pentru a reduce riscurile de incendii forestiere provocate de activitatea umană, oamenii ar trebui să își adapteze comportamentul la pericolul crescut de incendii. În acest sens, acordarea accesului publicului la datele privind riscurile de incendii poate crește gradul de conștientizare și poate stimula eforturile de prevenire. </w:t>
      </w:r>
      <w:r w:rsidRPr="00596869">
        <w:rPr>
          <w:rFonts w:ascii="Times New Roman" w:hAnsi="Times New Roman"/>
          <w:b/>
          <w:noProof/>
          <w:sz w:val="24"/>
        </w:rPr>
        <w:t>Comunicarea riscurilor</w:t>
      </w:r>
      <w:r>
        <w:rPr>
          <w:rFonts w:ascii="Times New Roman" w:hAnsi="Times New Roman"/>
          <w:noProof/>
          <w:sz w:val="24"/>
        </w:rPr>
        <w:t xml:space="preserve"> trebuie să fie accesibilă tuturor și ar trebui să țină seama de factorii psihologici, sociali, culturali și politici care influențează modul în care oamenii înțeleg, percep și reacționează la riscuri. Este esențial să se includă toate segmentele societății pentru a crește gradul de conștientizare în rândul diferitelor grupuri de părți interesate, ținând seama de nevoile și provocările lor specifice. În acest scop, Comisia a publicat o prezentare generală a inițiativelor de sensibilizare și de comunicare cu privire la riscurile de incendii forestiere din întreaga UE și din afara acesteia</w:t>
      </w:r>
      <w:r>
        <w:rPr>
          <w:rFonts w:ascii="Times New Roman" w:eastAsia="Times New Roman" w:hAnsi="Times New Roman" w:cs="Times New Roman"/>
          <w:noProof/>
          <w:sz w:val="24"/>
          <w:szCs w:val="24"/>
          <w:vertAlign w:val="superscript"/>
          <w:lang w:val="en-US"/>
        </w:rPr>
        <w:footnoteReference w:id="36"/>
      </w:r>
      <w:r>
        <w:rPr>
          <w:rFonts w:ascii="Times New Roman" w:hAnsi="Times New Roman"/>
          <w:noProof/>
          <w:sz w:val="24"/>
        </w:rPr>
        <w:t xml:space="preserve">. </w:t>
      </w:r>
    </w:p>
    <w:p w14:paraId="502973CE" w14:textId="77777777" w:rsidR="00780E1F" w:rsidRDefault="00535025">
      <w:pPr>
        <w:spacing w:after="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Ar trebui să se acorde prioritate creșterii gradului de conștientizare cu privire la incendiile forestiere, atât în sectorul turismului, cât și în cadrul comunităților locale. Organizațiile care gestionează destinațiile turistice, autoritățile locale și regionale, societatea civilă și sectorul privat pot contribui la creșterea gradului de conștientizare, menținând totodată turismul în aceste zone. Viitoarea </w:t>
      </w:r>
      <w:r w:rsidRPr="00596869">
        <w:rPr>
          <w:rFonts w:ascii="Times New Roman" w:hAnsi="Times New Roman"/>
          <w:b/>
          <w:noProof/>
          <w:sz w:val="24"/>
        </w:rPr>
        <w:t>strategie a UE pentru turismul durabil</w:t>
      </w:r>
      <w:r>
        <w:rPr>
          <w:rFonts w:ascii="Times New Roman" w:hAnsi="Times New Roman"/>
          <w:noProof/>
          <w:sz w:val="24"/>
        </w:rPr>
        <w:t xml:space="preserve"> va contribui la această acțiune.</w:t>
      </w:r>
    </w:p>
    <w:p w14:paraId="614C8B10" w14:textId="77777777" w:rsidR="00780E1F" w:rsidRPr="00F8753B" w:rsidRDefault="00780E1F">
      <w:pPr>
        <w:spacing w:after="0" w:line="240" w:lineRule="auto"/>
        <w:jc w:val="both"/>
        <w:rPr>
          <w:rFonts w:ascii="Times New Roman" w:eastAsia="Times New Roman" w:hAnsi="Times New Roman" w:cs="Times New Roman"/>
          <w:b/>
          <w:noProof/>
          <w:sz w:val="24"/>
          <w:szCs w:val="24"/>
          <w:u w:val="single"/>
        </w:rPr>
      </w:pPr>
    </w:p>
    <w:p w14:paraId="507FCDDC" w14:textId="77777777" w:rsidR="00780E1F" w:rsidRPr="00F8753B" w:rsidRDefault="00535025">
      <w:pPr>
        <w:spacing w:line="240" w:lineRule="auto"/>
        <w:jc w:val="both"/>
        <w:rPr>
          <w:rFonts w:ascii="Times New Roman" w:eastAsia="Times New Roman" w:hAnsi="Times New Roman" w:cs="Times New Roman"/>
          <w:b/>
          <w:bCs/>
          <w:noProof/>
          <w:sz w:val="24"/>
          <w:szCs w:val="24"/>
          <w:u w:val="single"/>
        </w:rPr>
      </w:pPr>
      <w:r w:rsidRPr="00F8753B">
        <w:rPr>
          <w:rFonts w:ascii="Times New Roman" w:hAnsi="Times New Roman"/>
          <w:b/>
          <w:noProof/>
          <w:sz w:val="24"/>
          <w:u w:val="single"/>
        </w:rPr>
        <w:t>III.2 Creșterea gradului de pregătire pentru incendii forestiere</w:t>
      </w:r>
    </w:p>
    <w:p w14:paraId="52096416" w14:textId="77777777" w:rsidR="00780E1F" w:rsidRDefault="00535025">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Sezoanele recente de incendii au arătat că multe regiuni din UE și din vecinătatea sa trebuie să intensifice pregătirea populației și diseminarea cunoștințelor cu privire la modul de reducere a răspândirii incendiilor forestiere și la modul de evacuare sau de adăpostire. Pe măsură ce </w:t>
      </w:r>
      <w:r w:rsidRPr="00596869">
        <w:rPr>
          <w:rFonts w:ascii="Times New Roman" w:hAnsi="Times New Roman"/>
          <w:b/>
          <w:noProof/>
          <w:sz w:val="24"/>
        </w:rPr>
        <w:t>zonele predispuse la incendii devin mai extinse</w:t>
      </w:r>
      <w:r>
        <w:rPr>
          <w:rFonts w:ascii="Times New Roman" w:hAnsi="Times New Roman"/>
          <w:noProof/>
          <w:sz w:val="24"/>
        </w:rPr>
        <w:t>, mai multe comunități locale se vor confrunta cu riscuri semnificative de incendii forestiere. Considerentele privind egalitatea trebuie integrate în pregătirea pentru incendii forestiere, în conformitate cu cadrul pentru o Uniune a egalității</w:t>
      </w:r>
      <w:r>
        <w:rPr>
          <w:rStyle w:val="FootnoteReference"/>
          <w:rFonts w:ascii="Times New Roman" w:eastAsia="Times New Roman" w:hAnsi="Times New Roman" w:cs="Times New Roman"/>
          <w:noProof/>
          <w:sz w:val="24"/>
          <w:szCs w:val="24"/>
          <w:lang w:val="en-US"/>
        </w:rPr>
        <w:footnoteReference w:id="37"/>
      </w:r>
      <w:r>
        <w:rPr>
          <w:rFonts w:ascii="Times New Roman" w:hAnsi="Times New Roman"/>
          <w:noProof/>
          <w:sz w:val="24"/>
        </w:rPr>
        <w:t xml:space="preserve">. În special, persoanele care locuiesc în zone rurale și persoanele aflate în situații de vulnerabilitate se pot confrunta cu riscuri sporite de incendii forestiere, cu un acces limitat la resurse pentru gestionarea activă a terenurilor, cu lipsa accesului la alerte timpurii și la informații în timpul situațiilor de urgență sau la o infrastructură adecvată pentru evacuarea în condiții de siguranță.  </w:t>
      </w:r>
    </w:p>
    <w:p w14:paraId="4D5180CD" w14:textId="77777777" w:rsidR="00780E1F" w:rsidRDefault="00535025">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Pregătirea pentru incendii forestiere ar trebui îmbunătățită prin intensificarea abordărilor participative și a colaborării cu comunitățile, inclusiv cu fermierii, silvicultorii și proprietarii privați de terenuri.</w:t>
      </w:r>
    </w:p>
    <w:p w14:paraId="4AC70606" w14:textId="77777777" w:rsidR="00780E1F" w:rsidRPr="00596869" w:rsidRDefault="00535025">
      <w:pPr>
        <w:pBdr>
          <w:top w:val="single" w:sz="4" w:space="4" w:color="000000"/>
          <w:left w:val="single" w:sz="4" w:space="4" w:color="000000"/>
          <w:bottom w:val="single" w:sz="4" w:space="4" w:color="000000"/>
          <w:right w:val="single" w:sz="4" w:space="4" w:color="000000"/>
        </w:pBdr>
        <w:spacing w:line="240" w:lineRule="auto"/>
        <w:jc w:val="both"/>
        <w:rPr>
          <w:rFonts w:ascii="Times New Roman" w:hAnsi="Times New Roman" w:cs="Times New Roman"/>
          <w:b/>
          <w:bCs/>
          <w:noProof/>
          <w:sz w:val="24"/>
          <w:szCs w:val="24"/>
        </w:rPr>
      </w:pPr>
      <w:r w:rsidRPr="00596869">
        <w:rPr>
          <w:rFonts w:ascii="Times New Roman" w:hAnsi="Times New Roman"/>
          <w:b/>
          <w:noProof/>
          <w:sz w:val="24"/>
        </w:rPr>
        <w:t>Portugalia: „Sate în siguranță, oameni în siguranță”</w:t>
      </w:r>
      <w:r w:rsidRPr="00596869">
        <w:rPr>
          <w:rStyle w:val="FootnoteReference"/>
          <w:rFonts w:ascii="Times New Roman" w:hAnsi="Times New Roman" w:cs="Times New Roman"/>
          <w:b/>
          <w:bCs/>
          <w:noProof/>
          <w:sz w:val="24"/>
          <w:szCs w:val="24"/>
        </w:rPr>
        <w:footnoteReference w:id="38"/>
      </w:r>
    </w:p>
    <w:p w14:paraId="503EEDF1" w14:textId="77777777" w:rsidR="00780E1F" w:rsidRDefault="00535025">
      <w:pPr>
        <w:pBdr>
          <w:top w:val="single" w:sz="4" w:space="4" w:color="000000"/>
          <w:left w:val="single" w:sz="4" w:space="4" w:color="000000"/>
          <w:bottom w:val="single" w:sz="4" w:space="4" w:color="000000"/>
          <w:right w:val="single" w:sz="4" w:space="4" w:color="000000"/>
        </w:pBdr>
        <w:spacing w:line="240" w:lineRule="auto"/>
        <w:jc w:val="both"/>
        <w:rPr>
          <w:rFonts w:ascii="Times New Roman" w:hAnsi="Times New Roman" w:cs="Times New Roman"/>
          <w:noProof/>
          <w:sz w:val="24"/>
          <w:szCs w:val="24"/>
        </w:rPr>
      </w:pPr>
      <w:r>
        <w:rPr>
          <w:rFonts w:ascii="Times New Roman" w:hAnsi="Times New Roman"/>
          <w:noProof/>
          <w:sz w:val="24"/>
        </w:rPr>
        <w:t xml:space="preserve">Incendiile rurale extinse care au avut loc în Portugalia continentală în vara anului </w:t>
      </w:r>
      <w:r w:rsidRPr="00596869">
        <w:rPr>
          <w:rFonts w:ascii="Times New Roman" w:hAnsi="Times New Roman"/>
          <w:noProof/>
          <w:sz w:val="24"/>
        </w:rPr>
        <w:t>2017</w:t>
      </w:r>
      <w:r>
        <w:rPr>
          <w:rFonts w:ascii="Times New Roman" w:hAnsi="Times New Roman"/>
          <w:noProof/>
          <w:sz w:val="24"/>
        </w:rPr>
        <w:t xml:space="preserve"> au condus la un apel la acțiune în ceea ce privește pregătirea și sensibilizarea. Prin urmare, programul „Sate în siguranță, oameni în siguranță” a fost instituit cu scopul de a stabili măsuri structurale pentru protecția persoanelor și a bunurilor, în special în interfața dintre zonele sălbatice și zonele urbane (de exemplu, locuri de refugiu), și de a declanșa acțiuni de sensibilizare cu privire la comportamentele riscante și la măsurile de autoapărare, sprijinite de exerciții de evacuare. </w:t>
      </w:r>
    </w:p>
    <w:p w14:paraId="193B279F" w14:textId="77777777" w:rsidR="00780E1F" w:rsidRDefault="00535025">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Căldura extremă, seceta și defecțiunile în cascadă ale infrastructurii pot spori probabilitatea și impactul </w:t>
      </w:r>
      <w:r w:rsidRPr="00596869">
        <w:rPr>
          <w:rFonts w:ascii="Times New Roman" w:hAnsi="Times New Roman"/>
          <w:b/>
          <w:noProof/>
          <w:sz w:val="24"/>
        </w:rPr>
        <w:t>incendiilor urbane și industriale</w:t>
      </w:r>
      <w:r>
        <w:rPr>
          <w:rFonts w:ascii="Times New Roman" w:hAnsi="Times New Roman"/>
          <w:noProof/>
          <w:sz w:val="24"/>
        </w:rPr>
        <w:t xml:space="preserve">. Abordarea riscurilor de incendii forestiere în </w:t>
      </w:r>
      <w:r w:rsidRPr="00596869">
        <w:rPr>
          <w:rFonts w:ascii="Times New Roman" w:hAnsi="Times New Roman"/>
          <w:b/>
          <w:noProof/>
          <w:sz w:val="24"/>
        </w:rPr>
        <w:t>interfața dintre zonele sălbatice și zonele urbane</w:t>
      </w:r>
      <w:r>
        <w:rPr>
          <w:rFonts w:ascii="Times New Roman" w:hAnsi="Times New Roman"/>
          <w:noProof/>
          <w:sz w:val="24"/>
        </w:rPr>
        <w:t xml:space="preserve"> este deosebit de importantă, având în vedere pericolul pe care acestea îl prezintă pentru viețile omenești, pentru bunuri și pentru infrastructură. Acest lucru poate fi exacerbat de neluarea în considerare în mod suficient a riscurilor de incendii forestiere în codurile de amenajare a teritoriului și de urbanism sau în codurile privind construcțiile. Comunicarea Comisiei și Propunerea de recomandare a Consiliului privind </w:t>
      </w:r>
      <w:r w:rsidRPr="00596869">
        <w:rPr>
          <w:rFonts w:ascii="Times New Roman" w:hAnsi="Times New Roman"/>
          <w:b/>
          <w:noProof/>
          <w:sz w:val="24"/>
        </w:rPr>
        <w:t>noul Bauhaus european</w:t>
      </w:r>
      <w:r>
        <w:rPr>
          <w:rStyle w:val="FootnoteReference"/>
          <w:rFonts w:ascii="Times New Roman" w:hAnsi="Times New Roman" w:cs="Times New Roman"/>
          <w:noProof/>
          <w:sz w:val="24"/>
          <w:szCs w:val="24"/>
        </w:rPr>
        <w:footnoteReference w:id="39"/>
      </w:r>
      <w:r>
        <w:rPr>
          <w:rFonts w:ascii="Times New Roman" w:hAnsi="Times New Roman"/>
          <w:noProof/>
          <w:sz w:val="24"/>
        </w:rPr>
        <w:t xml:space="preserve"> sugerează integrarea prevenirii incendiilor forestiere și a pregătirii pentru acestea în proiectarea spațiilor și în sesiunile de formare conexe, pentru a consolida reziliența cartierelor și comunităților la dezastrele provocate de schimbările climatice și de degradarea mediului. </w:t>
      </w:r>
      <w:r w:rsidRPr="00596869">
        <w:rPr>
          <w:rFonts w:ascii="Times New Roman" w:hAnsi="Times New Roman"/>
          <w:b/>
          <w:noProof/>
          <w:sz w:val="24"/>
        </w:rPr>
        <w:t>Academia noului Bauhaus european</w:t>
      </w:r>
      <w:r>
        <w:rPr>
          <w:rFonts w:ascii="Times New Roman" w:hAnsi="Times New Roman"/>
          <w:noProof/>
          <w:sz w:val="24"/>
        </w:rPr>
        <w:t xml:space="preserve"> poate servi, de asemenea, drept catalizator pentru formare și dezvoltarea durabilă a afacerilor în acest domeniu.</w:t>
      </w:r>
    </w:p>
    <w:p w14:paraId="0D6BB5EA" w14:textId="77777777" w:rsidR="00780E1F" w:rsidRDefault="00535025">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O </w:t>
      </w:r>
      <w:r w:rsidRPr="00596869">
        <w:rPr>
          <w:rFonts w:ascii="Times New Roman" w:hAnsi="Times New Roman"/>
          <w:b/>
          <w:noProof/>
          <w:sz w:val="24"/>
        </w:rPr>
        <w:t>abordare comunitară a rezilienței la incendiile forestiere</w:t>
      </w:r>
      <w:r>
        <w:rPr>
          <w:rFonts w:ascii="Times New Roman" w:hAnsi="Times New Roman"/>
          <w:noProof/>
          <w:sz w:val="24"/>
        </w:rPr>
        <w:t xml:space="preserve"> poate ajuta persoanele și întreprinderile aflate în zone de interfață între zonele sălbatice și cele urbane să își sporească gradul de pregătire pentru incendii forestiere și să reducă riscurile prin luarea unor măsuri active în jurul clădirilor lor, de exemplu prin asigurarea rezilienței la incendii a clădirilor lor, prin curățarea zonelor înconjurătoare și prin existența unui plan de evacuare în situații de urgență, care să abordeze, de asemenea, nevoile de accesibilitate ale persoanelor cu dizabilități și ale persoanelor în vârstă. Programele de implicare</w:t>
      </w:r>
      <w:r>
        <w:rPr>
          <w:rStyle w:val="FootnoteReference"/>
          <w:rFonts w:ascii="Times New Roman" w:eastAsia="Times New Roman" w:hAnsi="Times New Roman" w:cs="Times New Roman"/>
          <w:noProof/>
          <w:sz w:val="24"/>
          <w:szCs w:val="24"/>
        </w:rPr>
        <w:footnoteReference w:id="40"/>
      </w:r>
      <w:r>
        <w:rPr>
          <w:rFonts w:ascii="Times New Roman" w:hAnsi="Times New Roman"/>
          <w:noProof/>
          <w:sz w:val="24"/>
        </w:rPr>
        <w:t xml:space="preserve"> ajută cetățenii și întreprinderile să evalueze nivelurile de risc și să ia măsurile corespunzătoare. O comunitate implicată este, de asemenea, fundamentală pentru angajamentul ferm și continuu al </w:t>
      </w:r>
      <w:r w:rsidRPr="00596869">
        <w:rPr>
          <w:rFonts w:ascii="Times New Roman" w:hAnsi="Times New Roman"/>
          <w:b/>
          <w:noProof/>
          <w:sz w:val="24"/>
        </w:rPr>
        <w:t>pompierilor voluntari</w:t>
      </w:r>
      <w:r>
        <w:rPr>
          <w:rFonts w:ascii="Times New Roman" w:hAnsi="Times New Roman"/>
          <w:noProof/>
          <w:sz w:val="24"/>
        </w:rPr>
        <w:t xml:space="preserve"> care asigură prima intervenție în multe țări europene.</w:t>
      </w:r>
    </w:p>
    <w:p w14:paraId="782E797E" w14:textId="77777777" w:rsidR="00780E1F" w:rsidRDefault="00535025">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În plus, ca parte a punerii în aplicare a </w:t>
      </w:r>
      <w:r w:rsidRPr="00596869">
        <w:rPr>
          <w:rFonts w:ascii="Times New Roman" w:hAnsi="Times New Roman"/>
          <w:b/>
          <w:noProof/>
          <w:sz w:val="24"/>
        </w:rPr>
        <w:t>Strategiei privind o Uniune a pregătirii</w:t>
      </w:r>
      <w:r>
        <w:rPr>
          <w:rFonts w:ascii="Times New Roman" w:hAnsi="Times New Roman"/>
          <w:noProof/>
          <w:sz w:val="24"/>
        </w:rPr>
        <w:t xml:space="preserve">, Comisia lucrează la o abordare integrată a tuturor riscurilor în ceea ce privește pregătirea populației, inclusiv a incendiilor forestiere. Abordarea se referă la acțiuni pentru (i) îmbunătățirea sistemelor de alertă timpurie, (ii) creșterea gradului de conștientizare cu privire la riscuri și amenințări, (iii) elaborarea unor orientări pentru ca populația să devină autonomă pentru cel puțin </w:t>
      </w:r>
      <w:r w:rsidRPr="00596869">
        <w:rPr>
          <w:rFonts w:ascii="Times New Roman" w:hAnsi="Times New Roman"/>
          <w:noProof/>
          <w:sz w:val="24"/>
        </w:rPr>
        <w:t>72</w:t>
      </w:r>
      <w:r>
        <w:rPr>
          <w:rFonts w:ascii="Times New Roman" w:hAnsi="Times New Roman"/>
          <w:noProof/>
          <w:sz w:val="24"/>
        </w:rPr>
        <w:t xml:space="preserve"> de ore, (iv) includerea pregătirii în formarea personalului didactic și (v) promovarea pregătirii în cadrul programelor UE pentru tineret</w:t>
      </w:r>
      <w:r>
        <w:rPr>
          <w:rStyle w:val="FootnoteReference"/>
          <w:rFonts w:ascii="Times New Roman" w:hAnsi="Times New Roman" w:cs="Times New Roman"/>
          <w:noProof/>
          <w:sz w:val="24"/>
          <w:szCs w:val="24"/>
        </w:rPr>
        <w:footnoteReference w:id="41"/>
      </w:r>
      <w:r>
        <w:rPr>
          <w:rFonts w:ascii="Times New Roman" w:hAnsi="Times New Roman"/>
          <w:noProof/>
          <w:sz w:val="24"/>
        </w:rPr>
        <w:t>. În plus, finanțarea pentru proiectele strategice care vizează promovarea unei „culturi a pregătirii” este disponibilă prin intermediul UCPM</w:t>
      </w:r>
      <w:r>
        <w:rPr>
          <w:rStyle w:val="FootnoteReference"/>
          <w:rFonts w:ascii="Times New Roman" w:eastAsia="Times New Roman" w:hAnsi="Times New Roman" w:cs="Times New Roman"/>
          <w:noProof/>
          <w:sz w:val="24"/>
          <w:szCs w:val="24"/>
        </w:rPr>
        <w:footnoteReference w:id="42"/>
      </w:r>
      <w:r>
        <w:rPr>
          <w:rFonts w:ascii="Times New Roman" w:hAnsi="Times New Roman"/>
          <w:noProof/>
          <w:sz w:val="24"/>
        </w:rPr>
        <w:t xml:space="preserve">. </w:t>
      </w:r>
    </w:p>
    <w:p w14:paraId="29F7CC6A" w14:textId="77777777" w:rsidR="00780E1F" w:rsidRDefault="00780E1F">
      <w:pPr>
        <w:spacing w:after="0"/>
        <w:jc w:val="both"/>
        <w:rPr>
          <w:rFonts w:ascii="Times New Roman" w:eastAsia="Times New Roman" w:hAnsi="Times New Roman" w:cs="Times New Roman"/>
          <w:noProof/>
          <w:sz w:val="24"/>
          <w:szCs w:val="24"/>
        </w:rPr>
      </w:pPr>
    </w:p>
    <w:p w14:paraId="2269B8E1" w14:textId="77777777" w:rsidR="00780E1F" w:rsidRDefault="00535025">
      <w:pPr>
        <w:spacing w:after="0"/>
        <w:jc w:val="both"/>
        <w:rPr>
          <w:rFonts w:ascii="Times New Roman" w:eastAsia="Times New Roman" w:hAnsi="Times New Roman" w:cs="Times New Roman"/>
          <w:noProof/>
          <w:color w:val="000000" w:themeColor="text1"/>
          <w:sz w:val="24"/>
          <w:szCs w:val="24"/>
        </w:rPr>
      </w:pPr>
      <w:r w:rsidRPr="00596869">
        <w:rPr>
          <w:rFonts w:ascii="Times New Roman" w:hAnsi="Times New Roman"/>
          <w:b/>
          <w:noProof/>
          <w:sz w:val="24"/>
        </w:rPr>
        <w:t>Educația în materie de incendii forestiere</w:t>
      </w:r>
      <w:r>
        <w:rPr>
          <w:rFonts w:ascii="Times New Roman" w:hAnsi="Times New Roman"/>
          <w:noProof/>
          <w:sz w:val="24"/>
        </w:rPr>
        <w:t xml:space="preserve"> adaptată la riscurile locale de incendii forestiere oferă o gamă largă de instrumente pentru implicarea publicului, inclusiv măsuri specifice pentru copii și tineri, pentru creșterea gradului de conștientizare cu privire la riscurile de incendii forestiere și pentru promovarea prevenirii, de exemplu prin jocuri serioase</w:t>
      </w:r>
      <w:r>
        <w:rPr>
          <w:rFonts w:ascii="Times New Roman" w:eastAsia="Times New Roman" w:hAnsi="Times New Roman" w:cs="Times New Roman"/>
          <w:noProof/>
          <w:sz w:val="24"/>
          <w:szCs w:val="24"/>
          <w:vertAlign w:val="superscript"/>
        </w:rPr>
        <w:footnoteReference w:id="43"/>
      </w:r>
      <w:r>
        <w:rPr>
          <w:rFonts w:ascii="Times New Roman" w:hAnsi="Times New Roman"/>
          <w:noProof/>
          <w:sz w:val="24"/>
        </w:rPr>
        <w:t>.</w:t>
      </w:r>
      <w:r>
        <w:rPr>
          <w:rFonts w:ascii="Times New Roman" w:hAnsi="Times New Roman"/>
          <w:noProof/>
          <w:color w:val="000000" w:themeColor="text1"/>
          <w:sz w:val="24"/>
        </w:rPr>
        <w:t xml:space="preserve"> Societățile reziliente ar trebui, de asemenea, să fie echipate pentru a aborda efectele </w:t>
      </w:r>
      <w:r w:rsidRPr="00596869">
        <w:rPr>
          <w:rFonts w:ascii="Times New Roman" w:hAnsi="Times New Roman"/>
          <w:b/>
          <w:noProof/>
          <w:color w:val="000000" w:themeColor="text1"/>
          <w:sz w:val="24"/>
        </w:rPr>
        <w:t>dezinformării</w:t>
      </w:r>
      <w:r>
        <w:rPr>
          <w:rFonts w:ascii="Times New Roman" w:hAnsi="Times New Roman"/>
          <w:noProof/>
          <w:color w:val="000000" w:themeColor="text1"/>
          <w:sz w:val="24"/>
        </w:rPr>
        <w:t xml:space="preserve"> legate de dezastre și incendii forestiere.</w:t>
      </w:r>
    </w:p>
    <w:p w14:paraId="4CE65652" w14:textId="77777777" w:rsidR="00780E1F" w:rsidRDefault="00780E1F">
      <w:pPr>
        <w:spacing w:after="0"/>
        <w:jc w:val="both"/>
        <w:rPr>
          <w:noProof/>
        </w:rPr>
      </w:pPr>
    </w:p>
    <w:p w14:paraId="3B8A65AD" w14:textId="77777777" w:rsidR="00780E1F" w:rsidRPr="00596869"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sidRPr="00596869">
        <w:rPr>
          <w:rFonts w:ascii="Times New Roman" w:hAnsi="Times New Roman"/>
          <w:b/>
          <w:noProof/>
          <w:color w:val="000000" w:themeColor="text1"/>
          <w:sz w:val="24"/>
        </w:rPr>
        <w:t>Măsuri de îmbunătățire a gradului de sensibilizare și de pregătire a populației</w:t>
      </w:r>
    </w:p>
    <w:p w14:paraId="476B682D" w14:textId="77777777" w:rsidR="00780E1F" w:rsidRPr="00F8753B"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sidRPr="00F8753B">
        <w:rPr>
          <w:rFonts w:ascii="Times New Roman" w:hAnsi="Times New Roman"/>
          <w:noProof/>
          <w:color w:val="000000" w:themeColor="text1"/>
          <w:sz w:val="24"/>
          <w:u w:val="single"/>
        </w:rPr>
        <w:t>Comisia:</w:t>
      </w:r>
    </w:p>
    <w:p w14:paraId="7E886760"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va promova și disemina în continuare </w:t>
      </w:r>
      <w:r w:rsidRPr="00596869">
        <w:rPr>
          <w:rFonts w:ascii="Times New Roman" w:hAnsi="Times New Roman"/>
          <w:b/>
          <w:noProof/>
          <w:color w:val="000000" w:themeColor="text1"/>
          <w:sz w:val="24"/>
        </w:rPr>
        <w:t xml:space="preserve">bunele practici în ceea ce privește sensibilizarea cu privire la riscurile de incendii forestiere și </w:t>
      </w:r>
      <w:r w:rsidRPr="00596869">
        <w:rPr>
          <w:rFonts w:ascii="Times New Roman" w:hAnsi="Times New Roman"/>
          <w:b/>
          <w:noProof/>
        </w:rPr>
        <w:t>implicarea comunității</w:t>
      </w:r>
      <w:r>
        <w:rPr>
          <w:rFonts w:ascii="Times New Roman" w:hAnsi="Times New Roman"/>
          <w:noProof/>
        </w:rPr>
        <w:t xml:space="preserve">, </w:t>
      </w:r>
      <w:r>
        <w:rPr>
          <w:rFonts w:ascii="Times New Roman" w:hAnsi="Times New Roman"/>
          <w:noProof/>
          <w:color w:val="000000" w:themeColor="text1"/>
          <w:sz w:val="24"/>
        </w:rPr>
        <w:t xml:space="preserve">de exemplu prin intermediul Rețelei de cunoștințe a UCPM, inclusiv prin </w:t>
      </w:r>
      <w:r w:rsidRPr="00596869">
        <w:rPr>
          <w:rFonts w:ascii="Times New Roman" w:hAnsi="Times New Roman"/>
          <w:b/>
          <w:noProof/>
          <w:color w:val="000000" w:themeColor="text1"/>
          <w:sz w:val="24"/>
        </w:rPr>
        <w:t>dezvoltarea unui set de instrumente pentru consolidarea rezilienței în interfața dintre zonele sălbatice și zonele urbane</w:t>
      </w:r>
      <w:r>
        <w:rPr>
          <w:rFonts w:ascii="Times New Roman" w:hAnsi="Times New Roman"/>
          <w:noProof/>
          <w:color w:val="000000" w:themeColor="text1"/>
          <w:sz w:val="24"/>
        </w:rPr>
        <w:t xml:space="preserve"> până în </w:t>
      </w:r>
      <w:r w:rsidRPr="00596869">
        <w:rPr>
          <w:rFonts w:ascii="Times New Roman" w:hAnsi="Times New Roman"/>
          <w:noProof/>
          <w:color w:val="000000" w:themeColor="text1"/>
          <w:sz w:val="24"/>
        </w:rPr>
        <w:t>2027</w:t>
      </w:r>
      <w:r>
        <w:rPr>
          <w:rFonts w:ascii="Times New Roman" w:hAnsi="Times New Roman"/>
          <w:noProof/>
          <w:color w:val="000000" w:themeColor="text1"/>
          <w:sz w:val="24"/>
        </w:rPr>
        <w:t>;</w:t>
      </w:r>
    </w:p>
    <w:p w14:paraId="51F2D6B1"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va sprijini inițierea unui </w:t>
      </w:r>
      <w:r w:rsidRPr="00596869">
        <w:rPr>
          <w:rFonts w:ascii="Times New Roman" w:hAnsi="Times New Roman"/>
          <w:b/>
          <w:noProof/>
          <w:color w:val="000000" w:themeColor="text1"/>
          <w:sz w:val="24"/>
        </w:rPr>
        <w:t>schimb paneuropean de tineri pompieri</w:t>
      </w:r>
      <w:r>
        <w:rPr>
          <w:rFonts w:ascii="Times New Roman" w:hAnsi="Times New Roman"/>
          <w:noProof/>
          <w:color w:val="000000" w:themeColor="text1"/>
          <w:sz w:val="24"/>
        </w:rPr>
        <w:t xml:space="preserve"> în cadrul UCPM până în </w:t>
      </w:r>
      <w:r w:rsidRPr="00596869">
        <w:rPr>
          <w:rFonts w:ascii="Times New Roman" w:hAnsi="Times New Roman"/>
          <w:noProof/>
          <w:color w:val="000000" w:themeColor="text1"/>
          <w:sz w:val="24"/>
        </w:rPr>
        <w:t>2027</w:t>
      </w:r>
      <w:r>
        <w:rPr>
          <w:rFonts w:ascii="Times New Roman" w:hAnsi="Times New Roman"/>
          <w:noProof/>
          <w:color w:val="000000" w:themeColor="text1"/>
          <w:sz w:val="24"/>
        </w:rPr>
        <w:t xml:space="preserve"> pentru a dezvolta în continuare o cultură europeană comună a pregătirii;</w:t>
      </w:r>
    </w:p>
    <w:p w14:paraId="6C233836"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va promova în continuare, împreună cu statele membre, </w:t>
      </w:r>
      <w:r w:rsidRPr="00596869">
        <w:rPr>
          <w:rFonts w:ascii="Times New Roman" w:hAnsi="Times New Roman"/>
          <w:b/>
          <w:noProof/>
          <w:sz w:val="24"/>
        </w:rPr>
        <w:t>oportunitățile de voluntariat și de schimb</w:t>
      </w:r>
      <w:r>
        <w:rPr>
          <w:rFonts w:ascii="Times New Roman" w:hAnsi="Times New Roman"/>
          <w:noProof/>
          <w:sz w:val="24"/>
        </w:rPr>
        <w:t xml:space="preserve"> în domeniul pregătirii prin intermediul Corpului european de solidaritate și al programului Erasmus+;  </w:t>
      </w:r>
    </w:p>
    <w:p w14:paraId="1E306FBF"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va colabora cu cetățenii</w:t>
      </w:r>
      <w:r>
        <w:rPr>
          <w:rStyle w:val="FootnoteReference"/>
          <w:rFonts w:ascii="Times New Roman" w:eastAsia="Times New Roman" w:hAnsi="Times New Roman" w:cs="Times New Roman"/>
          <w:noProof/>
          <w:color w:val="000000" w:themeColor="text1"/>
          <w:sz w:val="24"/>
          <w:szCs w:val="24"/>
        </w:rPr>
        <w:footnoteReference w:id="44"/>
      </w:r>
      <w:r>
        <w:rPr>
          <w:rFonts w:ascii="Times New Roman" w:hAnsi="Times New Roman"/>
          <w:noProof/>
          <w:color w:val="000000" w:themeColor="text1"/>
          <w:sz w:val="24"/>
        </w:rPr>
        <w:t xml:space="preserve"> prin intermediul </w:t>
      </w:r>
      <w:r w:rsidRPr="00596869">
        <w:rPr>
          <w:rFonts w:ascii="Times New Roman" w:hAnsi="Times New Roman"/>
          <w:b/>
          <w:noProof/>
          <w:color w:val="000000" w:themeColor="text1"/>
          <w:sz w:val="24"/>
        </w:rPr>
        <w:t>Dezbaterii online privind pregătirea</w:t>
      </w:r>
      <w:r>
        <w:rPr>
          <w:rFonts w:ascii="Times New Roman" w:hAnsi="Times New Roman"/>
          <w:noProof/>
          <w:color w:val="000000" w:themeColor="text1"/>
          <w:sz w:val="24"/>
        </w:rPr>
        <w:t xml:space="preserve"> – Platforma de implicare civică și al grupului de dezbatere al cetățenilor europeni dedicat, care va delibera și va formula recomandări până în </w:t>
      </w:r>
      <w:r w:rsidRPr="00596869">
        <w:rPr>
          <w:rFonts w:ascii="Times New Roman" w:hAnsi="Times New Roman"/>
          <w:noProof/>
          <w:color w:val="000000" w:themeColor="text1"/>
          <w:sz w:val="24"/>
        </w:rPr>
        <w:t>2027</w:t>
      </w:r>
      <w:r>
        <w:rPr>
          <w:rFonts w:ascii="Times New Roman" w:hAnsi="Times New Roman"/>
          <w:noProof/>
          <w:color w:val="000000" w:themeColor="text1"/>
          <w:sz w:val="24"/>
        </w:rPr>
        <w:t>.</w:t>
      </w:r>
    </w:p>
    <w:p w14:paraId="433BBD3D" w14:textId="77777777" w:rsidR="00780E1F" w:rsidRPr="00F8753B" w:rsidRDefault="00780E1F">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p>
    <w:p w14:paraId="65D7B89B" w14:textId="77777777" w:rsidR="00780E1F" w:rsidRPr="00F8753B"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hAnsi="Times New Roman" w:cs="Times New Roman"/>
          <w:b/>
          <w:bCs/>
          <w:noProof/>
          <w:sz w:val="24"/>
          <w:szCs w:val="24"/>
          <w:u w:val="single"/>
        </w:rPr>
      </w:pPr>
      <w:r w:rsidRPr="00F8753B">
        <w:rPr>
          <w:rFonts w:ascii="Times New Roman" w:hAnsi="Times New Roman"/>
          <w:noProof/>
          <w:color w:val="000000" w:themeColor="text1"/>
          <w:sz w:val="24"/>
          <w:u w:val="single"/>
        </w:rPr>
        <w:t>Statele membre sunt încurajate:</w:t>
      </w:r>
    </w:p>
    <w:p w14:paraId="1FD1FE48"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noProof/>
        </w:rPr>
      </w:pPr>
      <w:r w:rsidRPr="00596869">
        <w:rPr>
          <w:rFonts w:ascii="Times New Roman" w:hAnsi="Times New Roman"/>
          <w:b/>
          <w:noProof/>
          <w:sz w:val="24"/>
        </w:rPr>
        <w:t>să investigheze în continuare cauzele incendiilor</w:t>
      </w:r>
      <w:r>
        <w:rPr>
          <w:rFonts w:ascii="Times New Roman" w:hAnsi="Times New Roman"/>
          <w:noProof/>
          <w:sz w:val="24"/>
        </w:rPr>
        <w:t xml:space="preserve"> pentru a înțelege mai bine cauzele izbucnirii acestora și rolul populației în acestea</w:t>
      </w:r>
      <w:r>
        <w:rPr>
          <w:noProof/>
        </w:rPr>
        <w:t>;</w:t>
      </w:r>
    </w:p>
    <w:p w14:paraId="5614E02E"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hAnsi="Times New Roman" w:cs="Times New Roman"/>
          <w:noProof/>
          <w:sz w:val="24"/>
          <w:szCs w:val="24"/>
        </w:rPr>
      </w:pPr>
      <w:r w:rsidRPr="00596869">
        <w:rPr>
          <w:rFonts w:ascii="Times New Roman" w:hAnsi="Times New Roman"/>
          <w:b/>
          <w:noProof/>
          <w:sz w:val="24"/>
        </w:rPr>
        <w:t>să sensibilizeze fermierii și silvicultorii cu privire la riscurile de izbucnire a incendiilor</w:t>
      </w:r>
      <w:r>
        <w:rPr>
          <w:rFonts w:ascii="Times New Roman" w:hAnsi="Times New Roman"/>
          <w:noProof/>
          <w:sz w:val="24"/>
        </w:rPr>
        <w:t xml:space="preserve"> și să îi implice în dezvoltarea și utilizarea instrumentelor de detectare timpurie a incendiilor; </w:t>
      </w:r>
    </w:p>
    <w:p w14:paraId="79E91E3F"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să exploreze instrumente inovatoare de sensibilizare care să vizeze copiii și </w:t>
      </w:r>
      <w:r w:rsidRPr="00596869">
        <w:rPr>
          <w:rFonts w:ascii="Times New Roman" w:hAnsi="Times New Roman"/>
          <w:b/>
          <w:noProof/>
          <w:sz w:val="24"/>
        </w:rPr>
        <w:t>tinerii</w:t>
      </w:r>
      <w:r>
        <w:rPr>
          <w:rFonts w:ascii="Times New Roman" w:hAnsi="Times New Roman"/>
          <w:noProof/>
          <w:sz w:val="24"/>
        </w:rPr>
        <w:t xml:space="preserve"> (de exemplu, jocuri educative, </w:t>
      </w:r>
      <w:r w:rsidRPr="00596869">
        <w:rPr>
          <w:rFonts w:ascii="Times New Roman" w:hAnsi="Times New Roman"/>
          <w:b/>
          <w:noProof/>
          <w:sz w:val="24"/>
        </w:rPr>
        <w:t>campanii pe platformele de comunicare socială</w:t>
      </w:r>
      <w:r>
        <w:rPr>
          <w:rFonts w:ascii="Times New Roman" w:hAnsi="Times New Roman"/>
          <w:noProof/>
          <w:sz w:val="24"/>
        </w:rPr>
        <w:t xml:space="preserve">, integrarea temelor legate de pregătire în programele școlare și în programele de formare pentru educatori), </w:t>
      </w:r>
      <w:r>
        <w:rPr>
          <w:rFonts w:ascii="Times New Roman" w:hAnsi="Times New Roman"/>
          <w:noProof/>
          <w:color w:val="000000" w:themeColor="text1"/>
          <w:sz w:val="24"/>
        </w:rPr>
        <w:t>inclusiv prin intermediul Platformei europene pentru educația școlară, al Portalului european pentru tineret și al Portalului de învățare;</w:t>
      </w:r>
    </w:p>
    <w:p w14:paraId="7F3A5969"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hAnsi="Times New Roman" w:cs="Times New Roman"/>
          <w:noProof/>
          <w:sz w:val="24"/>
          <w:szCs w:val="24"/>
        </w:rPr>
      </w:pPr>
      <w:r w:rsidRPr="00596869">
        <w:rPr>
          <w:rFonts w:ascii="Times New Roman" w:hAnsi="Times New Roman"/>
          <w:b/>
          <w:noProof/>
          <w:sz w:val="24"/>
        </w:rPr>
        <w:t>să intensifice colaborarea dintre părțile interesate din domeniul turismului, fermieri și silvicultori, autoritățile locale și experții în materie de protecție împotriva incendiilor</w:t>
      </w:r>
      <w:r>
        <w:rPr>
          <w:rFonts w:ascii="Times New Roman" w:hAnsi="Times New Roman"/>
          <w:noProof/>
          <w:sz w:val="24"/>
        </w:rPr>
        <w:t>, pentru a sensibiliza și mai mult vizitatorii cu privire la riscuri, în conformitate cu prioritățile viitoarei strategii a UE pentru turismul durabil;</w:t>
      </w:r>
    </w:p>
    <w:p w14:paraId="7C84FB2A"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596869">
        <w:rPr>
          <w:rFonts w:ascii="Times New Roman" w:hAnsi="Times New Roman"/>
          <w:b/>
          <w:noProof/>
          <w:color w:val="000000" w:themeColor="text1"/>
          <w:sz w:val="24"/>
        </w:rPr>
        <w:t>să sprijine continuitatea activității</w:t>
      </w:r>
      <w:r>
        <w:rPr>
          <w:rFonts w:ascii="Times New Roman" w:hAnsi="Times New Roman"/>
          <w:noProof/>
          <w:color w:val="000000" w:themeColor="text1"/>
          <w:sz w:val="24"/>
        </w:rPr>
        <w:t xml:space="preserve"> prin promovarea formării pentru întreprinderile mici și mijlocii (IMM-uri) sau a asistenței financiare specifice </w:t>
      </w:r>
      <w:r w:rsidRPr="00596869">
        <w:rPr>
          <w:rFonts w:ascii="Times New Roman" w:hAnsi="Times New Roman"/>
          <w:b/>
          <w:noProof/>
          <w:color w:val="000000" w:themeColor="text1"/>
          <w:sz w:val="24"/>
        </w:rPr>
        <w:t>în urma dezastrelor și să se asigure că societățile de asigurare permit plata rapidă a despăgubirilor</w:t>
      </w:r>
      <w:r>
        <w:rPr>
          <w:rFonts w:ascii="Times New Roman" w:hAnsi="Times New Roman"/>
          <w:noProof/>
          <w:color w:val="000000" w:themeColor="text1"/>
          <w:sz w:val="24"/>
        </w:rPr>
        <w:t xml:space="preserve"> pentru o mai bună redresare a întreprinderilor în urma incendiilor forestiere; </w:t>
      </w:r>
    </w:p>
    <w:p w14:paraId="14A47B5D"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să se asigure că informațiile și instrumentele destinate publicului sunt </w:t>
      </w:r>
      <w:r w:rsidRPr="00596869">
        <w:rPr>
          <w:rFonts w:ascii="Times New Roman" w:hAnsi="Times New Roman"/>
          <w:b/>
          <w:noProof/>
          <w:color w:val="000000" w:themeColor="text1"/>
          <w:sz w:val="24"/>
        </w:rPr>
        <w:t>accesibile persoanelor cu dizabilități, persoanelor care se confruntă cu discriminarea, sărăcia și/sau excluziunea socială, precum și persoanelor în vârstă</w:t>
      </w:r>
      <w:r>
        <w:rPr>
          <w:rFonts w:ascii="Times New Roman" w:hAnsi="Times New Roman"/>
          <w:noProof/>
          <w:color w:val="000000" w:themeColor="text1"/>
          <w:sz w:val="24"/>
        </w:rPr>
        <w:t>;</w:t>
      </w:r>
    </w:p>
    <w:p w14:paraId="051D5111"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să integreze considerentele privind riscurile de incendii forestiere în standardele de construcție și în deciziile de amenajare a teritoriului, în conformitate cu </w:t>
      </w:r>
      <w:r w:rsidRPr="00596869">
        <w:rPr>
          <w:rFonts w:ascii="Times New Roman" w:hAnsi="Times New Roman"/>
          <w:b/>
          <w:noProof/>
          <w:color w:val="000000" w:themeColor="text1"/>
          <w:sz w:val="24"/>
        </w:rPr>
        <w:t>noul Bauhaus european</w:t>
      </w:r>
      <w:r>
        <w:rPr>
          <w:rFonts w:ascii="Times New Roman" w:hAnsi="Times New Roman"/>
          <w:noProof/>
          <w:color w:val="000000" w:themeColor="text1"/>
          <w:sz w:val="24"/>
        </w:rPr>
        <w:t>.</w:t>
      </w:r>
    </w:p>
    <w:p w14:paraId="50BBA815" w14:textId="77777777" w:rsidR="00780E1F" w:rsidRDefault="00535025">
      <w:pPr>
        <w:pStyle w:val="Heading2"/>
        <w:spacing w:line="257" w:lineRule="auto"/>
        <w:jc w:val="both"/>
        <w:rPr>
          <w:rFonts w:ascii="Times New Roman" w:hAnsi="Times New Roman" w:cs="Times New Roman"/>
          <w:smallCaps/>
          <w:noProof/>
          <w:sz w:val="24"/>
          <w:szCs w:val="24"/>
        </w:rPr>
      </w:pPr>
      <w:bookmarkStart w:id="2" w:name="_Hlk220940727"/>
      <w:r>
        <w:rPr>
          <w:rStyle w:val="Heading2Char"/>
          <w:noProof/>
        </w:rPr>
        <w:t>IV. Sprijin pentru un răspuns coordonat</w:t>
      </w:r>
    </w:p>
    <w:p w14:paraId="4A2BFC3A" w14:textId="77777777" w:rsidR="00780E1F" w:rsidRDefault="00535025">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Având în vedere faptul că incendiile forestiere devin din ce în ce mai frecvente și mai dificil de controlat și de stins, trebuie îmbunătățite tehnicile de eliminare și capacitățile analitice. Unele regiuni, în special cele care nu sunt încă predispuse la incendii forestiere, </w:t>
      </w:r>
      <w:r w:rsidRPr="00596869">
        <w:rPr>
          <w:rFonts w:ascii="Times New Roman" w:hAnsi="Times New Roman"/>
          <w:b/>
          <w:noProof/>
          <w:sz w:val="24"/>
        </w:rPr>
        <w:t>nu dispun de pompieri și experți calificați</w:t>
      </w:r>
      <w:r>
        <w:rPr>
          <w:rStyle w:val="FootnoteReference"/>
          <w:rFonts w:ascii="Times New Roman" w:eastAsia="Times New Roman" w:hAnsi="Times New Roman" w:cs="Times New Roman"/>
          <w:noProof/>
          <w:sz w:val="24"/>
          <w:szCs w:val="24"/>
          <w:lang w:val="en-US"/>
        </w:rPr>
        <w:footnoteReference w:id="45"/>
      </w:r>
      <w:r>
        <w:rPr>
          <w:rFonts w:ascii="Times New Roman" w:hAnsi="Times New Roman"/>
          <w:noProof/>
          <w:sz w:val="24"/>
        </w:rPr>
        <w:t>. Pompierii au nevoie de protecție, echipamente, formare și mijloace adecvate, în conformitate cu standardele de securitate și sănătate în muncă</w:t>
      </w:r>
      <w:r>
        <w:rPr>
          <w:rStyle w:val="FootnoteReference"/>
          <w:rFonts w:ascii="Times New Roman" w:eastAsia="Times New Roman" w:hAnsi="Times New Roman" w:cs="Times New Roman"/>
          <w:noProof/>
          <w:sz w:val="24"/>
          <w:szCs w:val="24"/>
        </w:rPr>
        <w:footnoteReference w:id="46"/>
      </w:r>
      <w:r>
        <w:rPr>
          <w:rFonts w:ascii="Times New Roman" w:hAnsi="Times New Roman"/>
          <w:noProof/>
          <w:sz w:val="24"/>
        </w:rPr>
        <w:t xml:space="preserve">. </w:t>
      </w:r>
    </w:p>
    <w:p w14:paraId="14782BAB" w14:textId="77777777" w:rsidR="00780E1F" w:rsidRDefault="00535025">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fiecare an, pompierii profesioniști și voluntari își pun viața în pericol pentru a proteja comunitățile, oferind servicii deosebit de importante. În cadrul inițiativei privind portabilitatea competențelor din cadrul </w:t>
      </w:r>
      <w:r w:rsidRPr="00596869">
        <w:rPr>
          <w:rFonts w:ascii="Times New Roman" w:hAnsi="Times New Roman"/>
          <w:b/>
          <w:noProof/>
          <w:sz w:val="24"/>
        </w:rPr>
        <w:t>Uniunii competențelor</w:t>
      </w:r>
      <w:r>
        <w:rPr>
          <w:rStyle w:val="FootnoteReference"/>
          <w:rFonts w:ascii="Times New Roman" w:eastAsia="Times New Roman" w:hAnsi="Times New Roman" w:cs="Times New Roman"/>
          <w:noProof/>
          <w:sz w:val="24"/>
          <w:szCs w:val="24"/>
        </w:rPr>
        <w:footnoteReference w:id="47"/>
      </w:r>
      <w:r>
        <w:rPr>
          <w:rFonts w:ascii="Times New Roman" w:hAnsi="Times New Roman"/>
          <w:noProof/>
          <w:sz w:val="24"/>
        </w:rPr>
        <w:t>, vor fi abordate obstacolele și poverile din calea liberei circulații a lucrătorilor, legate de calificări și competențe în UE, în beneficiul tuturor lucrătorilor mobili, inclusiv al pompierilor.</w:t>
      </w:r>
      <w:r w:rsidRPr="00596869">
        <w:rPr>
          <w:rFonts w:ascii="Times New Roman" w:hAnsi="Times New Roman"/>
          <w:b/>
          <w:noProof/>
          <w:sz w:val="24"/>
        </w:rPr>
        <w:t xml:space="preserve"> </w:t>
      </w:r>
      <w:r>
        <w:rPr>
          <w:rFonts w:ascii="Times New Roman" w:hAnsi="Times New Roman"/>
          <w:noProof/>
          <w:sz w:val="24"/>
        </w:rPr>
        <w:t xml:space="preserve">  </w:t>
      </w:r>
    </w:p>
    <w:p w14:paraId="612FF67E" w14:textId="77777777" w:rsidR="00780E1F" w:rsidRDefault="00535025">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Caracterul periculos al activității de stingere a incendiilor expune pompierii la </w:t>
      </w:r>
      <w:r w:rsidRPr="00596869">
        <w:rPr>
          <w:rFonts w:ascii="Times New Roman" w:hAnsi="Times New Roman"/>
          <w:b/>
          <w:noProof/>
          <w:sz w:val="24"/>
        </w:rPr>
        <w:t>diverse riscuri pentru sănătate</w:t>
      </w:r>
      <w:r>
        <w:rPr>
          <w:rFonts w:ascii="Times New Roman" w:hAnsi="Times New Roman"/>
          <w:noProof/>
          <w:sz w:val="24"/>
        </w:rPr>
        <w:t xml:space="preserve"> care pot fi atenuate, printre altele, prin asigurarea unei formări adecvate, a unor echipamente individuale de protecție adecvate și a unui sprijin accesibil pentru sănătate. Ar trebui colectate date pentru a promova o înțelegere mai profundă a efectelor pe termen lung asupra sănătății asociate cu activitățile de stingere a incendiilor. În perioada de programare </w:t>
      </w:r>
      <w:r w:rsidRPr="00596869">
        <w:rPr>
          <w:rFonts w:ascii="Times New Roman" w:hAnsi="Times New Roman"/>
          <w:noProof/>
          <w:sz w:val="24"/>
        </w:rPr>
        <w:t>2021</w:t>
      </w:r>
      <w:r>
        <w:rPr>
          <w:rFonts w:ascii="Times New Roman" w:hAnsi="Times New Roman"/>
          <w:noProof/>
          <w:sz w:val="24"/>
        </w:rPr>
        <w:t>-</w:t>
      </w:r>
      <w:r w:rsidRPr="00596869">
        <w:rPr>
          <w:rFonts w:ascii="Times New Roman" w:hAnsi="Times New Roman"/>
          <w:noProof/>
          <w:sz w:val="24"/>
        </w:rPr>
        <w:t>2027</w:t>
      </w:r>
      <w:r>
        <w:rPr>
          <w:rFonts w:ascii="Times New Roman" w:hAnsi="Times New Roman"/>
          <w:noProof/>
          <w:sz w:val="24"/>
        </w:rPr>
        <w:t xml:space="preserve">, statele membre și regiunile pot utiliza </w:t>
      </w:r>
      <w:r w:rsidRPr="00596869">
        <w:rPr>
          <w:rFonts w:ascii="Times New Roman" w:hAnsi="Times New Roman"/>
          <w:b/>
          <w:noProof/>
          <w:sz w:val="24"/>
        </w:rPr>
        <w:t>fondurile politicii de coeziune</w:t>
      </w:r>
      <w:r>
        <w:rPr>
          <w:rFonts w:ascii="Times New Roman" w:hAnsi="Times New Roman"/>
          <w:noProof/>
          <w:sz w:val="24"/>
        </w:rPr>
        <w:t xml:space="preserve"> pentru achiziționarea de echipamente pentru unitățile de protecție civilă. Oportunitățile de formare și perfecționare sunt eligibile pentru finanțare din partea UE în cadrul Fondului social european Plus</w:t>
      </w:r>
      <w:r>
        <w:rPr>
          <w:rStyle w:val="FootnoteReference"/>
          <w:rFonts w:ascii="Times New Roman" w:eastAsia="Times New Roman" w:hAnsi="Times New Roman" w:cs="Times New Roman"/>
          <w:noProof/>
          <w:sz w:val="24"/>
          <w:szCs w:val="24"/>
          <w:lang w:val="en-US"/>
        </w:rPr>
        <w:footnoteReference w:id="48"/>
      </w:r>
      <w:r>
        <w:rPr>
          <w:rFonts w:ascii="Times New Roman" w:hAnsi="Times New Roman"/>
          <w:noProof/>
          <w:sz w:val="24"/>
        </w:rPr>
        <w:t xml:space="preserve">. </w:t>
      </w:r>
    </w:p>
    <w:p w14:paraId="08102288" w14:textId="77777777" w:rsidR="00780E1F" w:rsidRDefault="00535025">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Pentru a adăuga capacități suplimentare echipelor locale de stingere a incendiilor, începând din </w:t>
      </w:r>
      <w:r w:rsidRPr="00596869">
        <w:rPr>
          <w:rFonts w:ascii="Times New Roman" w:hAnsi="Times New Roman"/>
          <w:noProof/>
          <w:sz w:val="24"/>
        </w:rPr>
        <w:t>2022</w:t>
      </w:r>
      <w:r>
        <w:rPr>
          <w:rFonts w:ascii="Times New Roman" w:hAnsi="Times New Roman"/>
          <w:noProof/>
          <w:sz w:val="24"/>
        </w:rPr>
        <w:t xml:space="preserve">, Comisia sprijină </w:t>
      </w:r>
      <w:r w:rsidRPr="00596869">
        <w:rPr>
          <w:rFonts w:ascii="Times New Roman Bold" w:hAnsi="Times New Roman Bold"/>
          <w:b/>
          <w:noProof/>
          <w:sz w:val="24"/>
        </w:rPr>
        <w:t>prepoziționarea voluntară a pompierilor din statele membre și din statele participante la UCPM</w:t>
      </w:r>
      <w:r>
        <w:rPr>
          <w:rStyle w:val="FootnoteReference"/>
          <w:rFonts w:ascii="Times New Roman" w:eastAsia="Times New Roman" w:hAnsi="Times New Roman" w:cs="Times New Roman"/>
          <w:noProof/>
          <w:sz w:val="24"/>
          <w:szCs w:val="24"/>
          <w:lang w:val="en-US"/>
        </w:rPr>
        <w:footnoteReference w:id="49"/>
      </w:r>
      <w:r>
        <w:rPr>
          <w:rFonts w:ascii="Times New Roman Bold" w:hAnsi="Times New Roman Bold"/>
          <w:noProof/>
          <w:sz w:val="24"/>
        </w:rPr>
        <w:t xml:space="preserve"> </w:t>
      </w:r>
      <w:r>
        <w:rPr>
          <w:rFonts w:ascii="Times New Roman" w:hAnsi="Times New Roman"/>
          <w:noProof/>
          <w:sz w:val="24"/>
        </w:rPr>
        <w:t xml:space="preserve">în zone cu risc de incendiu extrem. Acest lucru asigură disponibilitatea rapidă a sprijinului de îndată ce se declanșează incendiile. Inițiativa oferă, de asemenea, echipelor de stingere a incendiilor posibilitatea de a face față unor noi tipuri de incendii forestiere și de a învăța noi tehnici. În plus, schimbul de cunoștințe și de experiență consolidează încrederea în rândul pompierilor din UE și din statele participante la UCPM. Pentru țările care primesc echipe de prepoziționare, aceasta oferă sprijin suplimentar, îmbunătățește interoperabilitatea și consolidează capacitățile de găzduire a pompierilor din alte țări.  </w:t>
      </w:r>
    </w:p>
    <w:p w14:paraId="6E097E51" w14:textId="77777777" w:rsidR="00780E1F" w:rsidRDefault="00535025">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Comisia a sprijinit și a promovat </w:t>
      </w:r>
      <w:r w:rsidRPr="00596869">
        <w:rPr>
          <w:rFonts w:ascii="Times New Roman" w:hAnsi="Times New Roman"/>
          <w:b/>
          <w:noProof/>
          <w:sz w:val="24"/>
        </w:rPr>
        <w:t>schimbul de experți</w:t>
      </w:r>
      <w:r>
        <w:rPr>
          <w:rFonts w:ascii="Times New Roman" w:hAnsi="Times New Roman"/>
          <w:noProof/>
          <w:sz w:val="24"/>
        </w:rPr>
        <w:t xml:space="preserve"> pentru învățarea reciprocă în întreaga UE și între statele participante la UCPM. Comisia oferă un sprijin eficace, recurent și consacrat pentru evaluarea potențialelor lacune și pentru punerea în aplicare a unor noi acțiuni. Comisia va sprijini înființarea unui </w:t>
      </w:r>
      <w:r w:rsidRPr="00596869">
        <w:rPr>
          <w:rFonts w:ascii="Times New Roman" w:hAnsi="Times New Roman"/>
          <w:b/>
          <w:noProof/>
          <w:sz w:val="24"/>
        </w:rPr>
        <w:t>centru european de luptă împotriva incendiilor în Cipru, care va găzdui un centru de excelență</w:t>
      </w:r>
      <w:r>
        <w:rPr>
          <w:rFonts w:ascii="Times New Roman" w:hAnsi="Times New Roman"/>
          <w:noProof/>
          <w:sz w:val="24"/>
        </w:rPr>
        <w:t xml:space="preserve"> axat pe consolidarea capacităților, formare, exerciții și pregătire sezonieră, bazându-se pe expertiza tehnică, resursele și proiectele</w:t>
      </w:r>
      <w:r>
        <w:rPr>
          <w:rStyle w:val="FootnoteReference"/>
          <w:rFonts w:ascii="Times New Roman" w:eastAsia="Times New Roman" w:hAnsi="Times New Roman" w:cs="Times New Roman"/>
          <w:noProof/>
          <w:sz w:val="24"/>
          <w:szCs w:val="24"/>
        </w:rPr>
        <w:footnoteReference w:id="50"/>
      </w:r>
      <w:r>
        <w:rPr>
          <w:rFonts w:ascii="Times New Roman" w:hAnsi="Times New Roman"/>
          <w:noProof/>
          <w:sz w:val="24"/>
        </w:rPr>
        <w:t xml:space="preserve"> UE și ale țărilor din vecinătatea sudică. </w:t>
      </w:r>
    </w:p>
    <w:p w14:paraId="7D3FCB21" w14:textId="77777777" w:rsidR="00780E1F" w:rsidRDefault="00535025">
      <w:pPr>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Ca urmare a modificării tiparelor de incendii forestiere, amploarea și gravitatea incendiilor forestiere sunt din ce în ce mai dificil de prevăzut. Pe lângă sistemele de alertă timpurie și de informare (de exemplu, EFFIS), </w:t>
      </w:r>
      <w:r w:rsidRPr="00596869">
        <w:rPr>
          <w:rFonts w:ascii="Times New Roman" w:hAnsi="Times New Roman"/>
          <w:b/>
          <w:noProof/>
          <w:sz w:val="24"/>
        </w:rPr>
        <w:t>Parteneriatul științific european privind pericolele naturale</w:t>
      </w:r>
      <w:r>
        <w:rPr>
          <w:rFonts w:ascii="Times New Roman" w:hAnsi="Times New Roman"/>
          <w:noProof/>
          <w:sz w:val="24"/>
        </w:rPr>
        <w:t xml:space="preserve"> (ARISTOTLE-ENHSP) oferă sprijin științific non-stop Centrului de coordonare a răspunsului la situații de urgență al UE (ERCC) și UCPM. </w:t>
      </w:r>
      <w:r w:rsidRPr="00596869">
        <w:rPr>
          <w:rFonts w:ascii="Times New Roman" w:hAnsi="Times New Roman"/>
          <w:b/>
          <w:noProof/>
          <w:sz w:val="24"/>
        </w:rPr>
        <w:t>Integrarea sistematică a analiștilor în materie de comportament al incendiilor în structurile operaționale de răspuns</w:t>
      </w:r>
      <w:r>
        <w:rPr>
          <w:rFonts w:ascii="Times New Roman" w:hAnsi="Times New Roman"/>
          <w:noProof/>
          <w:sz w:val="24"/>
        </w:rPr>
        <w:t xml:space="preserve"> rămâne inegală de la un stat membru la altul. Dezvoltarea unei astfel de expertize poate contribui la abordarea acestei lacune în timpul incendiilor forestiere de mare amploare. Prin urmare, Comisia a înființat o </w:t>
      </w:r>
      <w:r w:rsidRPr="00596869">
        <w:rPr>
          <w:rFonts w:ascii="Times New Roman" w:hAnsi="Times New Roman"/>
          <w:b/>
          <w:noProof/>
          <w:sz w:val="24"/>
        </w:rPr>
        <w:t>echipă specifică de sprijin pentru incendiile forestiere</w:t>
      </w:r>
      <w:r>
        <w:rPr>
          <w:rFonts w:ascii="Times New Roman" w:hAnsi="Times New Roman"/>
          <w:noProof/>
          <w:sz w:val="24"/>
        </w:rPr>
        <w:t xml:space="preserve"> în cadrul Centrului de coordonare a răspunsului la situații de urgență</w:t>
      </w:r>
      <w:r>
        <w:rPr>
          <w:rFonts w:ascii="Times New Roman" w:hAnsi="Times New Roman"/>
          <w:noProof/>
          <w:color w:val="000000" w:themeColor="text1"/>
          <w:sz w:val="24"/>
        </w:rPr>
        <w:t xml:space="preserve">. </w:t>
      </w:r>
    </w:p>
    <w:p w14:paraId="1360ABCC" w14:textId="77777777" w:rsidR="00780E1F" w:rsidRDefault="00535025">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Pentru a asigura mijloace suplimentare, UE finanțează disponibilitatea în standby a unei flote de stingere a incendiilor, care este întărită în permanență în fiecare an. În acest scop, Comisia lansează </w:t>
      </w:r>
      <w:r w:rsidRPr="00596869">
        <w:rPr>
          <w:rFonts w:ascii="Times New Roman" w:hAnsi="Times New Roman"/>
          <w:b/>
          <w:noProof/>
          <w:sz w:val="24"/>
        </w:rPr>
        <w:t>anual cereri de propuneri pentru tranziția rescEU</w:t>
      </w:r>
      <w:r>
        <w:rPr>
          <w:rStyle w:val="FootnoteReference"/>
          <w:rFonts w:ascii="Times New Roman" w:eastAsia="Times New Roman" w:hAnsi="Times New Roman" w:cs="Times New Roman"/>
          <w:noProof/>
          <w:sz w:val="24"/>
          <w:szCs w:val="24"/>
        </w:rPr>
        <w:footnoteReference w:id="51"/>
      </w:r>
      <w:r>
        <w:rPr>
          <w:rFonts w:ascii="Times New Roman" w:hAnsi="Times New Roman"/>
          <w:noProof/>
          <w:sz w:val="24"/>
        </w:rPr>
        <w:t xml:space="preserve">, care sunt însoțite de ateliere de combatere aeriană a incendiilor privind procedurile europene comune de îmbunătățire a eficienței și a siguranței operațiunilor. </w:t>
      </w:r>
    </w:p>
    <w:p w14:paraId="7EAB7FDB" w14:textId="77777777" w:rsidR="00780E1F" w:rsidRDefault="00535025">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plus, </w:t>
      </w:r>
      <w:r w:rsidRPr="00596869">
        <w:rPr>
          <w:rFonts w:ascii="Times New Roman" w:hAnsi="Times New Roman"/>
          <w:b/>
          <w:noProof/>
          <w:sz w:val="24"/>
        </w:rPr>
        <w:t>numărul mijloacelor din cadrul tranziției rescEU a fost dublat în 2023 pentru a face față incendiilor mai frecvente și mai intense</w:t>
      </w:r>
      <w:r>
        <w:rPr>
          <w:rFonts w:ascii="Times New Roman" w:hAnsi="Times New Roman"/>
          <w:noProof/>
          <w:sz w:val="24"/>
        </w:rPr>
        <w:t xml:space="preserve">. Pentru viitoarea flotă rescEU, au fost acordate granturi unui număr de șase state membre pentru achiziționarea a douăsprezece avioane amfibii de dimensiuni medii, care vor fi disponibile treptat începând din </w:t>
      </w:r>
      <w:r w:rsidRPr="00596869">
        <w:rPr>
          <w:rFonts w:ascii="Times New Roman" w:hAnsi="Times New Roman"/>
          <w:noProof/>
          <w:sz w:val="24"/>
        </w:rPr>
        <w:t>2028</w:t>
      </w:r>
      <w:r>
        <w:rPr>
          <w:rFonts w:ascii="Times New Roman" w:hAnsi="Times New Roman"/>
          <w:noProof/>
          <w:sz w:val="24"/>
        </w:rPr>
        <w:t>, precum și unui număr de trei state membre pentru cinci elicoptere. De asemenea, Comisia colaborează cu programe europene privind aeronavele care promovează autonomia strategică a Europei și competitivitatea industriei aerospațiale europene.</w:t>
      </w:r>
    </w:p>
    <w:p w14:paraId="1454F118" w14:textId="77777777" w:rsidR="00780E1F" w:rsidRDefault="00535025">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următorii ani, va fi important </w:t>
      </w:r>
      <w:r w:rsidRPr="00596869">
        <w:rPr>
          <w:rFonts w:ascii="Times New Roman" w:hAnsi="Times New Roman"/>
          <w:b/>
          <w:noProof/>
          <w:sz w:val="24"/>
        </w:rPr>
        <w:t>să se mențină nivelul actual de ambiție în cadrul tranziției rescEU</w:t>
      </w:r>
      <w:r>
        <w:rPr>
          <w:rFonts w:ascii="Times New Roman" w:hAnsi="Times New Roman"/>
          <w:noProof/>
          <w:sz w:val="24"/>
        </w:rPr>
        <w:t xml:space="preserve"> până când întreaga flotă rescEU va fi operațională. Acest lucru ar trebui să fie însoțit de posibilitatea de a achiziționa aeronave suplimentare (inclusiv elicoptere) în următorii ani. </w:t>
      </w:r>
    </w:p>
    <w:p w14:paraId="19B1D500"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bookmarkStart w:id="3" w:name="_Hlk220940744"/>
      <w:bookmarkEnd w:id="2"/>
      <w:r w:rsidRPr="00596869">
        <w:rPr>
          <w:rFonts w:ascii="Times New Roman" w:hAnsi="Times New Roman"/>
          <w:b/>
          <w:noProof/>
          <w:color w:val="000000" w:themeColor="text1"/>
          <w:sz w:val="24"/>
        </w:rPr>
        <w:t>Măsuri de sprijinire a răspunsului coordonat</w:t>
      </w:r>
    </w:p>
    <w:p w14:paraId="56452C14" w14:textId="77777777" w:rsidR="00780E1F" w:rsidRPr="00F8753B"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sidRPr="00F8753B">
        <w:rPr>
          <w:rFonts w:ascii="Times New Roman" w:hAnsi="Times New Roman"/>
          <w:noProof/>
          <w:color w:val="000000" w:themeColor="text1"/>
          <w:sz w:val="24"/>
          <w:u w:val="single"/>
        </w:rPr>
        <w:t>Comisia:</w:t>
      </w:r>
    </w:p>
    <w:p w14:paraId="36B8D541"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va evalua, până în </w:t>
      </w:r>
      <w:r w:rsidRPr="00596869">
        <w:rPr>
          <w:rFonts w:ascii="Times New Roman" w:hAnsi="Times New Roman"/>
          <w:noProof/>
          <w:color w:val="000000" w:themeColor="text1"/>
          <w:sz w:val="24"/>
        </w:rPr>
        <w:t>2028</w:t>
      </w:r>
      <w:r>
        <w:rPr>
          <w:rFonts w:ascii="Times New Roman" w:hAnsi="Times New Roman"/>
          <w:noProof/>
          <w:color w:val="000000" w:themeColor="text1"/>
          <w:sz w:val="24"/>
        </w:rPr>
        <w:t xml:space="preserve">, în strânsă coordonare cu statele membre, </w:t>
      </w:r>
      <w:r w:rsidRPr="00596869">
        <w:rPr>
          <w:rFonts w:ascii="Times New Roman" w:hAnsi="Times New Roman"/>
          <w:b/>
          <w:noProof/>
          <w:color w:val="000000" w:themeColor="text1"/>
          <w:sz w:val="24"/>
        </w:rPr>
        <w:t>nevoile viitoare ale UE în domeniul combaterii aeriene a incendiilor</w:t>
      </w:r>
      <w:r>
        <w:rPr>
          <w:rFonts w:ascii="Times New Roman" w:hAnsi="Times New Roman"/>
          <w:noProof/>
          <w:color w:val="000000" w:themeColor="text1"/>
          <w:sz w:val="24"/>
        </w:rPr>
        <w:t>,</w:t>
      </w:r>
      <w:r>
        <w:rPr>
          <w:rFonts w:ascii="Times New Roman" w:hAnsi="Times New Roman"/>
          <w:noProof/>
          <w:sz w:val="24"/>
        </w:rPr>
        <w:t xml:space="preserve"> în vederea consolidării capacității și rezilienței UE, </w:t>
      </w:r>
      <w:r>
        <w:rPr>
          <w:rFonts w:ascii="Times New Roman" w:hAnsi="Times New Roman"/>
          <w:noProof/>
          <w:color w:val="000000" w:themeColor="text1"/>
          <w:sz w:val="24"/>
        </w:rPr>
        <w:t xml:space="preserve">pentru a contribui la posibila achiziție de mijloace rescEU suplimentare în cadrul noului cadru financiar multianual (CFM); va evalua și </w:t>
      </w:r>
      <w:r w:rsidRPr="00596869">
        <w:rPr>
          <w:rFonts w:ascii="Times New Roman" w:hAnsi="Times New Roman"/>
          <w:b/>
          <w:noProof/>
          <w:color w:val="000000" w:themeColor="text1"/>
          <w:sz w:val="24"/>
        </w:rPr>
        <w:t>va încuraja dezvoltarea de tehnologii inovatoare pe teritoriul UE</w:t>
      </w:r>
      <w:r>
        <w:rPr>
          <w:rFonts w:ascii="Times New Roman" w:hAnsi="Times New Roman"/>
          <w:noProof/>
          <w:color w:val="000000" w:themeColor="text1"/>
          <w:sz w:val="24"/>
        </w:rPr>
        <w:t xml:space="preserve"> care să contribuie la autonomia strategică a UE în ceea ce privește capacitățile de prevenire, detectare și răspuns la incendiile forestiere, în special prin sprijinirea start-upurilor și a întreprinderilor consacrate pe întregul parcurs investițional;</w:t>
      </w:r>
    </w:p>
    <w:p w14:paraId="6BD9FE38" w14:textId="77777777" w:rsidR="00780E1F" w:rsidRPr="00596869"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i/>
          <w:iCs/>
          <w:noProof/>
          <w:color w:val="000000" w:themeColor="text1"/>
          <w:sz w:val="24"/>
          <w:szCs w:val="24"/>
        </w:rPr>
      </w:pPr>
      <w:r>
        <w:rPr>
          <w:rFonts w:ascii="Times New Roman" w:hAnsi="Times New Roman"/>
          <w:noProof/>
          <w:color w:val="000000" w:themeColor="text1"/>
          <w:sz w:val="24"/>
        </w:rPr>
        <w:t xml:space="preserve">va consolida </w:t>
      </w:r>
      <w:r w:rsidRPr="00596869">
        <w:rPr>
          <w:rFonts w:ascii="Times New Roman" w:hAnsi="Times New Roman"/>
          <w:b/>
          <w:noProof/>
          <w:color w:val="000000" w:themeColor="text1"/>
          <w:sz w:val="24"/>
        </w:rPr>
        <w:t>schimbul de experți</w:t>
      </w:r>
      <w:r>
        <w:rPr>
          <w:rFonts w:ascii="Times New Roman" w:hAnsi="Times New Roman"/>
          <w:noProof/>
          <w:color w:val="000000" w:themeColor="text1"/>
          <w:sz w:val="24"/>
        </w:rPr>
        <w:t xml:space="preserve"> în cadrul UCPM pentru gestionarea integrată a riscurilor de incendii forestiere prin intermediul unui </w:t>
      </w:r>
      <w:r w:rsidRPr="00596869">
        <w:rPr>
          <w:rFonts w:ascii="Times New Roman" w:hAnsi="Times New Roman"/>
          <w:b/>
          <w:noProof/>
          <w:color w:val="000000" w:themeColor="text1"/>
          <w:sz w:val="24"/>
        </w:rPr>
        <w:t>model de înfrățire</w:t>
      </w:r>
      <w:r>
        <w:rPr>
          <w:rFonts w:ascii="Times New Roman" w:hAnsi="Times New Roman"/>
          <w:noProof/>
          <w:color w:val="000000" w:themeColor="text1"/>
          <w:sz w:val="24"/>
        </w:rPr>
        <w:t xml:space="preserve"> în </w:t>
      </w:r>
      <w:r w:rsidRPr="00596869">
        <w:rPr>
          <w:rFonts w:ascii="Times New Roman" w:hAnsi="Times New Roman"/>
          <w:noProof/>
          <w:color w:val="000000" w:themeColor="text1"/>
          <w:sz w:val="24"/>
        </w:rPr>
        <w:t>2027</w:t>
      </w:r>
      <w:r>
        <w:rPr>
          <w:rFonts w:ascii="Times New Roman" w:hAnsi="Times New Roman"/>
          <w:noProof/>
          <w:color w:val="000000" w:themeColor="text1"/>
          <w:sz w:val="24"/>
        </w:rPr>
        <w:t xml:space="preserve">; </w:t>
      </w:r>
    </w:p>
    <w:p w14:paraId="24FAA1DB"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noProof/>
        </w:rPr>
      </w:pPr>
      <w:r>
        <w:rPr>
          <w:rFonts w:ascii="Times New Roman" w:hAnsi="Times New Roman"/>
          <w:noProof/>
          <w:color w:val="000000" w:themeColor="text1"/>
          <w:sz w:val="24"/>
        </w:rPr>
        <w:t xml:space="preserve">va încuraja prezența mai multor </w:t>
      </w:r>
      <w:r w:rsidRPr="00596869">
        <w:rPr>
          <w:rFonts w:ascii="Times New Roman" w:hAnsi="Times New Roman"/>
          <w:b/>
          <w:noProof/>
          <w:color w:val="000000" w:themeColor="text1"/>
          <w:sz w:val="24"/>
        </w:rPr>
        <w:t>echipe de prepoziționare pentru stingerea incendiilor</w:t>
      </w:r>
      <w:r>
        <w:rPr>
          <w:rFonts w:ascii="Times New Roman" w:hAnsi="Times New Roman"/>
          <w:noProof/>
          <w:color w:val="000000" w:themeColor="text1"/>
          <w:sz w:val="24"/>
        </w:rPr>
        <w:t xml:space="preserve"> în țările cu risc de incendiu extrem;</w:t>
      </w:r>
    </w:p>
    <w:p w14:paraId="3E201D9C"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noProof/>
        </w:rPr>
      </w:pPr>
      <w:r>
        <w:rPr>
          <w:rFonts w:ascii="Times New Roman" w:hAnsi="Times New Roman"/>
          <w:noProof/>
          <w:sz w:val="24"/>
        </w:rPr>
        <w:t xml:space="preserve">va înființa un </w:t>
      </w:r>
      <w:r w:rsidRPr="00596869">
        <w:rPr>
          <w:rFonts w:ascii="Times New Roman" w:hAnsi="Times New Roman"/>
          <w:b/>
          <w:noProof/>
          <w:sz w:val="24"/>
        </w:rPr>
        <w:t>centru european de luptă împotriva incendiilor în Cipru</w:t>
      </w:r>
      <w:r>
        <w:rPr>
          <w:rFonts w:ascii="Times New Roman" w:hAnsi="Times New Roman"/>
          <w:noProof/>
          <w:sz w:val="24"/>
        </w:rPr>
        <w:t>, care va găzdui un centru de excelență;</w:t>
      </w:r>
      <w:r>
        <w:rPr>
          <w:rFonts w:ascii="Times New Roman" w:hAnsi="Times New Roman"/>
          <w:noProof/>
          <w:color w:val="000000" w:themeColor="text1"/>
          <w:sz w:val="24"/>
        </w:rPr>
        <w:t xml:space="preserve"> </w:t>
      </w:r>
    </w:p>
    <w:p w14:paraId="711CB559"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va lansa un studiu până în </w:t>
      </w:r>
      <w:r w:rsidRPr="00596869">
        <w:rPr>
          <w:rFonts w:ascii="Times New Roman" w:hAnsi="Times New Roman"/>
          <w:noProof/>
          <w:color w:val="000000" w:themeColor="text1"/>
          <w:sz w:val="24"/>
        </w:rPr>
        <w:t>2028</w:t>
      </w:r>
      <w:r>
        <w:rPr>
          <w:rFonts w:ascii="Times New Roman" w:hAnsi="Times New Roman"/>
          <w:noProof/>
          <w:color w:val="000000" w:themeColor="text1"/>
          <w:sz w:val="24"/>
        </w:rPr>
        <w:t xml:space="preserve"> pentru a promova </w:t>
      </w:r>
      <w:r w:rsidRPr="00596869">
        <w:rPr>
          <w:rFonts w:ascii="Times New Roman" w:hAnsi="Times New Roman"/>
          <w:b/>
          <w:noProof/>
          <w:color w:val="000000" w:themeColor="text1"/>
          <w:sz w:val="24"/>
        </w:rPr>
        <w:t>monitorizarea expunerii pompierilor la incendii forestiere și a posibilelor efecte asupra sănătății rezultate</w:t>
      </w:r>
      <w:r>
        <w:rPr>
          <w:rFonts w:ascii="Times New Roman" w:hAnsi="Times New Roman"/>
          <w:noProof/>
          <w:color w:val="000000" w:themeColor="text1"/>
          <w:sz w:val="24"/>
        </w:rPr>
        <w:t>;</w:t>
      </w:r>
    </w:p>
    <w:p w14:paraId="756602B4"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hAnsi="Times New Roman" w:cs="Times New Roman"/>
          <w:noProof/>
          <w:sz w:val="24"/>
          <w:szCs w:val="24"/>
        </w:rPr>
      </w:pPr>
      <w:r>
        <w:rPr>
          <w:rFonts w:ascii="Times New Roman" w:hAnsi="Times New Roman"/>
          <w:noProof/>
          <w:sz w:val="24"/>
        </w:rPr>
        <w:t xml:space="preserve">își va dezvolta în continuare instrumentele analitice, inclusiv în ceea ce privește </w:t>
      </w:r>
      <w:r w:rsidRPr="00596869">
        <w:rPr>
          <w:rFonts w:ascii="Times New Roman" w:hAnsi="Times New Roman"/>
          <w:b/>
          <w:noProof/>
          <w:sz w:val="24"/>
        </w:rPr>
        <w:t>modelarea incendiilor forestiere asistată de IA și instrumentele de asistență decizională</w:t>
      </w:r>
      <w:r>
        <w:rPr>
          <w:rFonts w:ascii="Times New Roman" w:hAnsi="Times New Roman"/>
          <w:noProof/>
          <w:sz w:val="24"/>
        </w:rPr>
        <w:t xml:space="preserve">, și va încuraja </w:t>
      </w:r>
      <w:r w:rsidRPr="00596869">
        <w:rPr>
          <w:rFonts w:ascii="Times New Roman" w:hAnsi="Times New Roman"/>
          <w:b/>
          <w:noProof/>
          <w:sz w:val="24"/>
        </w:rPr>
        <w:t>includerea analiștilor în materie de comportament al incendiilor</w:t>
      </w:r>
      <w:r>
        <w:rPr>
          <w:rFonts w:ascii="Times New Roman" w:hAnsi="Times New Roman"/>
          <w:noProof/>
          <w:sz w:val="24"/>
        </w:rPr>
        <w:t xml:space="preserve"> în operațiunile privind incendiile forestiere, în sprijinul statelor membre.</w:t>
      </w:r>
    </w:p>
    <w:p w14:paraId="65829878" w14:textId="77777777" w:rsidR="00780E1F" w:rsidRPr="00F8753B"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hAnsi="Times New Roman" w:cs="Times New Roman"/>
          <w:b/>
          <w:noProof/>
          <w:sz w:val="24"/>
          <w:szCs w:val="24"/>
          <w:u w:val="single"/>
        </w:rPr>
      </w:pPr>
      <w:r w:rsidRPr="00F8753B">
        <w:rPr>
          <w:rFonts w:ascii="Times New Roman" w:hAnsi="Times New Roman"/>
          <w:noProof/>
          <w:color w:val="000000" w:themeColor="text1"/>
          <w:sz w:val="24"/>
          <w:u w:val="single"/>
        </w:rPr>
        <w:t>Statele membre sunt încurajate:</w:t>
      </w:r>
    </w:p>
    <w:p w14:paraId="5E200EC8"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596869">
        <w:rPr>
          <w:rFonts w:ascii="Times New Roman" w:hAnsi="Times New Roman"/>
          <w:b/>
          <w:noProof/>
          <w:color w:val="000000" w:themeColor="text1"/>
          <w:sz w:val="24"/>
        </w:rPr>
        <w:t>să facă în mod activ schimb de bune practici și de lecții învățate</w:t>
      </w:r>
      <w:r>
        <w:rPr>
          <w:rFonts w:ascii="Times New Roman" w:hAnsi="Times New Roman"/>
          <w:noProof/>
          <w:color w:val="000000" w:themeColor="text1"/>
          <w:sz w:val="24"/>
        </w:rPr>
        <w:t>, care ar putea fi facilitat de reuniunile anuale privind lecțiile învățate în urma incendiilor forestiere, organizate de Comisie în cadrul UCPM;</w:t>
      </w:r>
    </w:p>
    <w:p w14:paraId="0EE3EAAC" w14:textId="77777777" w:rsidR="00780E1F" w:rsidRPr="00596869"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sidRPr="00596869">
        <w:rPr>
          <w:rFonts w:ascii="Times New Roman" w:hAnsi="Times New Roman"/>
          <w:b/>
          <w:noProof/>
          <w:color w:val="000000" w:themeColor="text1"/>
          <w:sz w:val="24"/>
        </w:rPr>
        <w:t>să utilizeze în mod corespunzător prepoziționarea sau schimbul de experți</w:t>
      </w:r>
      <w:r>
        <w:rPr>
          <w:rFonts w:ascii="Times New Roman" w:hAnsi="Times New Roman"/>
          <w:noProof/>
          <w:color w:val="000000" w:themeColor="text1"/>
          <w:sz w:val="24"/>
        </w:rPr>
        <w:t xml:space="preserve"> pentru a permite schimbul de bune practici;</w:t>
      </w:r>
    </w:p>
    <w:p w14:paraId="58AE7E0F"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596869">
        <w:rPr>
          <w:rFonts w:ascii="Times New Roman" w:hAnsi="Times New Roman"/>
          <w:b/>
          <w:noProof/>
          <w:color w:val="000000" w:themeColor="text1"/>
          <w:sz w:val="24"/>
        </w:rPr>
        <w:t>să colecteze date relevante privind personalul de stingere a incendiilor</w:t>
      </w:r>
      <w:r>
        <w:rPr>
          <w:rFonts w:ascii="Times New Roman" w:hAnsi="Times New Roman"/>
          <w:noProof/>
          <w:color w:val="000000" w:themeColor="text1"/>
          <w:sz w:val="24"/>
        </w:rPr>
        <w:t xml:space="preserve"> și să evalueze nevoile potențiale, ținând seama în mod corespunzător de caracterul sezonier al activităților de stingere a incendiilor, în vederea asigurării disponibilității unei forțe de muncă de dimensiuni adecvate și bine pregătite;</w:t>
      </w:r>
    </w:p>
    <w:p w14:paraId="3926DA6B"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596869">
        <w:rPr>
          <w:rFonts w:ascii="Times New Roman" w:hAnsi="Times New Roman"/>
          <w:b/>
          <w:noProof/>
          <w:color w:val="000000" w:themeColor="text1"/>
          <w:sz w:val="24"/>
        </w:rPr>
        <w:t>să asigure condiții de muncă sigure și durabile</w:t>
      </w:r>
      <w:r>
        <w:rPr>
          <w:rFonts w:ascii="Times New Roman" w:hAnsi="Times New Roman"/>
          <w:noProof/>
          <w:color w:val="000000" w:themeColor="text1"/>
          <w:sz w:val="24"/>
        </w:rPr>
        <w:t xml:space="preserve"> prin luarea măsurilor necesare pentru a asigura un nivel ridicat de protecție a sănătății și siguranței pompierilor,</w:t>
      </w:r>
      <w:r>
        <w:rPr>
          <w:noProof/>
          <w:color w:val="FF0000"/>
        </w:rPr>
        <w:t xml:space="preserve"> </w:t>
      </w:r>
      <w:r>
        <w:rPr>
          <w:rFonts w:ascii="Times New Roman" w:hAnsi="Times New Roman"/>
          <w:noProof/>
          <w:color w:val="000000" w:themeColor="text1"/>
          <w:sz w:val="24"/>
        </w:rPr>
        <w:t xml:space="preserve">inclusiv prin asigurarea unei formări adecvate, a unor echipamente individuale de protecție adecvate și a unui sprijin accesibil pentru sănătate; </w:t>
      </w:r>
    </w:p>
    <w:p w14:paraId="229613F7"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sz w:val="24"/>
          <w:szCs w:val="24"/>
        </w:rPr>
      </w:pPr>
      <w:r w:rsidRPr="00596869">
        <w:rPr>
          <w:rFonts w:ascii="Times New Roman" w:hAnsi="Times New Roman"/>
          <w:b/>
          <w:noProof/>
          <w:sz w:val="24"/>
        </w:rPr>
        <w:t>să consolideze coordonarea</w:t>
      </w:r>
      <w:r>
        <w:rPr>
          <w:rFonts w:ascii="Times New Roman" w:hAnsi="Times New Roman"/>
          <w:noProof/>
          <w:sz w:val="24"/>
        </w:rPr>
        <w:t xml:space="preserve"> între nivelurile de guvernanță </w:t>
      </w:r>
      <w:r w:rsidRPr="00596869">
        <w:rPr>
          <w:rFonts w:ascii="Times New Roman" w:hAnsi="Times New Roman"/>
          <w:b/>
          <w:noProof/>
          <w:sz w:val="24"/>
        </w:rPr>
        <w:t>pentru o conștientizare optimă a situației</w:t>
      </w:r>
      <w:r>
        <w:rPr>
          <w:rFonts w:ascii="Times New Roman" w:hAnsi="Times New Roman"/>
          <w:noProof/>
          <w:sz w:val="24"/>
        </w:rPr>
        <w:t xml:space="preserve"> în momentul unei situații de urgență acută;</w:t>
      </w:r>
    </w:p>
    <w:p w14:paraId="72889D14"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596869">
        <w:rPr>
          <w:rFonts w:ascii="Times New Roman" w:hAnsi="Times New Roman"/>
          <w:b/>
          <w:noProof/>
          <w:color w:val="000000" w:themeColor="text1"/>
          <w:sz w:val="24"/>
        </w:rPr>
        <w:t>să asigure disponibilitatea unui număr suficient de mijloace aeriene</w:t>
      </w:r>
      <w:r>
        <w:rPr>
          <w:rFonts w:ascii="Times New Roman" w:hAnsi="Times New Roman"/>
          <w:noProof/>
          <w:color w:val="000000" w:themeColor="text1"/>
          <w:sz w:val="24"/>
        </w:rPr>
        <w:t>, inclusiv prin utilizarea fondurilor relevante ale UE;</w:t>
      </w:r>
    </w:p>
    <w:p w14:paraId="7DFF0ADD"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să înscrie </w:t>
      </w:r>
      <w:r w:rsidRPr="00596869">
        <w:rPr>
          <w:rFonts w:ascii="Times New Roman" w:hAnsi="Times New Roman"/>
          <w:b/>
          <w:noProof/>
          <w:color w:val="000000" w:themeColor="text1"/>
          <w:sz w:val="24"/>
        </w:rPr>
        <w:t>mijloace de stingere a incendiilor forestiere în Rezerva europeană de protecție civilă, abordând în special lacunele identificate în ceea ce privește elicopterele de stingere a incendiilor</w:t>
      </w:r>
      <w:r>
        <w:rPr>
          <w:rFonts w:ascii="Times New Roman" w:hAnsi="Times New Roman"/>
          <w:noProof/>
          <w:color w:val="000000" w:themeColor="text1"/>
          <w:sz w:val="24"/>
        </w:rPr>
        <w:t>;</w:t>
      </w:r>
      <w:bookmarkEnd w:id="3"/>
    </w:p>
    <w:p w14:paraId="3C50B134"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să îmbunătățească </w:t>
      </w:r>
      <w:r w:rsidRPr="00596869">
        <w:rPr>
          <w:rFonts w:ascii="Times New Roman" w:hAnsi="Times New Roman"/>
          <w:b/>
          <w:noProof/>
          <w:color w:val="000000" w:themeColor="text1"/>
          <w:sz w:val="24"/>
        </w:rPr>
        <w:t>interoperabilitatea echipamentelor de stingere a incendiilor</w:t>
      </w:r>
      <w:r>
        <w:rPr>
          <w:rFonts w:ascii="Times New Roman" w:hAnsi="Times New Roman"/>
          <w:noProof/>
          <w:color w:val="000000" w:themeColor="text1"/>
          <w:sz w:val="24"/>
        </w:rPr>
        <w:t>.</w:t>
      </w:r>
    </w:p>
    <w:p w14:paraId="7EAAE789" w14:textId="77777777" w:rsidR="00780E1F" w:rsidRDefault="00780E1F">
      <w:pPr>
        <w:rPr>
          <w:noProof/>
        </w:rPr>
      </w:pPr>
    </w:p>
    <w:p w14:paraId="7D817631" w14:textId="77777777" w:rsidR="00780E1F" w:rsidRDefault="00535025">
      <w:pPr>
        <w:pStyle w:val="Heading2"/>
        <w:rPr>
          <w:rStyle w:val="Heading2Char"/>
          <w:noProof/>
        </w:rPr>
      </w:pPr>
      <w:r>
        <w:rPr>
          <w:rStyle w:val="Heading2Char"/>
          <w:noProof/>
        </w:rPr>
        <w:t xml:space="preserve">V. Refacerea în urma incendiilor </w:t>
      </w:r>
    </w:p>
    <w:p w14:paraId="6AA026B7" w14:textId="77777777" w:rsidR="00780E1F" w:rsidRPr="00F8753B" w:rsidRDefault="00535025">
      <w:pPr>
        <w:pStyle w:val="ListParagraph"/>
        <w:ind w:left="0"/>
        <w:jc w:val="both"/>
        <w:rPr>
          <w:rFonts w:ascii="Times New Roman" w:hAnsi="Times New Roman" w:cs="Times New Roman"/>
          <w:b/>
          <w:bCs/>
          <w:noProof/>
          <w:sz w:val="24"/>
          <w:szCs w:val="24"/>
          <w:u w:val="single"/>
        </w:rPr>
      </w:pPr>
      <w:r w:rsidRPr="00F8753B">
        <w:rPr>
          <w:rFonts w:ascii="Times New Roman" w:hAnsi="Times New Roman"/>
          <w:b/>
          <w:noProof/>
          <w:sz w:val="24"/>
          <w:u w:val="single"/>
        </w:rPr>
        <w:t>V.I Sprijin pentru refacere după incendiu</w:t>
      </w:r>
    </w:p>
    <w:p w14:paraId="1CFA307F" w14:textId="77777777" w:rsidR="00780E1F" w:rsidRDefault="00535025">
      <w:pPr>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Activitățile de refacere în urma incendiilor trebuie să asigure faptul că ecosistemele și comunitățile refăcute sunt reziliente în viitor, în conformitate cu principiul „reconstruiește mai bine”. Prevenirea incendiilor repetate este esențială pentru a evita degradarea ecosistemelor pe termen lung, inclusiv eroziunea solului, pierderea biodiversității și reducerea capacității de stocare a carbonului. Comisia va sprijini administratorii și proprietarii de terenuri prin e</w:t>
      </w:r>
      <w:r>
        <w:rPr>
          <w:rFonts w:ascii="Times New Roman" w:hAnsi="Times New Roman"/>
          <w:noProof/>
          <w:color w:val="000000" w:themeColor="text1"/>
          <w:sz w:val="24"/>
        </w:rPr>
        <w:t xml:space="preserve">laborarea, în cursul acestui an, a unor </w:t>
      </w:r>
      <w:r w:rsidRPr="00596869">
        <w:rPr>
          <w:rFonts w:ascii="Times New Roman" w:hAnsi="Times New Roman"/>
          <w:b/>
          <w:noProof/>
          <w:color w:val="000000" w:themeColor="text1"/>
          <w:sz w:val="24"/>
        </w:rPr>
        <w:t>orientări privind peisajele reziliente la schimbările climatice</w:t>
      </w:r>
      <w:r>
        <w:rPr>
          <w:rFonts w:ascii="Times New Roman" w:hAnsi="Times New Roman"/>
          <w:noProof/>
          <w:color w:val="000000" w:themeColor="text1"/>
          <w:sz w:val="24"/>
        </w:rPr>
        <w:t xml:space="preserve">, care se vor axa pe toate aspectele ciclului de reducere a riscurilor de dezastre, inclusiv pe prevenire, atenuare, restaurare, refacere în urma incendiilor și învățare.  </w:t>
      </w:r>
    </w:p>
    <w:p w14:paraId="45232ED6" w14:textId="77777777" w:rsidR="00780E1F" w:rsidRDefault="00535025">
      <w:pPr>
        <w:jc w:val="both"/>
        <w:rPr>
          <w:rFonts w:ascii="Times New Roman" w:hAnsi="Times New Roman" w:cs="Times New Roman"/>
          <w:noProof/>
          <w:sz w:val="24"/>
          <w:szCs w:val="24"/>
        </w:rPr>
      </w:pPr>
      <w:r>
        <w:rPr>
          <w:rFonts w:ascii="Times New Roman" w:hAnsi="Times New Roman"/>
          <w:noProof/>
          <w:sz w:val="24"/>
        </w:rPr>
        <w:t>Incendiile forestiere de mare intensitate modifică proprietățile fizice și chimice ale stratului superficial al solului, ceea ce reduce infiltrarea apei și protecția oferită de acoperirea vegetală a solului, exacerbând astfel eroziunea solului. Prin urmare, este esențial ca gestionarea terenurilor în urma incendiilor să favorizeze acoperirea cu vegetație și să prevină scurgerile excesive. În acest scop, EFFIS și Observatorul UE al solului elaborează în prezent un modul specific pentru a monitoriza refacerea vegetației și eroziunea solului după incendiu pe termen mai lung</w:t>
      </w:r>
      <w:r>
        <w:rPr>
          <w:rStyle w:val="FootnoteReference"/>
          <w:rFonts w:ascii="Times New Roman" w:hAnsi="Times New Roman" w:cs="Times New Roman"/>
          <w:noProof/>
          <w:sz w:val="24"/>
          <w:szCs w:val="24"/>
        </w:rPr>
        <w:footnoteReference w:id="52"/>
      </w:r>
      <w:r>
        <w:rPr>
          <w:rFonts w:ascii="Times New Roman" w:hAnsi="Times New Roman"/>
          <w:noProof/>
          <w:sz w:val="24"/>
        </w:rPr>
        <w:t>.</w:t>
      </w:r>
    </w:p>
    <w:p w14:paraId="71C89225" w14:textId="77777777" w:rsidR="00780E1F" w:rsidRDefault="00535025">
      <w:pPr>
        <w:jc w:val="both"/>
        <w:rPr>
          <w:rFonts w:ascii="Times New Roman" w:hAnsi="Times New Roman" w:cs="Times New Roman"/>
          <w:noProof/>
          <w:sz w:val="24"/>
          <w:szCs w:val="24"/>
        </w:rPr>
      </w:pPr>
      <w:r>
        <w:rPr>
          <w:rFonts w:ascii="Times New Roman" w:hAnsi="Times New Roman"/>
          <w:noProof/>
          <w:sz w:val="24"/>
        </w:rPr>
        <w:t>De asemenea, este necesară o finanțare specifică din partea UE pentru refacerea și restaurarea zonelor afectate. În cadrul actualei PAC, precum și al propunerii pentru viitorul CFM</w:t>
      </w:r>
      <w:r>
        <w:rPr>
          <w:rStyle w:val="FootnoteReference"/>
          <w:rFonts w:ascii="Times New Roman" w:hAnsi="Times New Roman" w:cs="Times New Roman"/>
          <w:noProof/>
          <w:sz w:val="24"/>
          <w:szCs w:val="24"/>
        </w:rPr>
        <w:footnoteReference w:id="53"/>
      </w:r>
      <w:r>
        <w:rPr>
          <w:rFonts w:ascii="Times New Roman" w:hAnsi="Times New Roman"/>
          <w:noProof/>
          <w:sz w:val="24"/>
        </w:rPr>
        <w:t xml:space="preserve">, este disponibil sprijin pentru investiții în restaurarea potențialului pădurilor și al terenurilor agricole în urma unor dezastre naturale sau a unor fenomene climatice nefavorabile. În mod similar, politica de coeziune alocă </w:t>
      </w:r>
      <w:r w:rsidRPr="00596869">
        <w:rPr>
          <w:rFonts w:ascii="Times New Roman" w:hAnsi="Times New Roman"/>
          <w:noProof/>
          <w:sz w:val="24"/>
        </w:rPr>
        <w:t>14</w:t>
      </w:r>
      <w:r>
        <w:rPr>
          <w:rFonts w:ascii="Times New Roman" w:hAnsi="Times New Roman"/>
          <w:noProof/>
          <w:sz w:val="24"/>
        </w:rPr>
        <w:t>,</w:t>
      </w:r>
      <w:r w:rsidRPr="00596869">
        <w:rPr>
          <w:rFonts w:ascii="Times New Roman" w:hAnsi="Times New Roman"/>
          <w:noProof/>
          <w:sz w:val="24"/>
        </w:rPr>
        <w:t>6</w:t>
      </w:r>
      <w:r>
        <w:rPr>
          <w:rFonts w:ascii="Times New Roman" w:hAnsi="Times New Roman"/>
          <w:noProof/>
          <w:sz w:val="24"/>
        </w:rPr>
        <w:t xml:space="preserve"> miliarde EUR în actuala perioadă de programare pentru adaptarea la schimbările climatice și gestionarea riscurilor de dezastre, care pot aborda, de asemenea, restaurarea ecosistemelor și intervențiile bazate pe natură în urma incendiilor forestiere. Politica de coeziune a introdus, de asemenea, un </w:t>
      </w:r>
      <w:r w:rsidRPr="00596869">
        <w:rPr>
          <w:rFonts w:ascii="Times New Roman" w:hAnsi="Times New Roman"/>
          <w:b/>
          <w:noProof/>
          <w:sz w:val="24"/>
        </w:rPr>
        <w:t>mecanism</w:t>
      </w:r>
      <w:r>
        <w:rPr>
          <w:rStyle w:val="FootnoteReference"/>
          <w:rFonts w:ascii="Times New Roman" w:hAnsi="Times New Roman" w:cs="Times New Roman"/>
          <w:noProof/>
          <w:sz w:val="24"/>
          <w:szCs w:val="24"/>
        </w:rPr>
        <w:footnoteReference w:id="54"/>
      </w:r>
      <w:r>
        <w:rPr>
          <w:rFonts w:ascii="Times New Roman" w:hAnsi="Times New Roman"/>
          <w:noProof/>
          <w:sz w:val="24"/>
        </w:rPr>
        <w:t xml:space="preserve"> care a permis statelor membre să mobilizeze rapid fonduri pentru a răspunde nevoilor de restaurare în urma dezastrelor în anii </w:t>
      </w:r>
      <w:r w:rsidRPr="00596869">
        <w:rPr>
          <w:rFonts w:ascii="Times New Roman" w:hAnsi="Times New Roman"/>
          <w:noProof/>
          <w:sz w:val="24"/>
        </w:rPr>
        <w:t>2024</w:t>
      </w:r>
      <w:r>
        <w:rPr>
          <w:rFonts w:ascii="Times New Roman" w:hAnsi="Times New Roman"/>
          <w:noProof/>
          <w:sz w:val="24"/>
        </w:rPr>
        <w:t xml:space="preserve"> și </w:t>
      </w:r>
      <w:r w:rsidRPr="00596869">
        <w:rPr>
          <w:rFonts w:ascii="Times New Roman" w:hAnsi="Times New Roman"/>
          <w:noProof/>
          <w:sz w:val="24"/>
        </w:rPr>
        <w:t>2025</w:t>
      </w:r>
      <w:r>
        <w:rPr>
          <w:rFonts w:ascii="Times New Roman" w:hAnsi="Times New Roman"/>
          <w:noProof/>
          <w:sz w:val="24"/>
        </w:rPr>
        <w:t xml:space="preserve">. În cele din urmă, Fondul de solidaritate al UE sprijină statele membre și țările în curs de aderare </w:t>
      </w:r>
      <w:r w:rsidRPr="00596869">
        <w:rPr>
          <w:rFonts w:ascii="Times New Roman" w:hAnsi="Times New Roman"/>
          <w:b/>
          <w:noProof/>
          <w:sz w:val="24"/>
        </w:rPr>
        <w:t>în ceea ce privește refacerea în urma unor dezastre naturale grave</w:t>
      </w:r>
      <w:r>
        <w:rPr>
          <w:rFonts w:ascii="Times New Roman" w:hAnsi="Times New Roman"/>
          <w:noProof/>
          <w:sz w:val="24"/>
        </w:rPr>
        <w:t>. Finanțarea refacerii ar trebui să fie completată de finanțare privată, inclusiv de asigurări pentru riscurile de incendii forestiere, a căror utilizare ar putea fi stimulată.</w:t>
      </w:r>
    </w:p>
    <w:p w14:paraId="369B7D71" w14:textId="77777777" w:rsidR="00780E1F" w:rsidRDefault="00535025">
      <w:pPr>
        <w:pStyle w:val="ListParagraph"/>
        <w:ind w:left="0"/>
        <w:jc w:val="both"/>
        <w:rPr>
          <w:rFonts w:ascii="Times New Roman" w:eastAsia="Times New Roman" w:hAnsi="Times New Roman" w:cs="Times New Roman"/>
          <w:noProof/>
          <w:color w:val="000000" w:themeColor="text1"/>
          <w:sz w:val="24"/>
          <w:szCs w:val="24"/>
        </w:rPr>
      </w:pPr>
      <w:r w:rsidRPr="00F8753B">
        <w:rPr>
          <w:rFonts w:ascii="Times New Roman" w:hAnsi="Times New Roman"/>
          <w:b/>
          <w:noProof/>
          <w:sz w:val="24"/>
          <w:u w:val="single"/>
        </w:rPr>
        <w:t>V.2 Utilizarea corespunzătoare a datelor privind impactul incendiilor forestiere</w:t>
      </w:r>
    </w:p>
    <w:p w14:paraId="06283664" w14:textId="77777777" w:rsidR="00780E1F" w:rsidRDefault="00535025">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Existența unor informații incomplete privind decesele cauzate de incendiile forestiere, pierderile în materie de clădiri, costurile de mediu și pentru sănătate și impactul asupra agriculturii și ecosistemelor forestiere face imposibilă </w:t>
      </w:r>
      <w:r w:rsidRPr="00596869">
        <w:rPr>
          <w:rFonts w:ascii="Times New Roman" w:hAnsi="Times New Roman"/>
          <w:b/>
          <w:noProof/>
          <w:sz w:val="24"/>
        </w:rPr>
        <w:t>evaluarea cu precizie a costurilor reale ale incendiilor forestiere</w:t>
      </w:r>
      <w:r>
        <w:rPr>
          <w:rFonts w:ascii="Times New Roman" w:hAnsi="Times New Roman"/>
          <w:noProof/>
          <w:sz w:val="24"/>
        </w:rPr>
        <w:t xml:space="preserve">. Acest lucru ar putea duce la subestimarea riscurilor în deciziile bugetare sau la un pericol de asigurare insuficientă împotriva riscurilor de incendii forestiere. </w:t>
      </w:r>
      <w:r>
        <w:rPr>
          <w:rFonts w:ascii="Times New Roman" w:hAnsi="Times New Roman"/>
          <w:noProof/>
          <w:color w:val="000000" w:themeColor="text1"/>
          <w:sz w:val="24"/>
        </w:rPr>
        <w:t xml:space="preserve">Prin urmare, </w:t>
      </w:r>
      <w:r w:rsidRPr="00596869">
        <w:rPr>
          <w:rFonts w:ascii="Times New Roman" w:hAnsi="Times New Roman"/>
          <w:b/>
          <w:noProof/>
          <w:color w:val="000000" w:themeColor="text1"/>
          <w:sz w:val="24"/>
        </w:rPr>
        <w:t>metodologiile de evaluare a pierderilor economice</w:t>
      </w:r>
      <w:r>
        <w:rPr>
          <w:rFonts w:ascii="Times New Roman" w:hAnsi="Times New Roman"/>
          <w:noProof/>
          <w:color w:val="000000" w:themeColor="text1"/>
          <w:sz w:val="24"/>
        </w:rPr>
        <w:t xml:space="preserve"> ar trebui îmbunătățite și armonizate pe baza instrumentelor existente, cum ar fi Platforma de date privind riscurile</w:t>
      </w:r>
      <w:r>
        <w:rPr>
          <w:rStyle w:val="FootnoteReference"/>
          <w:rFonts w:ascii="Times New Roman" w:hAnsi="Times New Roman" w:cs="Times New Roman"/>
          <w:noProof/>
          <w:color w:val="000000" w:themeColor="text1"/>
          <w:sz w:val="24"/>
          <w:szCs w:val="24"/>
          <w:lang w:val="en-US"/>
        </w:rPr>
        <w:footnoteReference w:id="55"/>
      </w:r>
      <w:r>
        <w:rPr>
          <w:rFonts w:ascii="Times New Roman" w:hAnsi="Times New Roman"/>
          <w:noProof/>
          <w:color w:val="000000" w:themeColor="text1"/>
          <w:sz w:val="24"/>
        </w:rPr>
        <w:t xml:space="preserve">. Statele membre ar trebui sprijinite </w:t>
      </w:r>
      <w:r w:rsidRPr="00596869">
        <w:rPr>
          <w:rFonts w:ascii="Times New Roman" w:hAnsi="Times New Roman"/>
          <w:b/>
          <w:noProof/>
          <w:color w:val="000000" w:themeColor="text1"/>
          <w:sz w:val="24"/>
        </w:rPr>
        <w:t>să evalueze decesele și impactul economic</w:t>
      </w:r>
      <w:r>
        <w:rPr>
          <w:rFonts w:ascii="Times New Roman" w:hAnsi="Times New Roman"/>
          <w:noProof/>
          <w:color w:val="000000" w:themeColor="text1"/>
          <w:sz w:val="24"/>
        </w:rPr>
        <w:t xml:space="preserve"> al incendiilor forestiere utilizând metode armonizate. Aceste </w:t>
      </w:r>
      <w:r w:rsidRPr="00596869">
        <w:rPr>
          <w:rFonts w:ascii="Times New Roman" w:hAnsi="Times New Roman"/>
          <w:b/>
          <w:noProof/>
          <w:color w:val="000000" w:themeColor="text1"/>
          <w:sz w:val="24"/>
        </w:rPr>
        <w:t>date ar trebui apoi utilizate pentru evaluări viitoare ale riscurilor</w:t>
      </w:r>
      <w:r>
        <w:rPr>
          <w:rFonts w:ascii="Times New Roman" w:hAnsi="Times New Roman"/>
          <w:noProof/>
          <w:color w:val="000000" w:themeColor="text1"/>
          <w:sz w:val="24"/>
        </w:rPr>
        <w:t xml:space="preserve">. </w:t>
      </w:r>
    </w:p>
    <w:p w14:paraId="4FBB41BD" w14:textId="77777777" w:rsidR="00780E1F" w:rsidRDefault="00780E1F">
      <w:pPr>
        <w:spacing w:after="0"/>
        <w:jc w:val="both"/>
        <w:rPr>
          <w:rFonts w:ascii="Times New Roman" w:eastAsia="Times New Roman" w:hAnsi="Times New Roman" w:cs="Times New Roman"/>
          <w:noProof/>
          <w:sz w:val="24"/>
          <w:szCs w:val="24"/>
        </w:rPr>
      </w:pPr>
    </w:p>
    <w:p w14:paraId="5DD5DE54" w14:textId="77777777" w:rsidR="00780E1F" w:rsidRDefault="00535025">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Pentru a facilita schimbul de bune practici privind </w:t>
      </w:r>
      <w:r w:rsidRPr="00596869">
        <w:rPr>
          <w:rFonts w:ascii="Times New Roman" w:hAnsi="Times New Roman"/>
          <w:b/>
          <w:noProof/>
          <w:sz w:val="24"/>
        </w:rPr>
        <w:t>includerea în buget a costurilor dezastrelor</w:t>
      </w:r>
      <w:r>
        <w:rPr>
          <w:rFonts w:ascii="Times New Roman" w:hAnsi="Times New Roman"/>
          <w:noProof/>
          <w:sz w:val="24"/>
        </w:rPr>
        <w:t>, Comisia a publicat un raport</w:t>
      </w:r>
      <w:r>
        <w:rPr>
          <w:rStyle w:val="FootnoteReference"/>
          <w:rFonts w:ascii="Times New Roman" w:eastAsia="Times New Roman" w:hAnsi="Times New Roman" w:cs="Times New Roman"/>
          <w:noProof/>
          <w:sz w:val="24"/>
          <w:szCs w:val="24"/>
        </w:rPr>
        <w:footnoteReference w:id="56"/>
      </w:r>
      <w:r>
        <w:rPr>
          <w:rFonts w:ascii="Times New Roman" w:hAnsi="Times New Roman"/>
          <w:noProof/>
          <w:sz w:val="24"/>
        </w:rPr>
        <w:t xml:space="preserve"> care prezintă posibile metodologii și o abordare treptată pentru efectuarea evaluărilor. Comisia a introdus, de asemenea, noi cerințe pentru publicarea informațiilor privind costurile bugetare ale dezastrelor naturale</w:t>
      </w:r>
      <w:r>
        <w:rPr>
          <w:rStyle w:val="FootnoteReference"/>
          <w:rFonts w:ascii="Times New Roman" w:eastAsia="Times New Roman" w:hAnsi="Times New Roman" w:cs="Times New Roman"/>
          <w:noProof/>
          <w:sz w:val="24"/>
          <w:szCs w:val="24"/>
        </w:rPr>
        <w:footnoteReference w:id="57"/>
      </w:r>
      <w:r>
        <w:rPr>
          <w:rFonts w:ascii="Times New Roman" w:hAnsi="Times New Roman"/>
          <w:noProof/>
          <w:sz w:val="24"/>
        </w:rPr>
        <w:t xml:space="preserve">. </w:t>
      </w:r>
    </w:p>
    <w:p w14:paraId="70BF2137" w14:textId="77777777" w:rsidR="00780E1F" w:rsidRPr="00596869"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sidRPr="00596869">
        <w:rPr>
          <w:rFonts w:ascii="Times New Roman" w:hAnsi="Times New Roman"/>
          <w:b/>
          <w:noProof/>
          <w:color w:val="000000" w:themeColor="text1"/>
          <w:sz w:val="24"/>
        </w:rPr>
        <w:t>Măsuri de sprijinire a refacerii în urma incendiilor</w:t>
      </w:r>
    </w:p>
    <w:p w14:paraId="6F6A3FFA" w14:textId="77777777" w:rsidR="00780E1F" w:rsidRPr="00F8753B"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sidRPr="00F8753B">
        <w:rPr>
          <w:rFonts w:ascii="Times New Roman" w:hAnsi="Times New Roman"/>
          <w:noProof/>
          <w:color w:val="000000" w:themeColor="text1"/>
          <w:sz w:val="24"/>
          <w:u w:val="single"/>
        </w:rPr>
        <w:t>Comisia:</w:t>
      </w:r>
    </w:p>
    <w:p w14:paraId="5A25438B"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va propune sprijinirea </w:t>
      </w:r>
      <w:r w:rsidRPr="00596869">
        <w:rPr>
          <w:rFonts w:ascii="Times New Roman" w:hAnsi="Times New Roman"/>
          <w:b/>
          <w:noProof/>
          <w:color w:val="000000" w:themeColor="text1"/>
          <w:sz w:val="24"/>
        </w:rPr>
        <w:t>schimburilor de bune practici privind metodele de refacere în urma incendiilor</w:t>
      </w:r>
      <w:r>
        <w:rPr>
          <w:rFonts w:ascii="Times New Roman" w:hAnsi="Times New Roman"/>
          <w:noProof/>
          <w:color w:val="000000" w:themeColor="text1"/>
          <w:sz w:val="24"/>
        </w:rPr>
        <w:t xml:space="preserve"> pe tot parcursul anului </w:t>
      </w:r>
      <w:r w:rsidRPr="00596869">
        <w:rPr>
          <w:rFonts w:ascii="Times New Roman" w:hAnsi="Times New Roman"/>
          <w:noProof/>
          <w:color w:val="000000" w:themeColor="text1"/>
          <w:sz w:val="24"/>
        </w:rPr>
        <w:t>2027</w:t>
      </w:r>
      <w:r>
        <w:rPr>
          <w:rFonts w:ascii="Times New Roman" w:hAnsi="Times New Roman"/>
          <w:noProof/>
          <w:color w:val="000000" w:themeColor="text1"/>
          <w:sz w:val="24"/>
        </w:rPr>
        <w:t>;</w:t>
      </w:r>
    </w:p>
    <w:p w14:paraId="629D10B9"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va elabora </w:t>
      </w:r>
      <w:r w:rsidRPr="00596869">
        <w:rPr>
          <w:rFonts w:ascii="Times New Roman" w:hAnsi="Times New Roman"/>
          <w:b/>
          <w:noProof/>
          <w:sz w:val="24"/>
        </w:rPr>
        <w:t>orientări pentru a facilita colectarea de date armonizate în urma incendiilor.</w:t>
      </w:r>
    </w:p>
    <w:p w14:paraId="3E977242" w14:textId="77777777" w:rsidR="00780E1F" w:rsidRPr="00F8753B"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sidRPr="00F8753B">
        <w:rPr>
          <w:rFonts w:ascii="Times New Roman" w:hAnsi="Times New Roman"/>
          <w:noProof/>
          <w:color w:val="000000" w:themeColor="text1"/>
          <w:sz w:val="24"/>
          <w:u w:val="single"/>
        </w:rPr>
        <w:t>Statele membre sunt încurajate:</w:t>
      </w:r>
    </w:p>
    <w:p w14:paraId="53071AC7"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Style w:val="Heading2Char"/>
          <w:rFonts w:ascii="Times New Roman" w:eastAsia="Times New Roman" w:hAnsi="Times New Roman" w:cs="Times New Roman"/>
          <w:noProof/>
          <w:color w:val="auto"/>
          <w:sz w:val="24"/>
          <w:szCs w:val="24"/>
        </w:rPr>
      </w:pPr>
      <w:r>
        <w:rPr>
          <w:rFonts w:ascii="Times New Roman" w:hAnsi="Times New Roman"/>
          <w:noProof/>
          <w:sz w:val="24"/>
        </w:rPr>
        <w:t xml:space="preserve">să colecteze date transsectoriale suplimentare pentru </w:t>
      </w:r>
      <w:r w:rsidRPr="00596869">
        <w:rPr>
          <w:rFonts w:ascii="Times New Roman" w:hAnsi="Times New Roman"/>
          <w:b/>
          <w:noProof/>
          <w:sz w:val="24"/>
        </w:rPr>
        <w:t>a cuantifica impactul incendiilor forestiere</w:t>
      </w:r>
      <w:r>
        <w:rPr>
          <w:rFonts w:ascii="Times New Roman" w:hAnsi="Times New Roman"/>
          <w:noProof/>
          <w:sz w:val="24"/>
        </w:rPr>
        <w:t xml:space="preserve">, sprijinite de orientările privind metodele armonizate.  </w:t>
      </w:r>
    </w:p>
    <w:p w14:paraId="529B2519" w14:textId="77777777" w:rsidR="00780E1F" w:rsidRDefault="00535025">
      <w:pPr>
        <w:pStyle w:val="Heading2"/>
        <w:rPr>
          <w:noProof/>
        </w:rPr>
      </w:pPr>
      <w:r>
        <w:rPr>
          <w:rStyle w:val="Heading2Char"/>
          <w:noProof/>
        </w:rPr>
        <w:t>VI. Consolidarea gestionării riscurilor de incendii forestiere</w:t>
      </w:r>
    </w:p>
    <w:p w14:paraId="24EB2400" w14:textId="77777777" w:rsidR="00780E1F" w:rsidRPr="00596869" w:rsidRDefault="00535025" w:rsidP="00C70A9F">
      <w:pPr>
        <w:keepNext/>
        <w:jc w:val="both"/>
        <w:rPr>
          <w:rFonts w:ascii="Times New Roman" w:hAnsi="Times New Roman" w:cs="Times New Roman"/>
          <w:b/>
          <w:bCs/>
          <w:noProof/>
          <w:sz w:val="24"/>
          <w:szCs w:val="24"/>
        </w:rPr>
      </w:pPr>
      <w:r w:rsidRPr="00596869">
        <w:rPr>
          <w:rFonts w:ascii="Times New Roman" w:hAnsi="Times New Roman"/>
          <w:b/>
          <w:noProof/>
          <w:sz w:val="24"/>
        </w:rPr>
        <w:t xml:space="preserve">VI.1 Consolidarea guvernanței privind gestionarea integrată a riscurilor de incendii forestiere </w:t>
      </w:r>
    </w:p>
    <w:p w14:paraId="6BD0C766" w14:textId="77777777" w:rsidR="00780E1F" w:rsidRDefault="00535025">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Gestionarea cu adevărat integrată a riscurilor de incendii forestiere necesită o guvernanță care să asigure acțiuni coordonate din partea tuturor autorităților competente, politici coerente și o finanțare raționalizată în diferite sectoare, reflectând o abordare </w:t>
      </w:r>
      <w:r w:rsidRPr="00596869">
        <w:rPr>
          <w:rFonts w:ascii="Times New Roman" w:hAnsi="Times New Roman"/>
          <w:b/>
          <w:noProof/>
          <w:sz w:val="24"/>
        </w:rPr>
        <w:t>la nivelul întregii administrații</w:t>
      </w:r>
      <w:r>
        <w:rPr>
          <w:rFonts w:ascii="Times New Roman" w:hAnsi="Times New Roman"/>
          <w:noProof/>
          <w:sz w:val="24"/>
        </w:rPr>
        <w:t xml:space="preserve">. În mod similar, aceasta promovează o </w:t>
      </w:r>
      <w:r w:rsidRPr="00596869">
        <w:rPr>
          <w:rFonts w:ascii="Times New Roman" w:hAnsi="Times New Roman"/>
          <w:b/>
          <w:noProof/>
          <w:sz w:val="24"/>
        </w:rPr>
        <w:t xml:space="preserve">abordare </w:t>
      </w:r>
      <w:r>
        <w:rPr>
          <w:rFonts w:ascii="Times New Roman" w:hAnsi="Times New Roman"/>
          <w:noProof/>
          <w:sz w:val="24"/>
        </w:rPr>
        <w:t xml:space="preserve">favorabilă incluziunii </w:t>
      </w:r>
      <w:r w:rsidRPr="00596869">
        <w:rPr>
          <w:rFonts w:ascii="Times New Roman" w:hAnsi="Times New Roman"/>
          <w:b/>
          <w:noProof/>
          <w:sz w:val="24"/>
        </w:rPr>
        <w:t>la nivelul întregii societăți</w:t>
      </w:r>
      <w:r>
        <w:rPr>
          <w:rFonts w:ascii="Times New Roman" w:hAnsi="Times New Roman"/>
          <w:noProof/>
          <w:sz w:val="24"/>
        </w:rPr>
        <w:t>, care recunoaște rolul administratorilor de terenuri, al locuitorilor, al turiștilor etc. în gestionarea riscurilor de incendii forestiere</w:t>
      </w:r>
      <w:r>
        <w:rPr>
          <w:rStyle w:val="FootnoteReference"/>
          <w:rFonts w:ascii="Times New Roman" w:eastAsia="Times New Roman" w:hAnsi="Times New Roman" w:cs="Times New Roman"/>
          <w:noProof/>
          <w:sz w:val="24"/>
          <w:szCs w:val="24"/>
        </w:rPr>
        <w:footnoteReference w:id="58"/>
      </w:r>
      <w:r>
        <w:rPr>
          <w:rFonts w:ascii="Times New Roman" w:hAnsi="Times New Roman"/>
          <w:noProof/>
          <w:sz w:val="24"/>
        </w:rPr>
        <w:t xml:space="preserve">.  </w:t>
      </w:r>
    </w:p>
    <w:p w14:paraId="437E851F" w14:textId="77777777" w:rsidR="00780E1F" w:rsidRDefault="00780E1F">
      <w:pPr>
        <w:spacing w:after="0"/>
        <w:jc w:val="both"/>
        <w:rPr>
          <w:rFonts w:ascii="Times New Roman" w:eastAsia="Times New Roman" w:hAnsi="Times New Roman" w:cs="Times New Roman"/>
          <w:noProof/>
          <w:sz w:val="24"/>
          <w:szCs w:val="24"/>
        </w:rPr>
      </w:pPr>
    </w:p>
    <w:p w14:paraId="67C5D3D8" w14:textId="77777777" w:rsidR="00780E1F" w:rsidRDefault="00535025">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Comisia este pregătită să asiste și să însoțească statele membre în ceea ce privește utilizarea instrumentelor de sprijin prezentate în capitolele anterioare. Comisia ajută deja statele membre și țările care participă la UCPM să își îmbunătățească guvernanța și capacitatea. De exemplu, Comisia a elaborat un </w:t>
      </w:r>
      <w:r w:rsidRPr="00596869">
        <w:rPr>
          <w:rFonts w:ascii="Times New Roman" w:hAnsi="Times New Roman"/>
          <w:b/>
          <w:noProof/>
          <w:sz w:val="24"/>
        </w:rPr>
        <w:t>cadru de evaluare inter pares a incendiilor forestiere (PRAF)</w:t>
      </w:r>
      <w:r>
        <w:rPr>
          <w:rStyle w:val="FootnoteReference"/>
          <w:rFonts w:ascii="Times New Roman" w:eastAsia="Times New Roman" w:hAnsi="Times New Roman" w:cs="Times New Roman"/>
          <w:noProof/>
          <w:sz w:val="24"/>
          <w:szCs w:val="24"/>
        </w:rPr>
        <w:footnoteReference w:id="59"/>
      </w:r>
      <w:r>
        <w:rPr>
          <w:rFonts w:ascii="Times New Roman" w:hAnsi="Times New Roman"/>
          <w:noProof/>
          <w:sz w:val="24"/>
        </w:rPr>
        <w:t xml:space="preserve"> în cadrul UCPM, în cooperare cu experți naționali, pentru a oferi orientări cu privire la verificările voluntare ale sistemelor naționale de evaluare a riscurilor de incendii forestiere</w:t>
      </w:r>
      <w:r>
        <w:rPr>
          <w:rStyle w:val="FootnoteReference"/>
          <w:rFonts w:ascii="Times New Roman" w:eastAsia="Times New Roman" w:hAnsi="Times New Roman" w:cs="Times New Roman"/>
          <w:noProof/>
          <w:sz w:val="24"/>
          <w:szCs w:val="24"/>
        </w:rPr>
        <w:footnoteReference w:id="60"/>
      </w:r>
      <w:r>
        <w:rPr>
          <w:rFonts w:ascii="Times New Roman" w:hAnsi="Times New Roman"/>
          <w:noProof/>
          <w:sz w:val="24"/>
        </w:rPr>
        <w:t xml:space="preserve">. </w:t>
      </w:r>
      <w:r w:rsidRPr="00596869">
        <w:rPr>
          <w:rFonts w:ascii="Times New Roman" w:hAnsi="Times New Roman"/>
          <w:b/>
          <w:noProof/>
          <w:sz w:val="24"/>
        </w:rPr>
        <w:t>Granturile UCPM</w:t>
      </w:r>
      <w:r>
        <w:rPr>
          <w:rStyle w:val="FootnoteReference"/>
          <w:rFonts w:ascii="Times New Roman" w:eastAsia="Times New Roman" w:hAnsi="Times New Roman" w:cs="Times New Roman"/>
          <w:noProof/>
          <w:sz w:val="24"/>
          <w:szCs w:val="24"/>
        </w:rPr>
        <w:footnoteReference w:id="61"/>
      </w:r>
      <w:r w:rsidRPr="00596869">
        <w:rPr>
          <w:rFonts w:ascii="Times New Roman" w:hAnsi="Times New Roman"/>
          <w:b/>
          <w:noProof/>
          <w:sz w:val="24"/>
        </w:rPr>
        <w:t xml:space="preserve"> și mecanismul de finanțare a asistenței tehnice</w:t>
      </w:r>
      <w:r>
        <w:rPr>
          <w:rStyle w:val="FootnoteReference"/>
          <w:rFonts w:ascii="Times New Roman" w:eastAsia="Times New Roman" w:hAnsi="Times New Roman" w:cs="Times New Roman"/>
          <w:noProof/>
          <w:sz w:val="24"/>
          <w:szCs w:val="24"/>
        </w:rPr>
        <w:footnoteReference w:id="62"/>
      </w:r>
      <w:r>
        <w:rPr>
          <w:rFonts w:ascii="Times New Roman" w:hAnsi="Times New Roman"/>
          <w:noProof/>
          <w:sz w:val="24"/>
        </w:rPr>
        <w:t xml:space="preserve"> sprijină și mai mult eforturile de consolidare a capacităților. În mod similar, </w:t>
      </w:r>
      <w:r w:rsidRPr="00596869">
        <w:rPr>
          <w:rFonts w:ascii="Times New Roman" w:hAnsi="Times New Roman"/>
          <w:b/>
          <w:noProof/>
          <w:sz w:val="24"/>
        </w:rPr>
        <w:t>Instrumentul de sprijin tehnic</w:t>
      </w:r>
      <w:r>
        <w:rPr>
          <w:rFonts w:ascii="Times New Roman" w:hAnsi="Times New Roman"/>
          <w:noProof/>
          <w:sz w:val="24"/>
        </w:rPr>
        <w:t xml:space="preserve"> a sprijinit mai multe state membre și regiuni</w:t>
      </w:r>
      <w:r>
        <w:rPr>
          <w:rStyle w:val="FootnoteReference"/>
          <w:rFonts w:ascii="Times New Roman" w:eastAsia="Times New Roman" w:hAnsi="Times New Roman" w:cs="Times New Roman"/>
          <w:noProof/>
          <w:sz w:val="24"/>
          <w:szCs w:val="24"/>
        </w:rPr>
        <w:footnoteReference w:id="63"/>
      </w:r>
      <w:r>
        <w:rPr>
          <w:rFonts w:ascii="Times New Roman" w:hAnsi="Times New Roman"/>
          <w:noProof/>
          <w:sz w:val="24"/>
        </w:rPr>
        <w:t xml:space="preserve"> </w:t>
      </w:r>
      <w:r w:rsidRPr="00596869">
        <w:rPr>
          <w:rFonts w:ascii="Times New Roman" w:hAnsi="Times New Roman"/>
          <w:b/>
          <w:noProof/>
          <w:sz w:val="24"/>
        </w:rPr>
        <w:t>la evaluarea modelelor de guvernanță actuale, la identificarea lacunelor</w:t>
      </w:r>
      <w:r>
        <w:rPr>
          <w:rFonts w:ascii="Times New Roman" w:hAnsi="Times New Roman"/>
          <w:noProof/>
          <w:sz w:val="24"/>
        </w:rPr>
        <w:t xml:space="preserve"> și </w:t>
      </w:r>
      <w:r w:rsidRPr="00596869">
        <w:rPr>
          <w:rFonts w:ascii="Times New Roman" w:hAnsi="Times New Roman"/>
          <w:b/>
          <w:noProof/>
          <w:sz w:val="24"/>
        </w:rPr>
        <w:t>la propunerea unor recomandări pentru fiecare etapă a ciclului de gestionare a incendiilor forestiere</w:t>
      </w:r>
      <w:r>
        <w:rPr>
          <w:rFonts w:ascii="Times New Roman" w:hAnsi="Times New Roman"/>
          <w:noProof/>
          <w:sz w:val="24"/>
        </w:rPr>
        <w:t>, inclusiv pe baza PRAF</w:t>
      </w:r>
      <w:r>
        <w:rPr>
          <w:rStyle w:val="FootnoteReference"/>
          <w:rFonts w:ascii="Times New Roman" w:eastAsia="Times New Roman" w:hAnsi="Times New Roman" w:cs="Times New Roman"/>
          <w:noProof/>
          <w:sz w:val="24"/>
          <w:szCs w:val="24"/>
        </w:rPr>
        <w:footnoteReference w:id="64"/>
      </w:r>
      <w:r>
        <w:rPr>
          <w:rFonts w:ascii="Times New Roman" w:hAnsi="Times New Roman"/>
          <w:noProof/>
          <w:sz w:val="24"/>
        </w:rPr>
        <w:t xml:space="preserve">. </w:t>
      </w:r>
    </w:p>
    <w:p w14:paraId="2B5D00A7" w14:textId="77777777" w:rsidR="00780E1F" w:rsidRDefault="00780E1F">
      <w:pPr>
        <w:spacing w:after="0"/>
        <w:jc w:val="both"/>
        <w:rPr>
          <w:rFonts w:ascii="Times New Roman" w:eastAsia="Times New Roman" w:hAnsi="Times New Roman" w:cs="Times New Roman"/>
          <w:noProof/>
          <w:sz w:val="24"/>
          <w:szCs w:val="24"/>
        </w:rPr>
      </w:pPr>
    </w:p>
    <w:p w14:paraId="29EED1D3" w14:textId="77777777" w:rsidR="00780E1F" w:rsidRDefault="00535025">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În plus, țările UCPM pot beneficia de </w:t>
      </w:r>
      <w:r w:rsidRPr="00596869">
        <w:rPr>
          <w:rFonts w:ascii="Times New Roman" w:hAnsi="Times New Roman"/>
          <w:b/>
          <w:noProof/>
          <w:sz w:val="24"/>
        </w:rPr>
        <w:t>Rețeaua europeană de cunoștințe în materie de protecție civilă</w:t>
      </w:r>
      <w:r>
        <w:rPr>
          <w:rFonts w:ascii="Times New Roman" w:hAnsi="Times New Roman"/>
          <w:noProof/>
          <w:sz w:val="24"/>
        </w:rPr>
        <w:t>, o platformă de referință pentru schimbul de cunoștințe privind bunele practici în gestionarea riscurilor de dezastre și pentru cele mai recente actualizări privind proiectele, evenimentele și cursurile de formare relevante în materie de incendii forestiere.</w:t>
      </w:r>
    </w:p>
    <w:p w14:paraId="49F4463F" w14:textId="77777777" w:rsidR="00780E1F" w:rsidRDefault="00780E1F">
      <w:pPr>
        <w:spacing w:after="0"/>
        <w:jc w:val="both"/>
        <w:rPr>
          <w:rFonts w:ascii="Times New Roman" w:eastAsia="Times New Roman" w:hAnsi="Times New Roman" w:cs="Times New Roman"/>
          <w:noProof/>
          <w:sz w:val="24"/>
          <w:szCs w:val="24"/>
        </w:rPr>
      </w:pPr>
    </w:p>
    <w:p w14:paraId="3B37BA60" w14:textId="77777777" w:rsidR="00780E1F" w:rsidRDefault="00535025">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În cele din urmă, </w:t>
      </w:r>
      <w:r w:rsidRPr="00596869">
        <w:rPr>
          <w:rFonts w:ascii="Times New Roman" w:hAnsi="Times New Roman"/>
          <w:b/>
          <w:noProof/>
          <w:sz w:val="24"/>
        </w:rPr>
        <w:t>programele Interreg</w:t>
      </w:r>
      <w:r>
        <w:rPr>
          <w:rFonts w:ascii="Times New Roman" w:hAnsi="Times New Roman"/>
          <w:noProof/>
          <w:sz w:val="24"/>
        </w:rPr>
        <w:t xml:space="preserve"> pot consolida coordonarea și acțiunile de gestionare a riscurilor de dezastre, inclusiv în ceea ce privește incendiile forestiere, în zonele de frontieră comune, atât între statele membre ale UE, cât și cu vecinii săi</w:t>
      </w:r>
      <w:r>
        <w:rPr>
          <w:rStyle w:val="FootnoteReference"/>
          <w:rFonts w:ascii="Times New Roman" w:eastAsia="Times New Roman" w:hAnsi="Times New Roman" w:cs="Times New Roman"/>
          <w:noProof/>
          <w:sz w:val="24"/>
          <w:szCs w:val="24"/>
          <w:lang w:val="en-US"/>
        </w:rPr>
        <w:footnoteReference w:id="65"/>
      </w:r>
      <w:r>
        <w:rPr>
          <w:rFonts w:ascii="Times New Roman" w:hAnsi="Times New Roman"/>
          <w:noProof/>
          <w:sz w:val="24"/>
        </w:rPr>
        <w:t xml:space="preserve">. </w:t>
      </w:r>
    </w:p>
    <w:p w14:paraId="63F5C665" w14:textId="77777777" w:rsidR="00780E1F" w:rsidRPr="00596869" w:rsidRDefault="00780E1F">
      <w:pPr>
        <w:tabs>
          <w:tab w:val="left" w:pos="960"/>
        </w:tabs>
        <w:spacing w:after="0" w:line="257" w:lineRule="auto"/>
        <w:jc w:val="both"/>
        <w:rPr>
          <w:rFonts w:ascii="Times New Roman" w:hAnsi="Times New Roman" w:cs="Times New Roman"/>
          <w:b/>
          <w:bCs/>
          <w:iCs/>
          <w:noProof/>
          <w:sz w:val="24"/>
          <w:szCs w:val="24"/>
        </w:rPr>
      </w:pPr>
    </w:p>
    <w:p w14:paraId="66C90281" w14:textId="77777777" w:rsidR="00780E1F" w:rsidRPr="00596869" w:rsidRDefault="00535025">
      <w:pPr>
        <w:spacing w:line="257" w:lineRule="auto"/>
        <w:jc w:val="both"/>
        <w:rPr>
          <w:rFonts w:ascii="Times New Roman" w:hAnsi="Times New Roman" w:cs="Times New Roman"/>
          <w:b/>
          <w:iCs/>
          <w:noProof/>
          <w:sz w:val="24"/>
          <w:szCs w:val="24"/>
        </w:rPr>
      </w:pPr>
      <w:r w:rsidRPr="00596869">
        <w:rPr>
          <w:rFonts w:ascii="Times New Roman" w:hAnsi="Times New Roman"/>
          <w:b/>
          <w:noProof/>
          <w:sz w:val="24"/>
        </w:rPr>
        <w:t xml:space="preserve">VI.2 Finanțare integrată pentru gestionarea riscurilor de incendii forestiere </w:t>
      </w:r>
    </w:p>
    <w:p w14:paraId="48720BB2" w14:textId="77777777" w:rsidR="00780E1F" w:rsidRDefault="00535025">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Integrarea finanțării pentru gestionarea riscurilor de incendii forestiere oferă o mare oportunitate pentru </w:t>
      </w:r>
      <w:r w:rsidRPr="00596869">
        <w:rPr>
          <w:rFonts w:ascii="Times New Roman" w:hAnsi="Times New Roman"/>
          <w:b/>
          <w:noProof/>
          <w:sz w:val="24"/>
        </w:rPr>
        <w:t>raportul cost-eficacitate</w:t>
      </w:r>
      <w:r>
        <w:rPr>
          <w:rFonts w:ascii="Times New Roman" w:hAnsi="Times New Roman"/>
          <w:noProof/>
          <w:sz w:val="24"/>
        </w:rPr>
        <w:t xml:space="preserve">: autoritățile naționale pot reduce, în viitor, în mod semnificativ pierderile cauzate de incendii forestiere și costurile asociate, dacă investesc în mod proactiv în peisaje reziliente la incendii și zone rurale dinamice, în prevenirea incendiilor forestiere și în sensibilizarea populației.  </w:t>
      </w:r>
    </w:p>
    <w:p w14:paraId="5A3776AA" w14:textId="77777777" w:rsidR="00780E1F" w:rsidRDefault="00535025">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UE oferă </w:t>
      </w:r>
      <w:r w:rsidRPr="00596869">
        <w:rPr>
          <w:rFonts w:ascii="Times New Roman" w:hAnsi="Times New Roman"/>
          <w:b/>
          <w:noProof/>
          <w:sz w:val="24"/>
        </w:rPr>
        <w:t>o serie de instrumente de finanțare</w:t>
      </w:r>
      <w:r>
        <w:rPr>
          <w:rFonts w:ascii="Times New Roman" w:hAnsi="Times New Roman"/>
          <w:noProof/>
          <w:sz w:val="24"/>
        </w:rPr>
        <w:t xml:space="preserve"> pentru a sprijini activitățile, de la prevenire până la răspuns și refacere. În actuala perioadă de finanțare</w:t>
      </w:r>
      <w:r>
        <w:rPr>
          <w:rStyle w:val="FootnoteReference"/>
          <w:rFonts w:ascii="Times New Roman" w:eastAsia="Times New Roman" w:hAnsi="Times New Roman" w:cs="Times New Roman"/>
          <w:noProof/>
          <w:sz w:val="24"/>
          <w:szCs w:val="24"/>
        </w:rPr>
        <w:footnoteReference w:id="66"/>
      </w:r>
      <w:r>
        <w:rPr>
          <w:rFonts w:ascii="Times New Roman" w:hAnsi="Times New Roman"/>
          <w:noProof/>
          <w:sz w:val="24"/>
        </w:rPr>
        <w:t xml:space="preserve">, unele state membre utilizează deja aceste resurse, inclusiv </w:t>
      </w:r>
      <w:r w:rsidRPr="00596869">
        <w:rPr>
          <w:rFonts w:ascii="Times New Roman" w:hAnsi="Times New Roman"/>
          <w:noProof/>
          <w:sz w:val="24"/>
        </w:rPr>
        <w:t>2</w:t>
      </w:r>
      <w:r>
        <w:rPr>
          <w:rFonts w:ascii="Times New Roman" w:hAnsi="Times New Roman"/>
          <w:noProof/>
          <w:sz w:val="24"/>
        </w:rPr>
        <w:t>,</w:t>
      </w:r>
      <w:r w:rsidRPr="00596869">
        <w:rPr>
          <w:rFonts w:ascii="Times New Roman" w:hAnsi="Times New Roman"/>
          <w:noProof/>
          <w:sz w:val="24"/>
        </w:rPr>
        <w:t>3</w:t>
      </w:r>
      <w:r>
        <w:rPr>
          <w:rFonts w:ascii="Times New Roman" w:hAnsi="Times New Roman"/>
          <w:noProof/>
          <w:sz w:val="24"/>
        </w:rPr>
        <w:t xml:space="preserve"> miliarde EUR alocate în cadrul fondurilor politicii de coeziune, </w:t>
      </w:r>
      <w:r w:rsidRPr="00596869">
        <w:rPr>
          <w:rFonts w:ascii="Times New Roman" w:hAnsi="Times New Roman"/>
          <w:noProof/>
          <w:sz w:val="24"/>
        </w:rPr>
        <w:t>2</w:t>
      </w:r>
      <w:r>
        <w:rPr>
          <w:rFonts w:ascii="Times New Roman" w:hAnsi="Times New Roman"/>
          <w:noProof/>
          <w:sz w:val="24"/>
        </w:rPr>
        <w:t>,</w:t>
      </w:r>
      <w:r w:rsidRPr="00596869">
        <w:rPr>
          <w:rFonts w:ascii="Times New Roman" w:hAnsi="Times New Roman"/>
          <w:noProof/>
          <w:sz w:val="24"/>
        </w:rPr>
        <w:t>2</w:t>
      </w:r>
      <w:r>
        <w:rPr>
          <w:rFonts w:ascii="Times New Roman" w:hAnsi="Times New Roman"/>
          <w:noProof/>
          <w:sz w:val="24"/>
        </w:rPr>
        <w:t> miliarde EUR în cadrul Mecanismului de redresare și reziliență și peste un miliard EUR în cadrul Fondului european agricol pentru dezvoltare rurală</w:t>
      </w:r>
      <w:r>
        <w:rPr>
          <w:rStyle w:val="FootnoteReference"/>
          <w:rFonts w:ascii="Times New Roman" w:eastAsia="Times New Roman" w:hAnsi="Times New Roman" w:cs="Times New Roman"/>
          <w:noProof/>
          <w:sz w:val="24"/>
          <w:szCs w:val="24"/>
        </w:rPr>
        <w:footnoteReference w:id="67"/>
      </w:r>
      <w:r>
        <w:rPr>
          <w:rFonts w:ascii="Times New Roman" w:hAnsi="Times New Roman"/>
          <w:noProof/>
          <w:sz w:val="24"/>
        </w:rPr>
        <w:t xml:space="preserve">.  </w:t>
      </w:r>
    </w:p>
    <w:p w14:paraId="1CD05125" w14:textId="77777777" w:rsidR="00780E1F" w:rsidRDefault="00535025">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Pentru a promova sensibilizarea cu privire la opțiunile de finanțare și utilizarea acestora, platforma web a Comisiei privind </w:t>
      </w:r>
      <w:r w:rsidRPr="00596869">
        <w:rPr>
          <w:rFonts w:ascii="Times New Roman" w:hAnsi="Times New Roman"/>
          <w:b/>
          <w:noProof/>
          <w:sz w:val="24"/>
        </w:rPr>
        <w:t>Rețeaua europeană de cunoștințe în materie de protecție civilă</w:t>
      </w:r>
      <w:r>
        <w:rPr>
          <w:rFonts w:ascii="Times New Roman" w:hAnsi="Times New Roman"/>
          <w:noProof/>
          <w:sz w:val="24"/>
        </w:rPr>
        <w:t xml:space="preserve"> oferă </w:t>
      </w:r>
      <w:r w:rsidRPr="00596869">
        <w:rPr>
          <w:rFonts w:ascii="Times New Roman" w:hAnsi="Times New Roman"/>
          <w:b/>
          <w:noProof/>
          <w:sz w:val="24"/>
        </w:rPr>
        <w:t>o imagine de ansamblu a instrumentelor și resurselor UE</w:t>
      </w:r>
      <w:r>
        <w:rPr>
          <w:rFonts w:ascii="Times New Roman" w:hAnsi="Times New Roman"/>
          <w:noProof/>
          <w:sz w:val="24"/>
        </w:rPr>
        <w:t xml:space="preserve"> pentru investiții în reducerea riscurilor de dezastre. Platforma va fi completată în continuare cu idei pentru investiții inteligente în gestionarea riscurilor de incendii forestiere, iar Comisia o va promova în cadrul grupurilor sale de experți relevante și în cadrul altor platforme. </w:t>
      </w:r>
    </w:p>
    <w:p w14:paraId="7EC5B5CE" w14:textId="45AD55D1" w:rsidR="00780E1F" w:rsidRDefault="00535025">
      <w:pPr>
        <w:spacing w:line="257" w:lineRule="auto"/>
        <w:jc w:val="both"/>
        <w:rPr>
          <w:rFonts w:ascii="Times New Roman" w:hAnsi="Times New Roman" w:cs="Times New Roman"/>
          <w:noProof/>
          <w:sz w:val="24"/>
          <w:szCs w:val="24"/>
        </w:rPr>
      </w:pPr>
      <w:r>
        <w:rPr>
          <w:rFonts w:ascii="Times New Roman" w:hAnsi="Times New Roman"/>
          <w:noProof/>
          <w:sz w:val="24"/>
        </w:rPr>
        <w:t xml:space="preserve">Înțelegerea modului în care diferitele resurse sunt alocate etapelor respective ale ciclului de gestionare a riscurilor de incendii forestiere este esențială pentru asigurarea eficacității finanțării. Prin propunerea pentru CFM </w:t>
      </w:r>
      <w:r w:rsidRPr="00596869">
        <w:rPr>
          <w:rFonts w:ascii="Times New Roman" w:hAnsi="Times New Roman"/>
          <w:noProof/>
          <w:sz w:val="24"/>
        </w:rPr>
        <w:t>2028</w:t>
      </w:r>
      <w:r>
        <w:rPr>
          <w:rFonts w:ascii="Times New Roman" w:hAnsi="Times New Roman"/>
          <w:noProof/>
          <w:sz w:val="24"/>
        </w:rPr>
        <w:t>-</w:t>
      </w:r>
      <w:r w:rsidRPr="00596869">
        <w:rPr>
          <w:rFonts w:ascii="Times New Roman" w:hAnsi="Times New Roman"/>
          <w:noProof/>
          <w:sz w:val="24"/>
        </w:rPr>
        <w:t>2034</w:t>
      </w:r>
      <w:r>
        <w:rPr>
          <w:rStyle w:val="FootnoteReference"/>
          <w:rFonts w:ascii="Times New Roman" w:eastAsia="Times New Roman" w:hAnsi="Times New Roman" w:cs="Times New Roman"/>
          <w:noProof/>
          <w:sz w:val="24"/>
          <w:szCs w:val="24"/>
        </w:rPr>
        <w:footnoteReference w:id="68"/>
      </w:r>
      <w:r>
        <w:rPr>
          <w:rFonts w:ascii="Times New Roman" w:hAnsi="Times New Roman"/>
          <w:noProof/>
          <w:sz w:val="24"/>
        </w:rPr>
        <w:t>, Comisia urmărește să îmbunătățească monitorizarea finanțării legate de prevenirea și eliminarea incendiilor forestiere în toate programele bugetare ale UE</w:t>
      </w:r>
      <w:r>
        <w:rPr>
          <w:rStyle w:val="FootnoteReference"/>
          <w:rFonts w:ascii="Times New Roman" w:eastAsia="Times New Roman" w:hAnsi="Times New Roman" w:cs="Times New Roman"/>
          <w:noProof/>
          <w:sz w:val="24"/>
          <w:szCs w:val="24"/>
        </w:rPr>
        <w:footnoteReference w:id="69"/>
      </w:r>
      <w:r>
        <w:rPr>
          <w:rFonts w:ascii="Times New Roman" w:hAnsi="Times New Roman"/>
          <w:noProof/>
          <w:sz w:val="24"/>
        </w:rPr>
        <w:t>.</w:t>
      </w:r>
      <w:r w:rsidR="00596869">
        <w:rPr>
          <w:rFonts w:ascii="Times New Roman" w:hAnsi="Times New Roman"/>
          <w:noProof/>
          <w:sz w:val="24"/>
        </w:rPr>
        <w:t xml:space="preserve"> </w:t>
      </w:r>
      <w:r>
        <w:rPr>
          <w:rFonts w:ascii="Times New Roman" w:hAnsi="Times New Roman"/>
          <w:noProof/>
          <w:sz w:val="24"/>
        </w:rPr>
        <w:t xml:space="preserve">Comisia a propus un obiectiv orizontal de cheltuieli de </w:t>
      </w:r>
      <w:r w:rsidRPr="00596869">
        <w:rPr>
          <w:rFonts w:ascii="Times New Roman" w:hAnsi="Times New Roman"/>
          <w:noProof/>
          <w:sz w:val="24"/>
        </w:rPr>
        <w:t>35</w:t>
      </w:r>
      <w:r>
        <w:rPr>
          <w:rFonts w:ascii="Times New Roman" w:hAnsi="Times New Roman"/>
          <w:noProof/>
          <w:sz w:val="24"/>
        </w:rPr>
        <w:t xml:space="preserve"> % pentru climă și mediu, precum și raționalizarea principiului de „a nu aduce prejudicii semnificative” în toate instrumentele de finanțare ale UE. De asemenea, Comisia va </w:t>
      </w:r>
      <w:r w:rsidRPr="00596869">
        <w:rPr>
          <w:rFonts w:ascii="Times New Roman" w:hAnsi="Times New Roman"/>
          <w:b/>
          <w:noProof/>
          <w:sz w:val="24"/>
        </w:rPr>
        <w:t>raționaliza dezvoltarea și punerea în aplicare a gestionării integrate a riscurilor de incendii forestiere în orientările sale pentru statele membre</w:t>
      </w:r>
      <w:r>
        <w:rPr>
          <w:rFonts w:ascii="Times New Roman" w:hAnsi="Times New Roman"/>
          <w:noProof/>
          <w:sz w:val="24"/>
        </w:rPr>
        <w:t xml:space="preserve">, cu accent pe măsurile de prevenire și pe „reziliență și pregătire din momentul conceperii”, care vizează integrarea rezilienței și pregătirii </w:t>
      </w:r>
      <w:r w:rsidRPr="00596869">
        <w:rPr>
          <w:rFonts w:ascii="Times New Roman" w:hAnsi="Times New Roman"/>
          <w:b/>
          <w:noProof/>
          <w:sz w:val="24"/>
        </w:rPr>
        <w:t>în toate instrumentele viitoare</w:t>
      </w:r>
      <w:r>
        <w:rPr>
          <w:rFonts w:ascii="Times New Roman" w:hAnsi="Times New Roman"/>
          <w:noProof/>
          <w:sz w:val="24"/>
        </w:rPr>
        <w:t xml:space="preserve">, în special în următorul CFM, în timp ce progresele înregistrate în punerea în aplicare a reformelor structurale care sunt relevante și pentru pregătire vor fi evaluate în cadrul </w:t>
      </w:r>
      <w:r w:rsidRPr="00596869">
        <w:rPr>
          <w:rFonts w:ascii="Times New Roman" w:hAnsi="Times New Roman"/>
          <w:b/>
          <w:noProof/>
          <w:sz w:val="24"/>
        </w:rPr>
        <w:t>semestrului european</w:t>
      </w:r>
      <w:r>
        <w:rPr>
          <w:rFonts w:ascii="Times New Roman" w:hAnsi="Times New Roman"/>
          <w:noProof/>
          <w:sz w:val="24"/>
        </w:rPr>
        <w:t xml:space="preserve">.  </w:t>
      </w:r>
    </w:p>
    <w:p w14:paraId="01DC96FA" w14:textId="77777777" w:rsidR="00780E1F" w:rsidRDefault="00535025">
      <w:pPr>
        <w:jc w:val="both"/>
        <w:rPr>
          <w:rFonts w:ascii="Times New Roman" w:eastAsia="Times New Roman" w:hAnsi="Times New Roman" w:cs="Times New Roman"/>
          <w:noProof/>
          <w:sz w:val="24"/>
          <w:szCs w:val="24"/>
        </w:rPr>
      </w:pPr>
      <w:r>
        <w:rPr>
          <w:rFonts w:ascii="Times New Roman" w:hAnsi="Times New Roman"/>
          <w:noProof/>
          <w:sz w:val="24"/>
        </w:rPr>
        <w:t xml:space="preserve">La </w:t>
      </w:r>
      <w:r w:rsidRPr="00596869">
        <w:rPr>
          <w:rFonts w:ascii="Times New Roman" w:hAnsi="Times New Roman"/>
          <w:b/>
          <w:noProof/>
          <w:sz w:val="24"/>
        </w:rPr>
        <w:t>nivel național</w:t>
      </w:r>
      <w:r>
        <w:rPr>
          <w:rFonts w:ascii="Times New Roman" w:hAnsi="Times New Roman"/>
          <w:noProof/>
          <w:sz w:val="24"/>
        </w:rPr>
        <w:t xml:space="preserve">, informațiile privind cheltuielile publice și planificarea investițiilor pentru gestionarea riscurilor de incendii forestiere sunt limitate și este în continuare incert dacă finanțarea este sustenabilă. Comisia și Banca Mondială au publicat </w:t>
      </w:r>
      <w:r w:rsidRPr="00596869">
        <w:rPr>
          <w:rFonts w:ascii="Times New Roman" w:hAnsi="Times New Roman"/>
          <w:b/>
          <w:noProof/>
          <w:sz w:val="24"/>
        </w:rPr>
        <w:t>documente analitice privind o abordare structurată a finanțării riscurilor de dezastre</w:t>
      </w:r>
      <w:r>
        <w:rPr>
          <w:rStyle w:val="FootnoteReference"/>
          <w:rFonts w:ascii="Times New Roman" w:eastAsia="Times New Roman" w:hAnsi="Times New Roman" w:cs="Times New Roman"/>
          <w:noProof/>
          <w:sz w:val="24"/>
          <w:szCs w:val="24"/>
        </w:rPr>
        <w:footnoteReference w:id="70"/>
      </w:r>
      <w:r>
        <w:rPr>
          <w:rFonts w:ascii="Times New Roman" w:hAnsi="Times New Roman"/>
          <w:noProof/>
          <w:sz w:val="24"/>
        </w:rPr>
        <w:t>, care pot ajuta statele membre să revizuiască, să planifice și să gestioneze costurile bugetare ale dezastrelor</w:t>
      </w:r>
      <w:r>
        <w:rPr>
          <w:rStyle w:val="FootnoteReference"/>
          <w:rFonts w:ascii="Times New Roman" w:eastAsia="Times New Roman" w:hAnsi="Times New Roman" w:cs="Times New Roman"/>
          <w:noProof/>
          <w:sz w:val="24"/>
          <w:szCs w:val="24"/>
        </w:rPr>
        <w:footnoteReference w:id="71"/>
      </w:r>
      <w:r>
        <w:rPr>
          <w:rFonts w:ascii="Times New Roman" w:hAnsi="Times New Roman"/>
          <w:noProof/>
          <w:sz w:val="24"/>
        </w:rPr>
        <w:t xml:space="preserve">. </w:t>
      </w:r>
      <w:bookmarkStart w:id="4" w:name="_Hlk223618815"/>
      <w:r>
        <w:rPr>
          <w:rFonts w:ascii="Times New Roman" w:hAnsi="Times New Roman"/>
          <w:noProof/>
          <w:sz w:val="24"/>
        </w:rPr>
        <w:t xml:space="preserve">Instrumentele de detectare a incendiilor forestiere și de alertă în caz de incendii forestiere pot genera câștiguri de până la </w:t>
      </w:r>
      <w:r w:rsidRPr="00596869">
        <w:rPr>
          <w:rFonts w:ascii="Times New Roman" w:hAnsi="Times New Roman"/>
          <w:noProof/>
          <w:sz w:val="24"/>
        </w:rPr>
        <w:t>39</w:t>
      </w:r>
      <w:r>
        <w:rPr>
          <w:rFonts w:ascii="Times New Roman" w:hAnsi="Times New Roman"/>
          <w:noProof/>
          <w:sz w:val="24"/>
        </w:rPr>
        <w:t xml:space="preserve"> de ori mai mari decât costurile lor, deoarece permit un răspuns mai rapid și previn devastarea</w:t>
      </w:r>
      <w:r>
        <w:rPr>
          <w:rStyle w:val="FootnoteReference"/>
          <w:rFonts w:ascii="Times New Roman" w:eastAsia="Times New Roman" w:hAnsi="Times New Roman" w:cs="Times New Roman"/>
          <w:noProof/>
          <w:sz w:val="24"/>
          <w:szCs w:val="24"/>
        </w:rPr>
        <w:footnoteReference w:id="72"/>
      </w:r>
      <w:r>
        <w:rPr>
          <w:rFonts w:ascii="Times New Roman" w:hAnsi="Times New Roman"/>
          <w:noProof/>
          <w:sz w:val="24"/>
        </w:rPr>
        <w:t>.</w:t>
      </w:r>
    </w:p>
    <w:bookmarkEnd w:id="4"/>
    <w:p w14:paraId="0698A11B" w14:textId="77777777" w:rsidR="00780E1F" w:rsidRDefault="00535025">
      <w:pPr>
        <w:jc w:val="both"/>
        <w:rPr>
          <w:rFonts w:ascii="Times New Roman" w:hAnsi="Times New Roman" w:cs="Times New Roman"/>
          <w:noProof/>
          <w:sz w:val="24"/>
          <w:szCs w:val="24"/>
        </w:rPr>
      </w:pPr>
      <w:r>
        <w:rPr>
          <w:rFonts w:ascii="Times New Roman" w:hAnsi="Times New Roman"/>
          <w:noProof/>
          <w:sz w:val="24"/>
        </w:rPr>
        <w:t xml:space="preserve">Mecanismele de finanțare bazate pe piață care mobilizează investiții în acțiuni pozitive pentru natură, cum ar fi </w:t>
      </w:r>
      <w:r w:rsidRPr="00596869">
        <w:rPr>
          <w:rFonts w:ascii="Times New Roman" w:hAnsi="Times New Roman"/>
          <w:b/>
          <w:noProof/>
          <w:sz w:val="24"/>
        </w:rPr>
        <w:t>plățile pentru sistemele de servicii ecosistemice</w:t>
      </w:r>
      <w:r>
        <w:rPr>
          <w:rStyle w:val="FootnoteReference"/>
          <w:rFonts w:ascii="Times New Roman" w:eastAsia="Times New Roman" w:hAnsi="Times New Roman" w:cs="Times New Roman"/>
          <w:noProof/>
          <w:sz w:val="24"/>
          <w:szCs w:val="24"/>
        </w:rPr>
        <w:footnoteReference w:id="73"/>
      </w:r>
      <w:r>
        <w:rPr>
          <w:rFonts w:ascii="Times New Roman" w:hAnsi="Times New Roman"/>
          <w:noProof/>
          <w:sz w:val="24"/>
        </w:rPr>
        <w:t xml:space="preserve">, creditele pentru eliminarea dioxidului de carbon și abordările emergente în materie de credite pentru natură, pot contribui la mobilizarea finanțării private.  </w:t>
      </w:r>
    </w:p>
    <w:p w14:paraId="286949B3" w14:textId="77777777" w:rsidR="00780E1F" w:rsidRDefault="00535025">
      <w:pPr>
        <w:jc w:val="both"/>
        <w:rPr>
          <w:rFonts w:ascii="Times New Roman" w:eastAsia="Times New Roman" w:hAnsi="Times New Roman" w:cs="Times New Roman"/>
          <w:noProof/>
          <w:sz w:val="24"/>
          <w:szCs w:val="24"/>
        </w:rPr>
      </w:pPr>
      <w:r>
        <w:rPr>
          <w:rFonts w:ascii="Times New Roman" w:hAnsi="Times New Roman"/>
          <w:noProof/>
          <w:sz w:val="24"/>
        </w:rPr>
        <w:t xml:space="preserve">În plus, </w:t>
      </w:r>
      <w:r w:rsidRPr="00596869">
        <w:rPr>
          <w:rFonts w:ascii="Times New Roman" w:hAnsi="Times New Roman"/>
          <w:b/>
          <w:noProof/>
          <w:sz w:val="24"/>
        </w:rPr>
        <w:t>primele de asigurare diferențiate care recompensează măsurile de adaptare ar putea stimula investițiile</w:t>
      </w:r>
      <w:r>
        <w:rPr>
          <w:rFonts w:ascii="Times New Roman" w:hAnsi="Times New Roman"/>
          <w:noProof/>
          <w:sz w:val="24"/>
        </w:rPr>
        <w:t xml:space="preserve"> în măsuri de prevenire și de pregătire care să protejeze locuințele, fermele, IMM-urile și infrastructura critică. Stimularea utilizării asigurărilor private care acoperă riscurile de incendii forestiere și alte riscuri climatice ar </w:t>
      </w:r>
      <w:r w:rsidRPr="00596869">
        <w:rPr>
          <w:rFonts w:ascii="Times New Roman" w:hAnsi="Times New Roman"/>
          <w:b/>
          <w:noProof/>
          <w:sz w:val="24"/>
        </w:rPr>
        <w:t>reduce pierderile economice</w:t>
      </w:r>
      <w:r>
        <w:rPr>
          <w:rFonts w:ascii="Times New Roman" w:hAnsi="Times New Roman"/>
          <w:noProof/>
          <w:sz w:val="24"/>
        </w:rPr>
        <w:t xml:space="preserve"> și presiunea fiscală cauzate de dezastre și ar </w:t>
      </w:r>
      <w:r w:rsidRPr="00596869">
        <w:rPr>
          <w:rFonts w:ascii="Times New Roman" w:hAnsi="Times New Roman"/>
          <w:b/>
          <w:noProof/>
          <w:sz w:val="24"/>
        </w:rPr>
        <w:t>sprijini refacerea</w:t>
      </w:r>
      <w:r>
        <w:rPr>
          <w:rFonts w:ascii="Times New Roman" w:hAnsi="Times New Roman"/>
          <w:noProof/>
          <w:sz w:val="24"/>
        </w:rPr>
        <w:t>. Majoritatea țărilor din UE nu impun obligativitatea asigurării împotriva catastrofelor naturale</w:t>
      </w:r>
      <w:r>
        <w:rPr>
          <w:rFonts w:ascii="Times New Roman" w:eastAsia="Times New Roman" w:hAnsi="Times New Roman" w:cs="Times New Roman"/>
          <w:noProof/>
          <w:sz w:val="24"/>
          <w:szCs w:val="24"/>
          <w:vertAlign w:val="superscript"/>
        </w:rPr>
        <w:footnoteReference w:id="74"/>
      </w:r>
      <w:r>
        <w:rPr>
          <w:rFonts w:ascii="Times New Roman" w:hAnsi="Times New Roman"/>
          <w:noProof/>
          <w:sz w:val="24"/>
        </w:rPr>
        <w:t>. În plus, modelele de asigurare variază foarte mult de la o țară la alta, de la sisteme naționale până la sisteme semivoluntare și sisteme voluntare cu prime bazate pe riscuri</w:t>
      </w:r>
      <w:r>
        <w:rPr>
          <w:rFonts w:ascii="Times New Roman" w:eastAsia="Times New Roman" w:hAnsi="Times New Roman" w:cs="Times New Roman"/>
          <w:noProof/>
          <w:sz w:val="24"/>
          <w:szCs w:val="24"/>
          <w:vertAlign w:val="superscript"/>
        </w:rPr>
        <w:footnoteReference w:id="75"/>
      </w:r>
      <w:r>
        <w:rPr>
          <w:rFonts w:ascii="Times New Roman" w:hAnsi="Times New Roman"/>
          <w:noProof/>
          <w:sz w:val="24"/>
        </w:rPr>
        <w:t>.</w:t>
      </w:r>
    </w:p>
    <w:p w14:paraId="6A3D2E09" w14:textId="77777777" w:rsidR="00780E1F" w:rsidRDefault="00535025">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Abordarea provocărilor legate de accesibilitatea prețurilor și de capacitatea de asigurare a riscurilor legate de climă necesită acțiuni coordonate din partea mai multor părți interesate, în special a autorităților publice</w:t>
      </w:r>
      <w:r>
        <w:rPr>
          <w:rStyle w:val="FootnoteReference"/>
          <w:rFonts w:ascii="Times New Roman" w:eastAsia="Times New Roman" w:hAnsi="Times New Roman" w:cs="Times New Roman"/>
          <w:noProof/>
          <w:sz w:val="24"/>
          <w:szCs w:val="24"/>
        </w:rPr>
        <w:footnoteReference w:id="76"/>
      </w:r>
      <w:r>
        <w:rPr>
          <w:rFonts w:ascii="Times New Roman" w:hAnsi="Times New Roman"/>
          <w:noProof/>
          <w:sz w:val="24"/>
        </w:rPr>
        <w:t xml:space="preserve">. În unele cazuri, abordarea acestor provocări poate necesita, de asemenea, mecanisme de partajare a riscurilor între actorii economici, inclusiv prin </w:t>
      </w:r>
      <w:r w:rsidRPr="00596869">
        <w:rPr>
          <w:rFonts w:ascii="Times New Roman" w:hAnsi="Times New Roman"/>
          <w:b/>
          <w:noProof/>
          <w:sz w:val="24"/>
        </w:rPr>
        <w:t>parteneriate public-privat</w:t>
      </w:r>
      <w:r>
        <w:rPr>
          <w:rFonts w:ascii="Times New Roman" w:hAnsi="Times New Roman"/>
          <w:noProof/>
          <w:sz w:val="24"/>
        </w:rPr>
        <w:t xml:space="preserve">. În acest sens, soluțiile bazate pe piață pot contribui, de asemenea, la distribuirea riscurilor în rândul unei game mai largi de actori. În același timp, sectorul asigurărilor și cel al reasigurărilor ar trebui să continue să inoveze și să dezvolte soluții care să facă asigurarea mai accesibilă și mai atractivă pentru clienți. </w:t>
      </w:r>
      <w:r w:rsidRPr="00596869">
        <w:rPr>
          <w:rFonts w:ascii="Times New Roman" w:hAnsi="Times New Roman"/>
          <w:b/>
          <w:noProof/>
          <w:sz w:val="24"/>
        </w:rPr>
        <w:t>Asigurătorii joacă un rol important</w:t>
      </w:r>
      <w:r>
        <w:rPr>
          <w:rFonts w:ascii="Times New Roman" w:hAnsi="Times New Roman"/>
          <w:noProof/>
          <w:sz w:val="24"/>
        </w:rPr>
        <w:t xml:space="preserve"> în creșterea transparenței în ceea ce privește acoperirea și excluderile, precum și în sensibilizarea deținătorilor de polițe de asigurare cu privire la riscuri. În cele din urmă, </w:t>
      </w:r>
      <w:r w:rsidRPr="00596869">
        <w:rPr>
          <w:rFonts w:ascii="Times New Roman" w:hAnsi="Times New Roman"/>
          <w:b/>
          <w:noProof/>
          <w:sz w:val="24"/>
        </w:rPr>
        <w:t>deținătorii de polițe de asigurare înșiși pot contribui la prevenirea pierderilor prin punerea în aplicare a unor măsuri de reducere a expunerii și a vulnerabilității lor</w:t>
      </w:r>
      <w:r>
        <w:rPr>
          <w:rFonts w:ascii="Times New Roman" w:hAnsi="Times New Roman"/>
          <w:noProof/>
          <w:sz w:val="24"/>
        </w:rPr>
        <w:t>. Statele membre ar putea, de asemenea, să consolideze sprijinul pentru continuitatea activității, inclusiv formarea pentru întreprinderile mici și mijlocii (IMM-uri) sau asistența financiară specifică în urma dezastrelor.</w:t>
      </w:r>
    </w:p>
    <w:p w14:paraId="481BEDF1" w14:textId="77777777" w:rsidR="00780E1F" w:rsidRPr="00596869" w:rsidRDefault="00535025" w:rsidP="00C70A9F">
      <w:pPr>
        <w:keepNext/>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sidRPr="00596869">
        <w:rPr>
          <w:rFonts w:ascii="Times New Roman" w:hAnsi="Times New Roman"/>
          <w:b/>
          <w:noProof/>
          <w:color w:val="000000" w:themeColor="text1"/>
          <w:sz w:val="24"/>
        </w:rPr>
        <w:t>Măsuri de consolidare a gestionării riscurilor de incendii forestiere</w:t>
      </w:r>
    </w:p>
    <w:p w14:paraId="72841076" w14:textId="77777777" w:rsidR="00780E1F" w:rsidRPr="00F8753B"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sidRPr="00F8753B">
        <w:rPr>
          <w:rFonts w:ascii="Times New Roman" w:hAnsi="Times New Roman"/>
          <w:noProof/>
          <w:color w:val="000000" w:themeColor="text1"/>
          <w:sz w:val="24"/>
          <w:u w:val="single"/>
        </w:rPr>
        <w:t>Comisia:</w:t>
      </w:r>
    </w:p>
    <w:p w14:paraId="4F787DDF"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va prezenta o </w:t>
      </w:r>
      <w:r w:rsidRPr="00596869">
        <w:rPr>
          <w:rFonts w:ascii="Times New Roman" w:hAnsi="Times New Roman"/>
          <w:b/>
          <w:noProof/>
          <w:color w:val="000000" w:themeColor="text1"/>
          <w:sz w:val="24"/>
        </w:rPr>
        <w:t>propunere de recomandare a Consiliului</w:t>
      </w:r>
      <w:r>
        <w:rPr>
          <w:rFonts w:ascii="Times New Roman" w:hAnsi="Times New Roman"/>
          <w:noProof/>
          <w:color w:val="000000" w:themeColor="text1"/>
          <w:sz w:val="24"/>
        </w:rPr>
        <w:t xml:space="preserve"> privind gestionarea integrată a riscurilor de incendii forestiere;</w:t>
      </w:r>
    </w:p>
    <w:p w14:paraId="5C81A95B" w14:textId="77777777" w:rsidR="00780E1F" w:rsidRPr="00596869"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sz w:val="24"/>
          <w:szCs w:val="24"/>
        </w:rPr>
      </w:pPr>
      <w:r>
        <w:rPr>
          <w:rFonts w:ascii="Times New Roman" w:hAnsi="Times New Roman"/>
          <w:noProof/>
          <w:color w:val="000000" w:themeColor="text1"/>
          <w:sz w:val="24"/>
        </w:rPr>
        <w:t xml:space="preserve">va elabora </w:t>
      </w:r>
      <w:r w:rsidRPr="00596869">
        <w:rPr>
          <w:rFonts w:ascii="Times New Roman" w:hAnsi="Times New Roman"/>
          <w:b/>
          <w:noProof/>
          <w:color w:val="000000" w:themeColor="text1"/>
          <w:sz w:val="24"/>
        </w:rPr>
        <w:t>orientări</w:t>
      </w:r>
      <w:r>
        <w:rPr>
          <w:rFonts w:ascii="Times New Roman" w:hAnsi="Times New Roman"/>
          <w:noProof/>
          <w:color w:val="000000" w:themeColor="text1"/>
          <w:sz w:val="24"/>
        </w:rPr>
        <w:t xml:space="preserve"> și </w:t>
      </w:r>
      <w:r w:rsidRPr="00596869">
        <w:rPr>
          <w:rFonts w:ascii="Times New Roman" w:hAnsi="Times New Roman"/>
          <w:b/>
          <w:noProof/>
          <w:color w:val="000000" w:themeColor="text1"/>
          <w:sz w:val="24"/>
        </w:rPr>
        <w:t>un portal privind gestionarea integrată a riscurilor de incendii forestiere</w:t>
      </w:r>
      <w:r>
        <w:rPr>
          <w:rFonts w:ascii="Times New Roman" w:hAnsi="Times New Roman"/>
          <w:noProof/>
          <w:color w:val="000000" w:themeColor="text1"/>
          <w:sz w:val="24"/>
        </w:rPr>
        <w:t xml:space="preserve"> până în </w:t>
      </w:r>
      <w:r w:rsidRPr="00596869">
        <w:rPr>
          <w:rFonts w:ascii="Times New Roman" w:hAnsi="Times New Roman"/>
          <w:noProof/>
          <w:color w:val="000000" w:themeColor="text1"/>
          <w:sz w:val="24"/>
        </w:rPr>
        <w:t>2027</w:t>
      </w:r>
      <w:r>
        <w:rPr>
          <w:rFonts w:ascii="Times New Roman" w:hAnsi="Times New Roman"/>
          <w:noProof/>
          <w:sz w:val="24"/>
        </w:rPr>
        <w:t xml:space="preserve">, </w:t>
      </w:r>
      <w:r w:rsidRPr="00596869">
        <w:rPr>
          <w:rFonts w:ascii="Times New Roman" w:hAnsi="Times New Roman"/>
          <w:b/>
          <w:noProof/>
          <w:sz w:val="24"/>
        </w:rPr>
        <w:t xml:space="preserve">în strânsă cooperare cu statele membre, și va actualiza în permanență informațiile privind oportunitățile de finanțare, împărtășind în același timp lecțiile învățate și sprijinind autoritățile relevante care gestionează fondurile; </w:t>
      </w:r>
    </w:p>
    <w:p w14:paraId="754ADDA0" w14:textId="77777777" w:rsidR="00780E1F" w:rsidRPr="00596869"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noProof/>
          <w:color w:val="000000" w:themeColor="text1"/>
          <w:sz w:val="24"/>
          <w:szCs w:val="24"/>
        </w:rPr>
      </w:pPr>
      <w:r>
        <w:rPr>
          <w:rFonts w:ascii="Times New Roman" w:hAnsi="Times New Roman"/>
          <w:noProof/>
          <w:color w:val="000000" w:themeColor="text1"/>
          <w:sz w:val="24"/>
        </w:rPr>
        <w:t xml:space="preserve">va asigura o </w:t>
      </w:r>
      <w:r w:rsidRPr="00596869">
        <w:rPr>
          <w:rFonts w:ascii="Times New Roman" w:hAnsi="Times New Roman"/>
          <w:b/>
          <w:noProof/>
          <w:color w:val="000000" w:themeColor="text1"/>
          <w:sz w:val="24"/>
        </w:rPr>
        <w:t>acțiune coordonată a diferitelor grupuri de experți ale UE</w:t>
      </w:r>
      <w:r>
        <w:rPr>
          <w:rFonts w:ascii="Times New Roman" w:hAnsi="Times New Roman"/>
          <w:noProof/>
          <w:color w:val="000000" w:themeColor="text1"/>
          <w:sz w:val="24"/>
        </w:rPr>
        <w:t xml:space="preserve"> care se ocupă de incendiile forestiere;</w:t>
      </w:r>
      <w:r w:rsidRPr="00596869">
        <w:rPr>
          <w:rFonts w:ascii="Times New Roman" w:hAnsi="Times New Roman"/>
          <w:b/>
          <w:noProof/>
          <w:color w:val="000000" w:themeColor="text1"/>
          <w:sz w:val="24"/>
        </w:rPr>
        <w:t xml:space="preserve"> </w:t>
      </w:r>
    </w:p>
    <w:p w14:paraId="54252D99"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596869">
        <w:rPr>
          <w:rFonts w:ascii="Times New Roman" w:hAnsi="Times New Roman"/>
          <w:b/>
          <w:noProof/>
          <w:color w:val="000000" w:themeColor="text1"/>
          <w:sz w:val="24"/>
        </w:rPr>
        <w:t>va actualiza cadrul de evaluare inter pares a incendiilor forestiere în 2027</w:t>
      </w:r>
      <w:r>
        <w:rPr>
          <w:rFonts w:ascii="Times New Roman" w:hAnsi="Times New Roman"/>
          <w:noProof/>
          <w:color w:val="000000" w:themeColor="text1"/>
          <w:sz w:val="24"/>
        </w:rPr>
        <w:t xml:space="preserve"> și va acorda în continuare sprijin prin evaluări inter pares și instrumente de consolidare a capacităților în cursul actualului C</w:t>
      </w:r>
      <w:r>
        <w:rPr>
          <w:rFonts w:ascii="Times New Roman" w:hAnsi="Times New Roman"/>
          <w:noProof/>
          <w:sz w:val="24"/>
        </w:rPr>
        <w:t>FM</w:t>
      </w:r>
      <w:r>
        <w:rPr>
          <w:rFonts w:ascii="Times New Roman" w:hAnsi="Times New Roman"/>
          <w:noProof/>
          <w:color w:val="000000" w:themeColor="text1"/>
          <w:sz w:val="24"/>
        </w:rPr>
        <w:t>;</w:t>
      </w:r>
    </w:p>
    <w:p w14:paraId="315324C5"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596869">
        <w:rPr>
          <w:rFonts w:ascii="Times New Roman" w:hAnsi="Times New Roman"/>
          <w:b/>
          <w:noProof/>
          <w:color w:val="000000" w:themeColor="text1"/>
          <w:sz w:val="24"/>
        </w:rPr>
        <w:t>va accelera achizițiile publice în domeniul inovării în materie de tehnologii de pregătire pentru incendii forestiere</w:t>
      </w:r>
      <w:r>
        <w:rPr>
          <w:rFonts w:ascii="Times New Roman" w:hAnsi="Times New Roman"/>
          <w:noProof/>
          <w:color w:val="000000" w:themeColor="text1"/>
          <w:sz w:val="24"/>
        </w:rPr>
        <w:t xml:space="preserve"> și va sprijini metodologiile interdisciplinare și transdisciplinare ale comunităților care se ocupă cu gestionarea riscurilor de dezastre și cu adaptarea la schimbările climatice;</w:t>
      </w:r>
    </w:p>
    <w:p w14:paraId="5DB65967"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va lansa un dialog cu organizațiile de cercetare și inovare, cu statele membre și cu sectorul privat în </w:t>
      </w:r>
      <w:r w:rsidRPr="00596869">
        <w:rPr>
          <w:rFonts w:ascii="Times New Roman" w:hAnsi="Times New Roman"/>
          <w:noProof/>
          <w:color w:val="000000" w:themeColor="text1"/>
          <w:sz w:val="24"/>
        </w:rPr>
        <w:t>2026</w:t>
      </w:r>
      <w:r>
        <w:rPr>
          <w:rFonts w:ascii="Times New Roman" w:hAnsi="Times New Roman"/>
          <w:noProof/>
          <w:color w:val="000000" w:themeColor="text1"/>
          <w:sz w:val="24"/>
        </w:rPr>
        <w:t xml:space="preserve"> pentru a </w:t>
      </w:r>
      <w:r w:rsidRPr="00596869">
        <w:rPr>
          <w:rFonts w:ascii="Times New Roman" w:hAnsi="Times New Roman"/>
          <w:b/>
          <w:noProof/>
          <w:color w:val="000000" w:themeColor="text1"/>
          <w:sz w:val="24"/>
        </w:rPr>
        <w:t>revizui stimulentele economice acordate pentru gestionarea riscurilor de incendii forestiere</w:t>
      </w:r>
      <w:r>
        <w:rPr>
          <w:rFonts w:ascii="Times New Roman" w:hAnsi="Times New Roman"/>
          <w:noProof/>
          <w:color w:val="000000" w:themeColor="text1"/>
          <w:sz w:val="24"/>
        </w:rPr>
        <w:t>.</w:t>
      </w:r>
    </w:p>
    <w:p w14:paraId="466F6978" w14:textId="77777777" w:rsidR="00780E1F" w:rsidRDefault="00780E1F">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p>
    <w:p w14:paraId="3B2E0646"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F8753B">
        <w:rPr>
          <w:rFonts w:ascii="Times New Roman" w:hAnsi="Times New Roman"/>
          <w:noProof/>
          <w:color w:val="000000" w:themeColor="text1"/>
          <w:sz w:val="24"/>
          <w:u w:val="single"/>
        </w:rPr>
        <w:t>Statele membre sunt încurajate:</w:t>
      </w:r>
    </w:p>
    <w:p w14:paraId="6FB3718F" w14:textId="77777777" w:rsidR="00780E1F" w:rsidRPr="00596869"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sz w:val="24"/>
          <w:szCs w:val="24"/>
        </w:rPr>
      </w:pPr>
      <w:r>
        <w:rPr>
          <w:rFonts w:ascii="Times New Roman" w:hAnsi="Times New Roman"/>
          <w:noProof/>
          <w:sz w:val="24"/>
        </w:rPr>
        <w:t xml:space="preserve">să asigure o </w:t>
      </w:r>
      <w:r w:rsidRPr="00596869">
        <w:rPr>
          <w:rFonts w:ascii="Times New Roman" w:hAnsi="Times New Roman"/>
          <w:b/>
          <w:noProof/>
          <w:color w:val="000000" w:themeColor="text1"/>
          <w:sz w:val="24"/>
        </w:rPr>
        <w:t xml:space="preserve">finanțare </w:t>
      </w:r>
      <w:r>
        <w:rPr>
          <w:rFonts w:ascii="Times New Roman" w:hAnsi="Times New Roman"/>
          <w:noProof/>
          <w:color w:val="000000" w:themeColor="text1"/>
          <w:sz w:val="24"/>
        </w:rPr>
        <w:t xml:space="preserve">strategică adecvată </w:t>
      </w:r>
      <w:r w:rsidRPr="00596869">
        <w:rPr>
          <w:rFonts w:ascii="Times New Roman" w:hAnsi="Times New Roman"/>
          <w:b/>
          <w:noProof/>
          <w:color w:val="000000" w:themeColor="text1"/>
          <w:sz w:val="24"/>
        </w:rPr>
        <w:t>pe termen lung</w:t>
      </w:r>
      <w:r>
        <w:rPr>
          <w:rFonts w:ascii="Times New Roman" w:hAnsi="Times New Roman"/>
          <w:noProof/>
          <w:color w:val="000000" w:themeColor="text1"/>
          <w:sz w:val="24"/>
        </w:rPr>
        <w:t xml:space="preserve"> pe parcursul întregului ciclu de gestionare a riscurilor de incendii forestiere</w:t>
      </w:r>
      <w:r>
        <w:rPr>
          <w:rFonts w:ascii="Times New Roman" w:hAnsi="Times New Roman"/>
          <w:noProof/>
          <w:sz w:val="24"/>
        </w:rPr>
        <w:t xml:space="preserve">, </w:t>
      </w:r>
      <w:r w:rsidRPr="00596869">
        <w:rPr>
          <w:rFonts w:ascii="Times New Roman" w:hAnsi="Times New Roman"/>
          <w:b/>
          <w:noProof/>
          <w:sz w:val="24"/>
        </w:rPr>
        <w:t>ținând seama de viitoarele orientări privind gestionarea integrată a riscurilor de incendii forestiere;</w:t>
      </w:r>
    </w:p>
    <w:p w14:paraId="52187BC0"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596869">
        <w:rPr>
          <w:rFonts w:ascii="Times New Roman" w:hAnsi="Times New Roman"/>
          <w:b/>
          <w:noProof/>
          <w:color w:val="000000" w:themeColor="text1"/>
          <w:sz w:val="24"/>
        </w:rPr>
        <w:t xml:space="preserve">să elaboreze strategii </w:t>
      </w:r>
      <w:r>
        <w:rPr>
          <w:rFonts w:ascii="Times New Roman" w:hAnsi="Times New Roman"/>
          <w:noProof/>
          <w:color w:val="000000" w:themeColor="text1"/>
          <w:sz w:val="24"/>
        </w:rPr>
        <w:t>și planuri de acțiune</w:t>
      </w:r>
      <w:r w:rsidRPr="00596869">
        <w:rPr>
          <w:rFonts w:ascii="Times New Roman" w:hAnsi="Times New Roman"/>
          <w:b/>
          <w:noProof/>
          <w:color w:val="000000" w:themeColor="text1"/>
          <w:sz w:val="24"/>
        </w:rPr>
        <w:t xml:space="preserve"> naționale sau subnaționale de gestionare a riscurilor de incendii forestiere</w:t>
      </w:r>
      <w:r>
        <w:rPr>
          <w:rFonts w:ascii="Times New Roman" w:hAnsi="Times New Roman"/>
          <w:noProof/>
          <w:color w:val="000000" w:themeColor="text1"/>
          <w:sz w:val="24"/>
        </w:rPr>
        <w:t xml:space="preserve">, adoptând o abordare la nivelul întregii societăți și la nivelul întregii administrații și bazându-se pe evaluări actualizate ale riscurilor; </w:t>
      </w:r>
    </w:p>
    <w:p w14:paraId="105057E2"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596869">
        <w:rPr>
          <w:rFonts w:ascii="Times New Roman" w:hAnsi="Times New Roman"/>
          <w:b/>
          <w:noProof/>
          <w:color w:val="000000" w:themeColor="text1"/>
          <w:sz w:val="24"/>
        </w:rPr>
        <w:t>să adopte noi tehnologii și inovații</w:t>
      </w:r>
      <w:r>
        <w:rPr>
          <w:rFonts w:ascii="Times New Roman" w:hAnsi="Times New Roman"/>
          <w:noProof/>
          <w:color w:val="000000" w:themeColor="text1"/>
          <w:sz w:val="24"/>
        </w:rPr>
        <w:t xml:space="preserve"> dezvoltate în cadrul programului Orizont Europa și să le operaționalizeze prin granturi de consolidare a capacităților, acordate în cadrul programelor relevante ale UE, pentru a spori eficacitatea;</w:t>
      </w:r>
    </w:p>
    <w:p w14:paraId="7548387D"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să utilizeze pe deplin sprijinul acordat prin intermediul misiunii UE „Adaptarea la schimbările climatice” din cadrul programului Orizont Europa, inclusiv </w:t>
      </w:r>
      <w:r w:rsidRPr="00596869">
        <w:rPr>
          <w:rFonts w:ascii="Times New Roman" w:hAnsi="Times New Roman"/>
          <w:b/>
          <w:noProof/>
          <w:color w:val="000000" w:themeColor="text1"/>
          <w:sz w:val="24"/>
        </w:rPr>
        <w:t>soluțiile și instrumentele de succes</w:t>
      </w:r>
      <w:r>
        <w:rPr>
          <w:rFonts w:ascii="Times New Roman" w:hAnsi="Times New Roman"/>
          <w:noProof/>
          <w:color w:val="000000" w:themeColor="text1"/>
          <w:sz w:val="24"/>
        </w:rPr>
        <w:t xml:space="preserve"> pentru consolidarea sistemelor de alertă timpurie, a gestionării pădurilor și a pregătirii comunității împotriva incendiilor forestiere.</w:t>
      </w:r>
    </w:p>
    <w:p w14:paraId="6EAC06DF" w14:textId="77777777" w:rsidR="00780E1F" w:rsidRDefault="00780E1F">
      <w:pPr>
        <w:pStyle w:val="Heading2"/>
        <w:rPr>
          <w:noProof/>
          <w:sz w:val="20"/>
          <w:szCs w:val="20"/>
        </w:rPr>
      </w:pPr>
    </w:p>
    <w:p w14:paraId="589095C4" w14:textId="77777777" w:rsidR="00780E1F" w:rsidRDefault="00535025">
      <w:pPr>
        <w:pStyle w:val="Heading2"/>
        <w:rPr>
          <w:noProof/>
        </w:rPr>
      </w:pPr>
      <w:r>
        <w:rPr>
          <w:noProof/>
        </w:rPr>
        <w:t xml:space="preserve">VII. Angajamentul internațional </w:t>
      </w:r>
    </w:p>
    <w:p w14:paraId="3DCE6AAD" w14:textId="77777777" w:rsidR="00780E1F" w:rsidRDefault="00535025">
      <w:pPr>
        <w:spacing w:line="240" w:lineRule="auto"/>
        <w:jc w:val="both"/>
        <w:rPr>
          <w:rFonts w:ascii="Times New Roman" w:hAnsi="Times New Roman" w:cs="Times New Roman"/>
          <w:noProof/>
          <w:sz w:val="24"/>
          <w:szCs w:val="24"/>
        </w:rPr>
      </w:pPr>
      <w:r>
        <w:rPr>
          <w:rFonts w:ascii="Times New Roman" w:hAnsi="Times New Roman"/>
          <w:noProof/>
          <w:sz w:val="24"/>
        </w:rPr>
        <w:t xml:space="preserve">Europa nu este singurul continent care s-a confruntat cu incendii forestiere din ce în ce mai devastatoare în ultimii ani, după cum o demonstrează recentele megaincendii din Australia, Canada, Chile și Statele Unite. Numărul persoanelor care trăiesc în zone predispuse la incendii forestiere a crescut cu aproximativ </w:t>
      </w:r>
      <w:r w:rsidRPr="00596869">
        <w:rPr>
          <w:rFonts w:ascii="Times New Roman" w:hAnsi="Times New Roman"/>
          <w:noProof/>
          <w:sz w:val="24"/>
        </w:rPr>
        <w:t>40</w:t>
      </w:r>
      <w:r>
        <w:rPr>
          <w:rFonts w:ascii="Times New Roman" w:hAnsi="Times New Roman"/>
          <w:noProof/>
          <w:sz w:val="24"/>
        </w:rPr>
        <w:t> % în ultimele două decenii, iar zonele cu cel mai mare procent de terenuri pierdute din cauza incendiilor forestiere se află în emisfera sudică, în special în Africa</w:t>
      </w:r>
      <w:r>
        <w:rPr>
          <w:rStyle w:val="FootnoteReference"/>
          <w:rFonts w:ascii="Times New Roman" w:hAnsi="Times New Roman" w:cs="Times New Roman"/>
          <w:noProof/>
          <w:sz w:val="24"/>
          <w:szCs w:val="24"/>
          <w:lang w:val="en-US"/>
        </w:rPr>
        <w:footnoteReference w:id="77"/>
      </w:r>
      <w:r>
        <w:rPr>
          <w:rFonts w:ascii="Times New Roman" w:hAnsi="Times New Roman"/>
          <w:noProof/>
          <w:sz w:val="24"/>
        </w:rPr>
        <w:t xml:space="preserve">. Acest lucru a stimulat discuțiile și cercetarea la nivel mondial cu privire la beneficiile unei abordări integrate a gestionării riscurilor de incendii forestiere. În </w:t>
      </w:r>
      <w:r w:rsidRPr="00596869">
        <w:rPr>
          <w:rFonts w:ascii="Times New Roman" w:hAnsi="Times New Roman"/>
          <w:noProof/>
          <w:sz w:val="24"/>
        </w:rPr>
        <w:t>2025</w:t>
      </w:r>
      <w:r>
        <w:rPr>
          <w:rFonts w:ascii="Times New Roman" w:hAnsi="Times New Roman"/>
          <w:noProof/>
          <w:sz w:val="24"/>
        </w:rPr>
        <w:t>, UE a sprijinit mai multe apeluri internaționale la cooperare consolidată la nivel mondial în ceea ce privește gestionarea riscurilor de incendii forestiere</w:t>
      </w:r>
      <w:r>
        <w:rPr>
          <w:rStyle w:val="FootnoteReference"/>
          <w:rFonts w:ascii="Times New Roman" w:hAnsi="Times New Roman" w:cs="Times New Roman"/>
          <w:noProof/>
          <w:sz w:val="24"/>
          <w:szCs w:val="24"/>
        </w:rPr>
        <w:footnoteReference w:id="78"/>
      </w:r>
      <w:r>
        <w:rPr>
          <w:rFonts w:ascii="Times New Roman" w:hAnsi="Times New Roman"/>
          <w:noProof/>
          <w:sz w:val="24"/>
        </w:rPr>
        <w:t xml:space="preserve">. </w:t>
      </w:r>
    </w:p>
    <w:p w14:paraId="32DF4CF5" w14:textId="77777777" w:rsidR="00780E1F" w:rsidRDefault="00535025">
      <w:pPr>
        <w:spacing w:before="120" w:after="120"/>
        <w:jc w:val="both"/>
        <w:rPr>
          <w:rFonts w:ascii="Times New Roman" w:eastAsia="Times New Roman" w:hAnsi="Times New Roman" w:cs="Times New Roman"/>
          <w:noProof/>
          <w:sz w:val="24"/>
          <w:szCs w:val="24"/>
        </w:rPr>
      </w:pPr>
      <w:r>
        <w:rPr>
          <w:rFonts w:ascii="Times New Roman" w:hAnsi="Times New Roman"/>
          <w:noProof/>
          <w:sz w:val="24"/>
        </w:rPr>
        <w:t>UE își va continua implicarea în inițiative internaționale și regionale</w:t>
      </w:r>
      <w:r>
        <w:rPr>
          <w:rStyle w:val="FootnoteReference"/>
          <w:rFonts w:ascii="Times New Roman" w:hAnsi="Times New Roman" w:cs="Times New Roman"/>
          <w:noProof/>
          <w:sz w:val="24"/>
          <w:szCs w:val="24"/>
        </w:rPr>
        <w:footnoteReference w:id="79"/>
      </w:r>
      <w:r>
        <w:rPr>
          <w:rFonts w:ascii="Times New Roman" w:hAnsi="Times New Roman"/>
          <w:noProof/>
          <w:sz w:val="24"/>
        </w:rPr>
        <w:t xml:space="preserve">, inclusiv în </w:t>
      </w:r>
      <w:r w:rsidRPr="00596869">
        <w:rPr>
          <w:rFonts w:ascii="Times New Roman" w:hAnsi="Times New Roman"/>
          <w:b/>
          <w:noProof/>
          <w:sz w:val="24"/>
        </w:rPr>
        <w:t>Centrul global de luptă împotriva incendiilor FAO-UNEP</w:t>
      </w:r>
      <w:r>
        <w:rPr>
          <w:rFonts w:ascii="Times New Roman" w:hAnsi="Times New Roman"/>
          <w:noProof/>
          <w:sz w:val="24"/>
        </w:rPr>
        <w:t xml:space="preserve">, pentru a consolida și a promova schimbul de cunoștințe la nivel mondial în ceea ce privește gestionarea integrată a incendiilor forestiere, inclusiv tehnicile și instrumentele inovatoare de stingere a incendiilor, cu regiunile predispuse la incendii forestiere (cum ar fi Statele Unite, Canada, Mexic, Chile și Brazilia), acordând o atenție deosebită contextelor fragile și celor afectate de conflicte. Pentru a promova standardizarea informațiilor și monitorizarea internațională a incendiilor forestiere, UE va continua să dezvolte și să promoveze utilizarea </w:t>
      </w:r>
      <w:r w:rsidRPr="00596869">
        <w:rPr>
          <w:rFonts w:ascii="Times New Roman" w:hAnsi="Times New Roman"/>
          <w:b/>
          <w:noProof/>
          <w:sz w:val="24"/>
        </w:rPr>
        <w:t>GWIS</w:t>
      </w:r>
      <w:r>
        <w:rPr>
          <w:rFonts w:ascii="Times New Roman" w:hAnsi="Times New Roman"/>
          <w:noProof/>
          <w:sz w:val="24"/>
        </w:rPr>
        <w:t>.</w:t>
      </w:r>
      <w:r w:rsidRPr="00596869">
        <w:rPr>
          <w:rFonts w:ascii="Times New Roman" w:hAnsi="Times New Roman"/>
          <w:b/>
          <w:noProof/>
          <w:sz w:val="24"/>
        </w:rPr>
        <w:t xml:space="preserve"> UE își continuă cooperarea cu țările în curs de aderare la UE și cu statele imediat învecinate pentru a consolida reziliența regională</w:t>
      </w:r>
      <w:r>
        <w:rPr>
          <w:rFonts w:ascii="Times New Roman" w:hAnsi="Times New Roman"/>
          <w:noProof/>
          <w:sz w:val="24"/>
        </w:rPr>
        <w:t xml:space="preserve">. Aceasta își va consolida colaborarea cu </w:t>
      </w:r>
      <w:r w:rsidRPr="00596869">
        <w:rPr>
          <w:rFonts w:ascii="Times New Roman" w:hAnsi="Times New Roman"/>
          <w:b/>
          <w:noProof/>
          <w:sz w:val="24"/>
        </w:rPr>
        <w:t>Balcanii de Vest</w:t>
      </w:r>
      <w:r>
        <w:rPr>
          <w:rFonts w:ascii="Times New Roman" w:hAnsi="Times New Roman"/>
          <w:noProof/>
          <w:sz w:val="24"/>
        </w:rPr>
        <w:t xml:space="preserve"> pentru a alinia instrumentele de politică și a încuraja schimburile și evaluarea comună a riscurilor în vederea prevenirii incendiilor transfrontaliere și consolidării răspunsului și pregătirii colective. Scopul este de a răspunde creșterii activărilor UCPM pentru incendii forestiere de către Balcanii de Vest</w:t>
      </w:r>
      <w:r>
        <w:rPr>
          <w:rStyle w:val="FootnoteReference"/>
          <w:rFonts w:ascii="Times New Roman" w:eastAsia="Times New Roman" w:hAnsi="Times New Roman" w:cs="Times New Roman"/>
          <w:noProof/>
          <w:sz w:val="24"/>
          <w:szCs w:val="24"/>
        </w:rPr>
        <w:footnoteReference w:id="80"/>
      </w:r>
      <w:r>
        <w:rPr>
          <w:rFonts w:ascii="Times New Roman" w:hAnsi="Times New Roman"/>
          <w:noProof/>
          <w:sz w:val="24"/>
        </w:rPr>
        <w:t xml:space="preserve"> din ultimii ani. Finanțarea acestor acțiuni este asigurată în prezent prin intermediul </w:t>
      </w:r>
      <w:r w:rsidRPr="00596869">
        <w:rPr>
          <w:rFonts w:ascii="Times New Roman" w:hAnsi="Times New Roman"/>
          <w:b/>
          <w:noProof/>
          <w:sz w:val="24"/>
        </w:rPr>
        <w:t>programelor regionale de protecție civilă</w:t>
      </w:r>
      <w:r>
        <w:rPr>
          <w:rFonts w:ascii="Times New Roman" w:hAnsi="Times New Roman"/>
          <w:noProof/>
          <w:sz w:val="24"/>
        </w:rPr>
        <w:t xml:space="preserve"> finanțate în cadrul </w:t>
      </w:r>
      <w:r w:rsidRPr="00596869">
        <w:rPr>
          <w:rFonts w:ascii="Times New Roman" w:hAnsi="Times New Roman"/>
          <w:b/>
          <w:noProof/>
          <w:sz w:val="24"/>
        </w:rPr>
        <w:t xml:space="preserve">UCPM. </w:t>
      </w:r>
    </w:p>
    <w:p w14:paraId="3B98323D" w14:textId="77777777" w:rsidR="00780E1F" w:rsidRDefault="00535025">
      <w:p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Țările candidate și potențial candidate la aderarea la UE trebuie să își îmbunătățească capacitatea de gestionare a riscurilor de dezastre ca parte a procesului de aderare la UE și sunt sprijinite de </w:t>
      </w:r>
      <w:r w:rsidRPr="00596869">
        <w:rPr>
          <w:rFonts w:ascii="Times New Roman" w:hAnsi="Times New Roman"/>
          <w:b/>
          <w:noProof/>
          <w:sz w:val="24"/>
        </w:rPr>
        <w:t>Instrumentul de asistență pentru preaderare</w:t>
      </w:r>
      <w:r>
        <w:rPr>
          <w:rFonts w:ascii="Times New Roman" w:hAnsi="Times New Roman"/>
          <w:noProof/>
          <w:sz w:val="24"/>
        </w:rPr>
        <w:t xml:space="preserve"> (IPA) și de Instrumentul de vecinătate, cooperare pentru dezvoltare și cooperare internațională – „Europa globală”</w:t>
      </w:r>
      <w:r>
        <w:rPr>
          <w:rStyle w:val="FootnoteReference"/>
          <w:rFonts w:ascii="Times New Roman" w:eastAsia="Times New Roman" w:hAnsi="Times New Roman" w:cs="Times New Roman"/>
          <w:noProof/>
          <w:sz w:val="24"/>
          <w:szCs w:val="24"/>
        </w:rPr>
        <w:footnoteReference w:id="81"/>
      </w:r>
      <w:r>
        <w:rPr>
          <w:rFonts w:ascii="Times New Roman" w:hAnsi="Times New Roman"/>
          <w:noProof/>
          <w:sz w:val="24"/>
        </w:rPr>
        <w:t xml:space="preserve">. Pentru a încuraja colaborarea cu țările partenere din </w:t>
      </w:r>
      <w:r w:rsidRPr="00596869">
        <w:rPr>
          <w:rFonts w:ascii="Times New Roman" w:hAnsi="Times New Roman"/>
          <w:b/>
          <w:noProof/>
          <w:sz w:val="24"/>
        </w:rPr>
        <w:t>regiunea mediteraneeană</w:t>
      </w:r>
      <w:r>
        <w:rPr>
          <w:rFonts w:ascii="Times New Roman" w:hAnsi="Times New Roman"/>
          <w:noProof/>
          <w:sz w:val="24"/>
        </w:rPr>
        <w:t xml:space="preserve">, </w:t>
      </w:r>
      <w:r w:rsidRPr="00596869">
        <w:rPr>
          <w:rFonts w:ascii="Times New Roman" w:hAnsi="Times New Roman"/>
          <w:b/>
          <w:noProof/>
          <w:sz w:val="24"/>
        </w:rPr>
        <w:t>Pactul pentru Mediterana</w:t>
      </w:r>
      <w:r>
        <w:rPr>
          <w:rStyle w:val="FootnoteReference"/>
          <w:rFonts w:ascii="Times New Roman" w:eastAsia="Times New Roman" w:hAnsi="Times New Roman" w:cs="Times New Roman"/>
          <w:noProof/>
          <w:sz w:val="24"/>
          <w:szCs w:val="24"/>
        </w:rPr>
        <w:footnoteReference w:id="82"/>
      </w:r>
      <w:r>
        <w:rPr>
          <w:rFonts w:ascii="Times New Roman" w:hAnsi="Times New Roman"/>
          <w:noProof/>
          <w:sz w:val="24"/>
        </w:rPr>
        <w:t xml:space="preserve"> identifică pregătirea pentru incendii forestiere, protecția civilă și pregătirea și răspunsul în caz de pericole multiple ca principale priorități care prezintă un potențial ridicat de cooperare între UE și țările din vecinătatea sudică. În acest sens, noul Centru european de luptă împotriva incendiilor cu sediul în Cipru va consolida și mai mult cooperarea regională.  </w:t>
      </w:r>
    </w:p>
    <w:p w14:paraId="58CC22D4" w14:textId="77777777" w:rsidR="00780E1F" w:rsidRPr="00596869"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sidRPr="00596869">
        <w:rPr>
          <w:rFonts w:ascii="Times New Roman" w:hAnsi="Times New Roman"/>
          <w:b/>
          <w:noProof/>
          <w:color w:val="000000" w:themeColor="text1"/>
          <w:sz w:val="24"/>
        </w:rPr>
        <w:t>Măsuri de sprijinire a angajamentului internațional</w:t>
      </w:r>
    </w:p>
    <w:p w14:paraId="2A610299" w14:textId="77777777" w:rsidR="00780E1F" w:rsidRPr="00F8753B"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sidRPr="00F8753B">
        <w:rPr>
          <w:rFonts w:ascii="Times New Roman" w:hAnsi="Times New Roman"/>
          <w:noProof/>
          <w:color w:val="000000" w:themeColor="text1"/>
          <w:sz w:val="24"/>
          <w:u w:val="single"/>
        </w:rPr>
        <w:t>Comisia:</w:t>
      </w:r>
    </w:p>
    <w:p w14:paraId="66AD6A6B"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596869">
        <w:rPr>
          <w:rFonts w:ascii="Times New Roman" w:hAnsi="Times New Roman"/>
          <w:b/>
          <w:noProof/>
          <w:color w:val="000000" w:themeColor="text1"/>
          <w:sz w:val="24"/>
        </w:rPr>
        <w:t>va încuraja schimbul de experiență cu alte regiuni predispuse la incendii forestiere</w:t>
      </w:r>
      <w:r>
        <w:rPr>
          <w:rFonts w:ascii="Times New Roman" w:hAnsi="Times New Roman"/>
          <w:noProof/>
          <w:color w:val="000000" w:themeColor="text1"/>
          <w:sz w:val="24"/>
        </w:rPr>
        <w:t xml:space="preserve"> prin participarea sa la diferite foruri internaționale și la alte inițiative;</w:t>
      </w:r>
    </w:p>
    <w:p w14:paraId="25D8659C"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596869">
        <w:rPr>
          <w:rFonts w:ascii="Times New Roman" w:hAnsi="Times New Roman"/>
          <w:b/>
          <w:noProof/>
          <w:color w:val="000000" w:themeColor="text1"/>
          <w:sz w:val="24"/>
        </w:rPr>
        <w:t>va intensifica activitățile de informare la nivel politic</w:t>
      </w:r>
      <w:r>
        <w:rPr>
          <w:rFonts w:ascii="Times New Roman" w:hAnsi="Times New Roman"/>
          <w:noProof/>
          <w:color w:val="000000" w:themeColor="text1"/>
          <w:sz w:val="24"/>
        </w:rPr>
        <w:t xml:space="preserve"> și </w:t>
      </w:r>
      <w:r w:rsidRPr="00596869">
        <w:rPr>
          <w:rFonts w:ascii="Times New Roman" w:hAnsi="Times New Roman"/>
          <w:b/>
          <w:noProof/>
          <w:color w:val="000000" w:themeColor="text1"/>
          <w:sz w:val="24"/>
        </w:rPr>
        <w:t>va consolida participarea Balcanilor de Vest</w:t>
      </w:r>
      <w:r>
        <w:rPr>
          <w:rFonts w:ascii="Times New Roman" w:hAnsi="Times New Roman"/>
          <w:noProof/>
          <w:color w:val="000000" w:themeColor="text1"/>
          <w:sz w:val="24"/>
        </w:rPr>
        <w:t xml:space="preserve"> în ceea ce privește protecția civilă și, în special, gestionarea integrată a riscurilor de incendii forestiere; </w:t>
      </w:r>
    </w:p>
    <w:p w14:paraId="79BEEA3C" w14:textId="77777777" w:rsidR="00780E1F"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596869">
        <w:rPr>
          <w:rFonts w:ascii="Times New Roman" w:hAnsi="Times New Roman"/>
          <w:b/>
          <w:noProof/>
          <w:color w:val="000000" w:themeColor="text1"/>
          <w:sz w:val="24"/>
        </w:rPr>
        <w:t>va intensifica cooperarea cu partenerii din vecinătatea sudică</w:t>
      </w:r>
      <w:r>
        <w:rPr>
          <w:rFonts w:ascii="Times New Roman" w:hAnsi="Times New Roman"/>
          <w:noProof/>
          <w:color w:val="000000" w:themeColor="text1"/>
          <w:sz w:val="24"/>
        </w:rPr>
        <w:t xml:space="preserve"> cu privire la acțiuni comune de îmbunătățire a pregătirii regionale și de consolidare a capacităților de răspuns în spațiul mediteraneean comun printr-o abordare care să țină seama de toate pericolele;</w:t>
      </w:r>
    </w:p>
    <w:p w14:paraId="2C2CF476" w14:textId="77777777" w:rsidR="00780E1F" w:rsidRPr="00596869"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Pr>
          <w:rFonts w:ascii="Times New Roman" w:hAnsi="Times New Roman"/>
          <w:noProof/>
          <w:color w:val="000000" w:themeColor="text1"/>
          <w:sz w:val="24"/>
        </w:rPr>
        <w:t>va colabora îndeaproape cu Forest Europe și cu nou-înființatul său Mecanism privind riscurile forestiere (FoRISK)</w:t>
      </w:r>
      <w:r>
        <w:rPr>
          <w:rStyle w:val="FootnoteReference"/>
          <w:rFonts w:ascii="Times New Roman" w:eastAsia="Times New Roman" w:hAnsi="Times New Roman" w:cs="Times New Roman"/>
          <w:noProof/>
          <w:color w:val="000000" w:themeColor="text1"/>
          <w:sz w:val="24"/>
          <w:szCs w:val="24"/>
        </w:rPr>
        <w:footnoteReference w:id="83"/>
      </w:r>
      <w:r>
        <w:rPr>
          <w:rFonts w:ascii="Times New Roman" w:hAnsi="Times New Roman"/>
          <w:noProof/>
          <w:color w:val="000000" w:themeColor="text1"/>
          <w:sz w:val="24"/>
        </w:rPr>
        <w:t xml:space="preserve"> pentru a promova </w:t>
      </w:r>
      <w:r w:rsidRPr="00596869">
        <w:rPr>
          <w:rFonts w:ascii="Times New Roman" w:hAnsi="Times New Roman"/>
          <w:b/>
          <w:noProof/>
          <w:color w:val="000000" w:themeColor="text1"/>
          <w:sz w:val="24"/>
        </w:rPr>
        <w:t>consolidarea capacităților și schimbul de cunoștințe în materie de prevenire a incendiilor</w:t>
      </w:r>
      <w:r>
        <w:rPr>
          <w:rFonts w:ascii="Times New Roman" w:hAnsi="Times New Roman"/>
          <w:noProof/>
          <w:color w:val="000000" w:themeColor="text1"/>
          <w:sz w:val="24"/>
        </w:rPr>
        <w:t>;</w:t>
      </w:r>
    </w:p>
    <w:p w14:paraId="53AB25A9" w14:textId="77777777" w:rsidR="00780E1F" w:rsidRPr="00596869" w:rsidRDefault="0053502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Pr>
          <w:rFonts w:ascii="Times New Roman" w:hAnsi="Times New Roman"/>
          <w:noProof/>
          <w:color w:val="000000" w:themeColor="text1"/>
          <w:sz w:val="24"/>
        </w:rPr>
        <w:t xml:space="preserve">va încuraja punerea în aplicare a măsurii de agromediu și climă și a măsurii de creare și protejare a pădurilor de către beneficiarii relevanți ai </w:t>
      </w:r>
      <w:r w:rsidRPr="00596869">
        <w:rPr>
          <w:rFonts w:ascii="Times New Roman" w:hAnsi="Times New Roman"/>
          <w:b/>
          <w:noProof/>
          <w:color w:val="000000" w:themeColor="text1"/>
          <w:sz w:val="24"/>
        </w:rPr>
        <w:t xml:space="preserve">asistenței UE pentru preaderare pentru dezvoltare rurală (IPARD). </w:t>
      </w:r>
    </w:p>
    <w:p w14:paraId="67D0B995" w14:textId="77777777" w:rsidR="00780E1F" w:rsidRDefault="00780E1F">
      <w:pPr>
        <w:pStyle w:val="Heading2"/>
        <w:rPr>
          <w:noProof/>
          <w:sz w:val="20"/>
          <w:szCs w:val="20"/>
        </w:rPr>
      </w:pPr>
    </w:p>
    <w:p w14:paraId="4D6C6644" w14:textId="77777777" w:rsidR="00780E1F" w:rsidRPr="00596869" w:rsidRDefault="00535025">
      <w:pPr>
        <w:pStyle w:val="Heading2"/>
        <w:rPr>
          <w:rFonts w:ascii="Times New Roman Bold" w:hAnsi="Times New Roman Bold" w:cs="Times New Roman" w:hint="eastAsia"/>
          <w:b/>
          <w:bCs/>
          <w:smallCaps/>
          <w:noProof/>
          <w:sz w:val="24"/>
          <w:szCs w:val="24"/>
        </w:rPr>
      </w:pPr>
      <w:r>
        <w:rPr>
          <w:noProof/>
        </w:rPr>
        <w:t xml:space="preserve">Concluzii și perspective </w:t>
      </w:r>
    </w:p>
    <w:p w14:paraId="529C1013" w14:textId="77777777" w:rsidR="00780E1F" w:rsidRDefault="00535025">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Reziliența necesită consolidarea ciclului de gestionare a riscurilor de dezastre în ansamblu: </w:t>
      </w:r>
      <w:r w:rsidRPr="00596869">
        <w:rPr>
          <w:rFonts w:ascii="Times New Roman" w:hAnsi="Times New Roman"/>
          <w:b/>
          <w:noProof/>
          <w:sz w:val="24"/>
        </w:rPr>
        <w:t>prevenirea</w:t>
      </w:r>
      <w:r>
        <w:rPr>
          <w:rFonts w:ascii="Times New Roman" w:hAnsi="Times New Roman"/>
          <w:noProof/>
          <w:sz w:val="24"/>
        </w:rPr>
        <w:t xml:space="preserve">, </w:t>
      </w:r>
      <w:r w:rsidRPr="00596869">
        <w:rPr>
          <w:rFonts w:ascii="Times New Roman" w:hAnsi="Times New Roman"/>
          <w:b/>
          <w:noProof/>
          <w:sz w:val="24"/>
        </w:rPr>
        <w:t>pregătirea</w:t>
      </w:r>
      <w:r>
        <w:rPr>
          <w:rFonts w:ascii="Times New Roman" w:hAnsi="Times New Roman"/>
          <w:noProof/>
          <w:sz w:val="24"/>
        </w:rPr>
        <w:t xml:space="preserve">, </w:t>
      </w:r>
      <w:r w:rsidRPr="00596869">
        <w:rPr>
          <w:rFonts w:ascii="Times New Roman" w:hAnsi="Times New Roman"/>
          <w:b/>
          <w:noProof/>
          <w:sz w:val="24"/>
        </w:rPr>
        <w:t>răspunsul</w:t>
      </w:r>
      <w:r>
        <w:rPr>
          <w:rFonts w:ascii="Times New Roman" w:hAnsi="Times New Roman"/>
          <w:noProof/>
          <w:sz w:val="24"/>
        </w:rPr>
        <w:t xml:space="preserve"> și</w:t>
      </w:r>
      <w:r w:rsidRPr="00596869">
        <w:rPr>
          <w:rFonts w:ascii="Times New Roman" w:hAnsi="Times New Roman"/>
          <w:b/>
          <w:noProof/>
          <w:sz w:val="24"/>
        </w:rPr>
        <w:t xml:space="preserve"> refacerea în urma incendiilor</w:t>
      </w:r>
      <w:r>
        <w:rPr>
          <w:rFonts w:ascii="Times New Roman" w:hAnsi="Times New Roman"/>
          <w:noProof/>
          <w:sz w:val="24"/>
        </w:rPr>
        <w:t xml:space="preserve">. Toate aceste etape trebuie să fie corelate și abordate într-o manieră globală. </w:t>
      </w:r>
    </w:p>
    <w:p w14:paraId="48218CC8" w14:textId="77777777" w:rsidR="00780E1F" w:rsidRDefault="00535025">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Comisia este pregătită să acorde prioritate finanțării în cadrul noului CFM pentru reducerea riscurilor de incendii forestiere, dar succesul depinde de acțiunile întreprinse la nivel național și local. Prin urmare, Comisia invită toate părțile interesate să colaboreze pentru a promova și a pune în aplicare gestionarea integrată a riscurilor de incendii forestiere atât în UE, cât și în afara acesteia. </w:t>
      </w:r>
    </w:p>
    <w:p w14:paraId="4A22B35E" w14:textId="77777777" w:rsidR="00780E1F" w:rsidRDefault="00535025">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Comisia va </w:t>
      </w:r>
      <w:r w:rsidRPr="00596869">
        <w:rPr>
          <w:rFonts w:ascii="Times New Roman" w:hAnsi="Times New Roman"/>
          <w:b/>
          <w:noProof/>
          <w:sz w:val="24"/>
        </w:rPr>
        <w:t>evalua periodic progresele înregistrate în punerea în aplicare a acțiunilor prezentate în prezenta comunicare</w:t>
      </w:r>
      <w:r>
        <w:rPr>
          <w:rFonts w:ascii="Times New Roman" w:hAnsi="Times New Roman"/>
          <w:noProof/>
          <w:sz w:val="24"/>
        </w:rPr>
        <w:t>, împreună cu statele membre și cu părțile interesate relevante. Prin consolidarea prevenirii, crearea unor peisaje reziliente și îmbunătățirea pregătirii și a răspunsului, Europa își poate proteja mai bine cetățenii, ecosistemele și economiile rurale de riscul tot mai mare de incendii forestiere.</w:t>
      </w:r>
    </w:p>
    <w:sectPr w:rsidR="00780E1F">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A86FBF" w14:textId="77777777" w:rsidR="00780E1F" w:rsidRDefault="00535025">
      <w:pPr>
        <w:spacing w:after="0" w:line="240" w:lineRule="auto"/>
      </w:pPr>
      <w:r>
        <w:separator/>
      </w:r>
    </w:p>
  </w:endnote>
  <w:endnote w:type="continuationSeparator" w:id="0">
    <w:p w14:paraId="66825C6A" w14:textId="77777777" w:rsidR="00780E1F" w:rsidRDefault="00535025">
      <w:pPr>
        <w:spacing w:after="0" w:line="240" w:lineRule="auto"/>
      </w:pPr>
      <w:r>
        <w:continuationSeparator/>
      </w:r>
    </w:p>
  </w:endnote>
  <w:endnote w:type="continuationNotice" w:id="1">
    <w:p w14:paraId="17092C63" w14:textId="77777777" w:rsidR="00780E1F" w:rsidRDefault="00780E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ld">
    <w:panose1 w:val="02020803070505020304"/>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6222D" w14:textId="021CF0EB" w:rsidR="0084151F" w:rsidRPr="0084151F" w:rsidRDefault="0084151F" w:rsidP="0084151F">
    <w:pPr>
      <w:pStyle w:val="FooterCoverPage"/>
      <w:rPr>
        <w:rFonts w:ascii="Arial" w:hAnsi="Arial" w:cs="Arial"/>
        <w:b/>
        <w:sz w:val="48"/>
      </w:rPr>
    </w:pPr>
    <w:r w:rsidRPr="0084151F">
      <w:rPr>
        <w:rFonts w:ascii="Arial" w:hAnsi="Arial" w:cs="Arial"/>
        <w:b/>
        <w:sz w:val="48"/>
      </w:rPr>
      <w:t>RO</w:t>
    </w:r>
    <w:r w:rsidRPr="0084151F">
      <w:rPr>
        <w:rFonts w:ascii="Arial" w:hAnsi="Arial" w:cs="Arial"/>
        <w:b/>
        <w:sz w:val="48"/>
      </w:rPr>
      <w:tab/>
    </w:r>
    <w:r w:rsidRPr="0084151F">
      <w:rPr>
        <w:rFonts w:ascii="Arial" w:hAnsi="Arial" w:cs="Arial"/>
        <w:b/>
        <w:sz w:val="48"/>
      </w:rPr>
      <w:tab/>
    </w:r>
    <w:r w:rsidRPr="0084151F">
      <w:tab/>
    </w:r>
    <w:r w:rsidRPr="0084151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A72E9" w14:textId="509A8AE1" w:rsidR="0084151F" w:rsidRPr="0084151F" w:rsidRDefault="0084151F" w:rsidP="0084151F">
    <w:pPr>
      <w:pStyle w:val="FooterCoverPage"/>
      <w:rPr>
        <w:rFonts w:ascii="Arial" w:hAnsi="Arial" w:cs="Arial"/>
        <w:b/>
        <w:sz w:val="48"/>
      </w:rPr>
    </w:pPr>
    <w:r w:rsidRPr="0084151F">
      <w:rPr>
        <w:rFonts w:ascii="Arial" w:hAnsi="Arial" w:cs="Arial"/>
        <w:b/>
        <w:sz w:val="48"/>
      </w:rPr>
      <w:t>RO</w:t>
    </w:r>
    <w:r w:rsidRPr="0084151F">
      <w:rPr>
        <w:rFonts w:ascii="Arial" w:hAnsi="Arial" w:cs="Arial"/>
        <w:b/>
        <w:sz w:val="48"/>
      </w:rPr>
      <w:tab/>
    </w:r>
    <w:r w:rsidRPr="0084151F">
      <w:rPr>
        <w:rFonts w:ascii="Arial" w:hAnsi="Arial" w:cs="Arial"/>
        <w:b/>
        <w:sz w:val="48"/>
      </w:rPr>
      <w:tab/>
    </w:r>
    <w:r w:rsidRPr="0084151F">
      <w:tab/>
    </w:r>
    <w:r w:rsidRPr="0084151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E076B" w14:textId="77777777" w:rsidR="0084151F" w:rsidRPr="0084151F" w:rsidRDefault="0084151F" w:rsidP="0084151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A5B42" w14:textId="77777777" w:rsidR="00780E1F" w:rsidRDefault="00780E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2858406"/>
      <w:docPartObj>
        <w:docPartGallery w:val="Page Numbers (Bottom of Page)"/>
        <w:docPartUnique/>
      </w:docPartObj>
    </w:sdtPr>
    <w:sdtEndPr>
      <w:rPr>
        <w:noProof/>
      </w:rPr>
    </w:sdtEndPr>
    <w:sdtContent>
      <w:p w14:paraId="53E6C329" w14:textId="73523CA1" w:rsidR="00780E1F" w:rsidRDefault="00535025">
        <w:pPr>
          <w:pStyle w:val="Footer"/>
          <w:jc w:val="right"/>
        </w:pPr>
        <w:r>
          <w:fldChar w:fldCharType="begin"/>
        </w:r>
        <w:r>
          <w:instrText xml:space="preserve"> PAGE   \* MERGEFORMAT </w:instrText>
        </w:r>
        <w:r>
          <w:fldChar w:fldCharType="separate"/>
        </w:r>
        <w:r w:rsidR="0084151F">
          <w:rPr>
            <w:noProof/>
          </w:rPr>
          <w:t>1</w:t>
        </w:r>
        <w:r>
          <w:fldChar w:fldCharType="end"/>
        </w:r>
      </w:p>
    </w:sdtContent>
  </w:sdt>
  <w:p w14:paraId="56D9EA0A" w14:textId="77777777" w:rsidR="00780E1F" w:rsidRDefault="00780E1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E79A4" w14:textId="77777777" w:rsidR="00780E1F" w:rsidRDefault="00780E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2CDB97" w14:textId="77777777" w:rsidR="00780E1F" w:rsidRDefault="00535025">
      <w:pPr>
        <w:spacing w:after="0" w:line="240" w:lineRule="auto"/>
      </w:pPr>
      <w:r>
        <w:separator/>
      </w:r>
    </w:p>
  </w:footnote>
  <w:footnote w:type="continuationSeparator" w:id="0">
    <w:p w14:paraId="21196E55" w14:textId="77777777" w:rsidR="00780E1F" w:rsidRDefault="00535025">
      <w:pPr>
        <w:spacing w:after="0" w:line="240" w:lineRule="auto"/>
      </w:pPr>
      <w:r>
        <w:continuationSeparator/>
      </w:r>
    </w:p>
  </w:footnote>
  <w:footnote w:type="continuationNotice" w:id="1">
    <w:p w14:paraId="0FD4DAD8" w14:textId="77777777" w:rsidR="00780E1F" w:rsidRDefault="00780E1F">
      <w:pPr>
        <w:spacing w:after="0" w:line="240" w:lineRule="auto"/>
      </w:pPr>
    </w:p>
  </w:footnote>
  <w:footnote w:id="2">
    <w:p w14:paraId="1AF7B704"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„Incendiul forestier” este definit ca fiind „un incendiu de vegetație neobișnuit sau extraordinar cu ardere liberă, care poate fi declanșat în mod răuvoitor, accidental sau prin mijloace naturale și care influențează negativ valorile sociale, economice sau de mediu”, Programul Organizației Națiunilor Unite pentru Mediu (</w:t>
      </w:r>
      <w:r w:rsidRPr="00596869">
        <w:rPr>
          <w:rFonts w:ascii="Times New Roman" w:hAnsi="Times New Roman"/>
          <w:sz w:val="18"/>
        </w:rPr>
        <w:t>2022</w:t>
      </w:r>
      <w:r>
        <w:rPr>
          <w:rFonts w:ascii="Times New Roman" w:hAnsi="Times New Roman"/>
          <w:sz w:val="18"/>
        </w:rPr>
        <w:t xml:space="preserve">). </w:t>
      </w:r>
      <w:r w:rsidRPr="00596869">
        <w:rPr>
          <w:rFonts w:ascii="Times New Roman" w:hAnsi="Times New Roman"/>
          <w:i/>
          <w:iCs/>
          <w:sz w:val="18"/>
        </w:rPr>
        <w:t>Spreading like Wildfire – The Rising Threat of Extraordinary Landscape Fires</w:t>
      </w:r>
      <w:r>
        <w:rPr>
          <w:rFonts w:ascii="Times New Roman" w:hAnsi="Times New Roman"/>
          <w:sz w:val="18"/>
        </w:rPr>
        <w:t xml:space="preserve"> („Răspândire fulgerătoare – creșterea amenințării reprezentate de incendiile de vegetație extraordinare”), </w:t>
      </w:r>
      <w:hyperlink r:id="rId1">
        <w:r w:rsidRPr="00F8753B">
          <w:rPr>
            <w:rStyle w:val="Hyperlink"/>
            <w:rFonts w:ascii="Times New Roman" w:hAnsi="Times New Roman"/>
            <w:sz w:val="18"/>
          </w:rPr>
          <w:t>https://wedocs.unep.org/items/5d3e5267-17bd-4b06-9964-494dd01f7791</w:t>
        </w:r>
      </w:hyperlink>
      <w:r>
        <w:rPr>
          <w:rFonts w:ascii="Times New Roman" w:hAnsi="Times New Roman"/>
          <w:sz w:val="18"/>
        </w:rPr>
        <w:t xml:space="preserve">.    </w:t>
      </w:r>
    </w:p>
  </w:footnote>
  <w:footnote w:id="3">
    <w:p w14:paraId="2C34CA54"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Conform datelor standardizate colectate de Sistemul european de informare privind incendiile forestiere (EFFIS) începând din </w:t>
      </w:r>
      <w:r w:rsidRPr="00596869">
        <w:rPr>
          <w:rFonts w:ascii="Times New Roman" w:hAnsi="Times New Roman"/>
          <w:sz w:val="18"/>
        </w:rPr>
        <w:t>2006</w:t>
      </w:r>
      <w:r>
        <w:rPr>
          <w:rFonts w:ascii="Times New Roman" w:hAnsi="Times New Roman"/>
          <w:sz w:val="18"/>
        </w:rPr>
        <w:t xml:space="preserve">. </w:t>
      </w:r>
    </w:p>
  </w:footnote>
  <w:footnote w:id="4">
    <w:p w14:paraId="0042C300"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 w:history="1">
        <w:r w:rsidRPr="00F8753B">
          <w:rPr>
            <w:rStyle w:val="Hyperlink"/>
            <w:rFonts w:ascii="Times New Roman" w:hAnsi="Times New Roman"/>
            <w:sz w:val="18"/>
          </w:rPr>
          <w:t>https://climate.copernicus.eu/copernicus-2025-was-third-hottest-year-record</w:t>
        </w:r>
      </w:hyperlink>
      <w:r>
        <w:rPr>
          <w:rFonts w:ascii="Times New Roman" w:hAnsi="Times New Roman"/>
          <w:sz w:val="18"/>
        </w:rPr>
        <w:t>.</w:t>
      </w:r>
    </w:p>
  </w:footnote>
  <w:footnote w:id="5">
    <w:p w14:paraId="1C3F793F" w14:textId="77777777" w:rsidR="00780E1F" w:rsidRDefault="00535025">
      <w:pPr>
        <w:pStyle w:val="FootnoteText"/>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w:t>
      </w:r>
      <w:r w:rsidRPr="00596869">
        <w:rPr>
          <w:rFonts w:ascii="Times New Roman" w:hAnsi="Times New Roman"/>
          <w:i/>
          <w:iCs/>
          <w:sz w:val="18"/>
        </w:rPr>
        <w:t>Sparking firesmart policies in the EU (2028)</w:t>
      </w:r>
      <w:r>
        <w:rPr>
          <w:rFonts w:ascii="Times New Roman" w:hAnsi="Times New Roman"/>
          <w:sz w:val="18"/>
        </w:rPr>
        <w:t xml:space="preserve"> [„Stimularea adoptării unor politici inteligente în ceea ce privește incendiile în UE (</w:t>
      </w:r>
      <w:r w:rsidRPr="00596869">
        <w:rPr>
          <w:rFonts w:ascii="Times New Roman" w:hAnsi="Times New Roman"/>
          <w:sz w:val="18"/>
        </w:rPr>
        <w:t>2028</w:t>
      </w:r>
      <w:r>
        <w:rPr>
          <w:rFonts w:ascii="Times New Roman" w:hAnsi="Times New Roman"/>
          <w:sz w:val="18"/>
        </w:rPr>
        <w:t xml:space="preserve">)”], </w:t>
      </w:r>
      <w:hyperlink r:id="rId3">
        <w:r w:rsidRPr="00F8753B">
          <w:rPr>
            <w:rStyle w:val="Hyperlink"/>
            <w:rFonts w:ascii="Times New Roman" w:hAnsi="Times New Roman"/>
            <w:sz w:val="18"/>
          </w:rPr>
          <w:t>https://op.europa.eu/en/publication-detail/-/publication/0b74e77d-f389-11e8-9982-01aa75ed71a1/language-en</w:t>
        </w:r>
      </w:hyperlink>
      <w:r>
        <w:rPr>
          <w:rFonts w:ascii="Times New Roman" w:hAnsi="Times New Roman"/>
          <w:sz w:val="18"/>
        </w:rPr>
        <w:t xml:space="preserve">. </w:t>
      </w:r>
    </w:p>
  </w:footnote>
  <w:footnote w:id="6">
    <w:p w14:paraId="4A1B19BD" w14:textId="77777777" w:rsidR="00780E1F" w:rsidRDefault="00535025">
      <w:pPr>
        <w:pStyle w:val="FootnoteText"/>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Grünig, M., Seidl, R., și Senf, C. (</w:t>
      </w:r>
      <w:r w:rsidRPr="00596869">
        <w:rPr>
          <w:rFonts w:ascii="Times New Roman" w:hAnsi="Times New Roman"/>
          <w:sz w:val="18"/>
        </w:rPr>
        <w:t>2023</w:t>
      </w:r>
      <w:r>
        <w:rPr>
          <w:rFonts w:ascii="Times New Roman" w:hAnsi="Times New Roman"/>
          <w:sz w:val="18"/>
        </w:rPr>
        <w:t>). </w:t>
      </w:r>
      <w:r w:rsidRPr="00596869">
        <w:rPr>
          <w:rFonts w:ascii="Times New Roman" w:hAnsi="Times New Roman"/>
          <w:i/>
          <w:iCs/>
          <w:sz w:val="18"/>
        </w:rPr>
        <w:t>Increasing aridity causes larger and more severe forest fires across Europe.</w:t>
      </w:r>
      <w:r>
        <w:rPr>
          <w:rFonts w:ascii="Times New Roman" w:hAnsi="Times New Roman"/>
          <w:sz w:val="18"/>
        </w:rPr>
        <w:t> </w:t>
      </w:r>
      <w:r w:rsidRPr="00596869">
        <w:rPr>
          <w:rFonts w:ascii="Times New Roman" w:hAnsi="Times New Roman"/>
          <w:i/>
          <w:iCs/>
          <w:sz w:val="18"/>
        </w:rPr>
        <w:t>Global Change Biology</w:t>
      </w:r>
      <w:r>
        <w:rPr>
          <w:rFonts w:ascii="Times New Roman" w:hAnsi="Times New Roman"/>
          <w:sz w:val="18"/>
        </w:rPr>
        <w:t xml:space="preserve"> („Ariditatea crescândă provoacă incendii forestiere mai mari și mai grave în întreaga Europă. Biologia schimbărilor globale”), </w:t>
      </w:r>
      <w:r w:rsidRPr="00596869">
        <w:rPr>
          <w:rFonts w:ascii="Times New Roman" w:hAnsi="Times New Roman"/>
          <w:sz w:val="18"/>
        </w:rPr>
        <w:t>29</w:t>
      </w:r>
      <w:r>
        <w:rPr>
          <w:rFonts w:ascii="Times New Roman" w:hAnsi="Times New Roman"/>
          <w:sz w:val="18"/>
        </w:rPr>
        <w:t xml:space="preserve">, </w:t>
      </w:r>
      <w:r w:rsidRPr="00596869">
        <w:rPr>
          <w:rFonts w:ascii="Times New Roman" w:hAnsi="Times New Roman"/>
          <w:sz w:val="18"/>
        </w:rPr>
        <w:t>1648</w:t>
      </w:r>
      <w:r>
        <w:rPr>
          <w:rFonts w:ascii="Times New Roman" w:hAnsi="Times New Roman"/>
          <w:sz w:val="18"/>
        </w:rPr>
        <w:t>-</w:t>
      </w:r>
      <w:r w:rsidRPr="00596869">
        <w:rPr>
          <w:rFonts w:ascii="Times New Roman" w:hAnsi="Times New Roman"/>
          <w:sz w:val="18"/>
        </w:rPr>
        <w:t>1659</w:t>
      </w:r>
      <w:r>
        <w:rPr>
          <w:rFonts w:ascii="Times New Roman" w:hAnsi="Times New Roman"/>
          <w:sz w:val="18"/>
        </w:rPr>
        <w:t>, </w:t>
      </w:r>
      <w:hyperlink r:id="rId4">
        <w:r w:rsidRPr="00F8753B">
          <w:rPr>
            <w:rStyle w:val="Hyperlink"/>
            <w:rFonts w:ascii="Times New Roman" w:hAnsi="Times New Roman"/>
            <w:sz w:val="18"/>
          </w:rPr>
          <w:t>https://doi.org/10.1111/gcb.16547</w:t>
        </w:r>
      </w:hyperlink>
      <w:r>
        <w:rPr>
          <w:rFonts w:ascii="Times New Roman" w:hAnsi="Times New Roman"/>
          <w:sz w:val="18"/>
        </w:rPr>
        <w:t>.</w:t>
      </w:r>
    </w:p>
  </w:footnote>
  <w:footnote w:id="7">
    <w:p w14:paraId="0CB74433"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Agenția Europeană de Mediu, </w:t>
      </w:r>
      <w:hyperlink r:id="rId5">
        <w:r w:rsidRPr="00F8753B">
          <w:rPr>
            <w:rStyle w:val="Hyperlink"/>
            <w:rFonts w:ascii="Times New Roman" w:hAnsi="Times New Roman"/>
            <w:sz w:val="18"/>
          </w:rPr>
          <w:t>https://www.eea.europa.eu/en/analysis/publications/european-climate-risk-assessment</w:t>
        </w:r>
      </w:hyperlink>
      <w:r>
        <w:rPr>
          <w:rFonts w:ascii="Times New Roman" w:hAnsi="Times New Roman"/>
          <w:sz w:val="18"/>
        </w:rPr>
        <w:t xml:space="preserve">. </w:t>
      </w:r>
    </w:p>
  </w:footnote>
  <w:footnote w:id="8">
    <w:p w14:paraId="6DC01883" w14:textId="77777777" w:rsidR="00780E1F" w:rsidRDefault="00535025">
      <w:pPr>
        <w:pStyle w:val="FootnoteText"/>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w:t>
      </w:r>
      <w:hyperlink r:id="rId6">
        <w:r>
          <w:rPr>
            <w:rFonts w:ascii="Times New Roman" w:hAnsi="Times New Roman"/>
            <w:sz w:val="18"/>
          </w:rPr>
          <w:t>https://discomap.eea.europa.eu/ClimatePreparedness</w:t>
        </w:r>
        <w:r w:rsidRPr="00596869">
          <w:rPr>
            <w:rFonts w:ascii="Times New Roman" w:hAnsi="Times New Roman"/>
            <w:sz w:val="18"/>
          </w:rPr>
          <w:t>2025</w:t>
        </w:r>
        <w:r>
          <w:rPr>
            <w:rFonts w:ascii="Times New Roman" w:hAnsi="Times New Roman"/>
            <w:sz w:val="18"/>
          </w:rPr>
          <w:t>/?page=Wildfires-in-Europe</w:t>
        </w:r>
      </w:hyperlink>
      <w:r>
        <w:rPr>
          <w:rFonts w:ascii="Times New Roman" w:hAnsi="Times New Roman"/>
          <w:sz w:val="18"/>
        </w:rPr>
        <w:t xml:space="preserve">. </w:t>
      </w:r>
    </w:p>
  </w:footnote>
  <w:footnote w:id="9">
    <w:p w14:paraId="7D795E6F"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Caracterizate de temperaturi ridicate, umiditate relativă scăzută și viteză mare a vântului.</w:t>
      </w:r>
    </w:p>
  </w:footnote>
  <w:footnote w:id="10">
    <w:p w14:paraId="3428CA7A"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Jessica Hetzer </w:t>
      </w:r>
      <w:r w:rsidRPr="00596869">
        <w:rPr>
          <w:rFonts w:ascii="Times New Roman" w:hAnsi="Times New Roman"/>
          <w:i/>
          <w:sz w:val="18"/>
        </w:rPr>
        <w:t>et al.</w:t>
      </w:r>
      <w:r>
        <w:rPr>
          <w:rFonts w:ascii="Times New Roman" w:hAnsi="Times New Roman"/>
          <w:sz w:val="18"/>
        </w:rPr>
        <w:t xml:space="preserve"> </w:t>
      </w:r>
      <w:r w:rsidRPr="00596869">
        <w:rPr>
          <w:rFonts w:ascii="Times New Roman" w:hAnsi="Times New Roman"/>
          <w:sz w:val="18"/>
        </w:rPr>
        <w:t>2024</w:t>
      </w:r>
      <w:r>
        <w:rPr>
          <w:rFonts w:ascii="Times New Roman" w:hAnsi="Times New Roman"/>
          <w:sz w:val="18"/>
        </w:rPr>
        <w:t xml:space="preserve"> </w:t>
      </w:r>
      <w:r w:rsidRPr="00596869">
        <w:rPr>
          <w:rFonts w:ascii="Times New Roman" w:hAnsi="Times New Roman"/>
          <w:i/>
          <w:sz w:val="18"/>
        </w:rPr>
        <w:t>Environ</w:t>
      </w:r>
      <w:r>
        <w:rPr>
          <w:rFonts w:ascii="Times New Roman" w:hAnsi="Times New Roman"/>
          <w:sz w:val="18"/>
        </w:rPr>
        <w:t>.</w:t>
      </w:r>
      <w:r w:rsidRPr="00596869">
        <w:rPr>
          <w:rFonts w:ascii="Times New Roman" w:hAnsi="Times New Roman"/>
          <w:i/>
          <w:sz w:val="18"/>
        </w:rPr>
        <w:t xml:space="preserve"> Res. Lett.</w:t>
      </w:r>
      <w:r>
        <w:rPr>
          <w:rFonts w:ascii="Times New Roman" w:hAnsi="Times New Roman"/>
          <w:sz w:val="18"/>
        </w:rPr>
        <w:t xml:space="preserve"> </w:t>
      </w:r>
      <w:r w:rsidRPr="00596869">
        <w:rPr>
          <w:rFonts w:ascii="Times New Roman" w:hAnsi="Times New Roman"/>
          <w:sz w:val="18"/>
        </w:rPr>
        <w:t>19</w:t>
      </w:r>
      <w:r>
        <w:rPr>
          <w:rFonts w:ascii="Times New Roman" w:hAnsi="Times New Roman"/>
          <w:sz w:val="18"/>
        </w:rPr>
        <w:t> </w:t>
      </w:r>
      <w:r w:rsidRPr="00596869">
        <w:rPr>
          <w:rFonts w:ascii="Times New Roman" w:hAnsi="Times New Roman"/>
          <w:sz w:val="18"/>
        </w:rPr>
        <w:t>084017</w:t>
      </w:r>
      <w:r>
        <w:rPr>
          <w:rFonts w:ascii="Times New Roman" w:hAnsi="Times New Roman"/>
          <w:sz w:val="18"/>
        </w:rPr>
        <w:t xml:space="preserve"> </w:t>
      </w:r>
      <w:hyperlink r:id="rId7" w:history="1">
        <w:r w:rsidRPr="00F8753B">
          <w:rPr>
            <w:rStyle w:val="Hyperlink"/>
            <w:rFonts w:ascii="Times New Roman" w:hAnsi="Times New Roman"/>
            <w:sz w:val="18"/>
          </w:rPr>
          <w:t>https://iopscience.iop.org/article/10.1088/1748-9326/ad5b09</w:t>
        </w:r>
      </w:hyperlink>
      <w:r>
        <w:rPr>
          <w:rFonts w:ascii="Times New Roman" w:hAnsi="Times New Roman"/>
          <w:sz w:val="18"/>
        </w:rPr>
        <w:t>.</w:t>
      </w:r>
    </w:p>
  </w:footnote>
  <w:footnote w:id="11">
    <w:p w14:paraId="1BEC716E" w14:textId="77777777" w:rsidR="00780E1F" w:rsidRDefault="00535025">
      <w:pPr>
        <w:pStyle w:val="FootnoteText"/>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Forest Fires in Europe, Middle East and North Africa </w:t>
      </w:r>
      <w:r w:rsidRPr="00596869">
        <w:rPr>
          <w:rFonts w:ascii="Times New Roman" w:hAnsi="Times New Roman"/>
          <w:sz w:val="18"/>
        </w:rPr>
        <w:t>2023</w:t>
      </w:r>
      <w:r>
        <w:rPr>
          <w:rFonts w:ascii="Times New Roman" w:hAnsi="Times New Roman"/>
          <w:sz w:val="18"/>
        </w:rPr>
        <w:t xml:space="preserve"> („Incendiile forestiere în Europa, Orientul Mijlociu și Africa de Nord </w:t>
      </w:r>
      <w:r w:rsidRPr="00596869">
        <w:rPr>
          <w:rFonts w:ascii="Times New Roman" w:hAnsi="Times New Roman"/>
          <w:sz w:val="18"/>
        </w:rPr>
        <w:t>2023</w:t>
      </w:r>
      <w:r>
        <w:rPr>
          <w:rFonts w:ascii="Times New Roman" w:hAnsi="Times New Roman"/>
          <w:sz w:val="18"/>
        </w:rPr>
        <w:t xml:space="preserve">”), </w:t>
      </w:r>
      <w:hyperlink r:id="rId8" w:history="1">
        <w:r w:rsidRPr="00F8753B">
          <w:rPr>
            <w:rStyle w:val="Hyperlink"/>
            <w:rFonts w:ascii="Times New Roman" w:hAnsi="Times New Roman"/>
            <w:sz w:val="18"/>
          </w:rPr>
          <w:t>https://data.effis.emergency.copernicus.eu/effis/reports-and-publications/annual-fire-reports/Annual_Report</w:t>
        </w:r>
      </w:hyperlink>
      <w:r>
        <w:rPr>
          <w:rFonts w:ascii="Times New Roman" w:hAnsi="Times New Roman"/>
          <w:sz w:val="18"/>
        </w:rPr>
        <w:t>_</w:t>
      </w:r>
      <w:r w:rsidRPr="00596869">
        <w:rPr>
          <w:rFonts w:ascii="Times New Roman" w:hAnsi="Times New Roman"/>
          <w:sz w:val="18"/>
        </w:rPr>
        <w:t>2023</w:t>
      </w:r>
      <w:r>
        <w:rPr>
          <w:rFonts w:ascii="Times New Roman" w:hAnsi="Times New Roman"/>
          <w:sz w:val="18"/>
        </w:rPr>
        <w:t>.pdf, p. </w:t>
      </w:r>
      <w:r w:rsidRPr="00596869">
        <w:rPr>
          <w:rFonts w:ascii="Times New Roman" w:hAnsi="Times New Roman"/>
          <w:sz w:val="18"/>
        </w:rPr>
        <w:t>6</w:t>
      </w:r>
      <w:r>
        <w:rPr>
          <w:rFonts w:ascii="Times New Roman" w:hAnsi="Times New Roman"/>
          <w:sz w:val="18"/>
        </w:rPr>
        <w:t xml:space="preserve">.   </w:t>
      </w:r>
    </w:p>
  </w:footnote>
  <w:footnote w:id="12">
    <w:p w14:paraId="58C84AE6"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De exemplu, măsuri legate de amenajarea teritoriului și gestionarea terenurilor, de protecția civilă sau de codurile privind construcțiile.</w:t>
      </w:r>
    </w:p>
  </w:footnote>
  <w:footnote w:id="13">
    <w:p w14:paraId="16EE2D67"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JOIN(</w:t>
      </w:r>
      <w:r w:rsidRPr="00596869">
        <w:rPr>
          <w:rFonts w:ascii="Times New Roman" w:hAnsi="Times New Roman"/>
          <w:sz w:val="18"/>
        </w:rPr>
        <w:t>2025</w:t>
      </w:r>
      <w:r>
        <w:rPr>
          <w:rFonts w:ascii="Times New Roman" w:hAnsi="Times New Roman"/>
          <w:sz w:val="18"/>
        </w:rPr>
        <w:t>) </w:t>
      </w:r>
      <w:r w:rsidRPr="00596869">
        <w:rPr>
          <w:rFonts w:ascii="Times New Roman" w:hAnsi="Times New Roman"/>
          <w:sz w:val="18"/>
        </w:rPr>
        <w:t>130</w:t>
      </w:r>
      <w:r>
        <w:rPr>
          <w:rFonts w:ascii="Times New Roman" w:hAnsi="Times New Roman"/>
          <w:sz w:val="18"/>
        </w:rPr>
        <w:t xml:space="preserve"> final.</w:t>
      </w:r>
    </w:p>
  </w:footnote>
  <w:footnote w:id="14">
    <w:p w14:paraId="4A5085B6"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Această abordare consolidată este integrată în Strategia privind o Uniune a pregătirii pentru o abordare mai proactivă și globală a pregătirii civile, precum și în viitorul cadru european integrat pentru reziliența la schimbările climatice.</w:t>
      </w:r>
      <w:r w:rsidRPr="00596869">
        <w:rPr>
          <w:rFonts w:ascii="Times New Roman" w:hAnsi="Times New Roman"/>
          <w:b/>
          <w:sz w:val="18"/>
        </w:rPr>
        <w:t xml:space="preserve"> </w:t>
      </w:r>
    </w:p>
  </w:footnote>
  <w:footnote w:id="15">
    <w:p w14:paraId="0E2660ED"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În conformitate cu </w:t>
      </w:r>
      <w:hyperlink r:id="rId9" w:history="1">
        <w:r w:rsidRPr="00F8753B">
          <w:rPr>
            <w:rStyle w:val="Hyperlink"/>
            <w:rFonts w:ascii="Times New Roman" w:hAnsi="Times New Roman"/>
            <w:sz w:val="18"/>
          </w:rPr>
          <w:t>Cadrul de la Sendai pentru reducerea riscurilor de dezastre pentru perioada 2015-2030</w:t>
        </w:r>
      </w:hyperlink>
      <w:r>
        <w:rPr>
          <w:rFonts w:ascii="Times New Roman" w:hAnsi="Times New Roman"/>
          <w:sz w:val="18"/>
        </w:rPr>
        <w:t xml:space="preserve">. </w:t>
      </w:r>
    </w:p>
  </w:footnote>
  <w:footnote w:id="16">
    <w:p w14:paraId="71611459"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EASAC (</w:t>
      </w:r>
      <w:r w:rsidRPr="00596869">
        <w:rPr>
          <w:rFonts w:ascii="Times New Roman" w:hAnsi="Times New Roman"/>
          <w:sz w:val="18"/>
        </w:rPr>
        <w:t>2025</w:t>
      </w:r>
      <w:r>
        <w:rPr>
          <w:rFonts w:ascii="Times New Roman" w:hAnsi="Times New Roman"/>
          <w:sz w:val="18"/>
        </w:rPr>
        <w:t xml:space="preserve">). </w:t>
      </w:r>
      <w:r w:rsidRPr="00596869">
        <w:rPr>
          <w:rFonts w:ascii="Times New Roman" w:hAnsi="Times New Roman"/>
          <w:i/>
          <w:iCs/>
          <w:sz w:val="18"/>
        </w:rPr>
        <w:t>Changing Wildfires:</w:t>
      </w:r>
      <w:r>
        <w:rPr>
          <w:rFonts w:ascii="Times New Roman" w:hAnsi="Times New Roman"/>
          <w:sz w:val="18"/>
        </w:rPr>
        <w:t xml:space="preserve"> </w:t>
      </w:r>
      <w:r w:rsidRPr="00596869">
        <w:rPr>
          <w:rFonts w:ascii="Times New Roman" w:hAnsi="Times New Roman"/>
          <w:i/>
          <w:iCs/>
          <w:sz w:val="18"/>
        </w:rPr>
        <w:t>Policy Options for a Fire-literate and Fire-adapted Europe</w:t>
      </w:r>
      <w:r>
        <w:rPr>
          <w:rFonts w:ascii="Times New Roman" w:hAnsi="Times New Roman"/>
          <w:sz w:val="18"/>
        </w:rPr>
        <w:t xml:space="preserve"> („Schimbarea incendiilor forestiere: opțiuni de politică pentru o Europă educată în materie de incendii și adaptată la acestea”). </w:t>
      </w:r>
    </w:p>
  </w:footnote>
  <w:footnote w:id="17">
    <w:p w14:paraId="345699A3"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Deplasarea sezonieră a persoanelor și a animalelor acestora între pășunile alpine și cele de câmpie.</w:t>
      </w:r>
    </w:p>
  </w:footnote>
  <w:footnote w:id="18">
    <w:p w14:paraId="7950CD11" w14:textId="77777777" w:rsidR="00780E1F" w:rsidRDefault="00535025">
      <w:pPr>
        <w:pStyle w:val="FootnoteText"/>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Pentru mai multe detalii despre acțiunile viitoare pentru peisaje reziliente la schimbările climatice, consultați secțiunea V.</w:t>
      </w:r>
    </w:p>
  </w:footnote>
  <w:footnote w:id="19">
    <w:p w14:paraId="2BD7F0A0"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Cum ar fi plantațiile viticole, livezile și agrosilvicultura.</w:t>
      </w:r>
    </w:p>
  </w:footnote>
  <w:footnote w:id="20">
    <w:p w14:paraId="1636EFE3"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Cum ar fi sprijinul specific pentru venit și plățile pentru zonele care se confruntă cu constrângeri naturale sau alte constrângeri specifice anumitor zone. </w:t>
      </w:r>
    </w:p>
  </w:footnote>
  <w:footnote w:id="21">
    <w:p w14:paraId="549D8F10"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0">
        <w:r w:rsidRPr="00F8753B">
          <w:rPr>
            <w:rStyle w:val="Hyperlink"/>
            <w:rFonts w:ascii="Times New Roman" w:hAnsi="Times New Roman"/>
            <w:sz w:val="18"/>
          </w:rPr>
          <w:t>https://civil-protection-knowledge-network.europa.eu/stories/value-grazing-wildfire-prevention-tool</w:t>
        </w:r>
      </w:hyperlink>
      <w:r>
        <w:rPr>
          <w:rFonts w:ascii="Times New Roman" w:hAnsi="Times New Roman"/>
          <w:sz w:val="18"/>
        </w:rPr>
        <w:t xml:space="preserve">. </w:t>
      </w:r>
    </w:p>
  </w:footnote>
  <w:footnote w:id="22">
    <w:p w14:paraId="3B862A1C"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A se vedea rolul instrumentelor PAC în gestionarea pajiștilor în </w:t>
      </w:r>
      <w:hyperlink r:id="rId11">
        <w:r w:rsidRPr="00F8753B">
          <w:rPr>
            <w:rStyle w:val="Hyperlink"/>
            <w:rFonts w:ascii="Times New Roman" w:hAnsi="Times New Roman"/>
            <w:sz w:val="18"/>
          </w:rPr>
          <w:t>această sinteză privind pajiștile</w:t>
        </w:r>
      </w:hyperlink>
      <w:r>
        <w:rPr>
          <w:rFonts w:ascii="Times New Roman" w:hAnsi="Times New Roman"/>
          <w:sz w:val="18"/>
        </w:rPr>
        <w:t>.</w:t>
      </w:r>
    </w:p>
  </w:footnote>
  <w:footnote w:id="23">
    <w:p w14:paraId="250A5116" w14:textId="77777777" w:rsidR="00780E1F" w:rsidRDefault="00535025">
      <w:pPr>
        <w:pStyle w:val="FootnoteText"/>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Propunere de regulament al Parlamentului European și al Consiliului de instituire a Fondului european pentru coeziune economică, socială și teritorială, agricultură și zone rurale, pescuit și afaceri maritime, prosperitate și securitate pentru perioada </w:t>
      </w:r>
      <w:r w:rsidRPr="00596869">
        <w:rPr>
          <w:rFonts w:ascii="Times New Roman" w:hAnsi="Times New Roman"/>
          <w:sz w:val="18"/>
        </w:rPr>
        <w:t>2028</w:t>
      </w:r>
      <w:r>
        <w:rPr>
          <w:rFonts w:ascii="Times New Roman" w:hAnsi="Times New Roman"/>
          <w:sz w:val="18"/>
        </w:rPr>
        <w:t>-</w:t>
      </w:r>
      <w:r w:rsidRPr="00596869">
        <w:rPr>
          <w:rFonts w:ascii="Times New Roman" w:hAnsi="Times New Roman"/>
          <w:sz w:val="18"/>
        </w:rPr>
        <w:t>2034</w:t>
      </w:r>
      <w:r>
        <w:rPr>
          <w:rFonts w:ascii="Times New Roman" w:hAnsi="Times New Roman"/>
          <w:sz w:val="18"/>
        </w:rPr>
        <w:t xml:space="preserve"> și de modificare a Regulamentului (UE) </w:t>
      </w:r>
      <w:r w:rsidRPr="00596869">
        <w:rPr>
          <w:rFonts w:ascii="Times New Roman" w:hAnsi="Times New Roman"/>
          <w:sz w:val="18"/>
        </w:rPr>
        <w:t>2023</w:t>
      </w:r>
      <w:r>
        <w:rPr>
          <w:rFonts w:ascii="Times New Roman" w:hAnsi="Times New Roman"/>
          <w:sz w:val="18"/>
        </w:rPr>
        <w:t>/</w:t>
      </w:r>
      <w:r w:rsidRPr="00596869">
        <w:rPr>
          <w:rFonts w:ascii="Times New Roman" w:hAnsi="Times New Roman"/>
          <w:sz w:val="18"/>
        </w:rPr>
        <w:t>955</w:t>
      </w:r>
      <w:r>
        <w:rPr>
          <w:rFonts w:ascii="Times New Roman" w:hAnsi="Times New Roman"/>
          <w:sz w:val="18"/>
        </w:rPr>
        <w:t xml:space="preserve"> și a Regulamentului (UE, Euratom) </w:t>
      </w:r>
      <w:r w:rsidRPr="00596869">
        <w:rPr>
          <w:rFonts w:ascii="Times New Roman" w:hAnsi="Times New Roman"/>
          <w:sz w:val="18"/>
        </w:rPr>
        <w:t>2024</w:t>
      </w:r>
      <w:r>
        <w:rPr>
          <w:rFonts w:ascii="Times New Roman" w:hAnsi="Times New Roman"/>
          <w:sz w:val="18"/>
        </w:rPr>
        <w:t>/</w:t>
      </w:r>
      <w:r w:rsidRPr="00596869">
        <w:rPr>
          <w:rFonts w:ascii="Times New Roman" w:hAnsi="Times New Roman"/>
          <w:sz w:val="18"/>
        </w:rPr>
        <w:t>2509</w:t>
      </w:r>
      <w:r>
        <w:rPr>
          <w:rFonts w:ascii="Times New Roman" w:hAnsi="Times New Roman"/>
          <w:sz w:val="18"/>
        </w:rPr>
        <w:t>, COM/</w:t>
      </w:r>
      <w:r w:rsidRPr="00596869">
        <w:rPr>
          <w:rFonts w:ascii="Times New Roman" w:hAnsi="Times New Roman"/>
          <w:sz w:val="18"/>
        </w:rPr>
        <w:t>2025</w:t>
      </w:r>
      <w:r>
        <w:rPr>
          <w:rFonts w:ascii="Times New Roman" w:hAnsi="Times New Roman"/>
          <w:sz w:val="18"/>
        </w:rPr>
        <w:t>/</w:t>
      </w:r>
      <w:r w:rsidRPr="00596869">
        <w:rPr>
          <w:rFonts w:ascii="Times New Roman" w:hAnsi="Times New Roman"/>
          <w:sz w:val="18"/>
        </w:rPr>
        <w:t>565</w:t>
      </w:r>
      <w:r>
        <w:rPr>
          <w:rFonts w:ascii="Times New Roman" w:hAnsi="Times New Roman"/>
          <w:sz w:val="18"/>
        </w:rPr>
        <w:t xml:space="preserve"> final.</w:t>
      </w:r>
    </w:p>
  </w:footnote>
  <w:footnote w:id="24">
    <w:p w14:paraId="17D57576"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https://www.eea.europa.eu/en/analysis/publications/nature-based-solutions-for-fire-resilient-european-forests</w:t>
      </w:r>
      <w:r>
        <w:t>.</w:t>
      </w:r>
    </w:p>
  </w:footnote>
  <w:footnote w:id="25">
    <w:p w14:paraId="7307F9BE"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Regulamentul (UE) </w:t>
      </w:r>
      <w:r w:rsidRPr="00596869">
        <w:rPr>
          <w:rFonts w:ascii="Times New Roman" w:hAnsi="Times New Roman"/>
          <w:sz w:val="18"/>
        </w:rPr>
        <w:t>2024</w:t>
      </w:r>
      <w:r>
        <w:rPr>
          <w:rFonts w:ascii="Times New Roman" w:hAnsi="Times New Roman"/>
          <w:sz w:val="18"/>
        </w:rPr>
        <w:t>/</w:t>
      </w:r>
      <w:r w:rsidRPr="00596869">
        <w:rPr>
          <w:rFonts w:ascii="Times New Roman" w:hAnsi="Times New Roman"/>
          <w:sz w:val="18"/>
        </w:rPr>
        <w:t>1991</w:t>
      </w:r>
      <w:r>
        <w:rPr>
          <w:rFonts w:ascii="Times New Roman" w:hAnsi="Times New Roman"/>
          <w:sz w:val="18"/>
        </w:rPr>
        <w:t xml:space="preserve"> al Parlamentului European și al Consiliului din </w:t>
      </w:r>
      <w:r w:rsidRPr="00596869">
        <w:rPr>
          <w:rFonts w:ascii="Times New Roman" w:hAnsi="Times New Roman"/>
          <w:sz w:val="18"/>
        </w:rPr>
        <w:t>24</w:t>
      </w:r>
      <w:r>
        <w:rPr>
          <w:rFonts w:ascii="Times New Roman" w:hAnsi="Times New Roman"/>
          <w:sz w:val="18"/>
        </w:rPr>
        <w:t> iunie </w:t>
      </w:r>
      <w:r w:rsidRPr="00596869">
        <w:rPr>
          <w:rFonts w:ascii="Times New Roman" w:hAnsi="Times New Roman"/>
          <w:sz w:val="18"/>
        </w:rPr>
        <w:t>2024</w:t>
      </w:r>
      <w:r>
        <w:rPr>
          <w:rFonts w:ascii="Times New Roman" w:hAnsi="Times New Roman"/>
          <w:sz w:val="18"/>
        </w:rPr>
        <w:t xml:space="preserve"> privind restaurarea naturii și de modificare a Regulamentului (UE) </w:t>
      </w:r>
      <w:r w:rsidRPr="00596869">
        <w:rPr>
          <w:rFonts w:ascii="Times New Roman" w:hAnsi="Times New Roman"/>
          <w:sz w:val="18"/>
        </w:rPr>
        <w:t>2022</w:t>
      </w:r>
      <w:r>
        <w:rPr>
          <w:rFonts w:ascii="Times New Roman" w:hAnsi="Times New Roman"/>
          <w:sz w:val="18"/>
        </w:rPr>
        <w:t>/</w:t>
      </w:r>
      <w:r w:rsidRPr="00596869">
        <w:rPr>
          <w:rFonts w:ascii="Times New Roman" w:hAnsi="Times New Roman"/>
          <w:sz w:val="18"/>
        </w:rPr>
        <w:t>869</w:t>
      </w:r>
      <w:r>
        <w:rPr>
          <w:rFonts w:ascii="Times New Roman" w:hAnsi="Times New Roman"/>
          <w:sz w:val="18"/>
        </w:rPr>
        <w:t>.</w:t>
      </w:r>
    </w:p>
  </w:footnote>
  <w:footnote w:id="26">
    <w:p w14:paraId="1404F1FA"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2">
        <w:r w:rsidRPr="00F8753B">
          <w:rPr>
            <w:rStyle w:val="Hyperlink"/>
            <w:rFonts w:ascii="Times New Roman" w:hAnsi="Times New Roman"/>
            <w:sz w:val="18"/>
          </w:rPr>
          <w:t>https://op.europa.eu/ro/publication-detail/-/publication/1c4561c7-7c54-11ee-99ba-01aa75ed71a1</w:t>
        </w:r>
      </w:hyperlink>
      <w:r>
        <w:rPr>
          <w:rFonts w:ascii="Times New Roman" w:hAnsi="Times New Roman"/>
          <w:sz w:val="18"/>
        </w:rPr>
        <w:t xml:space="preserve">. </w:t>
      </w:r>
    </w:p>
  </w:footnote>
  <w:footnote w:id="27">
    <w:p w14:paraId="1CC3B25A" w14:textId="77777777" w:rsidR="00780E1F" w:rsidRPr="00596869" w:rsidRDefault="00535025">
      <w:pPr>
        <w:pStyle w:val="FootnoteText"/>
        <w:rPr>
          <w:rFonts w:ascii="Times New Roman" w:hAnsi="Times New Roman" w:cs="Times New Roman"/>
          <w:i/>
          <w:iCs/>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Comunicare a Comisiei către Parlamentul European, Consiliu, Comitetul Economic și Social European și Comitetul Regiunilor – </w:t>
      </w:r>
      <w:r w:rsidRPr="00596869">
        <w:rPr>
          <w:rFonts w:ascii="Times New Roman" w:hAnsi="Times New Roman"/>
          <w:i/>
          <w:sz w:val="18"/>
        </w:rPr>
        <w:t>O Strategie europeană pentru reziliența în domeniul apei</w:t>
      </w:r>
      <w:r>
        <w:rPr>
          <w:rFonts w:ascii="Times New Roman" w:hAnsi="Times New Roman"/>
          <w:sz w:val="18"/>
        </w:rPr>
        <w:t>.</w:t>
      </w:r>
    </w:p>
  </w:footnote>
  <w:footnote w:id="28">
    <w:p w14:paraId="1A9DF8D2" w14:textId="77777777" w:rsidR="00780E1F" w:rsidRPr="00596869" w:rsidRDefault="00535025">
      <w:pPr>
        <w:pStyle w:val="FootnoteText"/>
        <w:rPr>
          <w:rFonts w:ascii="Times New Roman" w:hAnsi="Times New Roman" w:cs="Times New Roman"/>
          <w:b/>
          <w:bCs/>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Pe baza raportului Comisiei (</w:t>
      </w:r>
      <w:r w:rsidRPr="00596869">
        <w:rPr>
          <w:rFonts w:ascii="Times New Roman" w:hAnsi="Times New Roman"/>
          <w:sz w:val="18"/>
        </w:rPr>
        <w:t>2021</w:t>
      </w:r>
      <w:r>
        <w:rPr>
          <w:rFonts w:ascii="Times New Roman" w:hAnsi="Times New Roman"/>
          <w:sz w:val="18"/>
        </w:rPr>
        <w:t xml:space="preserve">) intitulat </w:t>
      </w:r>
      <w:r w:rsidRPr="00596869">
        <w:rPr>
          <w:rFonts w:ascii="Times New Roman" w:hAnsi="Times New Roman"/>
          <w:i/>
          <w:sz w:val="18"/>
        </w:rPr>
        <w:t>„Land-based wildfire prevention”</w:t>
      </w:r>
      <w:r>
        <w:rPr>
          <w:rFonts w:ascii="Times New Roman" w:hAnsi="Times New Roman"/>
          <w:sz w:val="18"/>
        </w:rPr>
        <w:t xml:space="preserve"> („Prevenirea incendiilor de vegetație de origine terestră”) </w:t>
      </w:r>
      <w:hyperlink r:id="rId13">
        <w:r w:rsidRPr="00F8753B">
          <w:rPr>
            <w:rStyle w:val="Hyperlink"/>
            <w:rFonts w:ascii="Times New Roman" w:hAnsi="Times New Roman"/>
            <w:sz w:val="18"/>
          </w:rPr>
          <w:t>https://op.europa.eu/ro/publication-detail/-/publication/4e6cc1f1-8b8a-11eb-b85c-01aa75ed71a1</w:t>
        </w:r>
      </w:hyperlink>
      <w:r>
        <w:rPr>
          <w:rFonts w:ascii="Times New Roman" w:hAnsi="Times New Roman"/>
          <w:sz w:val="18"/>
        </w:rPr>
        <w:t xml:space="preserve">. </w:t>
      </w:r>
    </w:p>
  </w:footnote>
  <w:footnote w:id="29">
    <w:p w14:paraId="395F46C3"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4">
        <w:r w:rsidRPr="00F8753B">
          <w:rPr>
            <w:rStyle w:val="Hyperlink"/>
            <w:rFonts w:ascii="Times New Roman" w:hAnsi="Times New Roman"/>
            <w:sz w:val="18"/>
          </w:rPr>
          <w:t>https://eur-lex.europa.eu/legal-content/RO/TXT/PDF/?uri=COM:2025:2:FIN</w:t>
        </w:r>
      </w:hyperlink>
      <w:r>
        <w:rPr>
          <w:rFonts w:ascii="Times New Roman" w:hAnsi="Times New Roman"/>
          <w:sz w:val="18"/>
        </w:rPr>
        <w:t xml:space="preserve">. </w:t>
      </w:r>
    </w:p>
  </w:footnote>
  <w:footnote w:id="30">
    <w:p w14:paraId="172A82B4"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Curtea de Conturi Europeană. </w:t>
      </w:r>
      <w:r w:rsidRPr="00596869">
        <w:rPr>
          <w:rFonts w:ascii="Times New Roman" w:hAnsi="Times New Roman"/>
          <w:i/>
          <w:sz w:val="18"/>
        </w:rPr>
        <w:t>Raportul special 16/2025: Finanțarea din partea UE pentru combaterea incendiilor forestiere.</w:t>
      </w:r>
    </w:p>
  </w:footnote>
  <w:footnote w:id="31">
    <w:p w14:paraId="54E50164"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5" w:history="1">
        <w:r w:rsidRPr="00F8753B">
          <w:rPr>
            <w:rStyle w:val="Hyperlink"/>
            <w:rFonts w:ascii="Times New Roman" w:hAnsi="Times New Roman"/>
            <w:sz w:val="18"/>
          </w:rPr>
          <w:t>https://commission.europa.eu/funding-tenders/find-funding/eu-funding-programmes/technical-support-instrument/technical-support-instrument-tsi_en</w:t>
        </w:r>
      </w:hyperlink>
      <w:r>
        <w:rPr>
          <w:rFonts w:ascii="Times New Roman" w:hAnsi="Times New Roman"/>
          <w:sz w:val="18"/>
        </w:rPr>
        <w:t xml:space="preserve">. </w:t>
      </w:r>
    </w:p>
  </w:footnote>
  <w:footnote w:id="32">
    <w:p w14:paraId="70733689"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6" w:history="1">
        <w:r w:rsidRPr="00F8753B">
          <w:rPr>
            <w:rStyle w:val="Hyperlink"/>
            <w:rFonts w:ascii="Times New Roman" w:hAnsi="Times New Roman"/>
            <w:sz w:val="18"/>
          </w:rPr>
          <w:t>https://forest-fire.emergency.copernicus.eu/</w:t>
        </w:r>
      </w:hyperlink>
      <w:r>
        <w:rPr>
          <w:rFonts w:ascii="Times New Roman" w:hAnsi="Times New Roman"/>
          <w:sz w:val="18"/>
        </w:rPr>
        <w:t xml:space="preserve">. </w:t>
      </w:r>
    </w:p>
  </w:footnote>
  <w:footnote w:id="33">
    <w:p w14:paraId="0F00247A"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De exemplu, Copernicus Sentinel-</w:t>
      </w:r>
      <w:r w:rsidRPr="00596869">
        <w:rPr>
          <w:rFonts w:ascii="Times New Roman" w:hAnsi="Times New Roman"/>
          <w:sz w:val="18"/>
        </w:rPr>
        <w:t>3</w:t>
      </w:r>
      <w:r>
        <w:rPr>
          <w:rFonts w:ascii="Times New Roman" w:hAnsi="Times New Roman"/>
          <w:sz w:val="18"/>
        </w:rPr>
        <w:t xml:space="preserve"> și Geostationary Meteosat Third Generation.</w:t>
      </w:r>
    </w:p>
  </w:footnote>
  <w:footnote w:id="34">
    <w:p w14:paraId="138415CB"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Raportare pe baza Deciziei nr. </w:t>
      </w:r>
      <w:r w:rsidRPr="00596869">
        <w:rPr>
          <w:rFonts w:ascii="Times New Roman" w:hAnsi="Times New Roman"/>
          <w:sz w:val="18"/>
        </w:rPr>
        <w:t>1313</w:t>
      </w:r>
      <w:r>
        <w:rPr>
          <w:rFonts w:ascii="Times New Roman" w:hAnsi="Times New Roman"/>
          <w:sz w:val="18"/>
        </w:rPr>
        <w:t>/</w:t>
      </w:r>
      <w:r w:rsidRPr="00596869">
        <w:rPr>
          <w:rFonts w:ascii="Times New Roman" w:hAnsi="Times New Roman"/>
          <w:sz w:val="18"/>
        </w:rPr>
        <w:t>2013</w:t>
      </w:r>
      <w:r>
        <w:rPr>
          <w:rFonts w:ascii="Times New Roman" w:hAnsi="Times New Roman"/>
          <w:sz w:val="18"/>
        </w:rPr>
        <w:t xml:space="preserve">/UE. </w:t>
      </w:r>
    </w:p>
  </w:footnote>
  <w:footnote w:id="35">
    <w:p w14:paraId="4D44CC6F"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Două proiecte finanțate de UE au analizat comportamentul incendiilor forestiere extreme: „</w:t>
      </w:r>
      <w:r w:rsidRPr="00596869">
        <w:rPr>
          <w:rFonts w:ascii="Times New Roman" w:hAnsi="Times New Roman"/>
          <w:i/>
          <w:iCs/>
          <w:sz w:val="18"/>
        </w:rPr>
        <w:t>UCPM EWED – Extreme Wildfire Events Data Hub for Improved Decision Making</w:t>
      </w:r>
      <w:r>
        <w:rPr>
          <w:rFonts w:ascii="Times New Roman" w:hAnsi="Times New Roman"/>
          <w:sz w:val="18"/>
        </w:rPr>
        <w:t xml:space="preserve">” („UCPM EWED – Platforma de date privind incendiile forestiere extreme pentru îmbunătățirea procesului decizional”), </w:t>
      </w:r>
      <w:hyperlink r:id="rId17">
        <w:r w:rsidRPr="00F8753B">
          <w:rPr>
            <w:rStyle w:val="Hyperlink"/>
            <w:rFonts w:ascii="Times New Roman" w:hAnsi="Times New Roman"/>
            <w:sz w:val="18"/>
          </w:rPr>
          <w:t>https://civil-protection-knowledge-network.europa.eu/projects/ewed</w:t>
        </w:r>
      </w:hyperlink>
      <w:r>
        <w:rPr>
          <w:rFonts w:ascii="Times New Roman" w:hAnsi="Times New Roman"/>
          <w:sz w:val="18"/>
        </w:rPr>
        <w:t>, și acțiunea COST intitulată „</w:t>
      </w:r>
      <w:r w:rsidRPr="00596869">
        <w:rPr>
          <w:rFonts w:ascii="Times New Roman" w:hAnsi="Times New Roman"/>
          <w:i/>
          <w:iCs/>
          <w:sz w:val="18"/>
        </w:rPr>
        <w:t>NERO - European Network on Extreme Fi</w:t>
      </w:r>
      <w:r w:rsidRPr="00F8753B">
        <w:rPr>
          <w:rFonts w:ascii="Times New Roman" w:hAnsi="Times New Roman"/>
          <w:i/>
          <w:iCs/>
          <w:sz w:val="18"/>
          <w:u w:val="single"/>
        </w:rPr>
        <w:t>r</w:t>
      </w:r>
      <w:r w:rsidRPr="00596869">
        <w:rPr>
          <w:rFonts w:ascii="Times New Roman" w:hAnsi="Times New Roman"/>
          <w:i/>
          <w:iCs/>
          <w:sz w:val="18"/>
        </w:rPr>
        <w:t>e Behavi</w:t>
      </w:r>
      <w:r w:rsidRPr="00F8753B">
        <w:rPr>
          <w:rFonts w:ascii="Times New Roman" w:hAnsi="Times New Roman"/>
          <w:i/>
          <w:iCs/>
          <w:sz w:val="18"/>
          <w:u w:val="single"/>
        </w:rPr>
        <w:t>o</w:t>
      </w:r>
      <w:r w:rsidRPr="00596869">
        <w:rPr>
          <w:rFonts w:ascii="Times New Roman" w:hAnsi="Times New Roman"/>
          <w:i/>
          <w:iCs/>
          <w:sz w:val="18"/>
        </w:rPr>
        <w:t>ur</w:t>
      </w:r>
      <w:r>
        <w:rPr>
          <w:rFonts w:ascii="Times New Roman" w:hAnsi="Times New Roman"/>
          <w:sz w:val="18"/>
        </w:rPr>
        <w:t xml:space="preserve">” („NERO – Rețeaua europeană privind comportamentul incendiilor extreme”), </w:t>
      </w:r>
      <w:hyperlink r:id="rId18">
        <w:r w:rsidRPr="00F8753B">
          <w:rPr>
            <w:rStyle w:val="Hyperlink"/>
            <w:rFonts w:ascii="Times New Roman" w:hAnsi="Times New Roman"/>
            <w:sz w:val="18"/>
          </w:rPr>
          <w:t>https://www.cost.eu/nero-extreme-fire-behaviour/</w:t>
        </w:r>
      </w:hyperlink>
      <w:r>
        <w:rPr>
          <w:rFonts w:ascii="Times New Roman" w:hAnsi="Times New Roman"/>
          <w:sz w:val="18"/>
        </w:rPr>
        <w:t xml:space="preserve">. </w:t>
      </w:r>
    </w:p>
  </w:footnote>
  <w:footnote w:id="36">
    <w:p w14:paraId="6363A74C"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9">
        <w:r w:rsidRPr="00F8753B">
          <w:rPr>
            <w:rStyle w:val="Hyperlink"/>
            <w:rFonts w:ascii="Times New Roman" w:hAnsi="Times New Roman"/>
            <w:sz w:val="18"/>
          </w:rPr>
          <w:t>Bune practici de conștientizare a riscurilor de incendii forestiere</w:t>
        </w:r>
      </w:hyperlink>
      <w:r>
        <w:rPr>
          <w:rFonts w:ascii="Times New Roman" w:hAnsi="Times New Roman"/>
          <w:sz w:val="18"/>
        </w:rPr>
        <w:t>.</w:t>
      </w:r>
    </w:p>
  </w:footnote>
  <w:footnote w:id="37">
    <w:p w14:paraId="0115FACF"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0">
        <w:r w:rsidRPr="00F8753B">
          <w:rPr>
            <w:rStyle w:val="Hyperlink"/>
            <w:rFonts w:ascii="Times New Roman" w:hAnsi="Times New Roman"/>
            <w:sz w:val="18"/>
          </w:rPr>
          <w:t>Egalitate și incluziune:</w:t>
        </w:r>
      </w:hyperlink>
      <w:hyperlink r:id="rId21">
        <w:r w:rsidRPr="00F8753B">
          <w:rPr>
            <w:rStyle w:val="Hyperlink"/>
            <w:rFonts w:ascii="Times New Roman" w:hAnsi="Times New Roman"/>
            <w:sz w:val="18"/>
          </w:rPr>
          <w:t xml:space="preserve"> acțiuni-cheie – Comisia Europeană</w:t>
        </w:r>
      </w:hyperlink>
      <w:r>
        <w:t>.</w:t>
      </w:r>
    </w:p>
  </w:footnote>
  <w:footnote w:id="38">
    <w:p w14:paraId="434395C4"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2" w:history="1">
        <w:r w:rsidRPr="00F8753B">
          <w:rPr>
            <w:rStyle w:val="Hyperlink"/>
            <w:rFonts w:ascii="Times New Roman" w:hAnsi="Times New Roman"/>
            <w:sz w:val="18"/>
          </w:rPr>
          <w:t>https://civil-protection-knowledge-network.europa.eu/stories/safe-village-safe-people-working-local-community</w:t>
        </w:r>
      </w:hyperlink>
      <w:r>
        <w:rPr>
          <w:rFonts w:ascii="Times New Roman" w:hAnsi="Times New Roman"/>
          <w:sz w:val="18"/>
        </w:rPr>
        <w:t xml:space="preserve">. </w:t>
      </w:r>
    </w:p>
  </w:footnote>
  <w:footnote w:id="39">
    <w:p w14:paraId="12D54D62"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Style w:val="FootnoteReference"/>
          <w:rFonts w:ascii="Times New Roman" w:hAnsi="Times New Roman"/>
          <w:sz w:val="18"/>
        </w:rPr>
        <w:t xml:space="preserve"> </w:t>
      </w:r>
      <w:hyperlink r:id="rId23" w:history="1">
        <w:r w:rsidRPr="00F8753B">
          <w:rPr>
            <w:rStyle w:val="Hyperlink"/>
            <w:rFonts w:ascii="Times New Roman" w:hAnsi="Times New Roman"/>
            <w:sz w:val="18"/>
          </w:rPr>
          <w:t>https://op.europa.eu/ro/publication-detail/-/publication/682883e5-005d-11f1-825d-01aa75ed71a1/language-ro</w:t>
        </w:r>
      </w:hyperlink>
      <w:r>
        <w:rPr>
          <w:rFonts w:ascii="Times New Roman" w:hAnsi="Times New Roman"/>
          <w:sz w:val="18"/>
        </w:rPr>
        <w:t>.</w:t>
      </w:r>
    </w:p>
  </w:footnote>
  <w:footnote w:id="40">
    <w:p w14:paraId="1C066AFE"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Proiectul UE FIREPRIME a dezvoltat o aplicație care le oferă locuitorilor din zonele de interfață între zonele sălbatice și cele urbane un instrument pentru înțelegerea riscurilor și evaluarea vulnerabilității locuințelor lor la incendii forestiere, </w:t>
      </w:r>
      <w:hyperlink r:id="rId24">
        <w:r w:rsidRPr="00F8753B">
          <w:rPr>
            <w:rStyle w:val="Hyperlink"/>
            <w:rFonts w:ascii="Times New Roman" w:hAnsi="Times New Roman"/>
            <w:sz w:val="18"/>
          </w:rPr>
          <w:t>https://civil-protection-knowledge-network.europa.eu/projects/fireprime</w:t>
        </w:r>
      </w:hyperlink>
      <w:r>
        <w:rPr>
          <w:rFonts w:ascii="Times New Roman" w:hAnsi="Times New Roman"/>
          <w:sz w:val="18"/>
        </w:rPr>
        <w:t>.</w:t>
      </w:r>
    </w:p>
  </w:footnote>
  <w:footnote w:id="41">
    <w:p w14:paraId="3D434334" w14:textId="77777777" w:rsidR="00780E1F" w:rsidRDefault="00535025">
      <w:pPr>
        <w:pStyle w:val="FootnoteText"/>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Abordarea atât a organizațiilor de tineret, cât și a voluntarilor prin intermediul programului „Corpul european de solidaritate”, precum și al programelor intraeuropene de mobilitate și de schimb de cunoștințe pentru școli și instituții de formare, în special prin intermediul programului Erasmus+.</w:t>
      </w:r>
    </w:p>
  </w:footnote>
  <w:footnote w:id="42">
    <w:p w14:paraId="5875ECD1"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Proiectul Empower-Citizens (</w:t>
      </w:r>
      <w:hyperlink r:id="rId25">
        <w:r w:rsidRPr="00F8753B">
          <w:rPr>
            <w:rStyle w:val="Hyperlink"/>
            <w:rFonts w:ascii="Times New Roman" w:hAnsi="Times New Roman"/>
            <w:sz w:val="18"/>
          </w:rPr>
          <w:t>https://civil-protection-knowledge-network.europa.eu/projects/empower-citizens</w:t>
        </w:r>
      </w:hyperlink>
      <w:r>
        <w:rPr>
          <w:rFonts w:ascii="Times New Roman" w:hAnsi="Times New Roman"/>
          <w:sz w:val="18"/>
        </w:rPr>
        <w:t>) va integra experiența cetățenilor în procesul de elaborare și revizuire a planurilor de pregătire și va implica în mod activ publicul în activitățile de pregătire.</w:t>
      </w:r>
    </w:p>
  </w:footnote>
  <w:footnote w:id="43">
    <w:p w14:paraId="3F0B0057"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Proiectul </w:t>
      </w:r>
      <w:hyperlink r:id="rId26">
        <w:r w:rsidRPr="00F8753B">
          <w:rPr>
            <w:rStyle w:val="Hyperlink"/>
            <w:rFonts w:ascii="Times New Roman" w:hAnsi="Times New Roman"/>
            <w:sz w:val="18"/>
          </w:rPr>
          <w:t>SparklePlay</w:t>
        </w:r>
      </w:hyperlink>
      <w:r>
        <w:rPr>
          <w:rFonts w:ascii="Times New Roman" w:hAnsi="Times New Roman"/>
          <w:sz w:val="18"/>
        </w:rPr>
        <w:t xml:space="preserve"> (</w:t>
      </w:r>
      <w:hyperlink r:id="rId27">
        <w:r w:rsidRPr="00F8753B">
          <w:rPr>
            <w:rStyle w:val="Hyperlink"/>
            <w:rFonts w:ascii="Times New Roman" w:hAnsi="Times New Roman"/>
            <w:sz w:val="18"/>
          </w:rPr>
          <w:t>https://civil-protection-knowledge-network.europa.eu/projects/sparklefire</w:t>
        </w:r>
      </w:hyperlink>
      <w:r>
        <w:rPr>
          <w:rFonts w:ascii="Times New Roman" w:hAnsi="Times New Roman"/>
          <w:sz w:val="18"/>
        </w:rPr>
        <w:t>) va dezvolta un set de jocuri serioase pentru a sensibiliza utilizatorii finali cu privire la riscurile de incendii forestiere și pentru a promova o cultură a prevenirii și pregătirii.</w:t>
      </w:r>
    </w:p>
  </w:footnote>
  <w:footnote w:id="44">
    <w:p w14:paraId="2418F175" w14:textId="77777777" w:rsidR="00780E1F" w:rsidRDefault="00535025">
      <w:pPr>
        <w:pStyle w:val="FootnoteText"/>
        <w:rPr>
          <w:rFonts w:ascii="Times New Roman" w:hAnsi="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8">
        <w:r w:rsidRPr="00F8753B">
          <w:rPr>
            <w:rStyle w:val="Hyperlink"/>
            <w:rFonts w:ascii="Times New Roman" w:hAnsi="Times New Roman"/>
            <w:sz w:val="18"/>
          </w:rPr>
          <w:t>https://citizens.ec.europa.eu/online-debate-preparedness_ro</w:t>
        </w:r>
      </w:hyperlink>
      <w:r>
        <w:rPr>
          <w:rFonts w:ascii="Times New Roman" w:hAnsi="Times New Roman"/>
          <w:sz w:val="18"/>
        </w:rPr>
        <w:t xml:space="preserve">. </w:t>
      </w:r>
    </w:p>
  </w:footnote>
  <w:footnote w:id="45">
    <w:p w14:paraId="6BF3E5E6"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9">
        <w:r w:rsidRPr="00F8753B">
          <w:rPr>
            <w:rStyle w:val="Hyperlink"/>
            <w:rFonts w:ascii="Times New Roman" w:hAnsi="Times New Roman"/>
            <w:sz w:val="18"/>
          </w:rPr>
          <w:t>https://www.epsu.org/article/firefighters-continue-face-workforce-challenge</w:t>
        </w:r>
      </w:hyperlink>
      <w:hyperlink r:id="rId30">
        <w:r w:rsidRPr="00F8753B">
          <w:rPr>
            <w:rStyle w:val="Hyperlink"/>
            <w:rFonts w:ascii="Times New Roman" w:hAnsi="Times New Roman"/>
            <w:sz w:val="18"/>
          </w:rPr>
          <w:t>https://www.etuc.org/en/pressrelease/firefighters-cut-12-eu-countries-despite-rising-climate-risk</w:t>
        </w:r>
      </w:hyperlink>
      <w:r>
        <w:rPr>
          <w:rFonts w:ascii="Times New Roman" w:hAnsi="Times New Roman"/>
          <w:sz w:val="18"/>
        </w:rPr>
        <w:t xml:space="preserve"> </w:t>
      </w:r>
      <w:hyperlink r:id="rId31" w:anchor=":~:text=%C2%A9%20Prath/Shutterstock.com,2022%20(%E2%82%AC37.4%20billion">
        <w:r w:rsidRPr="00F8753B">
          <w:rPr>
            <w:rStyle w:val="Hyperlink"/>
            <w:rFonts w:ascii="Times New Roman" w:hAnsi="Times New Roman"/>
            <w:sz w:val="18"/>
          </w:rPr>
          <w:t>https://ec.europa.eu/eurostat/web/products-eurostat-news/w/ddn-20250826-1#:~:text=%C2%A9%20Prath/Shutterstock.com,2022%20(%E2%82%AC37.4%20billion</w:t>
        </w:r>
      </w:hyperlink>
      <w:r>
        <w:rPr>
          <w:rFonts w:ascii="Times New Roman" w:hAnsi="Times New Roman"/>
          <w:sz w:val="18"/>
        </w:rPr>
        <w:t xml:space="preserve">). </w:t>
      </w:r>
    </w:p>
  </w:footnote>
  <w:footnote w:id="46">
    <w:p w14:paraId="06C7A4F1"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Directiva </w:t>
      </w:r>
      <w:r w:rsidRPr="00596869">
        <w:rPr>
          <w:rFonts w:ascii="Times New Roman" w:hAnsi="Times New Roman"/>
          <w:sz w:val="18"/>
        </w:rPr>
        <w:t>89</w:t>
      </w:r>
      <w:r>
        <w:rPr>
          <w:rFonts w:ascii="Times New Roman" w:hAnsi="Times New Roman"/>
          <w:sz w:val="18"/>
        </w:rPr>
        <w:t>/</w:t>
      </w:r>
      <w:r w:rsidRPr="00596869">
        <w:rPr>
          <w:rFonts w:ascii="Times New Roman" w:hAnsi="Times New Roman"/>
          <w:sz w:val="18"/>
        </w:rPr>
        <w:t>391</w:t>
      </w:r>
      <w:r>
        <w:rPr>
          <w:rFonts w:ascii="Times New Roman" w:hAnsi="Times New Roman"/>
          <w:sz w:val="18"/>
        </w:rPr>
        <w:t xml:space="preserve">/CEE a Consiliului din </w:t>
      </w:r>
      <w:r w:rsidRPr="00596869">
        <w:rPr>
          <w:rFonts w:ascii="Times New Roman" w:hAnsi="Times New Roman"/>
          <w:sz w:val="18"/>
        </w:rPr>
        <w:t>12</w:t>
      </w:r>
      <w:r>
        <w:rPr>
          <w:rFonts w:ascii="Times New Roman" w:hAnsi="Times New Roman"/>
          <w:sz w:val="18"/>
        </w:rPr>
        <w:t xml:space="preserve"> iunie </w:t>
      </w:r>
      <w:r w:rsidRPr="00596869">
        <w:rPr>
          <w:rFonts w:ascii="Times New Roman" w:hAnsi="Times New Roman"/>
          <w:sz w:val="18"/>
        </w:rPr>
        <w:t>1989</w:t>
      </w:r>
      <w:r>
        <w:rPr>
          <w:rFonts w:ascii="Times New Roman" w:hAnsi="Times New Roman"/>
          <w:sz w:val="18"/>
        </w:rPr>
        <w:t xml:space="preserve"> privind punerea în aplicare de măsuri pentru promovarea îmbunătățirii securității și sănătății lucrătorilor la locul de muncă, </w:t>
      </w:r>
      <w:hyperlink r:id="rId32">
        <w:r w:rsidRPr="00F8753B">
          <w:rPr>
            <w:rStyle w:val="Hyperlink"/>
            <w:rFonts w:ascii="Times New Roman" w:hAnsi="Times New Roman"/>
            <w:sz w:val="18"/>
          </w:rPr>
          <w:t>https://eur-lex.europa.eu/legal-content/RO/ALL/?uri=celex:31989L0391</w:t>
        </w:r>
      </w:hyperlink>
      <w:r>
        <w:rPr>
          <w:rFonts w:ascii="Times New Roman" w:hAnsi="Times New Roman"/>
          <w:sz w:val="18"/>
        </w:rPr>
        <w:t xml:space="preserve">. </w:t>
      </w:r>
    </w:p>
  </w:footnote>
  <w:footnote w:id="47">
    <w:p w14:paraId="340F52BF" w14:textId="77777777" w:rsidR="00780E1F" w:rsidRDefault="00535025">
      <w:pPr>
        <w:pStyle w:val="FootnoteText"/>
        <w:rPr>
          <w:rFonts w:ascii="Times New Roman" w:hAnsi="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COM(</w:t>
      </w:r>
      <w:r w:rsidRPr="00596869">
        <w:rPr>
          <w:rFonts w:ascii="Times New Roman" w:hAnsi="Times New Roman"/>
          <w:sz w:val="18"/>
        </w:rPr>
        <w:t>2025</w:t>
      </w:r>
      <w:r>
        <w:rPr>
          <w:rFonts w:ascii="Times New Roman" w:hAnsi="Times New Roman"/>
          <w:sz w:val="18"/>
        </w:rPr>
        <w:t xml:space="preserve">) </w:t>
      </w:r>
      <w:r w:rsidRPr="00596869">
        <w:rPr>
          <w:rFonts w:ascii="Times New Roman" w:hAnsi="Times New Roman"/>
          <w:sz w:val="18"/>
        </w:rPr>
        <w:t>90</w:t>
      </w:r>
      <w:r>
        <w:rPr>
          <w:rFonts w:ascii="Times New Roman" w:hAnsi="Times New Roman"/>
          <w:sz w:val="18"/>
        </w:rPr>
        <w:t xml:space="preserve"> final din </w:t>
      </w:r>
      <w:r w:rsidRPr="00596869">
        <w:rPr>
          <w:rFonts w:ascii="Times New Roman" w:hAnsi="Times New Roman"/>
          <w:sz w:val="18"/>
        </w:rPr>
        <w:t>5</w:t>
      </w:r>
      <w:r>
        <w:rPr>
          <w:rFonts w:ascii="Times New Roman" w:hAnsi="Times New Roman"/>
          <w:sz w:val="18"/>
        </w:rPr>
        <w:t>.</w:t>
      </w:r>
      <w:r w:rsidRPr="00596869">
        <w:rPr>
          <w:rFonts w:ascii="Times New Roman" w:hAnsi="Times New Roman"/>
          <w:sz w:val="18"/>
        </w:rPr>
        <w:t>3</w:t>
      </w:r>
      <w:r>
        <w:rPr>
          <w:rFonts w:ascii="Times New Roman" w:hAnsi="Times New Roman"/>
          <w:sz w:val="18"/>
        </w:rPr>
        <w:t>.</w:t>
      </w:r>
      <w:r w:rsidRPr="00596869">
        <w:rPr>
          <w:rFonts w:ascii="Times New Roman" w:hAnsi="Times New Roman"/>
          <w:sz w:val="18"/>
        </w:rPr>
        <w:t>2025</w:t>
      </w:r>
      <w:r>
        <w:rPr>
          <w:rFonts w:ascii="Times New Roman" w:hAnsi="Times New Roman"/>
          <w:sz w:val="18"/>
        </w:rPr>
        <w:t xml:space="preserve">. </w:t>
      </w:r>
    </w:p>
  </w:footnote>
  <w:footnote w:id="48">
    <w:p w14:paraId="4AE62EC5"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3">
        <w:r w:rsidRPr="00F8753B">
          <w:rPr>
            <w:rStyle w:val="Hyperlink"/>
            <w:rFonts w:ascii="Times New Roman" w:hAnsi="Times New Roman"/>
            <w:sz w:val="18"/>
          </w:rPr>
          <w:t>https://european-social-fund-plus.ec.europa.eu/ro.</w:t>
        </w:r>
      </w:hyperlink>
      <w:r>
        <w:rPr>
          <w:rFonts w:ascii="Times New Roman" w:hAnsi="Times New Roman"/>
          <w:sz w:val="18"/>
        </w:rPr>
        <w:t xml:space="preserve"> </w:t>
      </w:r>
    </w:p>
  </w:footnote>
  <w:footnote w:id="49">
    <w:p w14:paraId="7B9D1D0B" w14:textId="77777777" w:rsidR="00780E1F" w:rsidRDefault="00535025">
      <w:pPr>
        <w:pStyle w:val="FootnoteText"/>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Albania, Bosnia și Herțegovina, Islanda, Moldova, Muntenegru, Macedonia de Nord, Norvegia, Serbia, Turcia și Ucraina.</w:t>
      </w:r>
    </w:p>
  </w:footnote>
  <w:footnote w:id="50">
    <w:p w14:paraId="55703B43" w14:textId="77777777" w:rsidR="00780E1F" w:rsidRDefault="00535025">
      <w:pPr>
        <w:pStyle w:val="FootnoteText"/>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Cum ar fi UCPM, fondurile de coeziune și prevenirea, pregătirea și răspunsul la dezastre naturale și provocate de om în țările din vecinătatea sudică a UE (PPRD Mediterana). </w:t>
      </w:r>
    </w:p>
  </w:footnote>
  <w:footnote w:id="51">
    <w:p w14:paraId="4D9E5461" w14:textId="77777777" w:rsidR="00780E1F" w:rsidRDefault="00535025">
      <w:pPr>
        <w:pStyle w:val="FootnoteText"/>
        <w:rPr>
          <w:rStyle w:val="FootnoteReference"/>
          <w:rFonts w:ascii="Times New Roman" w:hAnsi="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4" w:history="1">
        <w:r w:rsidRPr="00F8753B">
          <w:rPr>
            <w:rStyle w:val="Hyperlink"/>
            <w:rFonts w:ascii="Times New Roman" w:hAnsi="Times New Roman"/>
            <w:sz w:val="18"/>
          </w:rPr>
          <w:t>https://civil-protection-knowledge-network.europa.eu/news/prolongation-resceu-transition-adopted</w:t>
        </w:r>
      </w:hyperlink>
      <w:r>
        <w:rPr>
          <w:rFonts w:ascii="Times New Roman" w:hAnsi="Times New Roman"/>
          <w:sz w:val="18"/>
        </w:rPr>
        <w:t>.</w:t>
      </w:r>
      <w:r>
        <w:rPr>
          <w:rStyle w:val="FootnoteReference"/>
          <w:rFonts w:ascii="Times New Roman" w:hAnsi="Times New Roman"/>
          <w:sz w:val="18"/>
        </w:rPr>
        <w:t xml:space="preserve"> </w:t>
      </w:r>
    </w:p>
  </w:footnote>
  <w:footnote w:id="52">
    <w:p w14:paraId="4E17DB50"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r>
        <w:rPr>
          <w:rFonts w:ascii="Times New Roman" w:hAnsi="Times New Roman"/>
          <w:color w:val="222222"/>
          <w:sz w:val="18"/>
          <w:shd w:val="clear" w:color="auto" w:fill="FFFFFF"/>
        </w:rPr>
        <w:t>Vieira, D.C.S., Borrelli, P., Scarpa, S. </w:t>
      </w:r>
      <w:r w:rsidRPr="00596869">
        <w:rPr>
          <w:rFonts w:ascii="Times New Roman" w:hAnsi="Times New Roman"/>
          <w:i/>
          <w:color w:val="222222"/>
          <w:sz w:val="18"/>
          <w:shd w:val="clear" w:color="auto" w:fill="FFFFFF"/>
        </w:rPr>
        <w:t>et al.</w:t>
      </w:r>
      <w:r>
        <w:rPr>
          <w:rFonts w:ascii="Times New Roman" w:hAnsi="Times New Roman"/>
          <w:color w:val="222222"/>
          <w:sz w:val="18"/>
          <w:shd w:val="clear" w:color="auto" w:fill="FFFFFF"/>
        </w:rPr>
        <w:t xml:space="preserve"> Global estimation of post-fire soil erosion („Estimarea eroziunii solului în urma incendiilor la nivel mondial”); </w:t>
      </w:r>
      <w:r w:rsidRPr="00596869">
        <w:rPr>
          <w:rFonts w:ascii="Times New Roman" w:hAnsi="Times New Roman"/>
          <w:i/>
          <w:color w:val="222222"/>
          <w:sz w:val="18"/>
          <w:shd w:val="clear" w:color="auto" w:fill="FFFFFF"/>
        </w:rPr>
        <w:t>Nat. Geosci.</w:t>
      </w:r>
      <w:r>
        <w:rPr>
          <w:rFonts w:ascii="Times New Roman" w:hAnsi="Times New Roman"/>
          <w:color w:val="222222"/>
          <w:sz w:val="18"/>
          <w:shd w:val="clear" w:color="auto" w:fill="FFFFFF"/>
        </w:rPr>
        <w:t> </w:t>
      </w:r>
      <w:r w:rsidRPr="00596869">
        <w:rPr>
          <w:rFonts w:ascii="Times New Roman" w:hAnsi="Times New Roman"/>
          <w:color w:val="222222"/>
          <w:sz w:val="18"/>
          <w:shd w:val="clear" w:color="auto" w:fill="FFFFFF"/>
        </w:rPr>
        <w:t>19</w:t>
      </w:r>
      <w:r>
        <w:rPr>
          <w:rFonts w:ascii="Times New Roman" w:hAnsi="Times New Roman"/>
          <w:color w:val="222222"/>
          <w:sz w:val="18"/>
          <w:shd w:val="clear" w:color="auto" w:fill="FFFFFF"/>
        </w:rPr>
        <w:t xml:space="preserve">, </w:t>
      </w:r>
      <w:r w:rsidRPr="00596869">
        <w:rPr>
          <w:rFonts w:ascii="Times New Roman" w:hAnsi="Times New Roman"/>
          <w:color w:val="222222"/>
          <w:sz w:val="18"/>
          <w:shd w:val="clear" w:color="auto" w:fill="FFFFFF"/>
        </w:rPr>
        <w:t>59</w:t>
      </w:r>
      <w:r>
        <w:rPr>
          <w:rFonts w:ascii="Times New Roman" w:hAnsi="Times New Roman"/>
          <w:color w:val="222222"/>
          <w:sz w:val="18"/>
          <w:shd w:val="clear" w:color="auto" w:fill="FFFFFF"/>
        </w:rPr>
        <w:t>–</w:t>
      </w:r>
      <w:r w:rsidRPr="00596869">
        <w:rPr>
          <w:rFonts w:ascii="Times New Roman" w:hAnsi="Times New Roman"/>
          <w:color w:val="222222"/>
          <w:sz w:val="18"/>
          <w:shd w:val="clear" w:color="auto" w:fill="FFFFFF"/>
        </w:rPr>
        <w:t>67</w:t>
      </w:r>
      <w:r>
        <w:rPr>
          <w:rFonts w:ascii="Times New Roman" w:hAnsi="Times New Roman"/>
          <w:color w:val="222222"/>
          <w:sz w:val="18"/>
          <w:shd w:val="clear" w:color="auto" w:fill="FFFFFF"/>
        </w:rPr>
        <w:t xml:space="preserve"> (</w:t>
      </w:r>
      <w:r w:rsidRPr="00596869">
        <w:rPr>
          <w:rFonts w:ascii="Times New Roman" w:hAnsi="Times New Roman"/>
          <w:color w:val="222222"/>
          <w:sz w:val="18"/>
          <w:shd w:val="clear" w:color="auto" w:fill="FFFFFF"/>
        </w:rPr>
        <w:t>2026</w:t>
      </w:r>
      <w:r>
        <w:rPr>
          <w:rFonts w:ascii="Times New Roman" w:hAnsi="Times New Roman"/>
          <w:color w:val="222222"/>
          <w:sz w:val="18"/>
          <w:shd w:val="clear" w:color="auto" w:fill="FFFFFF"/>
        </w:rPr>
        <w:t>)</w:t>
      </w:r>
      <w:r>
        <w:rPr>
          <w:rFonts w:ascii="Times New Roman" w:hAnsi="Times New Roman"/>
          <w:color w:val="222222"/>
          <w:sz w:val="18"/>
        </w:rPr>
        <w:t>,</w:t>
      </w:r>
      <w:r>
        <w:rPr>
          <w:rFonts w:ascii="Times New Roman" w:hAnsi="Times New Roman"/>
          <w:color w:val="222222"/>
          <w:sz w:val="18"/>
          <w:shd w:val="clear" w:color="auto" w:fill="FFFFFF"/>
        </w:rPr>
        <w:t xml:space="preserve"> </w:t>
      </w:r>
      <w:hyperlink r:id="rId35" w:history="1">
        <w:r w:rsidRPr="00F8753B">
          <w:rPr>
            <w:rStyle w:val="Hyperlink"/>
            <w:rFonts w:ascii="Times New Roman" w:hAnsi="Times New Roman"/>
            <w:sz w:val="18"/>
            <w:shd w:val="clear" w:color="auto" w:fill="FFFFFF"/>
          </w:rPr>
          <w:t>https://doi.org/10.1038/s41561-025-01876-0</w:t>
        </w:r>
      </w:hyperlink>
      <w:r>
        <w:rPr>
          <w:rFonts w:ascii="Times New Roman" w:hAnsi="Times New Roman"/>
          <w:color w:val="222222"/>
          <w:sz w:val="18"/>
          <w:shd w:val="clear" w:color="auto" w:fill="FFFFFF"/>
        </w:rPr>
        <w:t xml:space="preserve">. </w:t>
      </w:r>
    </w:p>
  </w:footnote>
  <w:footnote w:id="53">
    <w:p w14:paraId="0445703F"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Propunere de regulament de instituire a Fondului european pentru coeziune economică, socială și teritorială, agricultură și zone rurale, pescuit și afaceri maritime, prosperitate și securitate pentru perioada </w:t>
      </w:r>
      <w:r w:rsidRPr="00596869">
        <w:rPr>
          <w:rFonts w:ascii="Times New Roman" w:hAnsi="Times New Roman"/>
          <w:sz w:val="18"/>
        </w:rPr>
        <w:t>2028</w:t>
      </w:r>
      <w:r>
        <w:rPr>
          <w:rFonts w:ascii="Times New Roman" w:hAnsi="Times New Roman"/>
          <w:sz w:val="18"/>
        </w:rPr>
        <w:t>-</w:t>
      </w:r>
      <w:r w:rsidRPr="00596869">
        <w:rPr>
          <w:rFonts w:ascii="Times New Roman" w:hAnsi="Times New Roman"/>
          <w:sz w:val="18"/>
        </w:rPr>
        <w:t>2034</w:t>
      </w:r>
      <w:r>
        <w:rPr>
          <w:rFonts w:ascii="Times New Roman" w:hAnsi="Times New Roman"/>
          <w:sz w:val="18"/>
        </w:rPr>
        <w:t>.</w:t>
      </w:r>
    </w:p>
  </w:footnote>
  <w:footnote w:id="54">
    <w:p w14:paraId="76EFCEBD" w14:textId="49A8EBD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Regulamentul privind Sprijinul regional de urgență pentru reconstrucție (RESTORE), de modificare a Regulamentelor (UE) </w:t>
      </w:r>
      <w:r w:rsidRPr="00596869">
        <w:rPr>
          <w:rFonts w:ascii="Times New Roman" w:hAnsi="Times New Roman"/>
          <w:sz w:val="18"/>
        </w:rPr>
        <w:t>2021</w:t>
      </w:r>
      <w:r>
        <w:rPr>
          <w:rFonts w:ascii="Times New Roman" w:hAnsi="Times New Roman"/>
          <w:sz w:val="18"/>
        </w:rPr>
        <w:t>/</w:t>
      </w:r>
      <w:r w:rsidRPr="00596869">
        <w:rPr>
          <w:rFonts w:ascii="Times New Roman" w:hAnsi="Times New Roman"/>
          <w:sz w:val="18"/>
        </w:rPr>
        <w:t>1057</w:t>
      </w:r>
      <w:r>
        <w:rPr>
          <w:rFonts w:ascii="Times New Roman" w:hAnsi="Times New Roman"/>
          <w:sz w:val="18"/>
        </w:rPr>
        <w:t xml:space="preserve"> și (UE) </w:t>
      </w:r>
      <w:r w:rsidRPr="00596869">
        <w:rPr>
          <w:rFonts w:ascii="Times New Roman" w:hAnsi="Times New Roman"/>
          <w:sz w:val="18"/>
        </w:rPr>
        <w:t>2021</w:t>
      </w:r>
      <w:r>
        <w:rPr>
          <w:rFonts w:ascii="Times New Roman" w:hAnsi="Times New Roman"/>
          <w:sz w:val="18"/>
        </w:rPr>
        <w:t>/</w:t>
      </w:r>
      <w:r w:rsidRPr="00596869">
        <w:rPr>
          <w:rFonts w:ascii="Times New Roman" w:hAnsi="Times New Roman"/>
          <w:sz w:val="18"/>
        </w:rPr>
        <w:t>1058</w:t>
      </w:r>
      <w:r>
        <w:rPr>
          <w:rFonts w:ascii="Times New Roman" w:hAnsi="Times New Roman"/>
          <w:sz w:val="18"/>
        </w:rPr>
        <w:t xml:space="preserve">, se aplică dezastrelor naturale care au avut loc în perioada </w:t>
      </w:r>
      <w:r w:rsidRPr="00596869">
        <w:rPr>
          <w:rFonts w:ascii="Times New Roman" w:hAnsi="Times New Roman"/>
          <w:sz w:val="18"/>
        </w:rPr>
        <w:t>1</w:t>
      </w:r>
      <w:r>
        <w:rPr>
          <w:rFonts w:ascii="Times New Roman" w:hAnsi="Times New Roman"/>
          <w:sz w:val="18"/>
        </w:rPr>
        <w:t xml:space="preserve"> ianuarie </w:t>
      </w:r>
      <w:r w:rsidRPr="00596869">
        <w:rPr>
          <w:rFonts w:ascii="Times New Roman" w:hAnsi="Times New Roman"/>
          <w:sz w:val="18"/>
        </w:rPr>
        <w:t>2024</w:t>
      </w:r>
      <w:r>
        <w:rPr>
          <w:rFonts w:ascii="Times New Roman" w:hAnsi="Times New Roman"/>
          <w:sz w:val="18"/>
        </w:rPr>
        <w:t>-</w:t>
      </w:r>
      <w:r w:rsidRPr="00596869">
        <w:rPr>
          <w:rFonts w:ascii="Times New Roman" w:hAnsi="Times New Roman"/>
          <w:sz w:val="18"/>
        </w:rPr>
        <w:t>31</w:t>
      </w:r>
      <w:r w:rsidR="00596869">
        <w:rPr>
          <w:rFonts w:ascii="Times New Roman" w:hAnsi="Times New Roman"/>
          <w:sz w:val="18"/>
        </w:rPr>
        <w:t> </w:t>
      </w:r>
      <w:r>
        <w:rPr>
          <w:rFonts w:ascii="Times New Roman" w:hAnsi="Times New Roman"/>
          <w:sz w:val="18"/>
        </w:rPr>
        <w:t>decembrie</w:t>
      </w:r>
      <w:r w:rsidR="00596869">
        <w:rPr>
          <w:rFonts w:ascii="Times New Roman" w:hAnsi="Times New Roman"/>
          <w:sz w:val="18"/>
        </w:rPr>
        <w:t> </w:t>
      </w:r>
      <w:r w:rsidRPr="00596869">
        <w:rPr>
          <w:rFonts w:ascii="Times New Roman" w:hAnsi="Times New Roman"/>
          <w:sz w:val="18"/>
        </w:rPr>
        <w:t>2025</w:t>
      </w:r>
      <w:r>
        <w:rPr>
          <w:rFonts w:ascii="Times New Roman" w:hAnsi="Times New Roman"/>
          <w:sz w:val="18"/>
        </w:rPr>
        <w:t>.</w:t>
      </w:r>
    </w:p>
  </w:footnote>
  <w:footnote w:id="55">
    <w:p w14:paraId="68DB2F27" w14:textId="77777777" w:rsidR="00780E1F" w:rsidRDefault="00535025">
      <w:pPr>
        <w:pStyle w:val="FootnoteText"/>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w:t>
      </w:r>
      <w:hyperlink r:id="rId36" w:anchor="/">
        <w:r w:rsidRPr="00F8753B">
          <w:rPr>
            <w:rStyle w:val="Hyperlink"/>
            <w:rFonts w:ascii="Times New Roman" w:hAnsi="Times New Roman"/>
            <w:sz w:val="18"/>
          </w:rPr>
          <w:t>https://drmkc.jrc.ec.europa.eu/risk-data-hub/#/</w:t>
        </w:r>
      </w:hyperlink>
      <w:r>
        <w:rPr>
          <w:rFonts w:ascii="Times New Roman" w:hAnsi="Times New Roman"/>
          <w:sz w:val="18"/>
        </w:rPr>
        <w:t xml:space="preserve">. </w:t>
      </w:r>
    </w:p>
  </w:footnote>
  <w:footnote w:id="56">
    <w:p w14:paraId="3BACED2B"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Raportul sprijină punerea în aplicare a modificărilor legate de climă și dezastre aduse Directivei </w:t>
      </w:r>
      <w:r w:rsidRPr="00596869">
        <w:rPr>
          <w:rFonts w:ascii="Times New Roman" w:hAnsi="Times New Roman"/>
          <w:sz w:val="18"/>
        </w:rPr>
        <w:t>2011</w:t>
      </w:r>
      <w:r>
        <w:rPr>
          <w:rFonts w:ascii="Times New Roman" w:hAnsi="Times New Roman"/>
          <w:sz w:val="18"/>
        </w:rPr>
        <w:t>/</w:t>
      </w:r>
      <w:r w:rsidRPr="00596869">
        <w:rPr>
          <w:rFonts w:ascii="Times New Roman" w:hAnsi="Times New Roman"/>
          <w:sz w:val="18"/>
        </w:rPr>
        <w:t>85</w:t>
      </w:r>
      <w:r>
        <w:rPr>
          <w:rFonts w:ascii="Times New Roman" w:hAnsi="Times New Roman"/>
          <w:sz w:val="18"/>
        </w:rPr>
        <w:t xml:space="preserve">/UE privind cadrele bugetare naționale. </w:t>
      </w:r>
    </w:p>
  </w:footnote>
  <w:footnote w:id="57">
    <w:p w14:paraId="74136A14"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Prin Directiva (UE) </w:t>
      </w:r>
      <w:r w:rsidRPr="00596869">
        <w:rPr>
          <w:rFonts w:ascii="Times New Roman" w:hAnsi="Times New Roman"/>
          <w:sz w:val="18"/>
        </w:rPr>
        <w:t>2024</w:t>
      </w:r>
      <w:r>
        <w:rPr>
          <w:rFonts w:ascii="Times New Roman" w:hAnsi="Times New Roman"/>
          <w:sz w:val="18"/>
        </w:rPr>
        <w:t>/</w:t>
      </w:r>
      <w:r w:rsidRPr="00596869">
        <w:rPr>
          <w:rFonts w:ascii="Times New Roman" w:hAnsi="Times New Roman"/>
          <w:sz w:val="18"/>
        </w:rPr>
        <w:t>1265</w:t>
      </w:r>
      <w:r>
        <w:rPr>
          <w:rFonts w:ascii="Times New Roman" w:hAnsi="Times New Roman"/>
          <w:sz w:val="18"/>
        </w:rPr>
        <w:t xml:space="preserve">, care a introdus noile cerințe în Directiva </w:t>
      </w:r>
      <w:r w:rsidRPr="00596869">
        <w:rPr>
          <w:rFonts w:ascii="Times New Roman" w:hAnsi="Times New Roman"/>
          <w:sz w:val="18"/>
        </w:rPr>
        <w:t>2011</w:t>
      </w:r>
      <w:r>
        <w:rPr>
          <w:rFonts w:ascii="Times New Roman" w:hAnsi="Times New Roman"/>
          <w:sz w:val="18"/>
        </w:rPr>
        <w:t>/</w:t>
      </w:r>
      <w:r w:rsidRPr="00596869">
        <w:rPr>
          <w:rFonts w:ascii="Times New Roman" w:hAnsi="Times New Roman"/>
          <w:sz w:val="18"/>
        </w:rPr>
        <w:t>85</w:t>
      </w:r>
      <w:r>
        <w:rPr>
          <w:rFonts w:ascii="Times New Roman" w:hAnsi="Times New Roman"/>
          <w:sz w:val="18"/>
        </w:rPr>
        <w:t xml:space="preserve">/UE. </w:t>
      </w:r>
    </w:p>
  </w:footnote>
  <w:footnote w:id="58">
    <w:p w14:paraId="27D96AD7" w14:textId="77777777" w:rsidR="00780E1F" w:rsidRDefault="00535025">
      <w:pPr>
        <w:pStyle w:val="FootnoteText"/>
        <w:rPr>
          <w:rFonts w:ascii="Times New Roman" w:eastAsia="Times New Roman Bold"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Studii recente confirmă necesitatea urgentă a unei mai bune consolidări a capacităților instituționale, a se vedea, de exemplu, </w:t>
      </w:r>
      <w:hyperlink r:id="rId37" w:history="1">
        <w:r w:rsidRPr="00F8753B">
          <w:rPr>
            <w:rStyle w:val="Hyperlink"/>
            <w:rFonts w:ascii="Times New Roman" w:hAnsi="Times New Roman"/>
            <w:sz w:val="18"/>
          </w:rPr>
          <w:t>https://easac.eu/publications/details/changing-wildfires</w:t>
        </w:r>
      </w:hyperlink>
      <w:r>
        <w:rPr>
          <w:rFonts w:ascii="Times New Roman" w:hAnsi="Times New Roman"/>
          <w:sz w:val="18"/>
        </w:rPr>
        <w:t xml:space="preserve">, </w:t>
      </w:r>
      <w:hyperlink r:id="rId38" w:history="1">
        <w:r w:rsidRPr="00F8753B">
          <w:rPr>
            <w:rStyle w:val="Hyperlink"/>
            <w:rFonts w:ascii="Times New Roman" w:hAnsi="Times New Roman"/>
            <w:sz w:val="18"/>
          </w:rPr>
          <w:t>https://www.gfdrr.org/en/publication/management-wildfire-risk-european-union</w:t>
        </w:r>
      </w:hyperlink>
      <w:r>
        <w:rPr>
          <w:rFonts w:ascii="Times New Roman" w:hAnsi="Times New Roman"/>
          <w:sz w:val="18"/>
        </w:rPr>
        <w:t>.</w:t>
      </w:r>
    </w:p>
  </w:footnote>
  <w:footnote w:id="59">
    <w:p w14:paraId="5AE49165"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Casartelli V, Mysiak J (</w:t>
      </w:r>
      <w:r w:rsidRPr="00596869">
        <w:rPr>
          <w:rFonts w:ascii="Times New Roman" w:hAnsi="Times New Roman"/>
          <w:sz w:val="18"/>
        </w:rPr>
        <w:t>2023</w:t>
      </w:r>
      <w:r>
        <w:rPr>
          <w:rFonts w:ascii="Times New Roman" w:hAnsi="Times New Roman"/>
          <w:sz w:val="18"/>
        </w:rPr>
        <w:t xml:space="preserve">). Union Civil Protection Mechanism - Peer Review Programme for disaster risk management: Wildfire Peer Review Assessment Framework („Mecanismul de protecție civilă al Uniunii – Programul de evaluare </w:t>
      </w:r>
      <w:r w:rsidRPr="00596869">
        <w:rPr>
          <w:rFonts w:ascii="Times New Roman" w:hAnsi="Times New Roman"/>
          <w:i/>
          <w:sz w:val="18"/>
        </w:rPr>
        <w:t>inter pares</w:t>
      </w:r>
      <w:r>
        <w:rPr>
          <w:rFonts w:ascii="Times New Roman" w:hAnsi="Times New Roman"/>
          <w:sz w:val="18"/>
        </w:rPr>
        <w:t xml:space="preserve"> pentru gestionarea riscurilor de dezastre: cadrul de evaluare </w:t>
      </w:r>
      <w:r w:rsidRPr="00596869">
        <w:rPr>
          <w:rFonts w:ascii="Times New Roman" w:hAnsi="Times New Roman"/>
          <w:i/>
          <w:sz w:val="18"/>
        </w:rPr>
        <w:t>inter pares</w:t>
      </w:r>
      <w:r>
        <w:rPr>
          <w:rFonts w:ascii="Times New Roman" w:hAnsi="Times New Roman"/>
          <w:sz w:val="18"/>
        </w:rPr>
        <w:t xml:space="preserve"> a incendiilor forestiere”). </w:t>
      </w:r>
      <w:hyperlink r:id="rId39">
        <w:r w:rsidRPr="00F8753B">
          <w:rPr>
            <w:rStyle w:val="Hyperlink"/>
            <w:rFonts w:ascii="Times New Roman" w:hAnsi="Times New Roman"/>
            <w:sz w:val="18"/>
          </w:rPr>
          <w:t>https://doi.org/10.25424/CMCC-6A3V-5G64</w:t>
        </w:r>
      </w:hyperlink>
      <w:r>
        <w:rPr>
          <w:rFonts w:ascii="Times New Roman" w:hAnsi="Times New Roman"/>
          <w:sz w:val="18"/>
        </w:rPr>
        <w:t xml:space="preserve">. </w:t>
      </w:r>
    </w:p>
  </w:footnote>
  <w:footnote w:id="60">
    <w:p w14:paraId="0DAAC0FD"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Până în prezent, Grecia, Italia și landul Brandenburg (Germania) au primit recomandări pentru consolidarea rezilienței la incendiile forestiere și au făcut schimb de bune practici.</w:t>
      </w:r>
    </w:p>
  </w:footnote>
  <w:footnote w:id="61">
    <w:p w14:paraId="6ABA4F99" w14:textId="77777777" w:rsidR="00780E1F" w:rsidRDefault="00535025">
      <w:pPr>
        <w:pStyle w:val="FootnoteText"/>
        <w:rPr>
          <w:rFonts w:ascii="Times New Roman" w:eastAsia="Aptos"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0">
        <w:r>
          <w:rPr>
            <w:rFonts w:ascii="Times New Roman" w:hAnsi="Times New Roman"/>
            <w:sz w:val="18"/>
          </w:rPr>
          <w:t>Asistență tehnică pentru gestionarea riscurilor de dezastre</w:t>
        </w:r>
      </w:hyperlink>
      <w:r>
        <w:rPr>
          <w:rFonts w:ascii="Times New Roman" w:hAnsi="Times New Roman"/>
          <w:sz w:val="18"/>
        </w:rPr>
        <w:t xml:space="preserve"> și granturi privind </w:t>
      </w:r>
      <w:hyperlink r:id="rId41">
        <w:r>
          <w:rPr>
            <w:rFonts w:ascii="Times New Roman" w:hAnsi="Times New Roman"/>
            <w:sz w:val="18"/>
          </w:rPr>
          <w:t>„Cunoștințe pentru acțiuni în materie de prevenire și pregătire”</w:t>
        </w:r>
      </w:hyperlink>
      <w:r>
        <w:rPr>
          <w:rFonts w:ascii="Times New Roman" w:hAnsi="Times New Roman"/>
          <w:sz w:val="18"/>
        </w:rPr>
        <w:t xml:space="preserve">. </w:t>
      </w:r>
    </w:p>
  </w:footnote>
  <w:footnote w:id="62">
    <w:p w14:paraId="088C8870"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2">
        <w:r w:rsidRPr="00F8753B">
          <w:rPr>
            <w:rStyle w:val="Hyperlink"/>
            <w:rFonts w:ascii="Times New Roman" w:hAnsi="Times New Roman"/>
            <w:sz w:val="18"/>
          </w:rPr>
          <w:t>https://civil-protection-knowledge-network.europa.eu/technical-assistance-financing-facility-taff.</w:t>
        </w:r>
      </w:hyperlink>
      <w:r>
        <w:rPr>
          <w:rFonts w:ascii="Times New Roman" w:hAnsi="Times New Roman"/>
          <w:sz w:val="18"/>
        </w:rPr>
        <w:t xml:space="preserve"> </w:t>
      </w:r>
    </w:p>
  </w:footnote>
  <w:footnote w:id="63">
    <w:p w14:paraId="125ADABA"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Cipru, Republica Cehă, Grecia, landul Saxonia (Germania) și Slovenia. </w:t>
      </w:r>
    </w:p>
  </w:footnote>
  <w:footnote w:id="64">
    <w:p w14:paraId="4285C13A"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În Grecia, sprijinul tehnic urmărește (i) să îmbunătățească mecanismul de coordonare și de consultare a părților interesate cu privire la pregătirea și răspunsul în situații de urgență și (ii) să dezvolte și să operaționalizeze un mecanism unic de protecție civilă unificat.</w:t>
      </w:r>
    </w:p>
  </w:footnote>
  <w:footnote w:id="65">
    <w:p w14:paraId="205295A1" w14:textId="77777777" w:rsidR="00780E1F" w:rsidRDefault="00535025">
      <w:pPr>
        <w:pStyle w:val="FootnoteText"/>
        <w:rPr>
          <w:rFonts w:ascii="Times New Roman" w:eastAsia="Aptos"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Proiecte comune în cadrul obiectivului specific Interreg „O mai bună guvernanță în materie de cooperare”. Obstacolele juridice și administrative transfrontaliere legate de gestionarea riscurilor de dezastre pot fi abordate prin intermediul BRIDGEforEU, Regulamentul (UE) </w:t>
      </w:r>
      <w:r w:rsidRPr="00596869">
        <w:rPr>
          <w:rFonts w:ascii="Times New Roman" w:hAnsi="Times New Roman"/>
          <w:sz w:val="18"/>
        </w:rPr>
        <w:t>2025</w:t>
      </w:r>
      <w:r>
        <w:rPr>
          <w:rFonts w:ascii="Times New Roman" w:hAnsi="Times New Roman"/>
          <w:sz w:val="18"/>
        </w:rPr>
        <w:t>/</w:t>
      </w:r>
      <w:r w:rsidRPr="00596869">
        <w:rPr>
          <w:rFonts w:ascii="Times New Roman" w:hAnsi="Times New Roman"/>
          <w:sz w:val="18"/>
        </w:rPr>
        <w:t>925</w:t>
      </w:r>
      <w:r>
        <w:rPr>
          <w:rFonts w:ascii="Times New Roman" w:hAnsi="Times New Roman"/>
          <w:sz w:val="18"/>
        </w:rPr>
        <w:t>.</w:t>
      </w:r>
    </w:p>
  </w:footnote>
  <w:footnote w:id="66">
    <w:p w14:paraId="1B4306E0" w14:textId="77777777" w:rsidR="00780E1F" w:rsidRDefault="00535025">
      <w:pPr>
        <w:pStyle w:val="FootnoteText"/>
        <w:rPr>
          <w:rFonts w:ascii="Times New Roman" w:eastAsia="Aptos" w:hAnsi="Times New Roman" w:cs="Times New Roman"/>
          <w:sz w:val="18"/>
          <w:szCs w:val="18"/>
        </w:rPr>
      </w:pPr>
      <w:r>
        <w:rPr>
          <w:rFonts w:ascii="Times New Roman" w:eastAsia="Aptos" w:hAnsi="Times New Roman" w:cs="Times New Roman"/>
          <w:sz w:val="18"/>
          <w:szCs w:val="18"/>
          <w:vertAlign w:val="superscript"/>
        </w:rPr>
        <w:footnoteRef/>
      </w:r>
      <w:r>
        <w:rPr>
          <w:rFonts w:ascii="Times New Roman" w:hAnsi="Times New Roman"/>
          <w:sz w:val="18"/>
        </w:rPr>
        <w:t> </w:t>
      </w:r>
      <w:r w:rsidRPr="00596869">
        <w:rPr>
          <w:rFonts w:ascii="Times New Roman" w:hAnsi="Times New Roman"/>
          <w:sz w:val="18"/>
        </w:rPr>
        <w:t>2021</w:t>
      </w:r>
      <w:r>
        <w:rPr>
          <w:rFonts w:ascii="Times New Roman" w:hAnsi="Times New Roman"/>
          <w:sz w:val="18"/>
        </w:rPr>
        <w:t>-</w:t>
      </w:r>
      <w:r w:rsidRPr="00596869">
        <w:rPr>
          <w:rFonts w:ascii="Times New Roman" w:hAnsi="Times New Roman"/>
          <w:sz w:val="18"/>
        </w:rPr>
        <w:t>2027</w:t>
      </w:r>
      <w:r>
        <w:rPr>
          <w:rFonts w:ascii="Times New Roman" w:hAnsi="Times New Roman"/>
          <w:sz w:val="18"/>
        </w:rPr>
        <w:t xml:space="preserve"> pentru politica de coeziune, </w:t>
      </w:r>
      <w:r w:rsidRPr="00596869">
        <w:rPr>
          <w:rFonts w:ascii="Times New Roman" w:hAnsi="Times New Roman"/>
          <w:sz w:val="18"/>
        </w:rPr>
        <w:t>2020</w:t>
      </w:r>
      <w:r>
        <w:rPr>
          <w:rFonts w:ascii="Times New Roman" w:hAnsi="Times New Roman"/>
          <w:sz w:val="18"/>
        </w:rPr>
        <w:t>-</w:t>
      </w:r>
      <w:r w:rsidRPr="00596869">
        <w:rPr>
          <w:rFonts w:ascii="Times New Roman" w:hAnsi="Times New Roman"/>
          <w:sz w:val="18"/>
        </w:rPr>
        <w:t>2026</w:t>
      </w:r>
      <w:r>
        <w:rPr>
          <w:rFonts w:ascii="Times New Roman" w:hAnsi="Times New Roman"/>
          <w:sz w:val="18"/>
        </w:rPr>
        <w:t xml:space="preserve"> pentru Mecanismul de redresare și reziliență și </w:t>
      </w:r>
      <w:r w:rsidRPr="00596869">
        <w:rPr>
          <w:rFonts w:ascii="Times New Roman" w:hAnsi="Times New Roman"/>
          <w:sz w:val="18"/>
        </w:rPr>
        <w:t>2023</w:t>
      </w:r>
      <w:r>
        <w:rPr>
          <w:rFonts w:ascii="Times New Roman" w:hAnsi="Times New Roman"/>
          <w:sz w:val="18"/>
        </w:rPr>
        <w:t>-</w:t>
      </w:r>
      <w:r w:rsidRPr="00596869">
        <w:rPr>
          <w:rFonts w:ascii="Times New Roman" w:hAnsi="Times New Roman"/>
          <w:sz w:val="18"/>
        </w:rPr>
        <w:t>2027</w:t>
      </w:r>
      <w:r>
        <w:rPr>
          <w:rFonts w:ascii="Times New Roman" w:hAnsi="Times New Roman"/>
          <w:sz w:val="18"/>
        </w:rPr>
        <w:t xml:space="preserve"> pentru FEADR.</w:t>
      </w:r>
    </w:p>
  </w:footnote>
  <w:footnote w:id="67">
    <w:p w14:paraId="756B7A7E"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Această sumă este destinată exclusiv silviculturii. Ea nu include suma destinată agriculturii, de exemplu sprijinul pentru venit și intervențiile legate de agromediu și climă. </w:t>
      </w:r>
    </w:p>
  </w:footnote>
  <w:footnote w:id="68">
    <w:p w14:paraId="374719AD"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Mai precis, în propunerea de regulament de instituire a unui cadru de monitorizare a cheltuielilor bugetare și de performanță a bugetului și de stabilire a altor norme orizontale pentru programele și activitățile Uniunii. </w:t>
      </w:r>
      <w:r>
        <w:t xml:space="preserve"> </w:t>
      </w:r>
      <w:r>
        <w:br/>
      </w:r>
      <w:hyperlink r:id="rId43">
        <w:r w:rsidRPr="00F8753B">
          <w:rPr>
            <w:rStyle w:val="Hyperlink"/>
            <w:rFonts w:ascii="Times New Roman" w:hAnsi="Times New Roman"/>
            <w:sz w:val="18"/>
          </w:rPr>
          <w:t>https://eur-lex.europa.eu/legal-content/RO/TXT/?uri=celex:52025PC0545</w:t>
        </w:r>
      </w:hyperlink>
      <w:r>
        <w:rPr>
          <w:rFonts w:ascii="Times New Roman" w:hAnsi="Times New Roman"/>
          <w:sz w:val="18"/>
        </w:rPr>
        <w:t xml:space="preserve">. </w:t>
      </w:r>
    </w:p>
  </w:footnote>
  <w:footnote w:id="69">
    <w:p w14:paraId="3DB0DCE3" w14:textId="77777777" w:rsidR="00780E1F" w:rsidRDefault="00535025">
      <w:pPr>
        <w:pStyle w:val="FootnoteText"/>
        <w:rPr>
          <w:rFonts w:ascii="Times New Roman" w:eastAsia="Aptos"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Permit monitorizarea sprijinului bugetar acordat de UE în legătură cu </w:t>
      </w:r>
      <w:r w:rsidRPr="00596869">
        <w:rPr>
          <w:rFonts w:ascii="Times New Roman" w:hAnsi="Times New Roman"/>
          <w:sz w:val="18"/>
        </w:rPr>
        <w:t>1</w:t>
      </w:r>
      <w:r>
        <w:rPr>
          <w:rFonts w:ascii="Times New Roman" w:hAnsi="Times New Roman"/>
          <w:sz w:val="18"/>
        </w:rPr>
        <w:t xml:space="preserve">) prevenirea și repararea prejudiciilor cauzate pădurilor, </w:t>
      </w:r>
      <w:r w:rsidRPr="00596869">
        <w:rPr>
          <w:rFonts w:ascii="Times New Roman" w:hAnsi="Times New Roman"/>
          <w:sz w:val="18"/>
        </w:rPr>
        <w:t>2</w:t>
      </w:r>
      <w:r>
        <w:rPr>
          <w:rFonts w:ascii="Times New Roman" w:hAnsi="Times New Roman"/>
          <w:sz w:val="18"/>
        </w:rPr>
        <w:t xml:space="preserve">) măsurile de prevenire pentru atenuarea riscurilor de incendii forestiere și </w:t>
      </w:r>
      <w:r w:rsidRPr="00596869">
        <w:rPr>
          <w:rFonts w:ascii="Times New Roman" w:hAnsi="Times New Roman"/>
          <w:sz w:val="18"/>
        </w:rPr>
        <w:t>3</w:t>
      </w:r>
      <w:r>
        <w:rPr>
          <w:rFonts w:ascii="Times New Roman" w:hAnsi="Times New Roman"/>
          <w:sz w:val="18"/>
        </w:rPr>
        <w:t xml:space="preserve">) aeronavele pentru situații de urgență, inclusiv combaterea aeriană a incendiilor. Monitorizarea prin indicatori, de exemplu suprafața de pădure protejată prin măsuri de prevenire, populația care beneficiază de măsuri și numărul de aeronave noi. Aceasta include cel puțin </w:t>
      </w:r>
      <w:r w:rsidRPr="00596869">
        <w:rPr>
          <w:rFonts w:ascii="Times New Roman" w:hAnsi="Times New Roman"/>
          <w:sz w:val="18"/>
        </w:rPr>
        <w:t>43</w:t>
      </w:r>
      <w:r>
        <w:rPr>
          <w:rFonts w:ascii="Times New Roman" w:hAnsi="Times New Roman"/>
          <w:sz w:val="18"/>
        </w:rPr>
        <w:t> % din planurile de parteneriat naționale și regionale și din Fondul european pentru competitivitate.</w:t>
      </w:r>
    </w:p>
  </w:footnote>
  <w:footnote w:id="70">
    <w:p w14:paraId="4516BE8A"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Style w:val="FootnoteReference"/>
          <w:rFonts w:ascii="Times New Roman" w:hAnsi="Times New Roman"/>
          <w:sz w:val="18"/>
        </w:rPr>
        <w:t> </w:t>
      </w:r>
      <w:r>
        <w:rPr>
          <w:rFonts w:ascii="Times New Roman" w:hAnsi="Times New Roman"/>
          <w:sz w:val="18"/>
        </w:rPr>
        <w:t>Banca Mondială (</w:t>
      </w:r>
      <w:r w:rsidRPr="00596869">
        <w:rPr>
          <w:rFonts w:ascii="Times New Roman" w:hAnsi="Times New Roman"/>
          <w:sz w:val="18"/>
        </w:rPr>
        <w:t>2025</w:t>
      </w:r>
      <w:r>
        <w:rPr>
          <w:rFonts w:ascii="Times New Roman" w:hAnsi="Times New Roman"/>
          <w:sz w:val="18"/>
        </w:rPr>
        <w:t xml:space="preserve">). Public Expenditure Review for Wildfire Management: A Guide („Ghid privind revizuirea cheltuielilor publice pentru gestionarea incendiilor forestiere”) .  </w:t>
      </w:r>
      <w:hyperlink r:id="rId44" w:history="1">
        <w:r w:rsidRPr="00F8753B">
          <w:rPr>
            <w:rStyle w:val="Hyperlink"/>
            <w:rFonts w:ascii="Times New Roman" w:hAnsi="Times New Roman"/>
            <w:sz w:val="18"/>
          </w:rPr>
          <w:t>https://openknowledge.worldbank.org/entities/publication/5fddca5c-27f8-4a12-a3f3-cf9f332feac6</w:t>
        </w:r>
      </w:hyperlink>
      <w:r>
        <w:rPr>
          <w:rFonts w:ascii="Times New Roman" w:hAnsi="Times New Roman"/>
          <w:sz w:val="18"/>
        </w:rPr>
        <w:t xml:space="preserve">. </w:t>
      </w:r>
    </w:p>
  </w:footnote>
  <w:footnote w:id="71">
    <w:p w14:paraId="14989851" w14:textId="20B869A5"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Banca Mondială</w:t>
      </w:r>
      <w:r w:rsidR="00596869">
        <w:rPr>
          <w:rFonts w:ascii="Times New Roman" w:hAnsi="Times New Roman"/>
          <w:sz w:val="18"/>
        </w:rPr>
        <w:t xml:space="preserve"> </w:t>
      </w:r>
      <w:r>
        <w:rPr>
          <w:rFonts w:ascii="Times New Roman" w:hAnsi="Times New Roman"/>
          <w:sz w:val="18"/>
        </w:rPr>
        <w:t>(</w:t>
      </w:r>
      <w:r w:rsidRPr="00596869">
        <w:rPr>
          <w:rFonts w:ascii="Times New Roman" w:hAnsi="Times New Roman"/>
          <w:sz w:val="18"/>
        </w:rPr>
        <w:t>2021</w:t>
      </w:r>
      <w:r>
        <w:rPr>
          <w:rFonts w:ascii="Times New Roman" w:hAnsi="Times New Roman"/>
          <w:sz w:val="18"/>
        </w:rPr>
        <w:t>). </w:t>
      </w:r>
      <w:hyperlink r:id="rId45">
        <w:r w:rsidRPr="00F8753B">
          <w:rPr>
            <w:rStyle w:val="Hyperlink"/>
            <w:rFonts w:ascii="Times New Roman" w:hAnsi="Times New Roman"/>
            <w:sz w:val="18"/>
          </w:rPr>
          <w:t>Investments in Disaster Risk Management in Europe Makes Economic Sense.</w:t>
        </w:r>
      </w:hyperlink>
      <w:hyperlink r:id="rId46">
        <w:r w:rsidRPr="00F8753B">
          <w:rPr>
            <w:rStyle w:val="Hyperlink"/>
            <w:rFonts w:ascii="Times New Roman" w:hAnsi="Times New Roman"/>
            <w:sz w:val="18"/>
          </w:rPr>
          <w:t> Economics for Disaster Prevention and Preparedness </w:t>
        </w:r>
      </w:hyperlink>
      <w:r w:rsidRPr="00F8753B">
        <w:rPr>
          <w:rFonts w:ascii="Times New Roman" w:hAnsi="Times New Roman" w:cs="Times New Roman"/>
          <w:sz w:val="18"/>
          <w:szCs w:val="18"/>
        </w:rPr>
        <w:t>(„Investițiile în gestionarea riscurilor de dezastre în Europa se justifică din punct de vedere economic. Analiză economică în perspectiva prevenirii dezastrelor și a pregătirii pentru acestea”)</w:t>
      </w:r>
      <w:r>
        <w:t>.</w:t>
      </w:r>
      <w:r>
        <w:rPr>
          <w:rFonts w:ascii="Times New Roman" w:hAnsi="Times New Roman"/>
          <w:sz w:val="18"/>
        </w:rPr>
        <w:t xml:space="preserve"> </w:t>
      </w:r>
    </w:p>
  </w:footnote>
  <w:footnote w:id="72">
    <w:p w14:paraId="3D180948"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Banca Mondială, </w:t>
      </w:r>
      <w:r w:rsidRPr="00596869">
        <w:rPr>
          <w:rFonts w:ascii="Times New Roman" w:hAnsi="Times New Roman"/>
          <w:sz w:val="18"/>
        </w:rPr>
        <w:t>2024</w:t>
      </w:r>
      <w:r>
        <w:rPr>
          <w:rFonts w:ascii="Times New Roman" w:hAnsi="Times New Roman"/>
          <w:sz w:val="18"/>
        </w:rPr>
        <w:t xml:space="preserve">, From Data to Decisions („De la date la decizii”), </w:t>
      </w:r>
      <w:hyperlink r:id="rId47" w:history="1">
        <w:r w:rsidRPr="00F8753B">
          <w:rPr>
            <w:rStyle w:val="Hyperlink"/>
            <w:rFonts w:ascii="Times New Roman" w:hAnsi="Times New Roman"/>
            <w:sz w:val="18"/>
          </w:rPr>
          <w:t>https://documents1.worldbank.org/curated/en/099050224072033005/pdf/P17907015a302401f1b7e51fc14ed9b73ef.pdf</w:t>
        </w:r>
      </w:hyperlink>
      <w:r>
        <w:rPr>
          <w:rFonts w:ascii="Times New Roman" w:hAnsi="Times New Roman"/>
          <w:sz w:val="18"/>
        </w:rPr>
        <w:t>, p. </w:t>
      </w:r>
      <w:r w:rsidRPr="00596869">
        <w:rPr>
          <w:rFonts w:ascii="Times New Roman" w:hAnsi="Times New Roman"/>
          <w:sz w:val="18"/>
        </w:rPr>
        <w:t>27</w:t>
      </w:r>
      <w:r>
        <w:rPr>
          <w:rFonts w:ascii="Times New Roman" w:hAnsi="Times New Roman"/>
          <w:sz w:val="18"/>
        </w:rPr>
        <w:t>.</w:t>
      </w:r>
    </w:p>
  </w:footnote>
  <w:footnote w:id="73">
    <w:p w14:paraId="5E28EF4A"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Orientări privind dezvoltarea sistemelor de plăți publice și private pentru serviciile ecosistemice forestiere.</w:t>
      </w:r>
      <w:r w:rsidRPr="00596869">
        <w:rPr>
          <w:rFonts w:ascii="Times New Roman" w:hAnsi="Times New Roman"/>
          <w:i/>
          <w:sz w:val="18"/>
        </w:rPr>
        <w:t xml:space="preserve"> </w:t>
      </w:r>
    </w:p>
  </w:footnote>
  <w:footnote w:id="74">
    <w:p w14:paraId="6370C571"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8">
        <w:r w:rsidRPr="00F8753B">
          <w:rPr>
            <w:rStyle w:val="Hyperlink"/>
            <w:rFonts w:ascii="Times New Roman" w:hAnsi="Times New Roman"/>
            <w:sz w:val="18"/>
          </w:rPr>
          <w:t>https://www.eiopa.europa.eu/tools-and-data/dashboard-insurance-protection-gap-natural-catastrophes_en</w:t>
        </w:r>
      </w:hyperlink>
      <w:r>
        <w:rPr>
          <w:rFonts w:ascii="Times New Roman" w:hAnsi="Times New Roman"/>
          <w:sz w:val="18"/>
        </w:rPr>
        <w:t xml:space="preserve">. </w:t>
      </w:r>
    </w:p>
  </w:footnote>
  <w:footnote w:id="75">
    <w:p w14:paraId="78537EE7"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9">
        <w:r w:rsidRPr="00F8753B">
          <w:rPr>
            <w:rStyle w:val="Hyperlink"/>
            <w:rFonts w:ascii="Times New Roman" w:hAnsi="Times New Roman"/>
            <w:sz w:val="18"/>
          </w:rPr>
          <w:t>https://www.eiopa.europa.eu/system/files/2022-05/discussion_paper_on_physical_climate_change_risks.pdf</w:t>
        </w:r>
      </w:hyperlink>
      <w:r>
        <w:rPr>
          <w:rFonts w:ascii="Times New Roman" w:hAnsi="Times New Roman"/>
          <w:sz w:val="18"/>
        </w:rPr>
        <w:t xml:space="preserve"> p. </w:t>
      </w:r>
      <w:r w:rsidRPr="00596869">
        <w:rPr>
          <w:rFonts w:ascii="Times New Roman" w:hAnsi="Times New Roman"/>
          <w:sz w:val="18"/>
        </w:rPr>
        <w:t>21</w:t>
      </w:r>
      <w:r>
        <w:rPr>
          <w:rFonts w:ascii="Times New Roman" w:hAnsi="Times New Roman"/>
          <w:sz w:val="18"/>
        </w:rPr>
        <w:t>.</w:t>
      </w:r>
    </w:p>
  </w:footnote>
  <w:footnote w:id="76">
    <w:p w14:paraId="3638519D"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Astfel cum s-a subliniat în raportul final al Dialogului privind reziliența la schimbările climatice, </w:t>
      </w:r>
      <w:hyperlink r:id="rId50">
        <w:r w:rsidRPr="00F8753B">
          <w:rPr>
            <w:rStyle w:val="Hyperlink"/>
            <w:rFonts w:ascii="Times New Roman" w:hAnsi="Times New Roman"/>
            <w:sz w:val="18"/>
          </w:rPr>
          <w:t>https://climate.ec.europa.eu/document/download/4df5c2fe-80f9-4ddc-8199-37eee83e04e4_en?filename=policy_adaptation_climate_resilience_dialogue_report_en.pdf</w:t>
        </w:r>
      </w:hyperlink>
      <w:r>
        <w:rPr>
          <w:rFonts w:ascii="Times New Roman" w:hAnsi="Times New Roman"/>
          <w:sz w:val="18"/>
        </w:rPr>
        <w:t xml:space="preserve">. </w:t>
      </w:r>
    </w:p>
  </w:footnote>
  <w:footnote w:id="77">
    <w:p w14:paraId="299FCAE1"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UNDRR, The invisible costs of wildfire („Costurile invizibile ale incendiilor forestiere”), </w:t>
      </w:r>
      <w:hyperlink r:id="rId51" w:history="1">
        <w:r w:rsidRPr="00F8753B">
          <w:rPr>
            <w:rStyle w:val="Hyperlink"/>
            <w:rFonts w:ascii="Times New Roman" w:hAnsi="Times New Roman"/>
            <w:sz w:val="18"/>
          </w:rPr>
          <w:t>https://www.undrr.org/news/invisible-costs-wildfire-disasters-2025</w:t>
        </w:r>
      </w:hyperlink>
      <w:r>
        <w:rPr>
          <w:rFonts w:ascii="Times New Roman" w:hAnsi="Times New Roman"/>
          <w:sz w:val="18"/>
        </w:rPr>
        <w:t>.</w:t>
      </w:r>
    </w:p>
  </w:footnote>
  <w:footnote w:id="78">
    <w:p w14:paraId="7236E138" w14:textId="77777777" w:rsidR="00780E1F" w:rsidRDefault="00535025">
      <w:pPr>
        <w:spacing w:after="0" w:line="240" w:lineRule="auto"/>
        <w:jc w:val="both"/>
        <w:rPr>
          <w:rFonts w:ascii="Times New Roman" w:hAnsi="Times New Roman" w:cs="Times New Roman"/>
          <w:sz w:val="18"/>
          <w:szCs w:val="18"/>
        </w:rPr>
      </w:pPr>
      <w:r>
        <w:rPr>
          <w:rStyle w:val="FootnoteReference"/>
        </w:rPr>
        <w:footnoteRef/>
      </w:r>
      <w:r>
        <w:rPr>
          <w:rStyle w:val="FootnoteReference"/>
        </w:rPr>
        <w:t xml:space="preserve"> </w:t>
      </w:r>
      <w:r>
        <w:rPr>
          <w:rFonts w:ascii="Times New Roman" w:hAnsi="Times New Roman"/>
          <w:sz w:val="18"/>
        </w:rPr>
        <w:t>În special Carta G</w:t>
      </w:r>
      <w:r w:rsidRPr="00596869">
        <w:rPr>
          <w:rFonts w:ascii="Times New Roman" w:hAnsi="Times New Roman"/>
          <w:sz w:val="18"/>
        </w:rPr>
        <w:t>7</w:t>
      </w:r>
      <w:r>
        <w:rPr>
          <w:rFonts w:ascii="Times New Roman" w:hAnsi="Times New Roman"/>
          <w:sz w:val="18"/>
        </w:rPr>
        <w:t xml:space="preserve"> de la Kananaskis privind incendiile forestiere, Apelul la acțiune al COP</w:t>
      </w:r>
      <w:r w:rsidRPr="00596869">
        <w:rPr>
          <w:rFonts w:ascii="Times New Roman" w:hAnsi="Times New Roman"/>
          <w:sz w:val="18"/>
        </w:rPr>
        <w:t>30</w:t>
      </w:r>
      <w:r>
        <w:rPr>
          <w:rFonts w:ascii="Times New Roman" w:hAnsi="Times New Roman"/>
          <w:sz w:val="18"/>
        </w:rPr>
        <w:t xml:space="preserve"> privind gestionarea integrată a incendiilor și reziliența la incendiile forestiere și cea de a șaptea rezoluție a Adunării Organizației Națiunilor Unite pentru mediu referitoare la consolidarea gestionării globale a incendiilor forestiere.</w:t>
      </w:r>
    </w:p>
  </w:footnote>
  <w:footnote w:id="79">
    <w:p w14:paraId="3E6B061F"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Printre alte inițiative se numără grupurile de observare a Pământului și a incendiilor forestiere: Comitetul sateliților de observare a Pământului (CEOS), Grupul pentru observarea Pământului (GEO), Echipa de punere în aplicare în situații de incendiu a observării globale a suprafețelor împădurite și dinamicii utilizării terenurilor (GOFC-GOLD); Grupul de experți privind incendiile forestiere din America Latină și Caraibe (GEFF-LAC) și Congresul mondial pentru lupta împotriva incendiilor.</w:t>
      </w:r>
    </w:p>
  </w:footnote>
  <w:footnote w:id="80">
    <w:p w14:paraId="2AD6B8F1"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Comisia Europeană: Centrul de coordonare a răspunsului la situații de urgență (ERCC), </w:t>
      </w:r>
      <w:r w:rsidRPr="00596869">
        <w:rPr>
          <w:rFonts w:ascii="Times New Roman" w:hAnsi="Times New Roman"/>
          <w:i/>
          <w:sz w:val="18"/>
        </w:rPr>
        <w:t>UCPM and CEMS activations to wildfires in 2025 („Activările UCPM și CEMS pentru incendii forestiere în 2025”), decembrie 2025,</w:t>
      </w:r>
      <w:r>
        <w:rPr>
          <w:rFonts w:ascii="Times New Roman" w:hAnsi="Times New Roman"/>
          <w:sz w:val="18"/>
        </w:rPr>
        <w:t xml:space="preserve"> </w:t>
      </w:r>
      <w:hyperlink r:id="rId52" w:anchor="/maps/5526">
        <w:r w:rsidRPr="00F8753B">
          <w:rPr>
            <w:rStyle w:val="Hyperlink"/>
            <w:rFonts w:ascii="Times New Roman" w:hAnsi="Times New Roman"/>
            <w:sz w:val="18"/>
          </w:rPr>
          <w:t>https://erccportal.jrc.ec.europa.eu/ECHO-Products/Maps#/maps/5526</w:t>
        </w:r>
      </w:hyperlink>
      <w:r>
        <w:rPr>
          <w:rFonts w:ascii="Times New Roman" w:hAnsi="Times New Roman"/>
          <w:sz w:val="18"/>
        </w:rPr>
        <w:t>: Albania (</w:t>
      </w:r>
      <w:r w:rsidRPr="00596869">
        <w:rPr>
          <w:rFonts w:ascii="Times New Roman" w:hAnsi="Times New Roman"/>
          <w:sz w:val="18"/>
        </w:rPr>
        <w:t>3</w:t>
      </w:r>
      <w:r>
        <w:rPr>
          <w:rFonts w:ascii="Times New Roman" w:hAnsi="Times New Roman"/>
          <w:sz w:val="18"/>
        </w:rPr>
        <w:t>), Macedonia de Nord (</w:t>
      </w:r>
      <w:r w:rsidRPr="00596869">
        <w:rPr>
          <w:rFonts w:ascii="Times New Roman" w:hAnsi="Times New Roman"/>
          <w:sz w:val="18"/>
        </w:rPr>
        <w:t>3</w:t>
      </w:r>
      <w:r>
        <w:rPr>
          <w:rFonts w:ascii="Times New Roman" w:hAnsi="Times New Roman"/>
          <w:sz w:val="18"/>
        </w:rPr>
        <w:t>), Bosnia și Herțegovina (</w:t>
      </w:r>
      <w:r w:rsidRPr="00596869">
        <w:rPr>
          <w:rFonts w:ascii="Times New Roman" w:hAnsi="Times New Roman"/>
          <w:sz w:val="18"/>
        </w:rPr>
        <w:t>2</w:t>
      </w:r>
      <w:r>
        <w:rPr>
          <w:rFonts w:ascii="Times New Roman" w:hAnsi="Times New Roman"/>
          <w:sz w:val="18"/>
        </w:rPr>
        <w:t>), Muntenegru (</w:t>
      </w:r>
      <w:r w:rsidRPr="00596869">
        <w:rPr>
          <w:rFonts w:ascii="Times New Roman" w:hAnsi="Times New Roman"/>
          <w:sz w:val="18"/>
        </w:rPr>
        <w:t>1</w:t>
      </w:r>
      <w:r>
        <w:rPr>
          <w:rFonts w:ascii="Times New Roman" w:hAnsi="Times New Roman"/>
          <w:sz w:val="18"/>
        </w:rPr>
        <w:t>).</w:t>
      </w:r>
    </w:p>
  </w:footnote>
  <w:footnote w:id="81">
    <w:p w14:paraId="0A81BBB0"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53">
        <w:r w:rsidRPr="00F8753B">
          <w:rPr>
            <w:rStyle w:val="Hyperlink"/>
            <w:rFonts w:ascii="Times New Roman" w:hAnsi="Times New Roman"/>
            <w:sz w:val="18"/>
          </w:rPr>
          <w:t>https://www.eeas.europa.eu/eeas/new-%E2%80%98ndici-global-europe%E2%80%99-2021-2027_en</w:t>
        </w:r>
      </w:hyperlink>
      <w:r>
        <w:rPr>
          <w:rFonts w:ascii="Times New Roman" w:hAnsi="Times New Roman"/>
          <w:sz w:val="18"/>
        </w:rPr>
        <w:t xml:space="preserve">. </w:t>
      </w:r>
    </w:p>
  </w:footnote>
  <w:footnote w:id="82">
    <w:p w14:paraId="2E0A0304" w14:textId="77777777" w:rsidR="00780E1F" w:rsidRDefault="00535025">
      <w:pPr>
        <w:pStyle w:val="FootnoteText"/>
        <w:rPr>
          <w:sz w:val="18"/>
          <w:szCs w:val="18"/>
        </w:rPr>
      </w:pPr>
      <w:r>
        <w:rPr>
          <w:rStyle w:val="FootnoteReference"/>
          <w:rFonts w:ascii="Times New Roman" w:hAnsi="Times New Roman" w:cs="Times New Roman"/>
          <w:sz w:val="18"/>
          <w:szCs w:val="18"/>
        </w:rPr>
        <w:footnoteRef/>
      </w:r>
      <w:r>
        <w:rPr>
          <w:rFonts w:ascii="Times New Roman" w:hAnsi="Times New Roman"/>
          <w:sz w:val="18"/>
        </w:rPr>
        <w:t> JOIN(</w:t>
      </w:r>
      <w:r w:rsidRPr="00596869">
        <w:rPr>
          <w:rFonts w:ascii="Times New Roman" w:hAnsi="Times New Roman"/>
          <w:sz w:val="18"/>
        </w:rPr>
        <w:t>2025</w:t>
      </w:r>
      <w:r>
        <w:rPr>
          <w:rFonts w:ascii="Times New Roman" w:hAnsi="Times New Roman"/>
          <w:sz w:val="18"/>
        </w:rPr>
        <w:t>) </w:t>
      </w:r>
      <w:r w:rsidRPr="00596869">
        <w:rPr>
          <w:rFonts w:ascii="Times New Roman" w:hAnsi="Times New Roman"/>
          <w:sz w:val="18"/>
        </w:rPr>
        <w:t>26</w:t>
      </w:r>
      <w:r>
        <w:rPr>
          <w:rFonts w:ascii="Times New Roman" w:hAnsi="Times New Roman"/>
          <w:sz w:val="18"/>
        </w:rPr>
        <w:t xml:space="preserve"> final.</w:t>
      </w:r>
    </w:p>
  </w:footnote>
  <w:footnote w:id="83">
    <w:p w14:paraId="51226D25" w14:textId="77777777" w:rsidR="00780E1F" w:rsidRDefault="0053502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Obiectivul FoRISK este de a spori reziliența pădurilor prin sprijinirea gestionării riscurilor de dezastre în cadrul gestionării durabile a pădurilor, inclusiv prin formare și schimb de bune practici.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2B18C" w14:textId="77777777" w:rsidR="0084151F" w:rsidRPr="0084151F" w:rsidRDefault="0084151F" w:rsidP="0084151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9DDD3" w14:textId="77777777" w:rsidR="0084151F" w:rsidRPr="0084151F" w:rsidRDefault="0084151F" w:rsidP="0084151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971C8" w14:textId="77777777" w:rsidR="0084151F" w:rsidRPr="0084151F" w:rsidRDefault="0084151F" w:rsidP="0084151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1111A" w14:textId="77777777" w:rsidR="00780E1F" w:rsidRDefault="00780E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A94E5" w14:textId="77777777" w:rsidR="00780E1F" w:rsidRDefault="00780E1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741DB" w14:textId="77777777" w:rsidR="00780E1F" w:rsidRDefault="00780E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21655"/>
    <w:multiLevelType w:val="hybridMultilevel"/>
    <w:tmpl w:val="C8A4B954"/>
    <w:lvl w:ilvl="0" w:tplc="5DF26BCC">
      <w:start w:val="1"/>
      <w:numFmt w:val="bullet"/>
      <w:lvlText w:val=""/>
      <w:lvlJc w:val="left"/>
      <w:pPr>
        <w:ind w:left="720" w:hanging="360"/>
      </w:pPr>
      <w:rPr>
        <w:rFonts w:ascii="Symbol" w:hAnsi="Symbol" w:hint="default"/>
      </w:rPr>
    </w:lvl>
    <w:lvl w:ilvl="1" w:tplc="CA12C7EA" w:tentative="1">
      <w:start w:val="1"/>
      <w:numFmt w:val="bullet"/>
      <w:lvlText w:val="o"/>
      <w:lvlJc w:val="left"/>
      <w:pPr>
        <w:ind w:left="1440" w:hanging="360"/>
      </w:pPr>
      <w:rPr>
        <w:rFonts w:ascii="Courier New" w:hAnsi="Courier New" w:hint="default"/>
      </w:rPr>
    </w:lvl>
    <w:lvl w:ilvl="2" w:tplc="07606840" w:tentative="1">
      <w:start w:val="1"/>
      <w:numFmt w:val="bullet"/>
      <w:lvlText w:val=""/>
      <w:lvlJc w:val="left"/>
      <w:pPr>
        <w:ind w:left="2160" w:hanging="360"/>
      </w:pPr>
      <w:rPr>
        <w:rFonts w:ascii="Wingdings" w:hAnsi="Wingdings" w:hint="default"/>
      </w:rPr>
    </w:lvl>
    <w:lvl w:ilvl="3" w:tplc="CFD46D5A" w:tentative="1">
      <w:start w:val="1"/>
      <w:numFmt w:val="bullet"/>
      <w:lvlText w:val=""/>
      <w:lvlJc w:val="left"/>
      <w:pPr>
        <w:ind w:left="2880" w:hanging="360"/>
      </w:pPr>
      <w:rPr>
        <w:rFonts w:ascii="Symbol" w:hAnsi="Symbol" w:hint="default"/>
      </w:rPr>
    </w:lvl>
    <w:lvl w:ilvl="4" w:tplc="849834C2" w:tentative="1">
      <w:start w:val="1"/>
      <w:numFmt w:val="bullet"/>
      <w:lvlText w:val="o"/>
      <w:lvlJc w:val="left"/>
      <w:pPr>
        <w:ind w:left="3600" w:hanging="360"/>
      </w:pPr>
      <w:rPr>
        <w:rFonts w:ascii="Courier New" w:hAnsi="Courier New" w:hint="default"/>
      </w:rPr>
    </w:lvl>
    <w:lvl w:ilvl="5" w:tplc="51C67432" w:tentative="1">
      <w:start w:val="1"/>
      <w:numFmt w:val="bullet"/>
      <w:lvlText w:val=""/>
      <w:lvlJc w:val="left"/>
      <w:pPr>
        <w:ind w:left="4320" w:hanging="360"/>
      </w:pPr>
      <w:rPr>
        <w:rFonts w:ascii="Wingdings" w:hAnsi="Wingdings" w:hint="default"/>
      </w:rPr>
    </w:lvl>
    <w:lvl w:ilvl="6" w:tplc="46965D9A" w:tentative="1">
      <w:start w:val="1"/>
      <w:numFmt w:val="bullet"/>
      <w:lvlText w:val=""/>
      <w:lvlJc w:val="left"/>
      <w:pPr>
        <w:ind w:left="5040" w:hanging="360"/>
      </w:pPr>
      <w:rPr>
        <w:rFonts w:ascii="Symbol" w:hAnsi="Symbol" w:hint="default"/>
      </w:rPr>
    </w:lvl>
    <w:lvl w:ilvl="7" w:tplc="760C3F18" w:tentative="1">
      <w:start w:val="1"/>
      <w:numFmt w:val="bullet"/>
      <w:lvlText w:val="o"/>
      <w:lvlJc w:val="left"/>
      <w:pPr>
        <w:ind w:left="5760" w:hanging="360"/>
      </w:pPr>
      <w:rPr>
        <w:rFonts w:ascii="Courier New" w:hAnsi="Courier New" w:hint="default"/>
      </w:rPr>
    </w:lvl>
    <w:lvl w:ilvl="8" w:tplc="C88E6870" w:tentative="1">
      <w:start w:val="1"/>
      <w:numFmt w:val="bullet"/>
      <w:lvlText w:val=""/>
      <w:lvlJc w:val="left"/>
      <w:pPr>
        <w:ind w:left="6480" w:hanging="360"/>
      </w:pPr>
      <w:rPr>
        <w:rFonts w:ascii="Wingdings" w:hAnsi="Wingdings" w:hint="default"/>
      </w:rPr>
    </w:lvl>
  </w:abstractNum>
  <w:abstractNum w:abstractNumId="1" w15:restartNumberingAfterBreak="0">
    <w:nsid w:val="0D0D5C92"/>
    <w:multiLevelType w:val="hybridMultilevel"/>
    <w:tmpl w:val="47AA9754"/>
    <w:lvl w:ilvl="0" w:tplc="0A407A36">
      <w:start w:val="1"/>
      <w:numFmt w:val="bullet"/>
      <w:lvlText w:val=""/>
      <w:lvlJc w:val="left"/>
      <w:pPr>
        <w:ind w:left="720" w:hanging="360"/>
      </w:pPr>
      <w:rPr>
        <w:rFonts w:ascii="Symbol" w:hAnsi="Symbol" w:hint="default"/>
      </w:rPr>
    </w:lvl>
    <w:lvl w:ilvl="1" w:tplc="F7064B88" w:tentative="1">
      <w:start w:val="1"/>
      <w:numFmt w:val="bullet"/>
      <w:lvlText w:val="o"/>
      <w:lvlJc w:val="left"/>
      <w:pPr>
        <w:ind w:left="1440" w:hanging="360"/>
      </w:pPr>
      <w:rPr>
        <w:rFonts w:ascii="Courier New" w:hAnsi="Courier New" w:hint="default"/>
      </w:rPr>
    </w:lvl>
    <w:lvl w:ilvl="2" w:tplc="06763756" w:tentative="1">
      <w:start w:val="1"/>
      <w:numFmt w:val="bullet"/>
      <w:lvlText w:val=""/>
      <w:lvlJc w:val="left"/>
      <w:pPr>
        <w:ind w:left="2160" w:hanging="360"/>
      </w:pPr>
      <w:rPr>
        <w:rFonts w:ascii="Wingdings" w:hAnsi="Wingdings" w:hint="default"/>
      </w:rPr>
    </w:lvl>
    <w:lvl w:ilvl="3" w:tplc="5846CE2A" w:tentative="1">
      <w:start w:val="1"/>
      <w:numFmt w:val="bullet"/>
      <w:lvlText w:val=""/>
      <w:lvlJc w:val="left"/>
      <w:pPr>
        <w:ind w:left="2880" w:hanging="360"/>
      </w:pPr>
      <w:rPr>
        <w:rFonts w:ascii="Symbol" w:hAnsi="Symbol" w:hint="default"/>
      </w:rPr>
    </w:lvl>
    <w:lvl w:ilvl="4" w:tplc="C2524FC4" w:tentative="1">
      <w:start w:val="1"/>
      <w:numFmt w:val="bullet"/>
      <w:lvlText w:val="o"/>
      <w:lvlJc w:val="left"/>
      <w:pPr>
        <w:ind w:left="3600" w:hanging="360"/>
      </w:pPr>
      <w:rPr>
        <w:rFonts w:ascii="Courier New" w:hAnsi="Courier New" w:hint="default"/>
      </w:rPr>
    </w:lvl>
    <w:lvl w:ilvl="5" w:tplc="918050F2" w:tentative="1">
      <w:start w:val="1"/>
      <w:numFmt w:val="bullet"/>
      <w:lvlText w:val=""/>
      <w:lvlJc w:val="left"/>
      <w:pPr>
        <w:ind w:left="4320" w:hanging="360"/>
      </w:pPr>
      <w:rPr>
        <w:rFonts w:ascii="Wingdings" w:hAnsi="Wingdings" w:hint="default"/>
      </w:rPr>
    </w:lvl>
    <w:lvl w:ilvl="6" w:tplc="D3DE87E4" w:tentative="1">
      <w:start w:val="1"/>
      <w:numFmt w:val="bullet"/>
      <w:lvlText w:val=""/>
      <w:lvlJc w:val="left"/>
      <w:pPr>
        <w:ind w:left="5040" w:hanging="360"/>
      </w:pPr>
      <w:rPr>
        <w:rFonts w:ascii="Symbol" w:hAnsi="Symbol" w:hint="default"/>
      </w:rPr>
    </w:lvl>
    <w:lvl w:ilvl="7" w:tplc="ADA053CE" w:tentative="1">
      <w:start w:val="1"/>
      <w:numFmt w:val="bullet"/>
      <w:lvlText w:val="o"/>
      <w:lvlJc w:val="left"/>
      <w:pPr>
        <w:ind w:left="5760" w:hanging="360"/>
      </w:pPr>
      <w:rPr>
        <w:rFonts w:ascii="Courier New" w:hAnsi="Courier New" w:hint="default"/>
      </w:rPr>
    </w:lvl>
    <w:lvl w:ilvl="8" w:tplc="9558FA28" w:tentative="1">
      <w:start w:val="1"/>
      <w:numFmt w:val="bullet"/>
      <w:lvlText w:val=""/>
      <w:lvlJc w:val="left"/>
      <w:pPr>
        <w:ind w:left="6480" w:hanging="360"/>
      </w:pPr>
      <w:rPr>
        <w:rFonts w:ascii="Wingdings" w:hAnsi="Wingdings" w:hint="default"/>
      </w:rPr>
    </w:lvl>
  </w:abstractNum>
  <w:abstractNum w:abstractNumId="2" w15:restartNumberingAfterBreak="0">
    <w:nsid w:val="1292EC0B"/>
    <w:multiLevelType w:val="hybridMultilevel"/>
    <w:tmpl w:val="FFFFFFFF"/>
    <w:lvl w:ilvl="0" w:tplc="5DDC1A22">
      <w:start w:val="1"/>
      <w:numFmt w:val="bullet"/>
      <w:lvlText w:val=""/>
      <w:lvlJc w:val="left"/>
      <w:pPr>
        <w:ind w:left="720" w:hanging="360"/>
      </w:pPr>
      <w:rPr>
        <w:rFonts w:ascii="Symbol" w:hAnsi="Symbol" w:hint="default"/>
      </w:rPr>
    </w:lvl>
    <w:lvl w:ilvl="1" w:tplc="F170ECAC">
      <w:start w:val="1"/>
      <w:numFmt w:val="bullet"/>
      <w:lvlText w:val="o"/>
      <w:lvlJc w:val="left"/>
      <w:pPr>
        <w:ind w:left="1440" w:hanging="360"/>
      </w:pPr>
      <w:rPr>
        <w:rFonts w:ascii="Courier New" w:hAnsi="Courier New" w:hint="default"/>
      </w:rPr>
    </w:lvl>
    <w:lvl w:ilvl="2" w:tplc="00EA4A70">
      <w:start w:val="1"/>
      <w:numFmt w:val="bullet"/>
      <w:lvlText w:val=""/>
      <w:lvlJc w:val="left"/>
      <w:pPr>
        <w:ind w:left="2160" w:hanging="360"/>
      </w:pPr>
      <w:rPr>
        <w:rFonts w:ascii="Wingdings" w:hAnsi="Wingdings" w:hint="default"/>
      </w:rPr>
    </w:lvl>
    <w:lvl w:ilvl="3" w:tplc="427E430C">
      <w:start w:val="1"/>
      <w:numFmt w:val="bullet"/>
      <w:lvlText w:val=""/>
      <w:lvlJc w:val="left"/>
      <w:pPr>
        <w:ind w:left="2880" w:hanging="360"/>
      </w:pPr>
      <w:rPr>
        <w:rFonts w:ascii="Symbol" w:hAnsi="Symbol" w:hint="default"/>
      </w:rPr>
    </w:lvl>
    <w:lvl w:ilvl="4" w:tplc="768C63D8">
      <w:start w:val="1"/>
      <w:numFmt w:val="bullet"/>
      <w:lvlText w:val="o"/>
      <w:lvlJc w:val="left"/>
      <w:pPr>
        <w:ind w:left="3600" w:hanging="360"/>
      </w:pPr>
      <w:rPr>
        <w:rFonts w:ascii="Courier New" w:hAnsi="Courier New" w:hint="default"/>
      </w:rPr>
    </w:lvl>
    <w:lvl w:ilvl="5" w:tplc="C5E44C06">
      <w:start w:val="1"/>
      <w:numFmt w:val="bullet"/>
      <w:lvlText w:val=""/>
      <w:lvlJc w:val="left"/>
      <w:pPr>
        <w:ind w:left="4320" w:hanging="360"/>
      </w:pPr>
      <w:rPr>
        <w:rFonts w:ascii="Wingdings" w:hAnsi="Wingdings" w:hint="default"/>
      </w:rPr>
    </w:lvl>
    <w:lvl w:ilvl="6" w:tplc="EA9CE986">
      <w:start w:val="1"/>
      <w:numFmt w:val="bullet"/>
      <w:lvlText w:val=""/>
      <w:lvlJc w:val="left"/>
      <w:pPr>
        <w:ind w:left="5040" w:hanging="360"/>
      </w:pPr>
      <w:rPr>
        <w:rFonts w:ascii="Symbol" w:hAnsi="Symbol" w:hint="default"/>
      </w:rPr>
    </w:lvl>
    <w:lvl w:ilvl="7" w:tplc="543C01FE">
      <w:start w:val="1"/>
      <w:numFmt w:val="bullet"/>
      <w:lvlText w:val="o"/>
      <w:lvlJc w:val="left"/>
      <w:pPr>
        <w:ind w:left="5760" w:hanging="360"/>
      </w:pPr>
      <w:rPr>
        <w:rFonts w:ascii="Courier New" w:hAnsi="Courier New" w:hint="default"/>
      </w:rPr>
    </w:lvl>
    <w:lvl w:ilvl="8" w:tplc="AAEE1D8E">
      <w:start w:val="1"/>
      <w:numFmt w:val="bullet"/>
      <w:lvlText w:val=""/>
      <w:lvlJc w:val="left"/>
      <w:pPr>
        <w:ind w:left="6480" w:hanging="360"/>
      </w:pPr>
      <w:rPr>
        <w:rFonts w:ascii="Wingdings" w:hAnsi="Wingdings" w:hint="default"/>
      </w:rPr>
    </w:lvl>
  </w:abstractNum>
  <w:abstractNum w:abstractNumId="3" w15:restartNumberingAfterBreak="0">
    <w:nsid w:val="13B06A99"/>
    <w:multiLevelType w:val="hybridMultilevel"/>
    <w:tmpl w:val="5AF4C1BA"/>
    <w:lvl w:ilvl="0" w:tplc="4D3EA842">
      <w:start w:val="1"/>
      <w:numFmt w:val="bullet"/>
      <w:lvlText w:val=""/>
      <w:lvlJc w:val="left"/>
      <w:pPr>
        <w:ind w:left="720" w:hanging="360"/>
      </w:pPr>
      <w:rPr>
        <w:rFonts w:ascii="Symbol" w:hAnsi="Symbol" w:hint="default"/>
      </w:rPr>
    </w:lvl>
    <w:lvl w:ilvl="1" w:tplc="79F2DBF4" w:tentative="1">
      <w:start w:val="1"/>
      <w:numFmt w:val="bullet"/>
      <w:lvlText w:val="o"/>
      <w:lvlJc w:val="left"/>
      <w:pPr>
        <w:ind w:left="1440" w:hanging="360"/>
      </w:pPr>
      <w:rPr>
        <w:rFonts w:ascii="Courier New" w:hAnsi="Courier New" w:hint="default"/>
      </w:rPr>
    </w:lvl>
    <w:lvl w:ilvl="2" w:tplc="DD5CAAF8" w:tentative="1">
      <w:start w:val="1"/>
      <w:numFmt w:val="bullet"/>
      <w:lvlText w:val=""/>
      <w:lvlJc w:val="left"/>
      <w:pPr>
        <w:ind w:left="2160" w:hanging="360"/>
      </w:pPr>
      <w:rPr>
        <w:rFonts w:ascii="Wingdings" w:hAnsi="Wingdings" w:hint="default"/>
      </w:rPr>
    </w:lvl>
    <w:lvl w:ilvl="3" w:tplc="930CCDC2" w:tentative="1">
      <w:start w:val="1"/>
      <w:numFmt w:val="bullet"/>
      <w:lvlText w:val=""/>
      <w:lvlJc w:val="left"/>
      <w:pPr>
        <w:ind w:left="2880" w:hanging="360"/>
      </w:pPr>
      <w:rPr>
        <w:rFonts w:ascii="Symbol" w:hAnsi="Symbol" w:hint="default"/>
      </w:rPr>
    </w:lvl>
    <w:lvl w:ilvl="4" w:tplc="297842A4" w:tentative="1">
      <w:start w:val="1"/>
      <w:numFmt w:val="bullet"/>
      <w:lvlText w:val="o"/>
      <w:lvlJc w:val="left"/>
      <w:pPr>
        <w:ind w:left="3600" w:hanging="360"/>
      </w:pPr>
      <w:rPr>
        <w:rFonts w:ascii="Courier New" w:hAnsi="Courier New" w:hint="default"/>
      </w:rPr>
    </w:lvl>
    <w:lvl w:ilvl="5" w:tplc="1730E01E" w:tentative="1">
      <w:start w:val="1"/>
      <w:numFmt w:val="bullet"/>
      <w:lvlText w:val=""/>
      <w:lvlJc w:val="left"/>
      <w:pPr>
        <w:ind w:left="4320" w:hanging="360"/>
      </w:pPr>
      <w:rPr>
        <w:rFonts w:ascii="Wingdings" w:hAnsi="Wingdings" w:hint="default"/>
      </w:rPr>
    </w:lvl>
    <w:lvl w:ilvl="6" w:tplc="7776655E" w:tentative="1">
      <w:start w:val="1"/>
      <w:numFmt w:val="bullet"/>
      <w:lvlText w:val=""/>
      <w:lvlJc w:val="left"/>
      <w:pPr>
        <w:ind w:left="5040" w:hanging="360"/>
      </w:pPr>
      <w:rPr>
        <w:rFonts w:ascii="Symbol" w:hAnsi="Symbol" w:hint="default"/>
      </w:rPr>
    </w:lvl>
    <w:lvl w:ilvl="7" w:tplc="29FAAC06" w:tentative="1">
      <w:start w:val="1"/>
      <w:numFmt w:val="bullet"/>
      <w:lvlText w:val="o"/>
      <w:lvlJc w:val="left"/>
      <w:pPr>
        <w:ind w:left="5760" w:hanging="360"/>
      </w:pPr>
      <w:rPr>
        <w:rFonts w:ascii="Courier New" w:hAnsi="Courier New" w:hint="default"/>
      </w:rPr>
    </w:lvl>
    <w:lvl w:ilvl="8" w:tplc="EAEE653A" w:tentative="1">
      <w:start w:val="1"/>
      <w:numFmt w:val="bullet"/>
      <w:lvlText w:val=""/>
      <w:lvlJc w:val="left"/>
      <w:pPr>
        <w:ind w:left="6480" w:hanging="360"/>
      </w:pPr>
      <w:rPr>
        <w:rFonts w:ascii="Wingdings" w:hAnsi="Wingdings" w:hint="default"/>
      </w:rPr>
    </w:lvl>
  </w:abstractNum>
  <w:abstractNum w:abstractNumId="4" w15:restartNumberingAfterBreak="0">
    <w:nsid w:val="1639333B"/>
    <w:multiLevelType w:val="hybridMultilevel"/>
    <w:tmpl w:val="7BB41E30"/>
    <w:lvl w:ilvl="0" w:tplc="F3B298D4">
      <w:start w:val="1"/>
      <w:numFmt w:val="bullet"/>
      <w:lvlText w:val=""/>
      <w:lvlJc w:val="left"/>
      <w:pPr>
        <w:ind w:left="720" w:hanging="360"/>
      </w:pPr>
      <w:rPr>
        <w:rFonts w:ascii="Symbol" w:hAnsi="Symbol"/>
      </w:rPr>
    </w:lvl>
    <w:lvl w:ilvl="1" w:tplc="7B864974">
      <w:start w:val="1"/>
      <w:numFmt w:val="bullet"/>
      <w:lvlText w:val=""/>
      <w:lvlJc w:val="left"/>
      <w:pPr>
        <w:ind w:left="720" w:hanging="360"/>
      </w:pPr>
      <w:rPr>
        <w:rFonts w:ascii="Symbol" w:hAnsi="Symbol"/>
      </w:rPr>
    </w:lvl>
    <w:lvl w:ilvl="2" w:tplc="CBECCEA2">
      <w:start w:val="1"/>
      <w:numFmt w:val="bullet"/>
      <w:lvlText w:val=""/>
      <w:lvlJc w:val="left"/>
      <w:pPr>
        <w:ind w:left="720" w:hanging="360"/>
      </w:pPr>
      <w:rPr>
        <w:rFonts w:ascii="Symbol" w:hAnsi="Symbol"/>
      </w:rPr>
    </w:lvl>
    <w:lvl w:ilvl="3" w:tplc="9BEC2402">
      <w:start w:val="1"/>
      <w:numFmt w:val="bullet"/>
      <w:lvlText w:val=""/>
      <w:lvlJc w:val="left"/>
      <w:pPr>
        <w:ind w:left="720" w:hanging="360"/>
      </w:pPr>
      <w:rPr>
        <w:rFonts w:ascii="Symbol" w:hAnsi="Symbol"/>
      </w:rPr>
    </w:lvl>
    <w:lvl w:ilvl="4" w:tplc="E1A88D92">
      <w:start w:val="1"/>
      <w:numFmt w:val="bullet"/>
      <w:lvlText w:val=""/>
      <w:lvlJc w:val="left"/>
      <w:pPr>
        <w:ind w:left="720" w:hanging="360"/>
      </w:pPr>
      <w:rPr>
        <w:rFonts w:ascii="Symbol" w:hAnsi="Symbol"/>
      </w:rPr>
    </w:lvl>
    <w:lvl w:ilvl="5" w:tplc="9878A2BE">
      <w:start w:val="1"/>
      <w:numFmt w:val="bullet"/>
      <w:lvlText w:val=""/>
      <w:lvlJc w:val="left"/>
      <w:pPr>
        <w:ind w:left="720" w:hanging="360"/>
      </w:pPr>
      <w:rPr>
        <w:rFonts w:ascii="Symbol" w:hAnsi="Symbol"/>
      </w:rPr>
    </w:lvl>
    <w:lvl w:ilvl="6" w:tplc="DAD0EE5E">
      <w:start w:val="1"/>
      <w:numFmt w:val="bullet"/>
      <w:lvlText w:val=""/>
      <w:lvlJc w:val="left"/>
      <w:pPr>
        <w:ind w:left="720" w:hanging="360"/>
      </w:pPr>
      <w:rPr>
        <w:rFonts w:ascii="Symbol" w:hAnsi="Symbol"/>
      </w:rPr>
    </w:lvl>
    <w:lvl w:ilvl="7" w:tplc="2728A59C">
      <w:start w:val="1"/>
      <w:numFmt w:val="bullet"/>
      <w:lvlText w:val=""/>
      <w:lvlJc w:val="left"/>
      <w:pPr>
        <w:ind w:left="720" w:hanging="360"/>
      </w:pPr>
      <w:rPr>
        <w:rFonts w:ascii="Symbol" w:hAnsi="Symbol"/>
      </w:rPr>
    </w:lvl>
    <w:lvl w:ilvl="8" w:tplc="0140351A">
      <w:start w:val="1"/>
      <w:numFmt w:val="bullet"/>
      <w:lvlText w:val=""/>
      <w:lvlJc w:val="left"/>
      <w:pPr>
        <w:ind w:left="720" w:hanging="360"/>
      </w:pPr>
      <w:rPr>
        <w:rFonts w:ascii="Symbol" w:hAnsi="Symbol"/>
      </w:rPr>
    </w:lvl>
  </w:abstractNum>
  <w:abstractNum w:abstractNumId="5" w15:restartNumberingAfterBreak="0">
    <w:nsid w:val="164A485D"/>
    <w:multiLevelType w:val="hybridMultilevel"/>
    <w:tmpl w:val="AA96C420"/>
    <w:lvl w:ilvl="0" w:tplc="2EDE4640">
      <w:start w:val="1"/>
      <w:numFmt w:val="bullet"/>
      <w:lvlText w:val=""/>
      <w:lvlJc w:val="left"/>
      <w:pPr>
        <w:ind w:left="720" w:hanging="360"/>
      </w:pPr>
      <w:rPr>
        <w:rFonts w:ascii="Symbol" w:hAnsi="Symbol" w:hint="default"/>
      </w:rPr>
    </w:lvl>
    <w:lvl w:ilvl="1" w:tplc="7584E7C8" w:tentative="1">
      <w:start w:val="1"/>
      <w:numFmt w:val="bullet"/>
      <w:lvlText w:val="o"/>
      <w:lvlJc w:val="left"/>
      <w:pPr>
        <w:ind w:left="1440" w:hanging="360"/>
      </w:pPr>
      <w:rPr>
        <w:rFonts w:ascii="Courier New" w:hAnsi="Courier New" w:hint="default"/>
      </w:rPr>
    </w:lvl>
    <w:lvl w:ilvl="2" w:tplc="A76EB9C6" w:tentative="1">
      <w:start w:val="1"/>
      <w:numFmt w:val="bullet"/>
      <w:lvlText w:val=""/>
      <w:lvlJc w:val="left"/>
      <w:pPr>
        <w:ind w:left="2160" w:hanging="360"/>
      </w:pPr>
      <w:rPr>
        <w:rFonts w:ascii="Wingdings" w:hAnsi="Wingdings" w:hint="default"/>
      </w:rPr>
    </w:lvl>
    <w:lvl w:ilvl="3" w:tplc="99B0676E" w:tentative="1">
      <w:start w:val="1"/>
      <w:numFmt w:val="bullet"/>
      <w:lvlText w:val=""/>
      <w:lvlJc w:val="left"/>
      <w:pPr>
        <w:ind w:left="2880" w:hanging="360"/>
      </w:pPr>
      <w:rPr>
        <w:rFonts w:ascii="Symbol" w:hAnsi="Symbol" w:hint="default"/>
      </w:rPr>
    </w:lvl>
    <w:lvl w:ilvl="4" w:tplc="5D04BD66" w:tentative="1">
      <w:start w:val="1"/>
      <w:numFmt w:val="bullet"/>
      <w:lvlText w:val="o"/>
      <w:lvlJc w:val="left"/>
      <w:pPr>
        <w:ind w:left="3600" w:hanging="360"/>
      </w:pPr>
      <w:rPr>
        <w:rFonts w:ascii="Courier New" w:hAnsi="Courier New" w:hint="default"/>
      </w:rPr>
    </w:lvl>
    <w:lvl w:ilvl="5" w:tplc="A79A3E14" w:tentative="1">
      <w:start w:val="1"/>
      <w:numFmt w:val="bullet"/>
      <w:lvlText w:val=""/>
      <w:lvlJc w:val="left"/>
      <w:pPr>
        <w:ind w:left="4320" w:hanging="360"/>
      </w:pPr>
      <w:rPr>
        <w:rFonts w:ascii="Wingdings" w:hAnsi="Wingdings" w:hint="default"/>
      </w:rPr>
    </w:lvl>
    <w:lvl w:ilvl="6" w:tplc="DC9CD050" w:tentative="1">
      <w:start w:val="1"/>
      <w:numFmt w:val="bullet"/>
      <w:lvlText w:val=""/>
      <w:lvlJc w:val="left"/>
      <w:pPr>
        <w:ind w:left="5040" w:hanging="360"/>
      </w:pPr>
      <w:rPr>
        <w:rFonts w:ascii="Symbol" w:hAnsi="Symbol" w:hint="default"/>
      </w:rPr>
    </w:lvl>
    <w:lvl w:ilvl="7" w:tplc="1A1E5922" w:tentative="1">
      <w:start w:val="1"/>
      <w:numFmt w:val="bullet"/>
      <w:lvlText w:val="o"/>
      <w:lvlJc w:val="left"/>
      <w:pPr>
        <w:ind w:left="5760" w:hanging="360"/>
      </w:pPr>
      <w:rPr>
        <w:rFonts w:ascii="Courier New" w:hAnsi="Courier New" w:hint="default"/>
      </w:rPr>
    </w:lvl>
    <w:lvl w:ilvl="8" w:tplc="FC389BBE" w:tentative="1">
      <w:start w:val="1"/>
      <w:numFmt w:val="bullet"/>
      <w:lvlText w:val=""/>
      <w:lvlJc w:val="left"/>
      <w:pPr>
        <w:ind w:left="6480" w:hanging="360"/>
      </w:pPr>
      <w:rPr>
        <w:rFonts w:ascii="Wingdings" w:hAnsi="Wingdings" w:hint="default"/>
      </w:rPr>
    </w:lvl>
  </w:abstractNum>
  <w:abstractNum w:abstractNumId="6" w15:restartNumberingAfterBreak="0">
    <w:nsid w:val="199475D8"/>
    <w:multiLevelType w:val="hybridMultilevel"/>
    <w:tmpl w:val="A00A4F28"/>
    <w:lvl w:ilvl="0" w:tplc="487C4152">
      <w:start w:val="1"/>
      <w:numFmt w:val="bullet"/>
      <w:lvlText w:val=""/>
      <w:lvlJc w:val="left"/>
      <w:pPr>
        <w:ind w:left="720" w:hanging="360"/>
      </w:pPr>
      <w:rPr>
        <w:rFonts w:ascii="Symbol" w:hAnsi="Symbol" w:hint="default"/>
      </w:rPr>
    </w:lvl>
    <w:lvl w:ilvl="1" w:tplc="647E9772" w:tentative="1">
      <w:start w:val="1"/>
      <w:numFmt w:val="bullet"/>
      <w:lvlText w:val="o"/>
      <w:lvlJc w:val="left"/>
      <w:pPr>
        <w:ind w:left="1440" w:hanging="360"/>
      </w:pPr>
      <w:rPr>
        <w:rFonts w:ascii="Courier New" w:hAnsi="Courier New" w:hint="default"/>
      </w:rPr>
    </w:lvl>
    <w:lvl w:ilvl="2" w:tplc="6A745A32" w:tentative="1">
      <w:start w:val="1"/>
      <w:numFmt w:val="bullet"/>
      <w:lvlText w:val=""/>
      <w:lvlJc w:val="left"/>
      <w:pPr>
        <w:ind w:left="2160" w:hanging="360"/>
      </w:pPr>
      <w:rPr>
        <w:rFonts w:ascii="Wingdings" w:hAnsi="Wingdings" w:hint="default"/>
      </w:rPr>
    </w:lvl>
    <w:lvl w:ilvl="3" w:tplc="999438FE" w:tentative="1">
      <w:start w:val="1"/>
      <w:numFmt w:val="bullet"/>
      <w:lvlText w:val=""/>
      <w:lvlJc w:val="left"/>
      <w:pPr>
        <w:ind w:left="2880" w:hanging="360"/>
      </w:pPr>
      <w:rPr>
        <w:rFonts w:ascii="Symbol" w:hAnsi="Symbol" w:hint="default"/>
      </w:rPr>
    </w:lvl>
    <w:lvl w:ilvl="4" w:tplc="B7EC6A66" w:tentative="1">
      <w:start w:val="1"/>
      <w:numFmt w:val="bullet"/>
      <w:lvlText w:val="o"/>
      <w:lvlJc w:val="left"/>
      <w:pPr>
        <w:ind w:left="3600" w:hanging="360"/>
      </w:pPr>
      <w:rPr>
        <w:rFonts w:ascii="Courier New" w:hAnsi="Courier New" w:hint="default"/>
      </w:rPr>
    </w:lvl>
    <w:lvl w:ilvl="5" w:tplc="3E687402" w:tentative="1">
      <w:start w:val="1"/>
      <w:numFmt w:val="bullet"/>
      <w:lvlText w:val=""/>
      <w:lvlJc w:val="left"/>
      <w:pPr>
        <w:ind w:left="4320" w:hanging="360"/>
      </w:pPr>
      <w:rPr>
        <w:rFonts w:ascii="Wingdings" w:hAnsi="Wingdings" w:hint="default"/>
      </w:rPr>
    </w:lvl>
    <w:lvl w:ilvl="6" w:tplc="F6C0BCFE" w:tentative="1">
      <w:start w:val="1"/>
      <w:numFmt w:val="bullet"/>
      <w:lvlText w:val=""/>
      <w:lvlJc w:val="left"/>
      <w:pPr>
        <w:ind w:left="5040" w:hanging="360"/>
      </w:pPr>
      <w:rPr>
        <w:rFonts w:ascii="Symbol" w:hAnsi="Symbol" w:hint="default"/>
      </w:rPr>
    </w:lvl>
    <w:lvl w:ilvl="7" w:tplc="EE78F722" w:tentative="1">
      <w:start w:val="1"/>
      <w:numFmt w:val="bullet"/>
      <w:lvlText w:val="o"/>
      <w:lvlJc w:val="left"/>
      <w:pPr>
        <w:ind w:left="5760" w:hanging="360"/>
      </w:pPr>
      <w:rPr>
        <w:rFonts w:ascii="Courier New" w:hAnsi="Courier New" w:hint="default"/>
      </w:rPr>
    </w:lvl>
    <w:lvl w:ilvl="8" w:tplc="6CA67F68" w:tentative="1">
      <w:start w:val="1"/>
      <w:numFmt w:val="bullet"/>
      <w:lvlText w:val=""/>
      <w:lvlJc w:val="left"/>
      <w:pPr>
        <w:ind w:left="6480" w:hanging="360"/>
      </w:pPr>
      <w:rPr>
        <w:rFonts w:ascii="Wingdings" w:hAnsi="Wingdings" w:hint="default"/>
      </w:rPr>
    </w:lvl>
  </w:abstractNum>
  <w:abstractNum w:abstractNumId="7" w15:restartNumberingAfterBreak="0">
    <w:nsid w:val="199F0D1C"/>
    <w:multiLevelType w:val="multilevel"/>
    <w:tmpl w:val="19AA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4F6C92"/>
    <w:multiLevelType w:val="hybridMultilevel"/>
    <w:tmpl w:val="FCE804F0"/>
    <w:lvl w:ilvl="0" w:tplc="0D6E9EDA">
      <w:start w:val="1"/>
      <w:numFmt w:val="bullet"/>
      <w:lvlText w:val=""/>
      <w:lvlJc w:val="left"/>
      <w:pPr>
        <w:ind w:left="720" w:hanging="360"/>
      </w:pPr>
      <w:rPr>
        <w:rFonts w:ascii="Symbol" w:hAnsi="Symbol" w:hint="default"/>
      </w:rPr>
    </w:lvl>
    <w:lvl w:ilvl="1" w:tplc="919EFF30" w:tentative="1">
      <w:start w:val="1"/>
      <w:numFmt w:val="bullet"/>
      <w:lvlText w:val="o"/>
      <w:lvlJc w:val="left"/>
      <w:pPr>
        <w:ind w:left="1440" w:hanging="360"/>
      </w:pPr>
      <w:rPr>
        <w:rFonts w:ascii="Courier New" w:hAnsi="Courier New" w:hint="default"/>
      </w:rPr>
    </w:lvl>
    <w:lvl w:ilvl="2" w:tplc="A262197E" w:tentative="1">
      <w:start w:val="1"/>
      <w:numFmt w:val="bullet"/>
      <w:lvlText w:val=""/>
      <w:lvlJc w:val="left"/>
      <w:pPr>
        <w:ind w:left="2160" w:hanging="360"/>
      </w:pPr>
      <w:rPr>
        <w:rFonts w:ascii="Wingdings" w:hAnsi="Wingdings" w:hint="default"/>
      </w:rPr>
    </w:lvl>
    <w:lvl w:ilvl="3" w:tplc="38407182" w:tentative="1">
      <w:start w:val="1"/>
      <w:numFmt w:val="bullet"/>
      <w:lvlText w:val=""/>
      <w:lvlJc w:val="left"/>
      <w:pPr>
        <w:ind w:left="2880" w:hanging="360"/>
      </w:pPr>
      <w:rPr>
        <w:rFonts w:ascii="Symbol" w:hAnsi="Symbol" w:hint="default"/>
      </w:rPr>
    </w:lvl>
    <w:lvl w:ilvl="4" w:tplc="092AD3F0" w:tentative="1">
      <w:start w:val="1"/>
      <w:numFmt w:val="bullet"/>
      <w:lvlText w:val="o"/>
      <w:lvlJc w:val="left"/>
      <w:pPr>
        <w:ind w:left="3600" w:hanging="360"/>
      </w:pPr>
      <w:rPr>
        <w:rFonts w:ascii="Courier New" w:hAnsi="Courier New" w:hint="default"/>
      </w:rPr>
    </w:lvl>
    <w:lvl w:ilvl="5" w:tplc="17487442" w:tentative="1">
      <w:start w:val="1"/>
      <w:numFmt w:val="bullet"/>
      <w:lvlText w:val=""/>
      <w:lvlJc w:val="left"/>
      <w:pPr>
        <w:ind w:left="4320" w:hanging="360"/>
      </w:pPr>
      <w:rPr>
        <w:rFonts w:ascii="Wingdings" w:hAnsi="Wingdings" w:hint="default"/>
      </w:rPr>
    </w:lvl>
    <w:lvl w:ilvl="6" w:tplc="9F2A9098" w:tentative="1">
      <w:start w:val="1"/>
      <w:numFmt w:val="bullet"/>
      <w:lvlText w:val=""/>
      <w:lvlJc w:val="left"/>
      <w:pPr>
        <w:ind w:left="5040" w:hanging="360"/>
      </w:pPr>
      <w:rPr>
        <w:rFonts w:ascii="Symbol" w:hAnsi="Symbol" w:hint="default"/>
      </w:rPr>
    </w:lvl>
    <w:lvl w:ilvl="7" w:tplc="B34631FA" w:tentative="1">
      <w:start w:val="1"/>
      <w:numFmt w:val="bullet"/>
      <w:lvlText w:val="o"/>
      <w:lvlJc w:val="left"/>
      <w:pPr>
        <w:ind w:left="5760" w:hanging="360"/>
      </w:pPr>
      <w:rPr>
        <w:rFonts w:ascii="Courier New" w:hAnsi="Courier New" w:hint="default"/>
      </w:rPr>
    </w:lvl>
    <w:lvl w:ilvl="8" w:tplc="B8345CE4" w:tentative="1">
      <w:start w:val="1"/>
      <w:numFmt w:val="bullet"/>
      <w:lvlText w:val=""/>
      <w:lvlJc w:val="left"/>
      <w:pPr>
        <w:ind w:left="6480" w:hanging="360"/>
      </w:pPr>
      <w:rPr>
        <w:rFonts w:ascii="Wingdings" w:hAnsi="Wingdings" w:hint="default"/>
      </w:rPr>
    </w:lvl>
  </w:abstractNum>
  <w:abstractNum w:abstractNumId="9" w15:restartNumberingAfterBreak="0">
    <w:nsid w:val="1BB28308"/>
    <w:multiLevelType w:val="hybridMultilevel"/>
    <w:tmpl w:val="FFFFFFFF"/>
    <w:lvl w:ilvl="0" w:tplc="7D2CA608">
      <w:start w:val="1"/>
      <w:numFmt w:val="decimal"/>
      <w:lvlText w:val="%1."/>
      <w:lvlJc w:val="left"/>
      <w:pPr>
        <w:ind w:left="720" w:hanging="360"/>
      </w:pPr>
    </w:lvl>
    <w:lvl w:ilvl="1" w:tplc="2D8E16DE">
      <w:start w:val="1"/>
      <w:numFmt w:val="lowerLetter"/>
      <w:lvlText w:val="%2."/>
      <w:lvlJc w:val="left"/>
      <w:pPr>
        <w:ind w:left="1440" w:hanging="360"/>
      </w:pPr>
    </w:lvl>
    <w:lvl w:ilvl="2" w:tplc="8F149FF6">
      <w:start w:val="1"/>
      <w:numFmt w:val="lowerRoman"/>
      <w:lvlText w:val="%3."/>
      <w:lvlJc w:val="right"/>
      <w:pPr>
        <w:ind w:left="2160" w:hanging="180"/>
      </w:pPr>
    </w:lvl>
    <w:lvl w:ilvl="3" w:tplc="2EEA16F4">
      <w:start w:val="1"/>
      <w:numFmt w:val="decimal"/>
      <w:lvlText w:val="%4."/>
      <w:lvlJc w:val="left"/>
      <w:pPr>
        <w:ind w:left="2880" w:hanging="360"/>
      </w:pPr>
    </w:lvl>
    <w:lvl w:ilvl="4" w:tplc="0AD27270">
      <w:start w:val="1"/>
      <w:numFmt w:val="lowerLetter"/>
      <w:lvlText w:val="%5."/>
      <w:lvlJc w:val="left"/>
      <w:pPr>
        <w:ind w:left="3600" w:hanging="360"/>
      </w:pPr>
    </w:lvl>
    <w:lvl w:ilvl="5" w:tplc="CC0C7DC4">
      <w:start w:val="1"/>
      <w:numFmt w:val="lowerRoman"/>
      <w:lvlText w:val="%6."/>
      <w:lvlJc w:val="right"/>
      <w:pPr>
        <w:ind w:left="4320" w:hanging="180"/>
      </w:pPr>
    </w:lvl>
    <w:lvl w:ilvl="6" w:tplc="50A6671E">
      <w:start w:val="1"/>
      <w:numFmt w:val="decimal"/>
      <w:lvlText w:val="%7."/>
      <w:lvlJc w:val="left"/>
      <w:pPr>
        <w:ind w:left="5040" w:hanging="360"/>
      </w:pPr>
    </w:lvl>
    <w:lvl w:ilvl="7" w:tplc="8312DCD8">
      <w:start w:val="1"/>
      <w:numFmt w:val="lowerLetter"/>
      <w:lvlText w:val="%8."/>
      <w:lvlJc w:val="left"/>
      <w:pPr>
        <w:ind w:left="5760" w:hanging="360"/>
      </w:pPr>
    </w:lvl>
    <w:lvl w:ilvl="8" w:tplc="D0B2F41E">
      <w:start w:val="1"/>
      <w:numFmt w:val="lowerRoman"/>
      <w:lvlText w:val="%9."/>
      <w:lvlJc w:val="right"/>
      <w:pPr>
        <w:ind w:left="6480" w:hanging="180"/>
      </w:pPr>
    </w:lvl>
  </w:abstractNum>
  <w:abstractNum w:abstractNumId="10" w15:restartNumberingAfterBreak="0">
    <w:nsid w:val="1DFB6A64"/>
    <w:multiLevelType w:val="hybridMultilevel"/>
    <w:tmpl w:val="2C1EE150"/>
    <w:lvl w:ilvl="0" w:tplc="BC824B5E">
      <w:start w:val="1"/>
      <w:numFmt w:val="bullet"/>
      <w:lvlText w:val=""/>
      <w:lvlJc w:val="left"/>
      <w:pPr>
        <w:ind w:left="720" w:hanging="360"/>
      </w:pPr>
      <w:rPr>
        <w:rFonts w:ascii="Symbol" w:hAnsi="Symbol" w:hint="default"/>
      </w:rPr>
    </w:lvl>
    <w:lvl w:ilvl="1" w:tplc="E7A06D20">
      <w:start w:val="1"/>
      <w:numFmt w:val="bullet"/>
      <w:lvlText w:val="o"/>
      <w:lvlJc w:val="left"/>
      <w:pPr>
        <w:ind w:left="1440" w:hanging="360"/>
      </w:pPr>
      <w:rPr>
        <w:rFonts w:ascii="Courier New" w:hAnsi="Courier New" w:hint="default"/>
      </w:rPr>
    </w:lvl>
    <w:lvl w:ilvl="2" w:tplc="D27C61DA">
      <w:start w:val="1"/>
      <w:numFmt w:val="bullet"/>
      <w:lvlText w:val=""/>
      <w:lvlJc w:val="left"/>
      <w:pPr>
        <w:ind w:left="2160" w:hanging="360"/>
      </w:pPr>
      <w:rPr>
        <w:rFonts w:ascii="Wingdings" w:hAnsi="Wingdings" w:hint="default"/>
      </w:rPr>
    </w:lvl>
    <w:lvl w:ilvl="3" w:tplc="7B061E20" w:tentative="1">
      <w:start w:val="1"/>
      <w:numFmt w:val="bullet"/>
      <w:lvlText w:val=""/>
      <w:lvlJc w:val="left"/>
      <w:pPr>
        <w:ind w:left="2880" w:hanging="360"/>
      </w:pPr>
      <w:rPr>
        <w:rFonts w:ascii="Symbol" w:hAnsi="Symbol" w:hint="default"/>
      </w:rPr>
    </w:lvl>
    <w:lvl w:ilvl="4" w:tplc="073E37B2" w:tentative="1">
      <w:start w:val="1"/>
      <w:numFmt w:val="bullet"/>
      <w:lvlText w:val="o"/>
      <w:lvlJc w:val="left"/>
      <w:pPr>
        <w:ind w:left="3600" w:hanging="360"/>
      </w:pPr>
      <w:rPr>
        <w:rFonts w:ascii="Courier New" w:hAnsi="Courier New" w:hint="default"/>
      </w:rPr>
    </w:lvl>
    <w:lvl w:ilvl="5" w:tplc="3A4E4A42" w:tentative="1">
      <w:start w:val="1"/>
      <w:numFmt w:val="bullet"/>
      <w:lvlText w:val=""/>
      <w:lvlJc w:val="left"/>
      <w:pPr>
        <w:ind w:left="4320" w:hanging="360"/>
      </w:pPr>
      <w:rPr>
        <w:rFonts w:ascii="Wingdings" w:hAnsi="Wingdings" w:hint="default"/>
      </w:rPr>
    </w:lvl>
    <w:lvl w:ilvl="6" w:tplc="1786BA9A" w:tentative="1">
      <w:start w:val="1"/>
      <w:numFmt w:val="bullet"/>
      <w:lvlText w:val=""/>
      <w:lvlJc w:val="left"/>
      <w:pPr>
        <w:ind w:left="5040" w:hanging="360"/>
      </w:pPr>
      <w:rPr>
        <w:rFonts w:ascii="Symbol" w:hAnsi="Symbol" w:hint="default"/>
      </w:rPr>
    </w:lvl>
    <w:lvl w:ilvl="7" w:tplc="4D0AE204" w:tentative="1">
      <w:start w:val="1"/>
      <w:numFmt w:val="bullet"/>
      <w:lvlText w:val="o"/>
      <w:lvlJc w:val="left"/>
      <w:pPr>
        <w:ind w:left="5760" w:hanging="360"/>
      </w:pPr>
      <w:rPr>
        <w:rFonts w:ascii="Courier New" w:hAnsi="Courier New" w:hint="default"/>
      </w:rPr>
    </w:lvl>
    <w:lvl w:ilvl="8" w:tplc="2DC08FF4" w:tentative="1">
      <w:start w:val="1"/>
      <w:numFmt w:val="bullet"/>
      <w:lvlText w:val=""/>
      <w:lvlJc w:val="left"/>
      <w:pPr>
        <w:ind w:left="6480" w:hanging="360"/>
      </w:pPr>
      <w:rPr>
        <w:rFonts w:ascii="Wingdings" w:hAnsi="Wingdings" w:hint="default"/>
      </w:rPr>
    </w:lvl>
  </w:abstractNum>
  <w:abstractNum w:abstractNumId="11" w15:restartNumberingAfterBreak="0">
    <w:nsid w:val="1E0F5425"/>
    <w:multiLevelType w:val="hybridMultilevel"/>
    <w:tmpl w:val="71B0E994"/>
    <w:lvl w:ilvl="0" w:tplc="4C4ECF9E">
      <w:start w:val="1"/>
      <w:numFmt w:val="bullet"/>
      <w:lvlText w:val=""/>
      <w:lvlJc w:val="left"/>
      <w:pPr>
        <w:ind w:left="720" w:hanging="360"/>
      </w:pPr>
      <w:rPr>
        <w:rFonts w:ascii="Symbol" w:hAnsi="Symbol" w:hint="default"/>
      </w:rPr>
    </w:lvl>
    <w:lvl w:ilvl="1" w:tplc="76340D30" w:tentative="1">
      <w:start w:val="1"/>
      <w:numFmt w:val="bullet"/>
      <w:lvlText w:val="o"/>
      <w:lvlJc w:val="left"/>
      <w:pPr>
        <w:ind w:left="1440" w:hanging="360"/>
      </w:pPr>
      <w:rPr>
        <w:rFonts w:ascii="Courier New" w:hAnsi="Courier New" w:hint="default"/>
      </w:rPr>
    </w:lvl>
    <w:lvl w:ilvl="2" w:tplc="6DB66708" w:tentative="1">
      <w:start w:val="1"/>
      <w:numFmt w:val="bullet"/>
      <w:lvlText w:val=""/>
      <w:lvlJc w:val="left"/>
      <w:pPr>
        <w:ind w:left="2160" w:hanging="360"/>
      </w:pPr>
      <w:rPr>
        <w:rFonts w:ascii="Wingdings" w:hAnsi="Wingdings" w:hint="default"/>
      </w:rPr>
    </w:lvl>
    <w:lvl w:ilvl="3" w:tplc="21ECDC90" w:tentative="1">
      <w:start w:val="1"/>
      <w:numFmt w:val="bullet"/>
      <w:lvlText w:val=""/>
      <w:lvlJc w:val="left"/>
      <w:pPr>
        <w:ind w:left="2880" w:hanging="360"/>
      </w:pPr>
      <w:rPr>
        <w:rFonts w:ascii="Symbol" w:hAnsi="Symbol" w:hint="default"/>
      </w:rPr>
    </w:lvl>
    <w:lvl w:ilvl="4" w:tplc="FDFC505E" w:tentative="1">
      <w:start w:val="1"/>
      <w:numFmt w:val="bullet"/>
      <w:lvlText w:val="o"/>
      <w:lvlJc w:val="left"/>
      <w:pPr>
        <w:ind w:left="3600" w:hanging="360"/>
      </w:pPr>
      <w:rPr>
        <w:rFonts w:ascii="Courier New" w:hAnsi="Courier New" w:hint="default"/>
      </w:rPr>
    </w:lvl>
    <w:lvl w:ilvl="5" w:tplc="7D04851A" w:tentative="1">
      <w:start w:val="1"/>
      <w:numFmt w:val="bullet"/>
      <w:lvlText w:val=""/>
      <w:lvlJc w:val="left"/>
      <w:pPr>
        <w:ind w:left="4320" w:hanging="360"/>
      </w:pPr>
      <w:rPr>
        <w:rFonts w:ascii="Wingdings" w:hAnsi="Wingdings" w:hint="default"/>
      </w:rPr>
    </w:lvl>
    <w:lvl w:ilvl="6" w:tplc="9800DDF6" w:tentative="1">
      <w:start w:val="1"/>
      <w:numFmt w:val="bullet"/>
      <w:lvlText w:val=""/>
      <w:lvlJc w:val="left"/>
      <w:pPr>
        <w:ind w:left="5040" w:hanging="360"/>
      </w:pPr>
      <w:rPr>
        <w:rFonts w:ascii="Symbol" w:hAnsi="Symbol" w:hint="default"/>
      </w:rPr>
    </w:lvl>
    <w:lvl w:ilvl="7" w:tplc="C4D6E290" w:tentative="1">
      <w:start w:val="1"/>
      <w:numFmt w:val="bullet"/>
      <w:lvlText w:val="o"/>
      <w:lvlJc w:val="left"/>
      <w:pPr>
        <w:ind w:left="5760" w:hanging="360"/>
      </w:pPr>
      <w:rPr>
        <w:rFonts w:ascii="Courier New" w:hAnsi="Courier New" w:hint="default"/>
      </w:rPr>
    </w:lvl>
    <w:lvl w:ilvl="8" w:tplc="69345EB4" w:tentative="1">
      <w:start w:val="1"/>
      <w:numFmt w:val="bullet"/>
      <w:lvlText w:val=""/>
      <w:lvlJc w:val="left"/>
      <w:pPr>
        <w:ind w:left="6480" w:hanging="360"/>
      </w:pPr>
      <w:rPr>
        <w:rFonts w:ascii="Wingdings" w:hAnsi="Wingdings" w:hint="default"/>
      </w:rPr>
    </w:lvl>
  </w:abstractNum>
  <w:abstractNum w:abstractNumId="12" w15:restartNumberingAfterBreak="0">
    <w:nsid w:val="1E18311C"/>
    <w:multiLevelType w:val="hybridMultilevel"/>
    <w:tmpl w:val="66788718"/>
    <w:lvl w:ilvl="0" w:tplc="6F244894">
      <w:numFmt w:val="bullet"/>
      <w:lvlText w:val="-"/>
      <w:lvlJc w:val="left"/>
      <w:pPr>
        <w:ind w:left="720" w:hanging="360"/>
      </w:pPr>
      <w:rPr>
        <w:rFonts w:ascii="Times New Roman" w:hAnsi="Times New Roman" w:hint="default"/>
      </w:rPr>
    </w:lvl>
    <w:lvl w:ilvl="1" w:tplc="CB308254" w:tentative="1">
      <w:start w:val="1"/>
      <w:numFmt w:val="bullet"/>
      <w:lvlText w:val="o"/>
      <w:lvlJc w:val="left"/>
      <w:pPr>
        <w:ind w:left="1440" w:hanging="360"/>
      </w:pPr>
      <w:rPr>
        <w:rFonts w:ascii="Courier New" w:hAnsi="Courier New" w:hint="default"/>
      </w:rPr>
    </w:lvl>
    <w:lvl w:ilvl="2" w:tplc="783AAC4A" w:tentative="1">
      <w:start w:val="1"/>
      <w:numFmt w:val="bullet"/>
      <w:lvlText w:val=""/>
      <w:lvlJc w:val="left"/>
      <w:pPr>
        <w:ind w:left="2160" w:hanging="360"/>
      </w:pPr>
      <w:rPr>
        <w:rFonts w:ascii="Wingdings" w:hAnsi="Wingdings" w:hint="default"/>
      </w:rPr>
    </w:lvl>
    <w:lvl w:ilvl="3" w:tplc="197607BE" w:tentative="1">
      <w:start w:val="1"/>
      <w:numFmt w:val="bullet"/>
      <w:lvlText w:val=""/>
      <w:lvlJc w:val="left"/>
      <w:pPr>
        <w:ind w:left="2880" w:hanging="360"/>
      </w:pPr>
      <w:rPr>
        <w:rFonts w:ascii="Symbol" w:hAnsi="Symbol" w:hint="default"/>
      </w:rPr>
    </w:lvl>
    <w:lvl w:ilvl="4" w:tplc="5CAA4E30" w:tentative="1">
      <w:start w:val="1"/>
      <w:numFmt w:val="bullet"/>
      <w:lvlText w:val="o"/>
      <w:lvlJc w:val="left"/>
      <w:pPr>
        <w:ind w:left="3600" w:hanging="360"/>
      </w:pPr>
      <w:rPr>
        <w:rFonts w:ascii="Courier New" w:hAnsi="Courier New" w:hint="default"/>
      </w:rPr>
    </w:lvl>
    <w:lvl w:ilvl="5" w:tplc="1BEEB95A" w:tentative="1">
      <w:start w:val="1"/>
      <w:numFmt w:val="bullet"/>
      <w:lvlText w:val=""/>
      <w:lvlJc w:val="left"/>
      <w:pPr>
        <w:ind w:left="4320" w:hanging="360"/>
      </w:pPr>
      <w:rPr>
        <w:rFonts w:ascii="Wingdings" w:hAnsi="Wingdings" w:hint="default"/>
      </w:rPr>
    </w:lvl>
    <w:lvl w:ilvl="6" w:tplc="37C014EE" w:tentative="1">
      <w:start w:val="1"/>
      <w:numFmt w:val="bullet"/>
      <w:lvlText w:val=""/>
      <w:lvlJc w:val="left"/>
      <w:pPr>
        <w:ind w:left="5040" w:hanging="360"/>
      </w:pPr>
      <w:rPr>
        <w:rFonts w:ascii="Symbol" w:hAnsi="Symbol" w:hint="default"/>
      </w:rPr>
    </w:lvl>
    <w:lvl w:ilvl="7" w:tplc="6F5EE04E" w:tentative="1">
      <w:start w:val="1"/>
      <w:numFmt w:val="bullet"/>
      <w:lvlText w:val="o"/>
      <w:lvlJc w:val="left"/>
      <w:pPr>
        <w:ind w:left="5760" w:hanging="360"/>
      </w:pPr>
      <w:rPr>
        <w:rFonts w:ascii="Courier New" w:hAnsi="Courier New" w:hint="default"/>
      </w:rPr>
    </w:lvl>
    <w:lvl w:ilvl="8" w:tplc="AF784248" w:tentative="1">
      <w:start w:val="1"/>
      <w:numFmt w:val="bullet"/>
      <w:lvlText w:val=""/>
      <w:lvlJc w:val="left"/>
      <w:pPr>
        <w:ind w:left="6480" w:hanging="360"/>
      </w:pPr>
      <w:rPr>
        <w:rFonts w:ascii="Wingdings" w:hAnsi="Wingdings" w:hint="default"/>
      </w:rPr>
    </w:lvl>
  </w:abstractNum>
  <w:abstractNum w:abstractNumId="13" w15:restartNumberingAfterBreak="0">
    <w:nsid w:val="1FC86AD5"/>
    <w:multiLevelType w:val="hybridMultilevel"/>
    <w:tmpl w:val="A10249D2"/>
    <w:lvl w:ilvl="0" w:tplc="874033FC">
      <w:start w:val="1"/>
      <w:numFmt w:val="bullet"/>
      <w:lvlText w:val=""/>
      <w:lvlJc w:val="left"/>
      <w:pPr>
        <w:ind w:left="720" w:hanging="360"/>
      </w:pPr>
      <w:rPr>
        <w:rFonts w:ascii="Symbol" w:hAnsi="Symbol" w:hint="default"/>
      </w:rPr>
    </w:lvl>
    <w:lvl w:ilvl="1" w:tplc="C51E8902" w:tentative="1">
      <w:start w:val="1"/>
      <w:numFmt w:val="bullet"/>
      <w:lvlText w:val="o"/>
      <w:lvlJc w:val="left"/>
      <w:pPr>
        <w:ind w:left="1440" w:hanging="360"/>
      </w:pPr>
      <w:rPr>
        <w:rFonts w:ascii="Courier New" w:hAnsi="Courier New" w:hint="default"/>
      </w:rPr>
    </w:lvl>
    <w:lvl w:ilvl="2" w:tplc="9CC854BA" w:tentative="1">
      <w:start w:val="1"/>
      <w:numFmt w:val="bullet"/>
      <w:lvlText w:val=""/>
      <w:lvlJc w:val="left"/>
      <w:pPr>
        <w:ind w:left="2160" w:hanging="360"/>
      </w:pPr>
      <w:rPr>
        <w:rFonts w:ascii="Wingdings" w:hAnsi="Wingdings" w:hint="default"/>
      </w:rPr>
    </w:lvl>
    <w:lvl w:ilvl="3" w:tplc="D4D0DC12" w:tentative="1">
      <w:start w:val="1"/>
      <w:numFmt w:val="bullet"/>
      <w:lvlText w:val=""/>
      <w:lvlJc w:val="left"/>
      <w:pPr>
        <w:ind w:left="2880" w:hanging="360"/>
      </w:pPr>
      <w:rPr>
        <w:rFonts w:ascii="Symbol" w:hAnsi="Symbol" w:hint="default"/>
      </w:rPr>
    </w:lvl>
    <w:lvl w:ilvl="4" w:tplc="3794818E" w:tentative="1">
      <w:start w:val="1"/>
      <w:numFmt w:val="bullet"/>
      <w:lvlText w:val="o"/>
      <w:lvlJc w:val="left"/>
      <w:pPr>
        <w:ind w:left="3600" w:hanging="360"/>
      </w:pPr>
      <w:rPr>
        <w:rFonts w:ascii="Courier New" w:hAnsi="Courier New" w:hint="default"/>
      </w:rPr>
    </w:lvl>
    <w:lvl w:ilvl="5" w:tplc="909AE548" w:tentative="1">
      <w:start w:val="1"/>
      <w:numFmt w:val="bullet"/>
      <w:lvlText w:val=""/>
      <w:lvlJc w:val="left"/>
      <w:pPr>
        <w:ind w:left="4320" w:hanging="360"/>
      </w:pPr>
      <w:rPr>
        <w:rFonts w:ascii="Wingdings" w:hAnsi="Wingdings" w:hint="default"/>
      </w:rPr>
    </w:lvl>
    <w:lvl w:ilvl="6" w:tplc="A09E7852" w:tentative="1">
      <w:start w:val="1"/>
      <w:numFmt w:val="bullet"/>
      <w:lvlText w:val=""/>
      <w:lvlJc w:val="left"/>
      <w:pPr>
        <w:ind w:left="5040" w:hanging="360"/>
      </w:pPr>
      <w:rPr>
        <w:rFonts w:ascii="Symbol" w:hAnsi="Symbol" w:hint="default"/>
      </w:rPr>
    </w:lvl>
    <w:lvl w:ilvl="7" w:tplc="66589D7E" w:tentative="1">
      <w:start w:val="1"/>
      <w:numFmt w:val="bullet"/>
      <w:lvlText w:val="o"/>
      <w:lvlJc w:val="left"/>
      <w:pPr>
        <w:ind w:left="5760" w:hanging="360"/>
      </w:pPr>
      <w:rPr>
        <w:rFonts w:ascii="Courier New" w:hAnsi="Courier New" w:hint="default"/>
      </w:rPr>
    </w:lvl>
    <w:lvl w:ilvl="8" w:tplc="894827FC" w:tentative="1">
      <w:start w:val="1"/>
      <w:numFmt w:val="bullet"/>
      <w:lvlText w:val=""/>
      <w:lvlJc w:val="left"/>
      <w:pPr>
        <w:ind w:left="6480" w:hanging="360"/>
      </w:pPr>
      <w:rPr>
        <w:rFonts w:ascii="Wingdings" w:hAnsi="Wingdings" w:hint="default"/>
      </w:rPr>
    </w:lvl>
  </w:abstractNum>
  <w:abstractNum w:abstractNumId="14" w15:restartNumberingAfterBreak="0">
    <w:nsid w:val="20161110"/>
    <w:multiLevelType w:val="hybridMultilevel"/>
    <w:tmpl w:val="A5789C8C"/>
    <w:lvl w:ilvl="0" w:tplc="1D6033D4">
      <w:start w:val="1"/>
      <w:numFmt w:val="bullet"/>
      <w:lvlText w:val=""/>
      <w:lvlJc w:val="left"/>
      <w:pPr>
        <w:ind w:left="720" w:hanging="360"/>
      </w:pPr>
      <w:rPr>
        <w:rFonts w:ascii="Symbol" w:hAnsi="Symbol" w:hint="default"/>
      </w:rPr>
    </w:lvl>
    <w:lvl w:ilvl="1" w:tplc="D9D8C8B2">
      <w:start w:val="1"/>
      <w:numFmt w:val="bullet"/>
      <w:lvlText w:val="o"/>
      <w:lvlJc w:val="left"/>
      <w:pPr>
        <w:ind w:left="1440" w:hanging="360"/>
      </w:pPr>
      <w:rPr>
        <w:rFonts w:ascii="Courier New" w:hAnsi="Courier New" w:hint="default"/>
      </w:rPr>
    </w:lvl>
    <w:lvl w:ilvl="2" w:tplc="F5E4E6F8">
      <w:start w:val="1"/>
      <w:numFmt w:val="bullet"/>
      <w:lvlText w:val=""/>
      <w:lvlJc w:val="left"/>
      <w:pPr>
        <w:ind w:left="2160" w:hanging="360"/>
      </w:pPr>
      <w:rPr>
        <w:rFonts w:ascii="Wingdings" w:hAnsi="Wingdings" w:hint="default"/>
      </w:rPr>
    </w:lvl>
    <w:lvl w:ilvl="3" w:tplc="62F86492" w:tentative="1">
      <w:start w:val="1"/>
      <w:numFmt w:val="bullet"/>
      <w:lvlText w:val=""/>
      <w:lvlJc w:val="left"/>
      <w:pPr>
        <w:ind w:left="2880" w:hanging="360"/>
      </w:pPr>
      <w:rPr>
        <w:rFonts w:ascii="Symbol" w:hAnsi="Symbol" w:hint="default"/>
      </w:rPr>
    </w:lvl>
    <w:lvl w:ilvl="4" w:tplc="CC6CE2EE" w:tentative="1">
      <w:start w:val="1"/>
      <w:numFmt w:val="bullet"/>
      <w:lvlText w:val="o"/>
      <w:lvlJc w:val="left"/>
      <w:pPr>
        <w:ind w:left="3600" w:hanging="360"/>
      </w:pPr>
      <w:rPr>
        <w:rFonts w:ascii="Courier New" w:hAnsi="Courier New" w:hint="default"/>
      </w:rPr>
    </w:lvl>
    <w:lvl w:ilvl="5" w:tplc="4358EA7C" w:tentative="1">
      <w:start w:val="1"/>
      <w:numFmt w:val="bullet"/>
      <w:lvlText w:val=""/>
      <w:lvlJc w:val="left"/>
      <w:pPr>
        <w:ind w:left="4320" w:hanging="360"/>
      </w:pPr>
      <w:rPr>
        <w:rFonts w:ascii="Wingdings" w:hAnsi="Wingdings" w:hint="default"/>
      </w:rPr>
    </w:lvl>
    <w:lvl w:ilvl="6" w:tplc="476A3BF4" w:tentative="1">
      <w:start w:val="1"/>
      <w:numFmt w:val="bullet"/>
      <w:lvlText w:val=""/>
      <w:lvlJc w:val="left"/>
      <w:pPr>
        <w:ind w:left="5040" w:hanging="360"/>
      </w:pPr>
      <w:rPr>
        <w:rFonts w:ascii="Symbol" w:hAnsi="Symbol" w:hint="default"/>
      </w:rPr>
    </w:lvl>
    <w:lvl w:ilvl="7" w:tplc="7CA6929E" w:tentative="1">
      <w:start w:val="1"/>
      <w:numFmt w:val="bullet"/>
      <w:lvlText w:val="o"/>
      <w:lvlJc w:val="left"/>
      <w:pPr>
        <w:ind w:left="5760" w:hanging="360"/>
      </w:pPr>
      <w:rPr>
        <w:rFonts w:ascii="Courier New" w:hAnsi="Courier New" w:hint="default"/>
      </w:rPr>
    </w:lvl>
    <w:lvl w:ilvl="8" w:tplc="1A00EC74" w:tentative="1">
      <w:start w:val="1"/>
      <w:numFmt w:val="bullet"/>
      <w:lvlText w:val=""/>
      <w:lvlJc w:val="left"/>
      <w:pPr>
        <w:ind w:left="6480" w:hanging="360"/>
      </w:pPr>
      <w:rPr>
        <w:rFonts w:ascii="Wingdings" w:hAnsi="Wingdings" w:hint="default"/>
      </w:rPr>
    </w:lvl>
  </w:abstractNum>
  <w:abstractNum w:abstractNumId="15" w15:restartNumberingAfterBreak="0">
    <w:nsid w:val="210D1B2A"/>
    <w:multiLevelType w:val="hybridMultilevel"/>
    <w:tmpl w:val="20B2B594"/>
    <w:lvl w:ilvl="0" w:tplc="4784F4EE">
      <w:start w:val="1"/>
      <w:numFmt w:val="bullet"/>
      <w:lvlText w:val=""/>
      <w:lvlJc w:val="left"/>
      <w:pPr>
        <w:ind w:left="720" w:hanging="360"/>
      </w:pPr>
      <w:rPr>
        <w:rFonts w:ascii="Symbol" w:hAnsi="Symbol" w:hint="default"/>
      </w:rPr>
    </w:lvl>
    <w:lvl w:ilvl="1" w:tplc="06D68874">
      <w:start w:val="1"/>
      <w:numFmt w:val="bullet"/>
      <w:lvlText w:val="o"/>
      <w:lvlJc w:val="left"/>
      <w:pPr>
        <w:ind w:left="1440" w:hanging="360"/>
      </w:pPr>
      <w:rPr>
        <w:rFonts w:ascii="Courier New" w:hAnsi="Courier New" w:hint="default"/>
      </w:rPr>
    </w:lvl>
    <w:lvl w:ilvl="2" w:tplc="2E108C4E" w:tentative="1">
      <w:start w:val="1"/>
      <w:numFmt w:val="bullet"/>
      <w:lvlText w:val=""/>
      <w:lvlJc w:val="left"/>
      <w:pPr>
        <w:ind w:left="2160" w:hanging="360"/>
      </w:pPr>
      <w:rPr>
        <w:rFonts w:ascii="Wingdings" w:hAnsi="Wingdings" w:hint="default"/>
      </w:rPr>
    </w:lvl>
    <w:lvl w:ilvl="3" w:tplc="3294A122" w:tentative="1">
      <w:start w:val="1"/>
      <w:numFmt w:val="bullet"/>
      <w:lvlText w:val=""/>
      <w:lvlJc w:val="left"/>
      <w:pPr>
        <w:ind w:left="2880" w:hanging="360"/>
      </w:pPr>
      <w:rPr>
        <w:rFonts w:ascii="Symbol" w:hAnsi="Symbol" w:hint="default"/>
      </w:rPr>
    </w:lvl>
    <w:lvl w:ilvl="4" w:tplc="2132CE60" w:tentative="1">
      <w:start w:val="1"/>
      <w:numFmt w:val="bullet"/>
      <w:lvlText w:val="o"/>
      <w:lvlJc w:val="left"/>
      <w:pPr>
        <w:ind w:left="3600" w:hanging="360"/>
      </w:pPr>
      <w:rPr>
        <w:rFonts w:ascii="Courier New" w:hAnsi="Courier New" w:hint="default"/>
      </w:rPr>
    </w:lvl>
    <w:lvl w:ilvl="5" w:tplc="F7DC4700" w:tentative="1">
      <w:start w:val="1"/>
      <w:numFmt w:val="bullet"/>
      <w:lvlText w:val=""/>
      <w:lvlJc w:val="left"/>
      <w:pPr>
        <w:ind w:left="4320" w:hanging="360"/>
      </w:pPr>
      <w:rPr>
        <w:rFonts w:ascii="Wingdings" w:hAnsi="Wingdings" w:hint="default"/>
      </w:rPr>
    </w:lvl>
    <w:lvl w:ilvl="6" w:tplc="378EBD00" w:tentative="1">
      <w:start w:val="1"/>
      <w:numFmt w:val="bullet"/>
      <w:lvlText w:val=""/>
      <w:lvlJc w:val="left"/>
      <w:pPr>
        <w:ind w:left="5040" w:hanging="360"/>
      </w:pPr>
      <w:rPr>
        <w:rFonts w:ascii="Symbol" w:hAnsi="Symbol" w:hint="default"/>
      </w:rPr>
    </w:lvl>
    <w:lvl w:ilvl="7" w:tplc="2348E55C" w:tentative="1">
      <w:start w:val="1"/>
      <w:numFmt w:val="bullet"/>
      <w:lvlText w:val="o"/>
      <w:lvlJc w:val="left"/>
      <w:pPr>
        <w:ind w:left="5760" w:hanging="360"/>
      </w:pPr>
      <w:rPr>
        <w:rFonts w:ascii="Courier New" w:hAnsi="Courier New" w:hint="default"/>
      </w:rPr>
    </w:lvl>
    <w:lvl w:ilvl="8" w:tplc="A88C9436" w:tentative="1">
      <w:start w:val="1"/>
      <w:numFmt w:val="bullet"/>
      <w:lvlText w:val=""/>
      <w:lvlJc w:val="left"/>
      <w:pPr>
        <w:ind w:left="6480" w:hanging="360"/>
      </w:pPr>
      <w:rPr>
        <w:rFonts w:ascii="Wingdings" w:hAnsi="Wingdings" w:hint="default"/>
      </w:rPr>
    </w:lvl>
  </w:abstractNum>
  <w:abstractNum w:abstractNumId="16" w15:restartNumberingAfterBreak="0">
    <w:nsid w:val="21A57CF8"/>
    <w:multiLevelType w:val="hybridMultilevel"/>
    <w:tmpl w:val="25C8ECCE"/>
    <w:lvl w:ilvl="0" w:tplc="7D14F90E">
      <w:start w:val="1"/>
      <w:numFmt w:val="bullet"/>
      <w:lvlText w:val=""/>
      <w:lvlJc w:val="left"/>
      <w:pPr>
        <w:ind w:left="720" w:hanging="360"/>
      </w:pPr>
      <w:rPr>
        <w:rFonts w:ascii="Symbol" w:hAnsi="Symbol" w:hint="default"/>
      </w:rPr>
    </w:lvl>
    <w:lvl w:ilvl="1" w:tplc="3216C21A">
      <w:start w:val="1"/>
      <w:numFmt w:val="bullet"/>
      <w:lvlText w:val="o"/>
      <w:lvlJc w:val="left"/>
      <w:pPr>
        <w:ind w:left="1440" w:hanging="360"/>
      </w:pPr>
      <w:rPr>
        <w:rFonts w:ascii="Courier New" w:hAnsi="Courier New" w:hint="default"/>
      </w:rPr>
    </w:lvl>
    <w:lvl w:ilvl="2" w:tplc="15721B12" w:tentative="1">
      <w:start w:val="1"/>
      <w:numFmt w:val="bullet"/>
      <w:lvlText w:val=""/>
      <w:lvlJc w:val="left"/>
      <w:pPr>
        <w:ind w:left="2160" w:hanging="360"/>
      </w:pPr>
      <w:rPr>
        <w:rFonts w:ascii="Wingdings" w:hAnsi="Wingdings" w:hint="default"/>
      </w:rPr>
    </w:lvl>
    <w:lvl w:ilvl="3" w:tplc="FE4EA4A8" w:tentative="1">
      <w:start w:val="1"/>
      <w:numFmt w:val="bullet"/>
      <w:lvlText w:val=""/>
      <w:lvlJc w:val="left"/>
      <w:pPr>
        <w:ind w:left="2880" w:hanging="360"/>
      </w:pPr>
      <w:rPr>
        <w:rFonts w:ascii="Symbol" w:hAnsi="Symbol" w:hint="default"/>
      </w:rPr>
    </w:lvl>
    <w:lvl w:ilvl="4" w:tplc="29724C8C" w:tentative="1">
      <w:start w:val="1"/>
      <w:numFmt w:val="bullet"/>
      <w:lvlText w:val="o"/>
      <w:lvlJc w:val="left"/>
      <w:pPr>
        <w:ind w:left="3600" w:hanging="360"/>
      </w:pPr>
      <w:rPr>
        <w:rFonts w:ascii="Courier New" w:hAnsi="Courier New" w:hint="default"/>
      </w:rPr>
    </w:lvl>
    <w:lvl w:ilvl="5" w:tplc="F8DEFC86" w:tentative="1">
      <w:start w:val="1"/>
      <w:numFmt w:val="bullet"/>
      <w:lvlText w:val=""/>
      <w:lvlJc w:val="left"/>
      <w:pPr>
        <w:ind w:left="4320" w:hanging="360"/>
      </w:pPr>
      <w:rPr>
        <w:rFonts w:ascii="Wingdings" w:hAnsi="Wingdings" w:hint="default"/>
      </w:rPr>
    </w:lvl>
    <w:lvl w:ilvl="6" w:tplc="67C08B60" w:tentative="1">
      <w:start w:val="1"/>
      <w:numFmt w:val="bullet"/>
      <w:lvlText w:val=""/>
      <w:lvlJc w:val="left"/>
      <w:pPr>
        <w:ind w:left="5040" w:hanging="360"/>
      </w:pPr>
      <w:rPr>
        <w:rFonts w:ascii="Symbol" w:hAnsi="Symbol" w:hint="default"/>
      </w:rPr>
    </w:lvl>
    <w:lvl w:ilvl="7" w:tplc="4F664C16" w:tentative="1">
      <w:start w:val="1"/>
      <w:numFmt w:val="bullet"/>
      <w:lvlText w:val="o"/>
      <w:lvlJc w:val="left"/>
      <w:pPr>
        <w:ind w:left="5760" w:hanging="360"/>
      </w:pPr>
      <w:rPr>
        <w:rFonts w:ascii="Courier New" w:hAnsi="Courier New" w:hint="default"/>
      </w:rPr>
    </w:lvl>
    <w:lvl w:ilvl="8" w:tplc="4022DC98" w:tentative="1">
      <w:start w:val="1"/>
      <w:numFmt w:val="bullet"/>
      <w:lvlText w:val=""/>
      <w:lvlJc w:val="left"/>
      <w:pPr>
        <w:ind w:left="6480" w:hanging="360"/>
      </w:pPr>
      <w:rPr>
        <w:rFonts w:ascii="Wingdings" w:hAnsi="Wingdings" w:hint="default"/>
      </w:rPr>
    </w:lvl>
  </w:abstractNum>
  <w:abstractNum w:abstractNumId="17" w15:restartNumberingAfterBreak="0">
    <w:nsid w:val="27035C3D"/>
    <w:multiLevelType w:val="hybridMultilevel"/>
    <w:tmpl w:val="D160F1AE"/>
    <w:lvl w:ilvl="0" w:tplc="5CC0C52E">
      <w:start w:val="1"/>
      <w:numFmt w:val="bullet"/>
      <w:lvlText w:val=""/>
      <w:lvlJc w:val="left"/>
      <w:pPr>
        <w:ind w:left="720" w:hanging="360"/>
      </w:pPr>
      <w:rPr>
        <w:rFonts w:ascii="Symbol" w:hAnsi="Symbol" w:hint="default"/>
      </w:rPr>
    </w:lvl>
    <w:lvl w:ilvl="1" w:tplc="0A8E3236" w:tentative="1">
      <w:start w:val="1"/>
      <w:numFmt w:val="bullet"/>
      <w:lvlText w:val="o"/>
      <w:lvlJc w:val="left"/>
      <w:pPr>
        <w:ind w:left="1440" w:hanging="360"/>
      </w:pPr>
      <w:rPr>
        <w:rFonts w:ascii="Courier New" w:hAnsi="Courier New" w:hint="default"/>
      </w:rPr>
    </w:lvl>
    <w:lvl w:ilvl="2" w:tplc="D1ECF3CE" w:tentative="1">
      <w:start w:val="1"/>
      <w:numFmt w:val="bullet"/>
      <w:lvlText w:val=""/>
      <w:lvlJc w:val="left"/>
      <w:pPr>
        <w:ind w:left="2160" w:hanging="360"/>
      </w:pPr>
      <w:rPr>
        <w:rFonts w:ascii="Wingdings" w:hAnsi="Wingdings" w:hint="default"/>
      </w:rPr>
    </w:lvl>
    <w:lvl w:ilvl="3" w:tplc="D39464F4" w:tentative="1">
      <w:start w:val="1"/>
      <w:numFmt w:val="bullet"/>
      <w:lvlText w:val=""/>
      <w:lvlJc w:val="left"/>
      <w:pPr>
        <w:ind w:left="2880" w:hanging="360"/>
      </w:pPr>
      <w:rPr>
        <w:rFonts w:ascii="Symbol" w:hAnsi="Symbol" w:hint="default"/>
      </w:rPr>
    </w:lvl>
    <w:lvl w:ilvl="4" w:tplc="7FF8ED56" w:tentative="1">
      <w:start w:val="1"/>
      <w:numFmt w:val="bullet"/>
      <w:lvlText w:val="o"/>
      <w:lvlJc w:val="left"/>
      <w:pPr>
        <w:ind w:left="3600" w:hanging="360"/>
      </w:pPr>
      <w:rPr>
        <w:rFonts w:ascii="Courier New" w:hAnsi="Courier New" w:hint="default"/>
      </w:rPr>
    </w:lvl>
    <w:lvl w:ilvl="5" w:tplc="AF4A60D8" w:tentative="1">
      <w:start w:val="1"/>
      <w:numFmt w:val="bullet"/>
      <w:lvlText w:val=""/>
      <w:lvlJc w:val="left"/>
      <w:pPr>
        <w:ind w:left="4320" w:hanging="360"/>
      </w:pPr>
      <w:rPr>
        <w:rFonts w:ascii="Wingdings" w:hAnsi="Wingdings" w:hint="default"/>
      </w:rPr>
    </w:lvl>
    <w:lvl w:ilvl="6" w:tplc="ADCCDB6A" w:tentative="1">
      <w:start w:val="1"/>
      <w:numFmt w:val="bullet"/>
      <w:lvlText w:val=""/>
      <w:lvlJc w:val="left"/>
      <w:pPr>
        <w:ind w:left="5040" w:hanging="360"/>
      </w:pPr>
      <w:rPr>
        <w:rFonts w:ascii="Symbol" w:hAnsi="Symbol" w:hint="default"/>
      </w:rPr>
    </w:lvl>
    <w:lvl w:ilvl="7" w:tplc="F54C3050" w:tentative="1">
      <w:start w:val="1"/>
      <w:numFmt w:val="bullet"/>
      <w:lvlText w:val="o"/>
      <w:lvlJc w:val="left"/>
      <w:pPr>
        <w:ind w:left="5760" w:hanging="360"/>
      </w:pPr>
      <w:rPr>
        <w:rFonts w:ascii="Courier New" w:hAnsi="Courier New" w:hint="default"/>
      </w:rPr>
    </w:lvl>
    <w:lvl w:ilvl="8" w:tplc="BC188B6E" w:tentative="1">
      <w:start w:val="1"/>
      <w:numFmt w:val="bullet"/>
      <w:lvlText w:val=""/>
      <w:lvlJc w:val="left"/>
      <w:pPr>
        <w:ind w:left="6480" w:hanging="360"/>
      </w:pPr>
      <w:rPr>
        <w:rFonts w:ascii="Wingdings" w:hAnsi="Wingdings" w:hint="default"/>
      </w:rPr>
    </w:lvl>
  </w:abstractNum>
  <w:abstractNum w:abstractNumId="18" w15:restartNumberingAfterBreak="0">
    <w:nsid w:val="2783110B"/>
    <w:multiLevelType w:val="hybridMultilevel"/>
    <w:tmpl w:val="80C43E5E"/>
    <w:lvl w:ilvl="0" w:tplc="243C72EE">
      <w:start w:val="1"/>
      <w:numFmt w:val="bullet"/>
      <w:lvlText w:val=""/>
      <w:lvlJc w:val="left"/>
      <w:pPr>
        <w:ind w:left="720" w:hanging="360"/>
      </w:pPr>
      <w:rPr>
        <w:rFonts w:ascii="Symbol" w:hAnsi="Symbol" w:hint="default"/>
      </w:rPr>
    </w:lvl>
    <w:lvl w:ilvl="1" w:tplc="B0485366" w:tentative="1">
      <w:start w:val="1"/>
      <w:numFmt w:val="bullet"/>
      <w:lvlText w:val="o"/>
      <w:lvlJc w:val="left"/>
      <w:pPr>
        <w:ind w:left="1440" w:hanging="360"/>
      </w:pPr>
      <w:rPr>
        <w:rFonts w:ascii="Courier New" w:hAnsi="Courier New" w:hint="default"/>
      </w:rPr>
    </w:lvl>
    <w:lvl w:ilvl="2" w:tplc="09C67314" w:tentative="1">
      <w:start w:val="1"/>
      <w:numFmt w:val="bullet"/>
      <w:lvlText w:val=""/>
      <w:lvlJc w:val="left"/>
      <w:pPr>
        <w:ind w:left="2160" w:hanging="360"/>
      </w:pPr>
      <w:rPr>
        <w:rFonts w:ascii="Wingdings" w:hAnsi="Wingdings" w:hint="default"/>
      </w:rPr>
    </w:lvl>
    <w:lvl w:ilvl="3" w:tplc="3E687B38" w:tentative="1">
      <w:start w:val="1"/>
      <w:numFmt w:val="bullet"/>
      <w:lvlText w:val=""/>
      <w:lvlJc w:val="left"/>
      <w:pPr>
        <w:ind w:left="2880" w:hanging="360"/>
      </w:pPr>
      <w:rPr>
        <w:rFonts w:ascii="Symbol" w:hAnsi="Symbol" w:hint="default"/>
      </w:rPr>
    </w:lvl>
    <w:lvl w:ilvl="4" w:tplc="80A4A05C" w:tentative="1">
      <w:start w:val="1"/>
      <w:numFmt w:val="bullet"/>
      <w:lvlText w:val="o"/>
      <w:lvlJc w:val="left"/>
      <w:pPr>
        <w:ind w:left="3600" w:hanging="360"/>
      </w:pPr>
      <w:rPr>
        <w:rFonts w:ascii="Courier New" w:hAnsi="Courier New" w:hint="default"/>
      </w:rPr>
    </w:lvl>
    <w:lvl w:ilvl="5" w:tplc="764A50CC" w:tentative="1">
      <w:start w:val="1"/>
      <w:numFmt w:val="bullet"/>
      <w:lvlText w:val=""/>
      <w:lvlJc w:val="left"/>
      <w:pPr>
        <w:ind w:left="4320" w:hanging="360"/>
      </w:pPr>
      <w:rPr>
        <w:rFonts w:ascii="Wingdings" w:hAnsi="Wingdings" w:hint="default"/>
      </w:rPr>
    </w:lvl>
    <w:lvl w:ilvl="6" w:tplc="36D05938" w:tentative="1">
      <w:start w:val="1"/>
      <w:numFmt w:val="bullet"/>
      <w:lvlText w:val=""/>
      <w:lvlJc w:val="left"/>
      <w:pPr>
        <w:ind w:left="5040" w:hanging="360"/>
      </w:pPr>
      <w:rPr>
        <w:rFonts w:ascii="Symbol" w:hAnsi="Symbol" w:hint="default"/>
      </w:rPr>
    </w:lvl>
    <w:lvl w:ilvl="7" w:tplc="21006604" w:tentative="1">
      <w:start w:val="1"/>
      <w:numFmt w:val="bullet"/>
      <w:lvlText w:val="o"/>
      <w:lvlJc w:val="left"/>
      <w:pPr>
        <w:ind w:left="5760" w:hanging="360"/>
      </w:pPr>
      <w:rPr>
        <w:rFonts w:ascii="Courier New" w:hAnsi="Courier New" w:hint="default"/>
      </w:rPr>
    </w:lvl>
    <w:lvl w:ilvl="8" w:tplc="457059C6" w:tentative="1">
      <w:start w:val="1"/>
      <w:numFmt w:val="bullet"/>
      <w:lvlText w:val=""/>
      <w:lvlJc w:val="left"/>
      <w:pPr>
        <w:ind w:left="6480" w:hanging="360"/>
      </w:pPr>
      <w:rPr>
        <w:rFonts w:ascii="Wingdings" w:hAnsi="Wingdings" w:hint="default"/>
      </w:rPr>
    </w:lvl>
  </w:abstractNum>
  <w:abstractNum w:abstractNumId="19" w15:restartNumberingAfterBreak="0">
    <w:nsid w:val="287B3B2B"/>
    <w:multiLevelType w:val="hybridMultilevel"/>
    <w:tmpl w:val="497A63EA"/>
    <w:lvl w:ilvl="0" w:tplc="3C26F6DC">
      <w:start w:val="1"/>
      <w:numFmt w:val="bullet"/>
      <w:lvlText w:val=""/>
      <w:lvlJc w:val="left"/>
      <w:pPr>
        <w:ind w:left="720" w:hanging="360"/>
      </w:pPr>
      <w:rPr>
        <w:rFonts w:ascii="Symbol" w:hAnsi="Symbol" w:hint="default"/>
      </w:rPr>
    </w:lvl>
    <w:lvl w:ilvl="1" w:tplc="EA541862">
      <w:start w:val="1"/>
      <w:numFmt w:val="bullet"/>
      <w:lvlText w:val="o"/>
      <w:lvlJc w:val="left"/>
      <w:pPr>
        <w:ind w:left="1440" w:hanging="360"/>
      </w:pPr>
      <w:rPr>
        <w:rFonts w:ascii="Courier New" w:hAnsi="Courier New" w:hint="default"/>
      </w:rPr>
    </w:lvl>
    <w:lvl w:ilvl="2" w:tplc="B7B4050C" w:tentative="1">
      <w:start w:val="1"/>
      <w:numFmt w:val="bullet"/>
      <w:lvlText w:val=""/>
      <w:lvlJc w:val="left"/>
      <w:pPr>
        <w:ind w:left="2160" w:hanging="360"/>
      </w:pPr>
      <w:rPr>
        <w:rFonts w:ascii="Wingdings" w:hAnsi="Wingdings" w:hint="default"/>
      </w:rPr>
    </w:lvl>
    <w:lvl w:ilvl="3" w:tplc="1D5CDA1E" w:tentative="1">
      <w:start w:val="1"/>
      <w:numFmt w:val="bullet"/>
      <w:lvlText w:val=""/>
      <w:lvlJc w:val="left"/>
      <w:pPr>
        <w:ind w:left="2880" w:hanging="360"/>
      </w:pPr>
      <w:rPr>
        <w:rFonts w:ascii="Symbol" w:hAnsi="Symbol" w:hint="default"/>
      </w:rPr>
    </w:lvl>
    <w:lvl w:ilvl="4" w:tplc="73F87C74" w:tentative="1">
      <w:start w:val="1"/>
      <w:numFmt w:val="bullet"/>
      <w:lvlText w:val="o"/>
      <w:lvlJc w:val="left"/>
      <w:pPr>
        <w:ind w:left="3600" w:hanging="360"/>
      </w:pPr>
      <w:rPr>
        <w:rFonts w:ascii="Courier New" w:hAnsi="Courier New" w:hint="default"/>
      </w:rPr>
    </w:lvl>
    <w:lvl w:ilvl="5" w:tplc="145201A0" w:tentative="1">
      <w:start w:val="1"/>
      <w:numFmt w:val="bullet"/>
      <w:lvlText w:val=""/>
      <w:lvlJc w:val="left"/>
      <w:pPr>
        <w:ind w:left="4320" w:hanging="360"/>
      </w:pPr>
      <w:rPr>
        <w:rFonts w:ascii="Wingdings" w:hAnsi="Wingdings" w:hint="default"/>
      </w:rPr>
    </w:lvl>
    <w:lvl w:ilvl="6" w:tplc="9E209AF2" w:tentative="1">
      <w:start w:val="1"/>
      <w:numFmt w:val="bullet"/>
      <w:lvlText w:val=""/>
      <w:lvlJc w:val="left"/>
      <w:pPr>
        <w:ind w:left="5040" w:hanging="360"/>
      </w:pPr>
      <w:rPr>
        <w:rFonts w:ascii="Symbol" w:hAnsi="Symbol" w:hint="default"/>
      </w:rPr>
    </w:lvl>
    <w:lvl w:ilvl="7" w:tplc="B952181C" w:tentative="1">
      <w:start w:val="1"/>
      <w:numFmt w:val="bullet"/>
      <w:lvlText w:val="o"/>
      <w:lvlJc w:val="left"/>
      <w:pPr>
        <w:ind w:left="5760" w:hanging="360"/>
      </w:pPr>
      <w:rPr>
        <w:rFonts w:ascii="Courier New" w:hAnsi="Courier New" w:hint="default"/>
      </w:rPr>
    </w:lvl>
    <w:lvl w:ilvl="8" w:tplc="2C562E5A" w:tentative="1">
      <w:start w:val="1"/>
      <w:numFmt w:val="bullet"/>
      <w:lvlText w:val=""/>
      <w:lvlJc w:val="left"/>
      <w:pPr>
        <w:ind w:left="6480" w:hanging="360"/>
      </w:pPr>
      <w:rPr>
        <w:rFonts w:ascii="Wingdings" w:hAnsi="Wingdings" w:hint="default"/>
      </w:rPr>
    </w:lvl>
  </w:abstractNum>
  <w:abstractNum w:abstractNumId="20" w15:restartNumberingAfterBreak="0">
    <w:nsid w:val="2BA76B5D"/>
    <w:multiLevelType w:val="hybridMultilevel"/>
    <w:tmpl w:val="F0D0E2F8"/>
    <w:lvl w:ilvl="0" w:tplc="CF3E38F2">
      <w:start w:val="1"/>
      <w:numFmt w:val="decimal"/>
      <w:lvlText w:val="%1."/>
      <w:lvlJc w:val="left"/>
      <w:pPr>
        <w:ind w:left="720" w:hanging="360"/>
      </w:pPr>
      <w:rPr>
        <w:rFonts w:ascii="Times New Roman" w:eastAsia="Times New Roman" w:hAnsi="Times New Roman" w:cs="Times New Roman"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2A76AE6"/>
    <w:multiLevelType w:val="multilevel"/>
    <w:tmpl w:val="87A0A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2DA21CB"/>
    <w:multiLevelType w:val="hybridMultilevel"/>
    <w:tmpl w:val="308CD420"/>
    <w:lvl w:ilvl="0" w:tplc="169E2C8E">
      <w:start w:val="1"/>
      <w:numFmt w:val="bullet"/>
      <w:lvlText w:val=""/>
      <w:lvlJc w:val="left"/>
      <w:pPr>
        <w:ind w:left="720" w:hanging="360"/>
      </w:pPr>
      <w:rPr>
        <w:rFonts w:ascii="Symbol" w:hAnsi="Symbol" w:hint="default"/>
      </w:rPr>
    </w:lvl>
    <w:lvl w:ilvl="1" w:tplc="B1FC7D12" w:tentative="1">
      <w:start w:val="1"/>
      <w:numFmt w:val="bullet"/>
      <w:lvlText w:val="o"/>
      <w:lvlJc w:val="left"/>
      <w:pPr>
        <w:ind w:left="1440" w:hanging="360"/>
      </w:pPr>
      <w:rPr>
        <w:rFonts w:ascii="Courier New" w:hAnsi="Courier New" w:hint="default"/>
      </w:rPr>
    </w:lvl>
    <w:lvl w:ilvl="2" w:tplc="7754661A" w:tentative="1">
      <w:start w:val="1"/>
      <w:numFmt w:val="bullet"/>
      <w:lvlText w:val=""/>
      <w:lvlJc w:val="left"/>
      <w:pPr>
        <w:ind w:left="2160" w:hanging="360"/>
      </w:pPr>
      <w:rPr>
        <w:rFonts w:ascii="Wingdings" w:hAnsi="Wingdings" w:hint="default"/>
      </w:rPr>
    </w:lvl>
    <w:lvl w:ilvl="3" w:tplc="5C407590" w:tentative="1">
      <w:start w:val="1"/>
      <w:numFmt w:val="bullet"/>
      <w:lvlText w:val=""/>
      <w:lvlJc w:val="left"/>
      <w:pPr>
        <w:ind w:left="2880" w:hanging="360"/>
      </w:pPr>
      <w:rPr>
        <w:rFonts w:ascii="Symbol" w:hAnsi="Symbol" w:hint="default"/>
      </w:rPr>
    </w:lvl>
    <w:lvl w:ilvl="4" w:tplc="7F186164" w:tentative="1">
      <w:start w:val="1"/>
      <w:numFmt w:val="bullet"/>
      <w:lvlText w:val="o"/>
      <w:lvlJc w:val="left"/>
      <w:pPr>
        <w:ind w:left="3600" w:hanging="360"/>
      </w:pPr>
      <w:rPr>
        <w:rFonts w:ascii="Courier New" w:hAnsi="Courier New" w:hint="default"/>
      </w:rPr>
    </w:lvl>
    <w:lvl w:ilvl="5" w:tplc="973E9750" w:tentative="1">
      <w:start w:val="1"/>
      <w:numFmt w:val="bullet"/>
      <w:lvlText w:val=""/>
      <w:lvlJc w:val="left"/>
      <w:pPr>
        <w:ind w:left="4320" w:hanging="360"/>
      </w:pPr>
      <w:rPr>
        <w:rFonts w:ascii="Wingdings" w:hAnsi="Wingdings" w:hint="default"/>
      </w:rPr>
    </w:lvl>
    <w:lvl w:ilvl="6" w:tplc="6BFC0A5E" w:tentative="1">
      <w:start w:val="1"/>
      <w:numFmt w:val="bullet"/>
      <w:lvlText w:val=""/>
      <w:lvlJc w:val="left"/>
      <w:pPr>
        <w:ind w:left="5040" w:hanging="360"/>
      </w:pPr>
      <w:rPr>
        <w:rFonts w:ascii="Symbol" w:hAnsi="Symbol" w:hint="default"/>
      </w:rPr>
    </w:lvl>
    <w:lvl w:ilvl="7" w:tplc="0C4C0544" w:tentative="1">
      <w:start w:val="1"/>
      <w:numFmt w:val="bullet"/>
      <w:lvlText w:val="o"/>
      <w:lvlJc w:val="left"/>
      <w:pPr>
        <w:ind w:left="5760" w:hanging="360"/>
      </w:pPr>
      <w:rPr>
        <w:rFonts w:ascii="Courier New" w:hAnsi="Courier New" w:hint="default"/>
      </w:rPr>
    </w:lvl>
    <w:lvl w:ilvl="8" w:tplc="47E81578" w:tentative="1">
      <w:start w:val="1"/>
      <w:numFmt w:val="bullet"/>
      <w:lvlText w:val=""/>
      <w:lvlJc w:val="left"/>
      <w:pPr>
        <w:ind w:left="6480" w:hanging="360"/>
      </w:pPr>
      <w:rPr>
        <w:rFonts w:ascii="Wingdings" w:hAnsi="Wingdings" w:hint="default"/>
      </w:rPr>
    </w:lvl>
  </w:abstractNum>
  <w:abstractNum w:abstractNumId="23" w15:restartNumberingAfterBreak="0">
    <w:nsid w:val="41465FF4"/>
    <w:multiLevelType w:val="hybridMultilevel"/>
    <w:tmpl w:val="C3BA6A10"/>
    <w:lvl w:ilvl="0" w:tplc="03D8B2DC">
      <w:start w:val="1"/>
      <w:numFmt w:val="bullet"/>
      <w:lvlText w:val=""/>
      <w:lvlJc w:val="left"/>
      <w:pPr>
        <w:ind w:left="720" w:hanging="360"/>
      </w:pPr>
      <w:rPr>
        <w:rFonts w:ascii="Symbol" w:hAnsi="Symbol" w:hint="default"/>
      </w:rPr>
    </w:lvl>
    <w:lvl w:ilvl="1" w:tplc="5756029C" w:tentative="1">
      <w:start w:val="1"/>
      <w:numFmt w:val="bullet"/>
      <w:lvlText w:val="o"/>
      <w:lvlJc w:val="left"/>
      <w:pPr>
        <w:ind w:left="1440" w:hanging="360"/>
      </w:pPr>
      <w:rPr>
        <w:rFonts w:ascii="Courier New" w:hAnsi="Courier New" w:hint="default"/>
      </w:rPr>
    </w:lvl>
    <w:lvl w:ilvl="2" w:tplc="93B29D18" w:tentative="1">
      <w:start w:val="1"/>
      <w:numFmt w:val="bullet"/>
      <w:lvlText w:val=""/>
      <w:lvlJc w:val="left"/>
      <w:pPr>
        <w:ind w:left="2160" w:hanging="360"/>
      </w:pPr>
      <w:rPr>
        <w:rFonts w:ascii="Wingdings" w:hAnsi="Wingdings" w:hint="default"/>
      </w:rPr>
    </w:lvl>
    <w:lvl w:ilvl="3" w:tplc="49EE824C" w:tentative="1">
      <w:start w:val="1"/>
      <w:numFmt w:val="bullet"/>
      <w:lvlText w:val=""/>
      <w:lvlJc w:val="left"/>
      <w:pPr>
        <w:ind w:left="2880" w:hanging="360"/>
      </w:pPr>
      <w:rPr>
        <w:rFonts w:ascii="Symbol" w:hAnsi="Symbol" w:hint="default"/>
      </w:rPr>
    </w:lvl>
    <w:lvl w:ilvl="4" w:tplc="39A616E4" w:tentative="1">
      <w:start w:val="1"/>
      <w:numFmt w:val="bullet"/>
      <w:lvlText w:val="o"/>
      <w:lvlJc w:val="left"/>
      <w:pPr>
        <w:ind w:left="3600" w:hanging="360"/>
      </w:pPr>
      <w:rPr>
        <w:rFonts w:ascii="Courier New" w:hAnsi="Courier New" w:hint="default"/>
      </w:rPr>
    </w:lvl>
    <w:lvl w:ilvl="5" w:tplc="68BE99AC" w:tentative="1">
      <w:start w:val="1"/>
      <w:numFmt w:val="bullet"/>
      <w:lvlText w:val=""/>
      <w:lvlJc w:val="left"/>
      <w:pPr>
        <w:ind w:left="4320" w:hanging="360"/>
      </w:pPr>
      <w:rPr>
        <w:rFonts w:ascii="Wingdings" w:hAnsi="Wingdings" w:hint="default"/>
      </w:rPr>
    </w:lvl>
    <w:lvl w:ilvl="6" w:tplc="CA024DB8" w:tentative="1">
      <w:start w:val="1"/>
      <w:numFmt w:val="bullet"/>
      <w:lvlText w:val=""/>
      <w:lvlJc w:val="left"/>
      <w:pPr>
        <w:ind w:left="5040" w:hanging="360"/>
      </w:pPr>
      <w:rPr>
        <w:rFonts w:ascii="Symbol" w:hAnsi="Symbol" w:hint="default"/>
      </w:rPr>
    </w:lvl>
    <w:lvl w:ilvl="7" w:tplc="F120FEFC" w:tentative="1">
      <w:start w:val="1"/>
      <w:numFmt w:val="bullet"/>
      <w:lvlText w:val="o"/>
      <w:lvlJc w:val="left"/>
      <w:pPr>
        <w:ind w:left="5760" w:hanging="360"/>
      </w:pPr>
      <w:rPr>
        <w:rFonts w:ascii="Courier New" w:hAnsi="Courier New" w:hint="default"/>
      </w:rPr>
    </w:lvl>
    <w:lvl w:ilvl="8" w:tplc="9056AA3E" w:tentative="1">
      <w:start w:val="1"/>
      <w:numFmt w:val="bullet"/>
      <w:lvlText w:val=""/>
      <w:lvlJc w:val="left"/>
      <w:pPr>
        <w:ind w:left="6480" w:hanging="360"/>
      </w:pPr>
      <w:rPr>
        <w:rFonts w:ascii="Wingdings" w:hAnsi="Wingdings" w:hint="default"/>
      </w:rPr>
    </w:lvl>
  </w:abstractNum>
  <w:abstractNum w:abstractNumId="24" w15:restartNumberingAfterBreak="0">
    <w:nsid w:val="48C48618"/>
    <w:multiLevelType w:val="hybridMultilevel"/>
    <w:tmpl w:val="FFFFFFFF"/>
    <w:lvl w:ilvl="0" w:tplc="E63052B4">
      <w:start w:val="1"/>
      <w:numFmt w:val="bullet"/>
      <w:lvlText w:val="·"/>
      <w:lvlJc w:val="left"/>
      <w:pPr>
        <w:ind w:left="720" w:hanging="360"/>
      </w:pPr>
      <w:rPr>
        <w:rFonts w:ascii="Symbol" w:hAnsi="Symbol" w:hint="default"/>
      </w:rPr>
    </w:lvl>
    <w:lvl w:ilvl="1" w:tplc="12A6E792">
      <w:start w:val="1"/>
      <w:numFmt w:val="bullet"/>
      <w:lvlText w:val="o"/>
      <w:lvlJc w:val="left"/>
      <w:pPr>
        <w:ind w:left="1440" w:hanging="360"/>
      </w:pPr>
      <w:rPr>
        <w:rFonts w:ascii="Courier New" w:hAnsi="Courier New" w:hint="default"/>
      </w:rPr>
    </w:lvl>
    <w:lvl w:ilvl="2" w:tplc="8CC299D0">
      <w:start w:val="1"/>
      <w:numFmt w:val="bullet"/>
      <w:lvlText w:val=""/>
      <w:lvlJc w:val="left"/>
      <w:pPr>
        <w:ind w:left="2160" w:hanging="360"/>
      </w:pPr>
      <w:rPr>
        <w:rFonts w:ascii="Wingdings" w:hAnsi="Wingdings" w:hint="default"/>
      </w:rPr>
    </w:lvl>
    <w:lvl w:ilvl="3" w:tplc="3B0467F0">
      <w:start w:val="1"/>
      <w:numFmt w:val="bullet"/>
      <w:lvlText w:val=""/>
      <w:lvlJc w:val="left"/>
      <w:pPr>
        <w:ind w:left="2880" w:hanging="360"/>
      </w:pPr>
      <w:rPr>
        <w:rFonts w:ascii="Symbol" w:hAnsi="Symbol" w:hint="default"/>
      </w:rPr>
    </w:lvl>
    <w:lvl w:ilvl="4" w:tplc="FDD8DC02">
      <w:start w:val="1"/>
      <w:numFmt w:val="bullet"/>
      <w:lvlText w:val="o"/>
      <w:lvlJc w:val="left"/>
      <w:pPr>
        <w:ind w:left="3600" w:hanging="360"/>
      </w:pPr>
      <w:rPr>
        <w:rFonts w:ascii="Courier New" w:hAnsi="Courier New" w:hint="default"/>
      </w:rPr>
    </w:lvl>
    <w:lvl w:ilvl="5" w:tplc="DA3E2E8C">
      <w:start w:val="1"/>
      <w:numFmt w:val="bullet"/>
      <w:lvlText w:val=""/>
      <w:lvlJc w:val="left"/>
      <w:pPr>
        <w:ind w:left="4320" w:hanging="360"/>
      </w:pPr>
      <w:rPr>
        <w:rFonts w:ascii="Wingdings" w:hAnsi="Wingdings" w:hint="default"/>
      </w:rPr>
    </w:lvl>
    <w:lvl w:ilvl="6" w:tplc="2962FB1E">
      <w:start w:val="1"/>
      <w:numFmt w:val="bullet"/>
      <w:lvlText w:val=""/>
      <w:lvlJc w:val="left"/>
      <w:pPr>
        <w:ind w:left="5040" w:hanging="360"/>
      </w:pPr>
      <w:rPr>
        <w:rFonts w:ascii="Symbol" w:hAnsi="Symbol" w:hint="default"/>
      </w:rPr>
    </w:lvl>
    <w:lvl w:ilvl="7" w:tplc="72CEBAF4">
      <w:start w:val="1"/>
      <w:numFmt w:val="bullet"/>
      <w:lvlText w:val="o"/>
      <w:lvlJc w:val="left"/>
      <w:pPr>
        <w:ind w:left="5760" w:hanging="360"/>
      </w:pPr>
      <w:rPr>
        <w:rFonts w:ascii="Courier New" w:hAnsi="Courier New" w:hint="default"/>
      </w:rPr>
    </w:lvl>
    <w:lvl w:ilvl="8" w:tplc="BC0EFD96">
      <w:start w:val="1"/>
      <w:numFmt w:val="bullet"/>
      <w:lvlText w:val=""/>
      <w:lvlJc w:val="left"/>
      <w:pPr>
        <w:ind w:left="6480" w:hanging="360"/>
      </w:pPr>
      <w:rPr>
        <w:rFonts w:ascii="Wingdings" w:hAnsi="Wingdings" w:hint="default"/>
      </w:rPr>
    </w:lvl>
  </w:abstractNum>
  <w:abstractNum w:abstractNumId="25" w15:restartNumberingAfterBreak="0">
    <w:nsid w:val="4BB933FD"/>
    <w:multiLevelType w:val="hybridMultilevel"/>
    <w:tmpl w:val="6BC62980"/>
    <w:lvl w:ilvl="0" w:tplc="7242DF46">
      <w:start w:val="1"/>
      <w:numFmt w:val="bullet"/>
      <w:lvlText w:val=""/>
      <w:lvlJc w:val="left"/>
      <w:pPr>
        <w:ind w:left="720" w:hanging="360"/>
      </w:pPr>
      <w:rPr>
        <w:rFonts w:ascii="Symbol" w:hAnsi="Symbol"/>
      </w:rPr>
    </w:lvl>
    <w:lvl w:ilvl="1" w:tplc="31CA726E">
      <w:start w:val="1"/>
      <w:numFmt w:val="bullet"/>
      <w:lvlText w:val=""/>
      <w:lvlJc w:val="left"/>
      <w:pPr>
        <w:ind w:left="720" w:hanging="360"/>
      </w:pPr>
      <w:rPr>
        <w:rFonts w:ascii="Symbol" w:hAnsi="Symbol"/>
      </w:rPr>
    </w:lvl>
    <w:lvl w:ilvl="2" w:tplc="43A8FB96">
      <w:start w:val="1"/>
      <w:numFmt w:val="bullet"/>
      <w:lvlText w:val=""/>
      <w:lvlJc w:val="left"/>
      <w:pPr>
        <w:ind w:left="720" w:hanging="360"/>
      </w:pPr>
      <w:rPr>
        <w:rFonts w:ascii="Symbol" w:hAnsi="Symbol"/>
      </w:rPr>
    </w:lvl>
    <w:lvl w:ilvl="3" w:tplc="4C9EA782">
      <w:start w:val="1"/>
      <w:numFmt w:val="bullet"/>
      <w:lvlText w:val=""/>
      <w:lvlJc w:val="left"/>
      <w:pPr>
        <w:ind w:left="720" w:hanging="360"/>
      </w:pPr>
      <w:rPr>
        <w:rFonts w:ascii="Symbol" w:hAnsi="Symbol"/>
      </w:rPr>
    </w:lvl>
    <w:lvl w:ilvl="4" w:tplc="9B7A102E">
      <w:start w:val="1"/>
      <w:numFmt w:val="bullet"/>
      <w:lvlText w:val=""/>
      <w:lvlJc w:val="left"/>
      <w:pPr>
        <w:ind w:left="720" w:hanging="360"/>
      </w:pPr>
      <w:rPr>
        <w:rFonts w:ascii="Symbol" w:hAnsi="Symbol"/>
      </w:rPr>
    </w:lvl>
    <w:lvl w:ilvl="5" w:tplc="38C078A4">
      <w:start w:val="1"/>
      <w:numFmt w:val="bullet"/>
      <w:lvlText w:val=""/>
      <w:lvlJc w:val="left"/>
      <w:pPr>
        <w:ind w:left="720" w:hanging="360"/>
      </w:pPr>
      <w:rPr>
        <w:rFonts w:ascii="Symbol" w:hAnsi="Symbol"/>
      </w:rPr>
    </w:lvl>
    <w:lvl w:ilvl="6" w:tplc="B8701F9C">
      <w:start w:val="1"/>
      <w:numFmt w:val="bullet"/>
      <w:lvlText w:val=""/>
      <w:lvlJc w:val="left"/>
      <w:pPr>
        <w:ind w:left="720" w:hanging="360"/>
      </w:pPr>
      <w:rPr>
        <w:rFonts w:ascii="Symbol" w:hAnsi="Symbol"/>
      </w:rPr>
    </w:lvl>
    <w:lvl w:ilvl="7" w:tplc="FA1E0444">
      <w:start w:val="1"/>
      <w:numFmt w:val="bullet"/>
      <w:lvlText w:val=""/>
      <w:lvlJc w:val="left"/>
      <w:pPr>
        <w:ind w:left="720" w:hanging="360"/>
      </w:pPr>
      <w:rPr>
        <w:rFonts w:ascii="Symbol" w:hAnsi="Symbol"/>
      </w:rPr>
    </w:lvl>
    <w:lvl w:ilvl="8" w:tplc="04F218B0">
      <w:start w:val="1"/>
      <w:numFmt w:val="bullet"/>
      <w:lvlText w:val=""/>
      <w:lvlJc w:val="left"/>
      <w:pPr>
        <w:ind w:left="720" w:hanging="360"/>
      </w:pPr>
      <w:rPr>
        <w:rFonts w:ascii="Symbol" w:hAnsi="Symbol"/>
      </w:rPr>
    </w:lvl>
  </w:abstractNum>
  <w:abstractNum w:abstractNumId="26" w15:restartNumberingAfterBreak="0">
    <w:nsid w:val="4C813DAE"/>
    <w:multiLevelType w:val="hybridMultilevel"/>
    <w:tmpl w:val="53A8DE26"/>
    <w:lvl w:ilvl="0" w:tplc="277050E4">
      <w:start w:val="1"/>
      <w:numFmt w:val="bullet"/>
      <w:lvlText w:val=""/>
      <w:lvlJc w:val="left"/>
      <w:pPr>
        <w:ind w:left="720" w:hanging="360"/>
      </w:pPr>
      <w:rPr>
        <w:rFonts w:ascii="Symbol" w:hAnsi="Symbol" w:hint="default"/>
      </w:rPr>
    </w:lvl>
    <w:lvl w:ilvl="1" w:tplc="A2368958" w:tentative="1">
      <w:start w:val="1"/>
      <w:numFmt w:val="bullet"/>
      <w:lvlText w:val="o"/>
      <w:lvlJc w:val="left"/>
      <w:pPr>
        <w:ind w:left="1440" w:hanging="360"/>
      </w:pPr>
      <w:rPr>
        <w:rFonts w:ascii="Courier New" w:hAnsi="Courier New" w:hint="default"/>
      </w:rPr>
    </w:lvl>
    <w:lvl w:ilvl="2" w:tplc="91BA2D62" w:tentative="1">
      <w:start w:val="1"/>
      <w:numFmt w:val="bullet"/>
      <w:lvlText w:val=""/>
      <w:lvlJc w:val="left"/>
      <w:pPr>
        <w:ind w:left="2160" w:hanging="360"/>
      </w:pPr>
      <w:rPr>
        <w:rFonts w:ascii="Wingdings" w:hAnsi="Wingdings" w:hint="default"/>
      </w:rPr>
    </w:lvl>
    <w:lvl w:ilvl="3" w:tplc="828218C8" w:tentative="1">
      <w:start w:val="1"/>
      <w:numFmt w:val="bullet"/>
      <w:lvlText w:val=""/>
      <w:lvlJc w:val="left"/>
      <w:pPr>
        <w:ind w:left="2880" w:hanging="360"/>
      </w:pPr>
      <w:rPr>
        <w:rFonts w:ascii="Symbol" w:hAnsi="Symbol" w:hint="default"/>
      </w:rPr>
    </w:lvl>
    <w:lvl w:ilvl="4" w:tplc="1AB26650" w:tentative="1">
      <w:start w:val="1"/>
      <w:numFmt w:val="bullet"/>
      <w:lvlText w:val="o"/>
      <w:lvlJc w:val="left"/>
      <w:pPr>
        <w:ind w:left="3600" w:hanging="360"/>
      </w:pPr>
      <w:rPr>
        <w:rFonts w:ascii="Courier New" w:hAnsi="Courier New" w:hint="default"/>
      </w:rPr>
    </w:lvl>
    <w:lvl w:ilvl="5" w:tplc="6B7499D6" w:tentative="1">
      <w:start w:val="1"/>
      <w:numFmt w:val="bullet"/>
      <w:lvlText w:val=""/>
      <w:lvlJc w:val="left"/>
      <w:pPr>
        <w:ind w:left="4320" w:hanging="360"/>
      </w:pPr>
      <w:rPr>
        <w:rFonts w:ascii="Wingdings" w:hAnsi="Wingdings" w:hint="default"/>
      </w:rPr>
    </w:lvl>
    <w:lvl w:ilvl="6" w:tplc="519AD60A" w:tentative="1">
      <w:start w:val="1"/>
      <w:numFmt w:val="bullet"/>
      <w:lvlText w:val=""/>
      <w:lvlJc w:val="left"/>
      <w:pPr>
        <w:ind w:left="5040" w:hanging="360"/>
      </w:pPr>
      <w:rPr>
        <w:rFonts w:ascii="Symbol" w:hAnsi="Symbol" w:hint="default"/>
      </w:rPr>
    </w:lvl>
    <w:lvl w:ilvl="7" w:tplc="CD26D05E" w:tentative="1">
      <w:start w:val="1"/>
      <w:numFmt w:val="bullet"/>
      <w:lvlText w:val="o"/>
      <w:lvlJc w:val="left"/>
      <w:pPr>
        <w:ind w:left="5760" w:hanging="360"/>
      </w:pPr>
      <w:rPr>
        <w:rFonts w:ascii="Courier New" w:hAnsi="Courier New" w:hint="default"/>
      </w:rPr>
    </w:lvl>
    <w:lvl w:ilvl="8" w:tplc="2FD2E480" w:tentative="1">
      <w:start w:val="1"/>
      <w:numFmt w:val="bullet"/>
      <w:lvlText w:val=""/>
      <w:lvlJc w:val="left"/>
      <w:pPr>
        <w:ind w:left="6480" w:hanging="360"/>
      </w:pPr>
      <w:rPr>
        <w:rFonts w:ascii="Wingdings" w:hAnsi="Wingdings" w:hint="default"/>
      </w:rPr>
    </w:lvl>
  </w:abstractNum>
  <w:abstractNum w:abstractNumId="27" w15:restartNumberingAfterBreak="0">
    <w:nsid w:val="53808193"/>
    <w:multiLevelType w:val="hybridMultilevel"/>
    <w:tmpl w:val="FFFFFFFF"/>
    <w:lvl w:ilvl="0" w:tplc="1A1E2FB6">
      <w:start w:val="1"/>
      <w:numFmt w:val="bullet"/>
      <w:lvlText w:val=""/>
      <w:lvlJc w:val="left"/>
      <w:pPr>
        <w:ind w:left="720" w:hanging="360"/>
      </w:pPr>
      <w:rPr>
        <w:rFonts w:ascii="Wingdings" w:hAnsi="Wingdings" w:hint="default"/>
      </w:rPr>
    </w:lvl>
    <w:lvl w:ilvl="1" w:tplc="E6B069E0">
      <w:start w:val="1"/>
      <w:numFmt w:val="bullet"/>
      <w:lvlText w:val=""/>
      <w:lvlJc w:val="left"/>
      <w:pPr>
        <w:ind w:left="1440" w:hanging="360"/>
      </w:pPr>
      <w:rPr>
        <w:rFonts w:ascii="Wingdings" w:hAnsi="Wingdings" w:hint="default"/>
      </w:rPr>
    </w:lvl>
    <w:lvl w:ilvl="2" w:tplc="467C5914">
      <w:start w:val="1"/>
      <w:numFmt w:val="bullet"/>
      <w:lvlText w:val=""/>
      <w:lvlJc w:val="left"/>
      <w:pPr>
        <w:ind w:left="2160" w:hanging="360"/>
      </w:pPr>
      <w:rPr>
        <w:rFonts w:ascii="Wingdings" w:hAnsi="Wingdings" w:hint="default"/>
      </w:rPr>
    </w:lvl>
    <w:lvl w:ilvl="3" w:tplc="C0421DCA">
      <w:start w:val="1"/>
      <w:numFmt w:val="bullet"/>
      <w:lvlText w:val=""/>
      <w:lvlJc w:val="left"/>
      <w:pPr>
        <w:ind w:left="2880" w:hanging="360"/>
      </w:pPr>
      <w:rPr>
        <w:rFonts w:ascii="Wingdings" w:hAnsi="Wingdings" w:hint="default"/>
      </w:rPr>
    </w:lvl>
    <w:lvl w:ilvl="4" w:tplc="4B5C99F8">
      <w:start w:val="1"/>
      <w:numFmt w:val="bullet"/>
      <w:lvlText w:val=""/>
      <w:lvlJc w:val="left"/>
      <w:pPr>
        <w:ind w:left="3600" w:hanging="360"/>
      </w:pPr>
      <w:rPr>
        <w:rFonts w:ascii="Wingdings" w:hAnsi="Wingdings" w:hint="default"/>
      </w:rPr>
    </w:lvl>
    <w:lvl w:ilvl="5" w:tplc="3494710C">
      <w:start w:val="1"/>
      <w:numFmt w:val="bullet"/>
      <w:lvlText w:val=""/>
      <w:lvlJc w:val="left"/>
      <w:pPr>
        <w:ind w:left="4320" w:hanging="360"/>
      </w:pPr>
      <w:rPr>
        <w:rFonts w:ascii="Wingdings" w:hAnsi="Wingdings" w:hint="default"/>
      </w:rPr>
    </w:lvl>
    <w:lvl w:ilvl="6" w:tplc="574C8CF8">
      <w:start w:val="1"/>
      <w:numFmt w:val="bullet"/>
      <w:lvlText w:val=""/>
      <w:lvlJc w:val="left"/>
      <w:pPr>
        <w:ind w:left="5040" w:hanging="360"/>
      </w:pPr>
      <w:rPr>
        <w:rFonts w:ascii="Wingdings" w:hAnsi="Wingdings" w:hint="default"/>
      </w:rPr>
    </w:lvl>
    <w:lvl w:ilvl="7" w:tplc="909E6E8A">
      <w:start w:val="1"/>
      <w:numFmt w:val="bullet"/>
      <w:lvlText w:val=""/>
      <w:lvlJc w:val="left"/>
      <w:pPr>
        <w:ind w:left="5760" w:hanging="360"/>
      </w:pPr>
      <w:rPr>
        <w:rFonts w:ascii="Wingdings" w:hAnsi="Wingdings" w:hint="default"/>
      </w:rPr>
    </w:lvl>
    <w:lvl w:ilvl="8" w:tplc="21869760">
      <w:start w:val="1"/>
      <w:numFmt w:val="bullet"/>
      <w:lvlText w:val=""/>
      <w:lvlJc w:val="left"/>
      <w:pPr>
        <w:ind w:left="6480" w:hanging="360"/>
      </w:pPr>
      <w:rPr>
        <w:rFonts w:ascii="Wingdings" w:hAnsi="Wingdings" w:hint="default"/>
      </w:rPr>
    </w:lvl>
  </w:abstractNum>
  <w:abstractNum w:abstractNumId="28" w15:restartNumberingAfterBreak="0">
    <w:nsid w:val="55055630"/>
    <w:multiLevelType w:val="hybridMultilevel"/>
    <w:tmpl w:val="24145626"/>
    <w:lvl w:ilvl="0" w:tplc="A010155A">
      <w:start w:val="1"/>
      <w:numFmt w:val="bullet"/>
      <w:lvlText w:val=""/>
      <w:lvlJc w:val="left"/>
      <w:pPr>
        <w:ind w:left="720" w:hanging="360"/>
      </w:pPr>
      <w:rPr>
        <w:rFonts w:ascii="Symbol" w:hAnsi="Symbol" w:hint="default"/>
      </w:rPr>
    </w:lvl>
    <w:lvl w:ilvl="1" w:tplc="A2865672" w:tentative="1">
      <w:start w:val="1"/>
      <w:numFmt w:val="bullet"/>
      <w:lvlText w:val="o"/>
      <w:lvlJc w:val="left"/>
      <w:pPr>
        <w:ind w:left="1440" w:hanging="360"/>
      </w:pPr>
      <w:rPr>
        <w:rFonts w:ascii="Courier New" w:hAnsi="Courier New" w:hint="default"/>
      </w:rPr>
    </w:lvl>
    <w:lvl w:ilvl="2" w:tplc="EA9E343A" w:tentative="1">
      <w:start w:val="1"/>
      <w:numFmt w:val="bullet"/>
      <w:lvlText w:val=""/>
      <w:lvlJc w:val="left"/>
      <w:pPr>
        <w:ind w:left="2160" w:hanging="360"/>
      </w:pPr>
      <w:rPr>
        <w:rFonts w:ascii="Wingdings" w:hAnsi="Wingdings" w:hint="default"/>
      </w:rPr>
    </w:lvl>
    <w:lvl w:ilvl="3" w:tplc="0A281730" w:tentative="1">
      <w:start w:val="1"/>
      <w:numFmt w:val="bullet"/>
      <w:lvlText w:val=""/>
      <w:lvlJc w:val="left"/>
      <w:pPr>
        <w:ind w:left="2880" w:hanging="360"/>
      </w:pPr>
      <w:rPr>
        <w:rFonts w:ascii="Symbol" w:hAnsi="Symbol" w:hint="default"/>
      </w:rPr>
    </w:lvl>
    <w:lvl w:ilvl="4" w:tplc="D0D625DA" w:tentative="1">
      <w:start w:val="1"/>
      <w:numFmt w:val="bullet"/>
      <w:lvlText w:val="o"/>
      <w:lvlJc w:val="left"/>
      <w:pPr>
        <w:ind w:left="3600" w:hanging="360"/>
      </w:pPr>
      <w:rPr>
        <w:rFonts w:ascii="Courier New" w:hAnsi="Courier New" w:hint="default"/>
      </w:rPr>
    </w:lvl>
    <w:lvl w:ilvl="5" w:tplc="A1D035CC" w:tentative="1">
      <w:start w:val="1"/>
      <w:numFmt w:val="bullet"/>
      <w:lvlText w:val=""/>
      <w:lvlJc w:val="left"/>
      <w:pPr>
        <w:ind w:left="4320" w:hanging="360"/>
      </w:pPr>
      <w:rPr>
        <w:rFonts w:ascii="Wingdings" w:hAnsi="Wingdings" w:hint="default"/>
      </w:rPr>
    </w:lvl>
    <w:lvl w:ilvl="6" w:tplc="53CE8B42" w:tentative="1">
      <w:start w:val="1"/>
      <w:numFmt w:val="bullet"/>
      <w:lvlText w:val=""/>
      <w:lvlJc w:val="left"/>
      <w:pPr>
        <w:ind w:left="5040" w:hanging="360"/>
      </w:pPr>
      <w:rPr>
        <w:rFonts w:ascii="Symbol" w:hAnsi="Symbol" w:hint="default"/>
      </w:rPr>
    </w:lvl>
    <w:lvl w:ilvl="7" w:tplc="FAE6E012" w:tentative="1">
      <w:start w:val="1"/>
      <w:numFmt w:val="bullet"/>
      <w:lvlText w:val="o"/>
      <w:lvlJc w:val="left"/>
      <w:pPr>
        <w:ind w:left="5760" w:hanging="360"/>
      </w:pPr>
      <w:rPr>
        <w:rFonts w:ascii="Courier New" w:hAnsi="Courier New" w:hint="default"/>
      </w:rPr>
    </w:lvl>
    <w:lvl w:ilvl="8" w:tplc="A90845D2" w:tentative="1">
      <w:start w:val="1"/>
      <w:numFmt w:val="bullet"/>
      <w:lvlText w:val=""/>
      <w:lvlJc w:val="left"/>
      <w:pPr>
        <w:ind w:left="6480" w:hanging="360"/>
      </w:pPr>
      <w:rPr>
        <w:rFonts w:ascii="Wingdings" w:hAnsi="Wingdings" w:hint="default"/>
      </w:rPr>
    </w:lvl>
  </w:abstractNum>
  <w:abstractNum w:abstractNumId="29" w15:restartNumberingAfterBreak="0">
    <w:nsid w:val="56F251C3"/>
    <w:multiLevelType w:val="hybridMultilevel"/>
    <w:tmpl w:val="F9060E26"/>
    <w:lvl w:ilvl="0" w:tplc="1A2A07F8">
      <w:start w:val="1"/>
      <w:numFmt w:val="bullet"/>
      <w:lvlText w:val=""/>
      <w:lvlJc w:val="left"/>
      <w:pPr>
        <w:ind w:left="720" w:hanging="360"/>
      </w:pPr>
      <w:rPr>
        <w:rFonts w:ascii="Symbol" w:hAnsi="Symbol" w:hint="default"/>
      </w:rPr>
    </w:lvl>
    <w:lvl w:ilvl="1" w:tplc="138C2D66" w:tentative="1">
      <w:start w:val="1"/>
      <w:numFmt w:val="bullet"/>
      <w:lvlText w:val="o"/>
      <w:lvlJc w:val="left"/>
      <w:pPr>
        <w:ind w:left="1440" w:hanging="360"/>
      </w:pPr>
      <w:rPr>
        <w:rFonts w:ascii="Courier New" w:hAnsi="Courier New" w:hint="default"/>
      </w:rPr>
    </w:lvl>
    <w:lvl w:ilvl="2" w:tplc="10E80078" w:tentative="1">
      <w:start w:val="1"/>
      <w:numFmt w:val="bullet"/>
      <w:lvlText w:val=""/>
      <w:lvlJc w:val="left"/>
      <w:pPr>
        <w:ind w:left="2160" w:hanging="360"/>
      </w:pPr>
      <w:rPr>
        <w:rFonts w:ascii="Wingdings" w:hAnsi="Wingdings" w:hint="default"/>
      </w:rPr>
    </w:lvl>
    <w:lvl w:ilvl="3" w:tplc="760E8DCE" w:tentative="1">
      <w:start w:val="1"/>
      <w:numFmt w:val="bullet"/>
      <w:lvlText w:val=""/>
      <w:lvlJc w:val="left"/>
      <w:pPr>
        <w:ind w:left="2880" w:hanging="360"/>
      </w:pPr>
      <w:rPr>
        <w:rFonts w:ascii="Symbol" w:hAnsi="Symbol" w:hint="default"/>
      </w:rPr>
    </w:lvl>
    <w:lvl w:ilvl="4" w:tplc="8F8EAEBC" w:tentative="1">
      <w:start w:val="1"/>
      <w:numFmt w:val="bullet"/>
      <w:lvlText w:val="o"/>
      <w:lvlJc w:val="left"/>
      <w:pPr>
        <w:ind w:left="3600" w:hanging="360"/>
      </w:pPr>
      <w:rPr>
        <w:rFonts w:ascii="Courier New" w:hAnsi="Courier New" w:hint="default"/>
      </w:rPr>
    </w:lvl>
    <w:lvl w:ilvl="5" w:tplc="F5043DD6" w:tentative="1">
      <w:start w:val="1"/>
      <w:numFmt w:val="bullet"/>
      <w:lvlText w:val=""/>
      <w:lvlJc w:val="left"/>
      <w:pPr>
        <w:ind w:left="4320" w:hanging="360"/>
      </w:pPr>
      <w:rPr>
        <w:rFonts w:ascii="Wingdings" w:hAnsi="Wingdings" w:hint="default"/>
      </w:rPr>
    </w:lvl>
    <w:lvl w:ilvl="6" w:tplc="B26EC8A0" w:tentative="1">
      <w:start w:val="1"/>
      <w:numFmt w:val="bullet"/>
      <w:lvlText w:val=""/>
      <w:lvlJc w:val="left"/>
      <w:pPr>
        <w:ind w:left="5040" w:hanging="360"/>
      </w:pPr>
      <w:rPr>
        <w:rFonts w:ascii="Symbol" w:hAnsi="Symbol" w:hint="default"/>
      </w:rPr>
    </w:lvl>
    <w:lvl w:ilvl="7" w:tplc="46B26974" w:tentative="1">
      <w:start w:val="1"/>
      <w:numFmt w:val="bullet"/>
      <w:lvlText w:val="o"/>
      <w:lvlJc w:val="left"/>
      <w:pPr>
        <w:ind w:left="5760" w:hanging="360"/>
      </w:pPr>
      <w:rPr>
        <w:rFonts w:ascii="Courier New" w:hAnsi="Courier New" w:hint="default"/>
      </w:rPr>
    </w:lvl>
    <w:lvl w:ilvl="8" w:tplc="1BE219F4" w:tentative="1">
      <w:start w:val="1"/>
      <w:numFmt w:val="bullet"/>
      <w:lvlText w:val=""/>
      <w:lvlJc w:val="left"/>
      <w:pPr>
        <w:ind w:left="6480" w:hanging="360"/>
      </w:pPr>
      <w:rPr>
        <w:rFonts w:ascii="Wingdings" w:hAnsi="Wingdings" w:hint="default"/>
      </w:rPr>
    </w:lvl>
  </w:abstractNum>
  <w:abstractNum w:abstractNumId="30" w15:restartNumberingAfterBreak="0">
    <w:nsid w:val="5B7C5FF2"/>
    <w:multiLevelType w:val="hybridMultilevel"/>
    <w:tmpl w:val="54E442F4"/>
    <w:lvl w:ilvl="0" w:tplc="D76243D2">
      <w:start w:val="1"/>
      <w:numFmt w:val="upperLetter"/>
      <w:lvlText w:val="%1)"/>
      <w:lvlJc w:val="left"/>
      <w:pPr>
        <w:ind w:left="360" w:hanging="360"/>
      </w:pPr>
      <w:rPr>
        <w:rFonts w:hint="default"/>
        <w:b/>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FDDFB87"/>
    <w:multiLevelType w:val="hybridMultilevel"/>
    <w:tmpl w:val="FFFFFFFF"/>
    <w:lvl w:ilvl="0" w:tplc="888A9E7C">
      <w:start w:val="1"/>
      <w:numFmt w:val="decimal"/>
      <w:lvlText w:val="%1."/>
      <w:lvlJc w:val="left"/>
      <w:pPr>
        <w:ind w:left="720" w:hanging="360"/>
      </w:pPr>
    </w:lvl>
    <w:lvl w:ilvl="1" w:tplc="9CEA55AE">
      <w:start w:val="1"/>
      <w:numFmt w:val="lowerLetter"/>
      <w:lvlText w:val="%2."/>
      <w:lvlJc w:val="left"/>
      <w:pPr>
        <w:ind w:left="1440" w:hanging="360"/>
      </w:pPr>
    </w:lvl>
    <w:lvl w:ilvl="2" w:tplc="51E664A4">
      <w:start w:val="1"/>
      <w:numFmt w:val="lowerRoman"/>
      <w:lvlText w:val="%3."/>
      <w:lvlJc w:val="right"/>
      <w:pPr>
        <w:ind w:left="2160" w:hanging="180"/>
      </w:pPr>
    </w:lvl>
    <w:lvl w:ilvl="3" w:tplc="4A32AE1A">
      <w:start w:val="1"/>
      <w:numFmt w:val="decimal"/>
      <w:lvlText w:val="%4."/>
      <w:lvlJc w:val="left"/>
      <w:pPr>
        <w:ind w:left="2880" w:hanging="360"/>
      </w:pPr>
    </w:lvl>
    <w:lvl w:ilvl="4" w:tplc="B984771E">
      <w:start w:val="1"/>
      <w:numFmt w:val="lowerLetter"/>
      <w:lvlText w:val="%5."/>
      <w:lvlJc w:val="left"/>
      <w:pPr>
        <w:ind w:left="3600" w:hanging="360"/>
      </w:pPr>
    </w:lvl>
    <w:lvl w:ilvl="5" w:tplc="52A871F8">
      <w:start w:val="1"/>
      <w:numFmt w:val="lowerRoman"/>
      <w:lvlText w:val="%6."/>
      <w:lvlJc w:val="right"/>
      <w:pPr>
        <w:ind w:left="4320" w:hanging="180"/>
      </w:pPr>
    </w:lvl>
    <w:lvl w:ilvl="6" w:tplc="A28C47CA">
      <w:start w:val="1"/>
      <w:numFmt w:val="decimal"/>
      <w:lvlText w:val="%7."/>
      <w:lvlJc w:val="left"/>
      <w:pPr>
        <w:ind w:left="5040" w:hanging="360"/>
      </w:pPr>
    </w:lvl>
    <w:lvl w:ilvl="7" w:tplc="7A12727A">
      <w:start w:val="1"/>
      <w:numFmt w:val="lowerLetter"/>
      <w:lvlText w:val="%8."/>
      <w:lvlJc w:val="left"/>
      <w:pPr>
        <w:ind w:left="5760" w:hanging="360"/>
      </w:pPr>
    </w:lvl>
    <w:lvl w:ilvl="8" w:tplc="17323566">
      <w:start w:val="1"/>
      <w:numFmt w:val="lowerRoman"/>
      <w:lvlText w:val="%9."/>
      <w:lvlJc w:val="right"/>
      <w:pPr>
        <w:ind w:left="6480" w:hanging="180"/>
      </w:pPr>
    </w:lvl>
  </w:abstractNum>
  <w:abstractNum w:abstractNumId="32" w15:restartNumberingAfterBreak="0">
    <w:nsid w:val="5FEC1A58"/>
    <w:multiLevelType w:val="hybridMultilevel"/>
    <w:tmpl w:val="97E6FA2A"/>
    <w:lvl w:ilvl="0" w:tplc="52C6FC72">
      <w:start w:val="1"/>
      <w:numFmt w:val="bullet"/>
      <w:lvlText w:val=""/>
      <w:lvlJc w:val="left"/>
      <w:pPr>
        <w:ind w:left="720" w:hanging="360"/>
      </w:pPr>
      <w:rPr>
        <w:rFonts w:ascii="Symbol" w:hAnsi="Symbol" w:hint="default"/>
      </w:rPr>
    </w:lvl>
    <w:lvl w:ilvl="1" w:tplc="5422F46E" w:tentative="1">
      <w:start w:val="1"/>
      <w:numFmt w:val="bullet"/>
      <w:lvlText w:val="o"/>
      <w:lvlJc w:val="left"/>
      <w:pPr>
        <w:ind w:left="1440" w:hanging="360"/>
      </w:pPr>
      <w:rPr>
        <w:rFonts w:ascii="Courier New" w:hAnsi="Courier New" w:hint="default"/>
      </w:rPr>
    </w:lvl>
    <w:lvl w:ilvl="2" w:tplc="D28CEADE" w:tentative="1">
      <w:start w:val="1"/>
      <w:numFmt w:val="bullet"/>
      <w:lvlText w:val=""/>
      <w:lvlJc w:val="left"/>
      <w:pPr>
        <w:ind w:left="2160" w:hanging="360"/>
      </w:pPr>
      <w:rPr>
        <w:rFonts w:ascii="Wingdings" w:hAnsi="Wingdings" w:hint="default"/>
      </w:rPr>
    </w:lvl>
    <w:lvl w:ilvl="3" w:tplc="00109C10" w:tentative="1">
      <w:start w:val="1"/>
      <w:numFmt w:val="bullet"/>
      <w:lvlText w:val=""/>
      <w:lvlJc w:val="left"/>
      <w:pPr>
        <w:ind w:left="2880" w:hanging="360"/>
      </w:pPr>
      <w:rPr>
        <w:rFonts w:ascii="Symbol" w:hAnsi="Symbol" w:hint="default"/>
      </w:rPr>
    </w:lvl>
    <w:lvl w:ilvl="4" w:tplc="A46AE53A" w:tentative="1">
      <w:start w:val="1"/>
      <w:numFmt w:val="bullet"/>
      <w:lvlText w:val="o"/>
      <w:lvlJc w:val="left"/>
      <w:pPr>
        <w:ind w:left="3600" w:hanging="360"/>
      </w:pPr>
      <w:rPr>
        <w:rFonts w:ascii="Courier New" w:hAnsi="Courier New" w:hint="default"/>
      </w:rPr>
    </w:lvl>
    <w:lvl w:ilvl="5" w:tplc="76C035B2" w:tentative="1">
      <w:start w:val="1"/>
      <w:numFmt w:val="bullet"/>
      <w:lvlText w:val=""/>
      <w:lvlJc w:val="left"/>
      <w:pPr>
        <w:ind w:left="4320" w:hanging="360"/>
      </w:pPr>
      <w:rPr>
        <w:rFonts w:ascii="Wingdings" w:hAnsi="Wingdings" w:hint="default"/>
      </w:rPr>
    </w:lvl>
    <w:lvl w:ilvl="6" w:tplc="38B614B6" w:tentative="1">
      <w:start w:val="1"/>
      <w:numFmt w:val="bullet"/>
      <w:lvlText w:val=""/>
      <w:lvlJc w:val="left"/>
      <w:pPr>
        <w:ind w:left="5040" w:hanging="360"/>
      </w:pPr>
      <w:rPr>
        <w:rFonts w:ascii="Symbol" w:hAnsi="Symbol" w:hint="default"/>
      </w:rPr>
    </w:lvl>
    <w:lvl w:ilvl="7" w:tplc="04C667A0" w:tentative="1">
      <w:start w:val="1"/>
      <w:numFmt w:val="bullet"/>
      <w:lvlText w:val="o"/>
      <w:lvlJc w:val="left"/>
      <w:pPr>
        <w:ind w:left="5760" w:hanging="360"/>
      </w:pPr>
      <w:rPr>
        <w:rFonts w:ascii="Courier New" w:hAnsi="Courier New" w:hint="default"/>
      </w:rPr>
    </w:lvl>
    <w:lvl w:ilvl="8" w:tplc="C04A4D3E" w:tentative="1">
      <w:start w:val="1"/>
      <w:numFmt w:val="bullet"/>
      <w:lvlText w:val=""/>
      <w:lvlJc w:val="left"/>
      <w:pPr>
        <w:ind w:left="6480" w:hanging="360"/>
      </w:pPr>
      <w:rPr>
        <w:rFonts w:ascii="Wingdings" w:hAnsi="Wingdings" w:hint="default"/>
      </w:rPr>
    </w:lvl>
  </w:abstractNum>
  <w:abstractNum w:abstractNumId="33" w15:restartNumberingAfterBreak="0">
    <w:nsid w:val="674C2952"/>
    <w:multiLevelType w:val="hybridMultilevel"/>
    <w:tmpl w:val="C4825600"/>
    <w:lvl w:ilvl="0" w:tplc="41CA3D58">
      <w:start w:val="1"/>
      <w:numFmt w:val="bullet"/>
      <w:lvlText w:val=""/>
      <w:lvlJc w:val="left"/>
      <w:pPr>
        <w:ind w:left="720" w:hanging="360"/>
      </w:pPr>
      <w:rPr>
        <w:rFonts w:ascii="Symbol" w:hAnsi="Symbol" w:hint="default"/>
      </w:rPr>
    </w:lvl>
    <w:lvl w:ilvl="1" w:tplc="CFA0EC84" w:tentative="1">
      <w:start w:val="1"/>
      <w:numFmt w:val="bullet"/>
      <w:lvlText w:val="o"/>
      <w:lvlJc w:val="left"/>
      <w:pPr>
        <w:ind w:left="1440" w:hanging="360"/>
      </w:pPr>
      <w:rPr>
        <w:rFonts w:ascii="Courier New" w:hAnsi="Courier New" w:hint="default"/>
      </w:rPr>
    </w:lvl>
    <w:lvl w:ilvl="2" w:tplc="36BADB60" w:tentative="1">
      <w:start w:val="1"/>
      <w:numFmt w:val="bullet"/>
      <w:lvlText w:val=""/>
      <w:lvlJc w:val="left"/>
      <w:pPr>
        <w:ind w:left="2160" w:hanging="360"/>
      </w:pPr>
      <w:rPr>
        <w:rFonts w:ascii="Wingdings" w:hAnsi="Wingdings" w:hint="default"/>
      </w:rPr>
    </w:lvl>
    <w:lvl w:ilvl="3" w:tplc="778217B6" w:tentative="1">
      <w:start w:val="1"/>
      <w:numFmt w:val="bullet"/>
      <w:lvlText w:val=""/>
      <w:lvlJc w:val="left"/>
      <w:pPr>
        <w:ind w:left="2880" w:hanging="360"/>
      </w:pPr>
      <w:rPr>
        <w:rFonts w:ascii="Symbol" w:hAnsi="Symbol" w:hint="default"/>
      </w:rPr>
    </w:lvl>
    <w:lvl w:ilvl="4" w:tplc="1AB28616" w:tentative="1">
      <w:start w:val="1"/>
      <w:numFmt w:val="bullet"/>
      <w:lvlText w:val="o"/>
      <w:lvlJc w:val="left"/>
      <w:pPr>
        <w:ind w:left="3600" w:hanging="360"/>
      </w:pPr>
      <w:rPr>
        <w:rFonts w:ascii="Courier New" w:hAnsi="Courier New" w:hint="default"/>
      </w:rPr>
    </w:lvl>
    <w:lvl w:ilvl="5" w:tplc="665088DE" w:tentative="1">
      <w:start w:val="1"/>
      <w:numFmt w:val="bullet"/>
      <w:lvlText w:val=""/>
      <w:lvlJc w:val="left"/>
      <w:pPr>
        <w:ind w:left="4320" w:hanging="360"/>
      </w:pPr>
      <w:rPr>
        <w:rFonts w:ascii="Wingdings" w:hAnsi="Wingdings" w:hint="default"/>
      </w:rPr>
    </w:lvl>
    <w:lvl w:ilvl="6" w:tplc="2CF6234A" w:tentative="1">
      <w:start w:val="1"/>
      <w:numFmt w:val="bullet"/>
      <w:lvlText w:val=""/>
      <w:lvlJc w:val="left"/>
      <w:pPr>
        <w:ind w:left="5040" w:hanging="360"/>
      </w:pPr>
      <w:rPr>
        <w:rFonts w:ascii="Symbol" w:hAnsi="Symbol" w:hint="default"/>
      </w:rPr>
    </w:lvl>
    <w:lvl w:ilvl="7" w:tplc="557C069E" w:tentative="1">
      <w:start w:val="1"/>
      <w:numFmt w:val="bullet"/>
      <w:lvlText w:val="o"/>
      <w:lvlJc w:val="left"/>
      <w:pPr>
        <w:ind w:left="5760" w:hanging="360"/>
      </w:pPr>
      <w:rPr>
        <w:rFonts w:ascii="Courier New" w:hAnsi="Courier New" w:hint="default"/>
      </w:rPr>
    </w:lvl>
    <w:lvl w:ilvl="8" w:tplc="5434D856" w:tentative="1">
      <w:start w:val="1"/>
      <w:numFmt w:val="bullet"/>
      <w:lvlText w:val=""/>
      <w:lvlJc w:val="left"/>
      <w:pPr>
        <w:ind w:left="6480" w:hanging="360"/>
      </w:pPr>
      <w:rPr>
        <w:rFonts w:ascii="Wingdings" w:hAnsi="Wingdings" w:hint="default"/>
      </w:rPr>
    </w:lvl>
  </w:abstractNum>
  <w:abstractNum w:abstractNumId="34" w15:restartNumberingAfterBreak="0">
    <w:nsid w:val="680E359C"/>
    <w:multiLevelType w:val="hybridMultilevel"/>
    <w:tmpl w:val="D884BB7C"/>
    <w:lvl w:ilvl="0" w:tplc="437C63DE">
      <w:start w:val="1"/>
      <w:numFmt w:val="bullet"/>
      <w:lvlText w:val=""/>
      <w:lvlJc w:val="left"/>
      <w:pPr>
        <w:ind w:left="720" w:hanging="360"/>
      </w:pPr>
      <w:rPr>
        <w:rFonts w:ascii="Symbol" w:hAnsi="Symbol" w:hint="default"/>
      </w:rPr>
    </w:lvl>
    <w:lvl w:ilvl="1" w:tplc="A68613C2" w:tentative="1">
      <w:start w:val="1"/>
      <w:numFmt w:val="bullet"/>
      <w:lvlText w:val="o"/>
      <w:lvlJc w:val="left"/>
      <w:pPr>
        <w:ind w:left="1440" w:hanging="360"/>
      </w:pPr>
      <w:rPr>
        <w:rFonts w:ascii="Courier New" w:hAnsi="Courier New" w:hint="default"/>
      </w:rPr>
    </w:lvl>
    <w:lvl w:ilvl="2" w:tplc="5F604D7C" w:tentative="1">
      <w:start w:val="1"/>
      <w:numFmt w:val="bullet"/>
      <w:lvlText w:val=""/>
      <w:lvlJc w:val="left"/>
      <w:pPr>
        <w:ind w:left="2160" w:hanging="360"/>
      </w:pPr>
      <w:rPr>
        <w:rFonts w:ascii="Wingdings" w:hAnsi="Wingdings" w:hint="default"/>
      </w:rPr>
    </w:lvl>
    <w:lvl w:ilvl="3" w:tplc="E95402EC" w:tentative="1">
      <w:start w:val="1"/>
      <w:numFmt w:val="bullet"/>
      <w:lvlText w:val=""/>
      <w:lvlJc w:val="left"/>
      <w:pPr>
        <w:ind w:left="2880" w:hanging="360"/>
      </w:pPr>
      <w:rPr>
        <w:rFonts w:ascii="Symbol" w:hAnsi="Symbol" w:hint="default"/>
      </w:rPr>
    </w:lvl>
    <w:lvl w:ilvl="4" w:tplc="841A645A" w:tentative="1">
      <w:start w:val="1"/>
      <w:numFmt w:val="bullet"/>
      <w:lvlText w:val="o"/>
      <w:lvlJc w:val="left"/>
      <w:pPr>
        <w:ind w:left="3600" w:hanging="360"/>
      </w:pPr>
      <w:rPr>
        <w:rFonts w:ascii="Courier New" w:hAnsi="Courier New" w:hint="default"/>
      </w:rPr>
    </w:lvl>
    <w:lvl w:ilvl="5" w:tplc="4F086712" w:tentative="1">
      <w:start w:val="1"/>
      <w:numFmt w:val="bullet"/>
      <w:lvlText w:val=""/>
      <w:lvlJc w:val="left"/>
      <w:pPr>
        <w:ind w:left="4320" w:hanging="360"/>
      </w:pPr>
      <w:rPr>
        <w:rFonts w:ascii="Wingdings" w:hAnsi="Wingdings" w:hint="default"/>
      </w:rPr>
    </w:lvl>
    <w:lvl w:ilvl="6" w:tplc="A016044C" w:tentative="1">
      <w:start w:val="1"/>
      <w:numFmt w:val="bullet"/>
      <w:lvlText w:val=""/>
      <w:lvlJc w:val="left"/>
      <w:pPr>
        <w:ind w:left="5040" w:hanging="360"/>
      </w:pPr>
      <w:rPr>
        <w:rFonts w:ascii="Symbol" w:hAnsi="Symbol" w:hint="default"/>
      </w:rPr>
    </w:lvl>
    <w:lvl w:ilvl="7" w:tplc="53DEDD16" w:tentative="1">
      <w:start w:val="1"/>
      <w:numFmt w:val="bullet"/>
      <w:lvlText w:val="o"/>
      <w:lvlJc w:val="left"/>
      <w:pPr>
        <w:ind w:left="5760" w:hanging="360"/>
      </w:pPr>
      <w:rPr>
        <w:rFonts w:ascii="Courier New" w:hAnsi="Courier New" w:hint="default"/>
      </w:rPr>
    </w:lvl>
    <w:lvl w:ilvl="8" w:tplc="15220A84" w:tentative="1">
      <w:start w:val="1"/>
      <w:numFmt w:val="bullet"/>
      <w:lvlText w:val=""/>
      <w:lvlJc w:val="left"/>
      <w:pPr>
        <w:ind w:left="6480" w:hanging="360"/>
      </w:pPr>
      <w:rPr>
        <w:rFonts w:ascii="Wingdings" w:hAnsi="Wingdings" w:hint="default"/>
      </w:rPr>
    </w:lvl>
  </w:abstractNum>
  <w:abstractNum w:abstractNumId="35" w15:restartNumberingAfterBreak="0">
    <w:nsid w:val="6EE52643"/>
    <w:multiLevelType w:val="hybridMultilevel"/>
    <w:tmpl w:val="97368B36"/>
    <w:lvl w:ilvl="0" w:tplc="294C9E68">
      <w:start w:val="1"/>
      <w:numFmt w:val="bullet"/>
      <w:lvlText w:val=""/>
      <w:lvlJc w:val="left"/>
      <w:pPr>
        <w:ind w:left="720" w:hanging="360"/>
      </w:pPr>
      <w:rPr>
        <w:rFonts w:ascii="Symbol" w:hAnsi="Symbol" w:hint="default"/>
      </w:rPr>
    </w:lvl>
    <w:lvl w:ilvl="1" w:tplc="9C9CBD6E" w:tentative="1">
      <w:start w:val="1"/>
      <w:numFmt w:val="bullet"/>
      <w:lvlText w:val="o"/>
      <w:lvlJc w:val="left"/>
      <w:pPr>
        <w:ind w:left="1440" w:hanging="360"/>
      </w:pPr>
      <w:rPr>
        <w:rFonts w:ascii="Courier New" w:hAnsi="Courier New" w:hint="default"/>
      </w:rPr>
    </w:lvl>
    <w:lvl w:ilvl="2" w:tplc="C6F67912" w:tentative="1">
      <w:start w:val="1"/>
      <w:numFmt w:val="bullet"/>
      <w:lvlText w:val=""/>
      <w:lvlJc w:val="left"/>
      <w:pPr>
        <w:ind w:left="2160" w:hanging="360"/>
      </w:pPr>
      <w:rPr>
        <w:rFonts w:ascii="Wingdings" w:hAnsi="Wingdings" w:hint="default"/>
      </w:rPr>
    </w:lvl>
    <w:lvl w:ilvl="3" w:tplc="435EBB32" w:tentative="1">
      <w:start w:val="1"/>
      <w:numFmt w:val="bullet"/>
      <w:lvlText w:val=""/>
      <w:lvlJc w:val="left"/>
      <w:pPr>
        <w:ind w:left="2880" w:hanging="360"/>
      </w:pPr>
      <w:rPr>
        <w:rFonts w:ascii="Symbol" w:hAnsi="Symbol" w:hint="default"/>
      </w:rPr>
    </w:lvl>
    <w:lvl w:ilvl="4" w:tplc="DDE2B302" w:tentative="1">
      <w:start w:val="1"/>
      <w:numFmt w:val="bullet"/>
      <w:lvlText w:val="o"/>
      <w:lvlJc w:val="left"/>
      <w:pPr>
        <w:ind w:left="3600" w:hanging="360"/>
      </w:pPr>
      <w:rPr>
        <w:rFonts w:ascii="Courier New" w:hAnsi="Courier New" w:hint="default"/>
      </w:rPr>
    </w:lvl>
    <w:lvl w:ilvl="5" w:tplc="E32CCB14" w:tentative="1">
      <w:start w:val="1"/>
      <w:numFmt w:val="bullet"/>
      <w:lvlText w:val=""/>
      <w:lvlJc w:val="left"/>
      <w:pPr>
        <w:ind w:left="4320" w:hanging="360"/>
      </w:pPr>
      <w:rPr>
        <w:rFonts w:ascii="Wingdings" w:hAnsi="Wingdings" w:hint="default"/>
      </w:rPr>
    </w:lvl>
    <w:lvl w:ilvl="6" w:tplc="5D2CC3EC" w:tentative="1">
      <w:start w:val="1"/>
      <w:numFmt w:val="bullet"/>
      <w:lvlText w:val=""/>
      <w:lvlJc w:val="left"/>
      <w:pPr>
        <w:ind w:left="5040" w:hanging="360"/>
      </w:pPr>
      <w:rPr>
        <w:rFonts w:ascii="Symbol" w:hAnsi="Symbol" w:hint="default"/>
      </w:rPr>
    </w:lvl>
    <w:lvl w:ilvl="7" w:tplc="D4789F22" w:tentative="1">
      <w:start w:val="1"/>
      <w:numFmt w:val="bullet"/>
      <w:lvlText w:val="o"/>
      <w:lvlJc w:val="left"/>
      <w:pPr>
        <w:ind w:left="5760" w:hanging="360"/>
      </w:pPr>
      <w:rPr>
        <w:rFonts w:ascii="Courier New" w:hAnsi="Courier New" w:hint="default"/>
      </w:rPr>
    </w:lvl>
    <w:lvl w:ilvl="8" w:tplc="4F76C2F0" w:tentative="1">
      <w:start w:val="1"/>
      <w:numFmt w:val="bullet"/>
      <w:lvlText w:val=""/>
      <w:lvlJc w:val="left"/>
      <w:pPr>
        <w:ind w:left="6480" w:hanging="360"/>
      </w:pPr>
      <w:rPr>
        <w:rFonts w:ascii="Wingdings" w:hAnsi="Wingdings" w:hint="default"/>
      </w:rPr>
    </w:lvl>
  </w:abstractNum>
  <w:abstractNum w:abstractNumId="36" w15:restartNumberingAfterBreak="0">
    <w:nsid w:val="773212BB"/>
    <w:multiLevelType w:val="hybridMultilevel"/>
    <w:tmpl w:val="94749FA0"/>
    <w:lvl w:ilvl="0" w:tplc="D0FCDDBC">
      <w:start w:val="1"/>
      <w:numFmt w:val="bullet"/>
      <w:lvlText w:val=""/>
      <w:lvlJc w:val="left"/>
      <w:pPr>
        <w:ind w:left="720" w:hanging="360"/>
      </w:pPr>
      <w:rPr>
        <w:rFonts w:ascii="Symbol" w:hAnsi="Symbol" w:hint="default"/>
      </w:rPr>
    </w:lvl>
    <w:lvl w:ilvl="1" w:tplc="06DEB59A" w:tentative="1">
      <w:start w:val="1"/>
      <w:numFmt w:val="bullet"/>
      <w:lvlText w:val="o"/>
      <w:lvlJc w:val="left"/>
      <w:pPr>
        <w:ind w:left="1440" w:hanging="360"/>
      </w:pPr>
      <w:rPr>
        <w:rFonts w:ascii="Courier New" w:hAnsi="Courier New" w:hint="default"/>
      </w:rPr>
    </w:lvl>
    <w:lvl w:ilvl="2" w:tplc="7DD2525A" w:tentative="1">
      <w:start w:val="1"/>
      <w:numFmt w:val="bullet"/>
      <w:lvlText w:val=""/>
      <w:lvlJc w:val="left"/>
      <w:pPr>
        <w:ind w:left="2160" w:hanging="360"/>
      </w:pPr>
      <w:rPr>
        <w:rFonts w:ascii="Wingdings" w:hAnsi="Wingdings" w:hint="default"/>
      </w:rPr>
    </w:lvl>
    <w:lvl w:ilvl="3" w:tplc="E19EEDD6" w:tentative="1">
      <w:start w:val="1"/>
      <w:numFmt w:val="bullet"/>
      <w:lvlText w:val=""/>
      <w:lvlJc w:val="left"/>
      <w:pPr>
        <w:ind w:left="2880" w:hanging="360"/>
      </w:pPr>
      <w:rPr>
        <w:rFonts w:ascii="Symbol" w:hAnsi="Symbol" w:hint="default"/>
      </w:rPr>
    </w:lvl>
    <w:lvl w:ilvl="4" w:tplc="C2EC6FF6" w:tentative="1">
      <w:start w:val="1"/>
      <w:numFmt w:val="bullet"/>
      <w:lvlText w:val="o"/>
      <w:lvlJc w:val="left"/>
      <w:pPr>
        <w:ind w:left="3600" w:hanging="360"/>
      </w:pPr>
      <w:rPr>
        <w:rFonts w:ascii="Courier New" w:hAnsi="Courier New" w:hint="default"/>
      </w:rPr>
    </w:lvl>
    <w:lvl w:ilvl="5" w:tplc="C72A3A8E" w:tentative="1">
      <w:start w:val="1"/>
      <w:numFmt w:val="bullet"/>
      <w:lvlText w:val=""/>
      <w:lvlJc w:val="left"/>
      <w:pPr>
        <w:ind w:left="4320" w:hanging="360"/>
      </w:pPr>
      <w:rPr>
        <w:rFonts w:ascii="Wingdings" w:hAnsi="Wingdings" w:hint="default"/>
      </w:rPr>
    </w:lvl>
    <w:lvl w:ilvl="6" w:tplc="BEDA64F2" w:tentative="1">
      <w:start w:val="1"/>
      <w:numFmt w:val="bullet"/>
      <w:lvlText w:val=""/>
      <w:lvlJc w:val="left"/>
      <w:pPr>
        <w:ind w:left="5040" w:hanging="360"/>
      </w:pPr>
      <w:rPr>
        <w:rFonts w:ascii="Symbol" w:hAnsi="Symbol" w:hint="default"/>
      </w:rPr>
    </w:lvl>
    <w:lvl w:ilvl="7" w:tplc="0D806A78" w:tentative="1">
      <w:start w:val="1"/>
      <w:numFmt w:val="bullet"/>
      <w:lvlText w:val="o"/>
      <w:lvlJc w:val="left"/>
      <w:pPr>
        <w:ind w:left="5760" w:hanging="360"/>
      </w:pPr>
      <w:rPr>
        <w:rFonts w:ascii="Courier New" w:hAnsi="Courier New" w:hint="default"/>
      </w:rPr>
    </w:lvl>
    <w:lvl w:ilvl="8" w:tplc="05D63B24" w:tentative="1">
      <w:start w:val="1"/>
      <w:numFmt w:val="bullet"/>
      <w:lvlText w:val=""/>
      <w:lvlJc w:val="left"/>
      <w:pPr>
        <w:ind w:left="6480" w:hanging="360"/>
      </w:pPr>
      <w:rPr>
        <w:rFonts w:ascii="Wingdings" w:hAnsi="Wingdings" w:hint="default"/>
      </w:rPr>
    </w:lvl>
  </w:abstractNum>
  <w:abstractNum w:abstractNumId="37" w15:restartNumberingAfterBreak="0">
    <w:nsid w:val="77845BE4"/>
    <w:multiLevelType w:val="hybridMultilevel"/>
    <w:tmpl w:val="C0F2B34E"/>
    <w:lvl w:ilvl="0" w:tplc="04FCBB78">
      <w:start w:val="1"/>
      <w:numFmt w:val="bullet"/>
      <w:lvlText w:val=""/>
      <w:lvlJc w:val="left"/>
      <w:pPr>
        <w:ind w:left="720" w:hanging="360"/>
      </w:pPr>
      <w:rPr>
        <w:rFonts w:ascii="Symbol" w:hAnsi="Symbol" w:hint="default"/>
      </w:rPr>
    </w:lvl>
    <w:lvl w:ilvl="1" w:tplc="74FC5388" w:tentative="1">
      <w:start w:val="1"/>
      <w:numFmt w:val="bullet"/>
      <w:lvlText w:val="o"/>
      <w:lvlJc w:val="left"/>
      <w:pPr>
        <w:ind w:left="1440" w:hanging="360"/>
      </w:pPr>
      <w:rPr>
        <w:rFonts w:ascii="Courier New" w:hAnsi="Courier New" w:hint="default"/>
      </w:rPr>
    </w:lvl>
    <w:lvl w:ilvl="2" w:tplc="E31A0D48" w:tentative="1">
      <w:start w:val="1"/>
      <w:numFmt w:val="bullet"/>
      <w:lvlText w:val=""/>
      <w:lvlJc w:val="left"/>
      <w:pPr>
        <w:ind w:left="2160" w:hanging="360"/>
      </w:pPr>
      <w:rPr>
        <w:rFonts w:ascii="Wingdings" w:hAnsi="Wingdings" w:hint="default"/>
      </w:rPr>
    </w:lvl>
    <w:lvl w:ilvl="3" w:tplc="FF6EC050" w:tentative="1">
      <w:start w:val="1"/>
      <w:numFmt w:val="bullet"/>
      <w:lvlText w:val=""/>
      <w:lvlJc w:val="left"/>
      <w:pPr>
        <w:ind w:left="2880" w:hanging="360"/>
      </w:pPr>
      <w:rPr>
        <w:rFonts w:ascii="Symbol" w:hAnsi="Symbol" w:hint="default"/>
      </w:rPr>
    </w:lvl>
    <w:lvl w:ilvl="4" w:tplc="6ADAC974" w:tentative="1">
      <w:start w:val="1"/>
      <w:numFmt w:val="bullet"/>
      <w:lvlText w:val="o"/>
      <w:lvlJc w:val="left"/>
      <w:pPr>
        <w:ind w:left="3600" w:hanging="360"/>
      </w:pPr>
      <w:rPr>
        <w:rFonts w:ascii="Courier New" w:hAnsi="Courier New" w:hint="default"/>
      </w:rPr>
    </w:lvl>
    <w:lvl w:ilvl="5" w:tplc="EF0E8496" w:tentative="1">
      <w:start w:val="1"/>
      <w:numFmt w:val="bullet"/>
      <w:lvlText w:val=""/>
      <w:lvlJc w:val="left"/>
      <w:pPr>
        <w:ind w:left="4320" w:hanging="360"/>
      </w:pPr>
      <w:rPr>
        <w:rFonts w:ascii="Wingdings" w:hAnsi="Wingdings" w:hint="default"/>
      </w:rPr>
    </w:lvl>
    <w:lvl w:ilvl="6" w:tplc="CCF8D5D6" w:tentative="1">
      <w:start w:val="1"/>
      <w:numFmt w:val="bullet"/>
      <w:lvlText w:val=""/>
      <w:lvlJc w:val="left"/>
      <w:pPr>
        <w:ind w:left="5040" w:hanging="360"/>
      </w:pPr>
      <w:rPr>
        <w:rFonts w:ascii="Symbol" w:hAnsi="Symbol" w:hint="default"/>
      </w:rPr>
    </w:lvl>
    <w:lvl w:ilvl="7" w:tplc="0142AB22" w:tentative="1">
      <w:start w:val="1"/>
      <w:numFmt w:val="bullet"/>
      <w:lvlText w:val="o"/>
      <w:lvlJc w:val="left"/>
      <w:pPr>
        <w:ind w:left="5760" w:hanging="360"/>
      </w:pPr>
      <w:rPr>
        <w:rFonts w:ascii="Courier New" w:hAnsi="Courier New" w:hint="default"/>
      </w:rPr>
    </w:lvl>
    <w:lvl w:ilvl="8" w:tplc="E86E5CFE" w:tentative="1">
      <w:start w:val="1"/>
      <w:numFmt w:val="bullet"/>
      <w:lvlText w:val=""/>
      <w:lvlJc w:val="left"/>
      <w:pPr>
        <w:ind w:left="6480" w:hanging="360"/>
      </w:pPr>
      <w:rPr>
        <w:rFonts w:ascii="Wingdings" w:hAnsi="Wingdings" w:hint="default"/>
      </w:rPr>
    </w:lvl>
  </w:abstractNum>
  <w:abstractNum w:abstractNumId="38" w15:restartNumberingAfterBreak="0">
    <w:nsid w:val="7F357817"/>
    <w:multiLevelType w:val="hybridMultilevel"/>
    <w:tmpl w:val="97869276"/>
    <w:lvl w:ilvl="0" w:tplc="E2AC7E06">
      <w:start w:val="1"/>
      <w:numFmt w:val="bullet"/>
      <w:lvlText w:val="-"/>
      <w:lvlJc w:val="left"/>
      <w:pPr>
        <w:ind w:left="720" w:hanging="360"/>
      </w:pPr>
      <w:rPr>
        <w:rFonts w:ascii="Symbol" w:hAnsi="Symbol" w:hint="default"/>
      </w:rPr>
    </w:lvl>
    <w:lvl w:ilvl="1" w:tplc="2A9643CE">
      <w:start w:val="1"/>
      <w:numFmt w:val="bullet"/>
      <w:lvlText w:val="o"/>
      <w:lvlJc w:val="left"/>
      <w:pPr>
        <w:ind w:left="1440" w:hanging="360"/>
      </w:pPr>
      <w:rPr>
        <w:rFonts w:ascii="Courier New" w:hAnsi="Courier New" w:hint="default"/>
      </w:rPr>
    </w:lvl>
    <w:lvl w:ilvl="2" w:tplc="8E66878E" w:tentative="1">
      <w:start w:val="1"/>
      <w:numFmt w:val="bullet"/>
      <w:lvlText w:val=""/>
      <w:lvlJc w:val="left"/>
      <w:pPr>
        <w:ind w:left="2160" w:hanging="360"/>
      </w:pPr>
      <w:rPr>
        <w:rFonts w:ascii="Wingdings" w:hAnsi="Wingdings" w:hint="default"/>
      </w:rPr>
    </w:lvl>
    <w:lvl w:ilvl="3" w:tplc="E2C05FAE" w:tentative="1">
      <w:start w:val="1"/>
      <w:numFmt w:val="bullet"/>
      <w:lvlText w:val=""/>
      <w:lvlJc w:val="left"/>
      <w:pPr>
        <w:ind w:left="2880" w:hanging="360"/>
      </w:pPr>
      <w:rPr>
        <w:rFonts w:ascii="Symbol" w:hAnsi="Symbol" w:hint="default"/>
      </w:rPr>
    </w:lvl>
    <w:lvl w:ilvl="4" w:tplc="1382AA02" w:tentative="1">
      <w:start w:val="1"/>
      <w:numFmt w:val="bullet"/>
      <w:lvlText w:val="o"/>
      <w:lvlJc w:val="left"/>
      <w:pPr>
        <w:ind w:left="3600" w:hanging="360"/>
      </w:pPr>
      <w:rPr>
        <w:rFonts w:ascii="Courier New" w:hAnsi="Courier New" w:hint="default"/>
      </w:rPr>
    </w:lvl>
    <w:lvl w:ilvl="5" w:tplc="A266B5A2" w:tentative="1">
      <w:start w:val="1"/>
      <w:numFmt w:val="bullet"/>
      <w:lvlText w:val=""/>
      <w:lvlJc w:val="left"/>
      <w:pPr>
        <w:ind w:left="4320" w:hanging="360"/>
      </w:pPr>
      <w:rPr>
        <w:rFonts w:ascii="Wingdings" w:hAnsi="Wingdings" w:hint="default"/>
      </w:rPr>
    </w:lvl>
    <w:lvl w:ilvl="6" w:tplc="8D7AE4DC" w:tentative="1">
      <w:start w:val="1"/>
      <w:numFmt w:val="bullet"/>
      <w:lvlText w:val=""/>
      <w:lvlJc w:val="left"/>
      <w:pPr>
        <w:ind w:left="5040" w:hanging="360"/>
      </w:pPr>
      <w:rPr>
        <w:rFonts w:ascii="Symbol" w:hAnsi="Symbol" w:hint="default"/>
      </w:rPr>
    </w:lvl>
    <w:lvl w:ilvl="7" w:tplc="5CE0979C" w:tentative="1">
      <w:start w:val="1"/>
      <w:numFmt w:val="bullet"/>
      <w:lvlText w:val="o"/>
      <w:lvlJc w:val="left"/>
      <w:pPr>
        <w:ind w:left="5760" w:hanging="360"/>
      </w:pPr>
      <w:rPr>
        <w:rFonts w:ascii="Courier New" w:hAnsi="Courier New" w:hint="default"/>
      </w:rPr>
    </w:lvl>
    <w:lvl w:ilvl="8" w:tplc="BF54A576" w:tentative="1">
      <w:start w:val="1"/>
      <w:numFmt w:val="bullet"/>
      <w:lvlText w:val=""/>
      <w:lvlJc w:val="left"/>
      <w:pPr>
        <w:ind w:left="6480" w:hanging="360"/>
      </w:pPr>
      <w:rPr>
        <w:rFonts w:ascii="Wingdings" w:hAnsi="Wingdings" w:hint="default"/>
      </w:rPr>
    </w:lvl>
  </w:abstractNum>
  <w:num w:numId="1">
    <w:abstractNumId w:val="24"/>
  </w:num>
  <w:num w:numId="2">
    <w:abstractNumId w:val="14"/>
  </w:num>
  <w:num w:numId="3">
    <w:abstractNumId w:val="15"/>
  </w:num>
  <w:num w:numId="4">
    <w:abstractNumId w:val="26"/>
  </w:num>
  <w:num w:numId="5">
    <w:abstractNumId w:val="10"/>
  </w:num>
  <w:num w:numId="6">
    <w:abstractNumId w:val="0"/>
  </w:num>
  <w:num w:numId="7">
    <w:abstractNumId w:val="11"/>
  </w:num>
  <w:num w:numId="8">
    <w:abstractNumId w:val="34"/>
  </w:num>
  <w:num w:numId="9">
    <w:abstractNumId w:val="16"/>
  </w:num>
  <w:num w:numId="10">
    <w:abstractNumId w:val="32"/>
  </w:num>
  <w:num w:numId="11">
    <w:abstractNumId w:val="37"/>
  </w:num>
  <w:num w:numId="12">
    <w:abstractNumId w:val="3"/>
  </w:num>
  <w:num w:numId="13">
    <w:abstractNumId w:val="33"/>
  </w:num>
  <w:num w:numId="14">
    <w:abstractNumId w:val="8"/>
  </w:num>
  <w:num w:numId="15">
    <w:abstractNumId w:val="30"/>
  </w:num>
  <w:num w:numId="16">
    <w:abstractNumId w:val="36"/>
  </w:num>
  <w:num w:numId="17">
    <w:abstractNumId w:val="12"/>
  </w:num>
  <w:num w:numId="18">
    <w:abstractNumId w:val="1"/>
  </w:num>
  <w:num w:numId="19">
    <w:abstractNumId w:val="19"/>
  </w:num>
  <w:num w:numId="20">
    <w:abstractNumId w:val="18"/>
  </w:num>
  <w:num w:numId="21">
    <w:abstractNumId w:val="13"/>
  </w:num>
  <w:num w:numId="22">
    <w:abstractNumId w:val="29"/>
  </w:num>
  <w:num w:numId="23">
    <w:abstractNumId w:val="20"/>
  </w:num>
  <w:num w:numId="24">
    <w:abstractNumId w:val="9"/>
  </w:num>
  <w:num w:numId="25">
    <w:abstractNumId w:val="31"/>
  </w:num>
  <w:num w:numId="26">
    <w:abstractNumId w:val="6"/>
  </w:num>
  <w:num w:numId="27">
    <w:abstractNumId w:val="22"/>
  </w:num>
  <w:num w:numId="28">
    <w:abstractNumId w:val="17"/>
  </w:num>
  <w:num w:numId="29">
    <w:abstractNumId w:val="28"/>
  </w:num>
  <w:num w:numId="30">
    <w:abstractNumId w:val="23"/>
  </w:num>
  <w:num w:numId="31">
    <w:abstractNumId w:val="27"/>
  </w:num>
  <w:num w:numId="32">
    <w:abstractNumId w:val="5"/>
  </w:num>
  <w:num w:numId="33">
    <w:abstractNumId w:val="35"/>
  </w:num>
  <w:num w:numId="34">
    <w:abstractNumId w:val="38"/>
  </w:num>
  <w:num w:numId="35">
    <w:abstractNumId w:val="4"/>
  </w:num>
  <w:num w:numId="36">
    <w:abstractNumId w:val="21"/>
  </w:num>
  <w:num w:numId="37">
    <w:abstractNumId w:val="7"/>
  </w:num>
  <w:num w:numId="38">
    <w:abstractNumId w:val="25"/>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08AE646-74F1-4B59-910C-6F019E5D7295"/>
    <w:docVar w:name="LW_COVERPAGE_TYPE" w:val="1"/>
    <w:docVar w:name="LW_CROSSREFERENCE" w:val="&lt;UNUSED&gt;"/>
    <w:docVar w:name="LW_DocType" w:val="NORMAL"/>
    <w:docVar w:name="LW_EMISSION" w:val="25.3.2026"/>
    <w:docVar w:name="LW_EMISSION_ISODATE" w:val="2026-03-25"/>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gestionarea integrat\u259? a riscurilor de incendii forestiere&lt;/FMT&gt;_x000b_"/>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780E1F"/>
    <w:rsid w:val="000D60C5"/>
    <w:rsid w:val="004952B0"/>
    <w:rsid w:val="00535025"/>
    <w:rsid w:val="00566979"/>
    <w:rsid w:val="00596869"/>
    <w:rsid w:val="00780E1F"/>
    <w:rsid w:val="0084151F"/>
    <w:rsid w:val="00C70A9F"/>
    <w:rsid w:val="00DC2693"/>
    <w:rsid w:val="00F8753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E8FE0C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List Paragraph (numbered (a)),Dot pt,F5 List Paragraph,List Paragraph1,No Spacing1,List Paragraph Char Char Char,Indicator Text,Colorful List - Accent 11,Numbered Para 1,Bullet 1,Bullet Points,MAIN CONTENT,List Paragraph11,Recommendatio,L"/>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Revision">
    <w:name w:val="Revision"/>
    <w:hidden/>
    <w:uiPriority w:val="99"/>
    <w:semiHidden/>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467886"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
    <w:name w:val="Mention"/>
    <w:basedOn w:val="DefaultParagraphFont"/>
    <w:uiPriority w:val="99"/>
    <w:unhideWhenUsed/>
    <w:rPr>
      <w:color w:val="2B579A"/>
      <w:shd w:val="clear" w:color="auto" w:fill="E1DFDD"/>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Caption">
    <w:name w:val="caption"/>
    <w:basedOn w:val="Normal"/>
    <w:next w:val="Normal"/>
    <w:uiPriority w:val="35"/>
    <w:qFormat/>
    <w:pPr>
      <w:spacing w:before="160" w:after="240" w:line="240" w:lineRule="auto"/>
      <w:jc w:val="both"/>
    </w:pPr>
    <w:rPr>
      <w:rFonts w:ascii="Times New Roman" w:eastAsia="Times New Roman" w:hAnsi="Times New Roman" w:cs="Times New Roman"/>
      <w:i/>
      <w:kern w:val="0"/>
      <w:szCs w:val="20"/>
      <w:lang w:eastAsia="en-IE"/>
      <w14:ligatures w14:val="none"/>
    </w:rPr>
  </w:style>
  <w:style w:type="character" w:styleId="FollowedHyperlink">
    <w:name w:val="FollowedHyperlink"/>
    <w:basedOn w:val="DefaultParagraphFont"/>
    <w:uiPriority w:val="99"/>
    <w:semiHidden/>
    <w:unhideWhenUsed/>
    <w:rPr>
      <w:color w:val="96607D" w:themeColor="followedHyperlink"/>
      <w:u w:val="single"/>
    </w:rPr>
  </w:style>
  <w:style w:type="paragraph" w:customStyle="1" w:styleId="FigureBody">
    <w:name w:val="Figure Body"/>
    <w:basedOn w:val="Normal"/>
    <w:next w:val="Normal"/>
    <w:uiPriority w:val="99"/>
    <w:semiHidden/>
    <w:unhideWhenUsed/>
    <w:pPr>
      <w:keepNext/>
      <w:spacing w:after="40" w:line="240" w:lineRule="auto"/>
      <w:jc w:val="both"/>
    </w:pPr>
    <w:rPr>
      <w:rFonts w:ascii="Times New Roman" w:eastAsia="Times New Roman" w:hAnsi="Times New Roman" w:cs="Times New Roman"/>
      <w:kern w:val="0"/>
      <w:sz w:val="24"/>
      <w:szCs w:val="20"/>
      <w:lang w:eastAsia="en-IE"/>
      <w14:ligatures w14:val="none"/>
    </w:rPr>
  </w:style>
  <w:style w:type="character" w:customStyle="1" w:styleId="ListParagraphChar">
    <w:name w:val="List Paragraph Char"/>
    <w:aliases w:val="List Paragraph (numbered (a)) Char,Dot pt Char,F5 List Paragraph Char,List Paragraph1 Char,No Spacing1 Char,List Paragraph Char Char Char Char,Indicator Text Char,Colorful List - Accent 11 Char,Numbered Para 1 Char,Bullet 1 Char"/>
    <w:link w:val="ListParagraph"/>
    <w:uiPriority w:val="34"/>
    <w:qFormat/>
    <w:locked/>
  </w:style>
  <w:style w:type="paragraph" w:styleId="NormalWeb">
    <w:name w:val="Normal (Web)"/>
    <w:basedOn w:val="Normal"/>
    <w:uiPriority w:val="99"/>
    <w:semiHidden/>
    <w:unhideWhenUsed/>
    <w:rPr>
      <w:rFonts w:ascii="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38094">
      <w:bodyDiv w:val="1"/>
      <w:marLeft w:val="0"/>
      <w:marRight w:val="0"/>
      <w:marTop w:val="0"/>
      <w:marBottom w:val="0"/>
      <w:divBdr>
        <w:top w:val="none" w:sz="0" w:space="0" w:color="auto"/>
        <w:left w:val="none" w:sz="0" w:space="0" w:color="auto"/>
        <w:bottom w:val="none" w:sz="0" w:space="0" w:color="auto"/>
        <w:right w:val="none" w:sz="0" w:space="0" w:color="auto"/>
      </w:divBdr>
    </w:div>
    <w:div w:id="93676037">
      <w:bodyDiv w:val="1"/>
      <w:marLeft w:val="0"/>
      <w:marRight w:val="0"/>
      <w:marTop w:val="0"/>
      <w:marBottom w:val="0"/>
      <w:divBdr>
        <w:top w:val="none" w:sz="0" w:space="0" w:color="auto"/>
        <w:left w:val="none" w:sz="0" w:space="0" w:color="auto"/>
        <w:bottom w:val="none" w:sz="0" w:space="0" w:color="auto"/>
        <w:right w:val="none" w:sz="0" w:space="0" w:color="auto"/>
      </w:divBdr>
    </w:div>
    <w:div w:id="104883314">
      <w:bodyDiv w:val="1"/>
      <w:marLeft w:val="0"/>
      <w:marRight w:val="0"/>
      <w:marTop w:val="0"/>
      <w:marBottom w:val="0"/>
      <w:divBdr>
        <w:top w:val="none" w:sz="0" w:space="0" w:color="auto"/>
        <w:left w:val="none" w:sz="0" w:space="0" w:color="auto"/>
        <w:bottom w:val="none" w:sz="0" w:space="0" w:color="auto"/>
        <w:right w:val="none" w:sz="0" w:space="0" w:color="auto"/>
      </w:divBdr>
    </w:div>
    <w:div w:id="185140992">
      <w:bodyDiv w:val="1"/>
      <w:marLeft w:val="0"/>
      <w:marRight w:val="0"/>
      <w:marTop w:val="0"/>
      <w:marBottom w:val="0"/>
      <w:divBdr>
        <w:top w:val="none" w:sz="0" w:space="0" w:color="auto"/>
        <w:left w:val="none" w:sz="0" w:space="0" w:color="auto"/>
        <w:bottom w:val="none" w:sz="0" w:space="0" w:color="auto"/>
        <w:right w:val="none" w:sz="0" w:space="0" w:color="auto"/>
      </w:divBdr>
    </w:div>
    <w:div w:id="272059661">
      <w:bodyDiv w:val="1"/>
      <w:marLeft w:val="0"/>
      <w:marRight w:val="0"/>
      <w:marTop w:val="0"/>
      <w:marBottom w:val="0"/>
      <w:divBdr>
        <w:top w:val="none" w:sz="0" w:space="0" w:color="auto"/>
        <w:left w:val="none" w:sz="0" w:space="0" w:color="auto"/>
        <w:bottom w:val="none" w:sz="0" w:space="0" w:color="auto"/>
        <w:right w:val="none" w:sz="0" w:space="0" w:color="auto"/>
      </w:divBdr>
      <w:divsChild>
        <w:div w:id="776868996">
          <w:marLeft w:val="0"/>
          <w:marRight w:val="0"/>
          <w:marTop w:val="480"/>
          <w:marBottom w:val="480"/>
          <w:divBdr>
            <w:top w:val="none" w:sz="0" w:space="0" w:color="auto"/>
            <w:left w:val="none" w:sz="0" w:space="0" w:color="auto"/>
            <w:bottom w:val="none" w:sz="0" w:space="0" w:color="auto"/>
            <w:right w:val="none" w:sz="0" w:space="0" w:color="auto"/>
          </w:divBdr>
        </w:div>
      </w:divsChild>
    </w:div>
    <w:div w:id="308902759">
      <w:bodyDiv w:val="1"/>
      <w:marLeft w:val="0"/>
      <w:marRight w:val="0"/>
      <w:marTop w:val="0"/>
      <w:marBottom w:val="0"/>
      <w:divBdr>
        <w:top w:val="none" w:sz="0" w:space="0" w:color="auto"/>
        <w:left w:val="none" w:sz="0" w:space="0" w:color="auto"/>
        <w:bottom w:val="none" w:sz="0" w:space="0" w:color="auto"/>
        <w:right w:val="none" w:sz="0" w:space="0" w:color="auto"/>
      </w:divBdr>
    </w:div>
    <w:div w:id="376397007">
      <w:bodyDiv w:val="1"/>
      <w:marLeft w:val="0"/>
      <w:marRight w:val="0"/>
      <w:marTop w:val="0"/>
      <w:marBottom w:val="0"/>
      <w:divBdr>
        <w:top w:val="none" w:sz="0" w:space="0" w:color="auto"/>
        <w:left w:val="none" w:sz="0" w:space="0" w:color="auto"/>
        <w:bottom w:val="none" w:sz="0" w:space="0" w:color="auto"/>
        <w:right w:val="none" w:sz="0" w:space="0" w:color="auto"/>
      </w:divBdr>
      <w:divsChild>
        <w:div w:id="1443576720">
          <w:marLeft w:val="0"/>
          <w:marRight w:val="0"/>
          <w:marTop w:val="0"/>
          <w:marBottom w:val="0"/>
          <w:divBdr>
            <w:top w:val="none" w:sz="0" w:space="0" w:color="auto"/>
            <w:left w:val="none" w:sz="0" w:space="0" w:color="auto"/>
            <w:bottom w:val="none" w:sz="0" w:space="0" w:color="auto"/>
            <w:right w:val="none" w:sz="0" w:space="0" w:color="auto"/>
          </w:divBdr>
        </w:div>
        <w:div w:id="1811822389">
          <w:marLeft w:val="0"/>
          <w:marRight w:val="0"/>
          <w:marTop w:val="0"/>
          <w:marBottom w:val="0"/>
          <w:divBdr>
            <w:top w:val="none" w:sz="0" w:space="0" w:color="auto"/>
            <w:left w:val="none" w:sz="0" w:space="0" w:color="auto"/>
            <w:bottom w:val="none" w:sz="0" w:space="0" w:color="auto"/>
            <w:right w:val="none" w:sz="0" w:space="0" w:color="auto"/>
          </w:divBdr>
        </w:div>
      </w:divsChild>
    </w:div>
    <w:div w:id="440565251">
      <w:bodyDiv w:val="1"/>
      <w:marLeft w:val="0"/>
      <w:marRight w:val="0"/>
      <w:marTop w:val="0"/>
      <w:marBottom w:val="0"/>
      <w:divBdr>
        <w:top w:val="none" w:sz="0" w:space="0" w:color="auto"/>
        <w:left w:val="none" w:sz="0" w:space="0" w:color="auto"/>
        <w:bottom w:val="none" w:sz="0" w:space="0" w:color="auto"/>
        <w:right w:val="none" w:sz="0" w:space="0" w:color="auto"/>
      </w:divBdr>
    </w:div>
    <w:div w:id="463432460">
      <w:bodyDiv w:val="1"/>
      <w:marLeft w:val="0"/>
      <w:marRight w:val="0"/>
      <w:marTop w:val="0"/>
      <w:marBottom w:val="0"/>
      <w:divBdr>
        <w:top w:val="none" w:sz="0" w:space="0" w:color="auto"/>
        <w:left w:val="none" w:sz="0" w:space="0" w:color="auto"/>
        <w:bottom w:val="none" w:sz="0" w:space="0" w:color="auto"/>
        <w:right w:val="none" w:sz="0" w:space="0" w:color="auto"/>
      </w:divBdr>
      <w:divsChild>
        <w:div w:id="1148983779">
          <w:marLeft w:val="0"/>
          <w:marRight w:val="0"/>
          <w:marTop w:val="0"/>
          <w:marBottom w:val="0"/>
          <w:divBdr>
            <w:top w:val="none" w:sz="0" w:space="0" w:color="auto"/>
            <w:left w:val="none" w:sz="0" w:space="0" w:color="auto"/>
            <w:bottom w:val="none" w:sz="0" w:space="0" w:color="auto"/>
            <w:right w:val="none" w:sz="0" w:space="0" w:color="auto"/>
          </w:divBdr>
        </w:div>
        <w:div w:id="1714185517">
          <w:marLeft w:val="0"/>
          <w:marRight w:val="0"/>
          <w:marTop w:val="0"/>
          <w:marBottom w:val="0"/>
          <w:divBdr>
            <w:top w:val="none" w:sz="0" w:space="0" w:color="auto"/>
            <w:left w:val="none" w:sz="0" w:space="0" w:color="auto"/>
            <w:bottom w:val="none" w:sz="0" w:space="0" w:color="auto"/>
            <w:right w:val="none" w:sz="0" w:space="0" w:color="auto"/>
          </w:divBdr>
        </w:div>
      </w:divsChild>
    </w:div>
    <w:div w:id="516849563">
      <w:bodyDiv w:val="1"/>
      <w:marLeft w:val="0"/>
      <w:marRight w:val="0"/>
      <w:marTop w:val="0"/>
      <w:marBottom w:val="0"/>
      <w:divBdr>
        <w:top w:val="none" w:sz="0" w:space="0" w:color="auto"/>
        <w:left w:val="none" w:sz="0" w:space="0" w:color="auto"/>
        <w:bottom w:val="none" w:sz="0" w:space="0" w:color="auto"/>
        <w:right w:val="none" w:sz="0" w:space="0" w:color="auto"/>
      </w:divBdr>
    </w:div>
    <w:div w:id="536312182">
      <w:bodyDiv w:val="1"/>
      <w:marLeft w:val="0"/>
      <w:marRight w:val="0"/>
      <w:marTop w:val="0"/>
      <w:marBottom w:val="0"/>
      <w:divBdr>
        <w:top w:val="none" w:sz="0" w:space="0" w:color="auto"/>
        <w:left w:val="none" w:sz="0" w:space="0" w:color="auto"/>
        <w:bottom w:val="none" w:sz="0" w:space="0" w:color="auto"/>
        <w:right w:val="none" w:sz="0" w:space="0" w:color="auto"/>
      </w:divBdr>
    </w:div>
    <w:div w:id="620765827">
      <w:bodyDiv w:val="1"/>
      <w:marLeft w:val="0"/>
      <w:marRight w:val="0"/>
      <w:marTop w:val="0"/>
      <w:marBottom w:val="0"/>
      <w:divBdr>
        <w:top w:val="none" w:sz="0" w:space="0" w:color="auto"/>
        <w:left w:val="none" w:sz="0" w:space="0" w:color="auto"/>
        <w:bottom w:val="none" w:sz="0" w:space="0" w:color="auto"/>
        <w:right w:val="none" w:sz="0" w:space="0" w:color="auto"/>
      </w:divBdr>
    </w:div>
    <w:div w:id="665665977">
      <w:bodyDiv w:val="1"/>
      <w:marLeft w:val="0"/>
      <w:marRight w:val="0"/>
      <w:marTop w:val="0"/>
      <w:marBottom w:val="0"/>
      <w:divBdr>
        <w:top w:val="none" w:sz="0" w:space="0" w:color="auto"/>
        <w:left w:val="none" w:sz="0" w:space="0" w:color="auto"/>
        <w:bottom w:val="none" w:sz="0" w:space="0" w:color="auto"/>
        <w:right w:val="none" w:sz="0" w:space="0" w:color="auto"/>
      </w:divBdr>
    </w:div>
    <w:div w:id="667824826">
      <w:bodyDiv w:val="1"/>
      <w:marLeft w:val="0"/>
      <w:marRight w:val="0"/>
      <w:marTop w:val="0"/>
      <w:marBottom w:val="0"/>
      <w:divBdr>
        <w:top w:val="none" w:sz="0" w:space="0" w:color="auto"/>
        <w:left w:val="none" w:sz="0" w:space="0" w:color="auto"/>
        <w:bottom w:val="none" w:sz="0" w:space="0" w:color="auto"/>
        <w:right w:val="none" w:sz="0" w:space="0" w:color="auto"/>
      </w:divBdr>
    </w:div>
    <w:div w:id="720595214">
      <w:bodyDiv w:val="1"/>
      <w:marLeft w:val="0"/>
      <w:marRight w:val="0"/>
      <w:marTop w:val="0"/>
      <w:marBottom w:val="0"/>
      <w:divBdr>
        <w:top w:val="none" w:sz="0" w:space="0" w:color="auto"/>
        <w:left w:val="none" w:sz="0" w:space="0" w:color="auto"/>
        <w:bottom w:val="none" w:sz="0" w:space="0" w:color="auto"/>
        <w:right w:val="none" w:sz="0" w:space="0" w:color="auto"/>
      </w:divBdr>
    </w:div>
    <w:div w:id="752363182">
      <w:bodyDiv w:val="1"/>
      <w:marLeft w:val="0"/>
      <w:marRight w:val="0"/>
      <w:marTop w:val="0"/>
      <w:marBottom w:val="0"/>
      <w:divBdr>
        <w:top w:val="none" w:sz="0" w:space="0" w:color="auto"/>
        <w:left w:val="none" w:sz="0" w:space="0" w:color="auto"/>
        <w:bottom w:val="none" w:sz="0" w:space="0" w:color="auto"/>
        <w:right w:val="none" w:sz="0" w:space="0" w:color="auto"/>
      </w:divBdr>
    </w:div>
    <w:div w:id="806969488">
      <w:bodyDiv w:val="1"/>
      <w:marLeft w:val="0"/>
      <w:marRight w:val="0"/>
      <w:marTop w:val="0"/>
      <w:marBottom w:val="0"/>
      <w:divBdr>
        <w:top w:val="none" w:sz="0" w:space="0" w:color="auto"/>
        <w:left w:val="none" w:sz="0" w:space="0" w:color="auto"/>
        <w:bottom w:val="none" w:sz="0" w:space="0" w:color="auto"/>
        <w:right w:val="none" w:sz="0" w:space="0" w:color="auto"/>
      </w:divBdr>
    </w:div>
    <w:div w:id="861935138">
      <w:bodyDiv w:val="1"/>
      <w:marLeft w:val="0"/>
      <w:marRight w:val="0"/>
      <w:marTop w:val="0"/>
      <w:marBottom w:val="0"/>
      <w:divBdr>
        <w:top w:val="none" w:sz="0" w:space="0" w:color="auto"/>
        <w:left w:val="none" w:sz="0" w:space="0" w:color="auto"/>
        <w:bottom w:val="none" w:sz="0" w:space="0" w:color="auto"/>
        <w:right w:val="none" w:sz="0" w:space="0" w:color="auto"/>
      </w:divBdr>
    </w:div>
    <w:div w:id="1025331337">
      <w:bodyDiv w:val="1"/>
      <w:marLeft w:val="0"/>
      <w:marRight w:val="0"/>
      <w:marTop w:val="0"/>
      <w:marBottom w:val="0"/>
      <w:divBdr>
        <w:top w:val="none" w:sz="0" w:space="0" w:color="auto"/>
        <w:left w:val="none" w:sz="0" w:space="0" w:color="auto"/>
        <w:bottom w:val="none" w:sz="0" w:space="0" w:color="auto"/>
        <w:right w:val="none" w:sz="0" w:space="0" w:color="auto"/>
      </w:divBdr>
    </w:div>
    <w:div w:id="1047215277">
      <w:bodyDiv w:val="1"/>
      <w:marLeft w:val="0"/>
      <w:marRight w:val="0"/>
      <w:marTop w:val="0"/>
      <w:marBottom w:val="0"/>
      <w:divBdr>
        <w:top w:val="none" w:sz="0" w:space="0" w:color="auto"/>
        <w:left w:val="none" w:sz="0" w:space="0" w:color="auto"/>
        <w:bottom w:val="none" w:sz="0" w:space="0" w:color="auto"/>
        <w:right w:val="none" w:sz="0" w:space="0" w:color="auto"/>
      </w:divBdr>
    </w:div>
    <w:div w:id="1164707120">
      <w:bodyDiv w:val="1"/>
      <w:marLeft w:val="0"/>
      <w:marRight w:val="0"/>
      <w:marTop w:val="0"/>
      <w:marBottom w:val="0"/>
      <w:divBdr>
        <w:top w:val="none" w:sz="0" w:space="0" w:color="auto"/>
        <w:left w:val="none" w:sz="0" w:space="0" w:color="auto"/>
        <w:bottom w:val="none" w:sz="0" w:space="0" w:color="auto"/>
        <w:right w:val="none" w:sz="0" w:space="0" w:color="auto"/>
      </w:divBdr>
    </w:div>
    <w:div w:id="1170171819">
      <w:bodyDiv w:val="1"/>
      <w:marLeft w:val="0"/>
      <w:marRight w:val="0"/>
      <w:marTop w:val="0"/>
      <w:marBottom w:val="0"/>
      <w:divBdr>
        <w:top w:val="none" w:sz="0" w:space="0" w:color="auto"/>
        <w:left w:val="none" w:sz="0" w:space="0" w:color="auto"/>
        <w:bottom w:val="none" w:sz="0" w:space="0" w:color="auto"/>
        <w:right w:val="none" w:sz="0" w:space="0" w:color="auto"/>
      </w:divBdr>
    </w:div>
    <w:div w:id="1177498732">
      <w:bodyDiv w:val="1"/>
      <w:marLeft w:val="0"/>
      <w:marRight w:val="0"/>
      <w:marTop w:val="0"/>
      <w:marBottom w:val="0"/>
      <w:divBdr>
        <w:top w:val="none" w:sz="0" w:space="0" w:color="auto"/>
        <w:left w:val="none" w:sz="0" w:space="0" w:color="auto"/>
        <w:bottom w:val="none" w:sz="0" w:space="0" w:color="auto"/>
        <w:right w:val="none" w:sz="0" w:space="0" w:color="auto"/>
      </w:divBdr>
    </w:div>
    <w:div w:id="1183133294">
      <w:bodyDiv w:val="1"/>
      <w:marLeft w:val="0"/>
      <w:marRight w:val="0"/>
      <w:marTop w:val="0"/>
      <w:marBottom w:val="0"/>
      <w:divBdr>
        <w:top w:val="none" w:sz="0" w:space="0" w:color="auto"/>
        <w:left w:val="none" w:sz="0" w:space="0" w:color="auto"/>
        <w:bottom w:val="none" w:sz="0" w:space="0" w:color="auto"/>
        <w:right w:val="none" w:sz="0" w:space="0" w:color="auto"/>
      </w:divBdr>
    </w:div>
    <w:div w:id="1211185853">
      <w:bodyDiv w:val="1"/>
      <w:marLeft w:val="0"/>
      <w:marRight w:val="0"/>
      <w:marTop w:val="0"/>
      <w:marBottom w:val="0"/>
      <w:divBdr>
        <w:top w:val="none" w:sz="0" w:space="0" w:color="auto"/>
        <w:left w:val="none" w:sz="0" w:space="0" w:color="auto"/>
        <w:bottom w:val="none" w:sz="0" w:space="0" w:color="auto"/>
        <w:right w:val="none" w:sz="0" w:space="0" w:color="auto"/>
      </w:divBdr>
    </w:div>
    <w:div w:id="1500003693">
      <w:bodyDiv w:val="1"/>
      <w:marLeft w:val="0"/>
      <w:marRight w:val="0"/>
      <w:marTop w:val="0"/>
      <w:marBottom w:val="0"/>
      <w:divBdr>
        <w:top w:val="none" w:sz="0" w:space="0" w:color="auto"/>
        <w:left w:val="none" w:sz="0" w:space="0" w:color="auto"/>
        <w:bottom w:val="none" w:sz="0" w:space="0" w:color="auto"/>
        <w:right w:val="none" w:sz="0" w:space="0" w:color="auto"/>
      </w:divBdr>
    </w:div>
    <w:div w:id="1530147490">
      <w:bodyDiv w:val="1"/>
      <w:marLeft w:val="0"/>
      <w:marRight w:val="0"/>
      <w:marTop w:val="0"/>
      <w:marBottom w:val="0"/>
      <w:divBdr>
        <w:top w:val="none" w:sz="0" w:space="0" w:color="auto"/>
        <w:left w:val="none" w:sz="0" w:space="0" w:color="auto"/>
        <w:bottom w:val="none" w:sz="0" w:space="0" w:color="auto"/>
        <w:right w:val="none" w:sz="0" w:space="0" w:color="auto"/>
      </w:divBdr>
    </w:div>
    <w:div w:id="1543863253">
      <w:bodyDiv w:val="1"/>
      <w:marLeft w:val="0"/>
      <w:marRight w:val="0"/>
      <w:marTop w:val="0"/>
      <w:marBottom w:val="0"/>
      <w:divBdr>
        <w:top w:val="none" w:sz="0" w:space="0" w:color="auto"/>
        <w:left w:val="none" w:sz="0" w:space="0" w:color="auto"/>
        <w:bottom w:val="none" w:sz="0" w:space="0" w:color="auto"/>
        <w:right w:val="none" w:sz="0" w:space="0" w:color="auto"/>
      </w:divBdr>
    </w:div>
    <w:div w:id="1627160392">
      <w:bodyDiv w:val="1"/>
      <w:marLeft w:val="0"/>
      <w:marRight w:val="0"/>
      <w:marTop w:val="0"/>
      <w:marBottom w:val="0"/>
      <w:divBdr>
        <w:top w:val="none" w:sz="0" w:space="0" w:color="auto"/>
        <w:left w:val="none" w:sz="0" w:space="0" w:color="auto"/>
        <w:bottom w:val="none" w:sz="0" w:space="0" w:color="auto"/>
        <w:right w:val="none" w:sz="0" w:space="0" w:color="auto"/>
      </w:divBdr>
    </w:div>
    <w:div w:id="1684277682">
      <w:bodyDiv w:val="1"/>
      <w:marLeft w:val="0"/>
      <w:marRight w:val="0"/>
      <w:marTop w:val="0"/>
      <w:marBottom w:val="0"/>
      <w:divBdr>
        <w:top w:val="none" w:sz="0" w:space="0" w:color="auto"/>
        <w:left w:val="none" w:sz="0" w:space="0" w:color="auto"/>
        <w:bottom w:val="none" w:sz="0" w:space="0" w:color="auto"/>
        <w:right w:val="none" w:sz="0" w:space="0" w:color="auto"/>
      </w:divBdr>
    </w:div>
    <w:div w:id="1713923539">
      <w:bodyDiv w:val="1"/>
      <w:marLeft w:val="0"/>
      <w:marRight w:val="0"/>
      <w:marTop w:val="0"/>
      <w:marBottom w:val="0"/>
      <w:divBdr>
        <w:top w:val="none" w:sz="0" w:space="0" w:color="auto"/>
        <w:left w:val="none" w:sz="0" w:space="0" w:color="auto"/>
        <w:bottom w:val="none" w:sz="0" w:space="0" w:color="auto"/>
        <w:right w:val="none" w:sz="0" w:space="0" w:color="auto"/>
      </w:divBdr>
    </w:div>
    <w:div w:id="1728993228">
      <w:bodyDiv w:val="1"/>
      <w:marLeft w:val="0"/>
      <w:marRight w:val="0"/>
      <w:marTop w:val="0"/>
      <w:marBottom w:val="0"/>
      <w:divBdr>
        <w:top w:val="none" w:sz="0" w:space="0" w:color="auto"/>
        <w:left w:val="none" w:sz="0" w:space="0" w:color="auto"/>
        <w:bottom w:val="none" w:sz="0" w:space="0" w:color="auto"/>
        <w:right w:val="none" w:sz="0" w:space="0" w:color="auto"/>
      </w:divBdr>
    </w:div>
    <w:div w:id="1758138939">
      <w:bodyDiv w:val="1"/>
      <w:marLeft w:val="0"/>
      <w:marRight w:val="0"/>
      <w:marTop w:val="0"/>
      <w:marBottom w:val="0"/>
      <w:divBdr>
        <w:top w:val="none" w:sz="0" w:space="0" w:color="auto"/>
        <w:left w:val="none" w:sz="0" w:space="0" w:color="auto"/>
        <w:bottom w:val="none" w:sz="0" w:space="0" w:color="auto"/>
        <w:right w:val="none" w:sz="0" w:space="0" w:color="auto"/>
      </w:divBdr>
    </w:div>
    <w:div w:id="1783718412">
      <w:bodyDiv w:val="1"/>
      <w:marLeft w:val="0"/>
      <w:marRight w:val="0"/>
      <w:marTop w:val="0"/>
      <w:marBottom w:val="0"/>
      <w:divBdr>
        <w:top w:val="none" w:sz="0" w:space="0" w:color="auto"/>
        <w:left w:val="none" w:sz="0" w:space="0" w:color="auto"/>
        <w:bottom w:val="none" w:sz="0" w:space="0" w:color="auto"/>
        <w:right w:val="none" w:sz="0" w:space="0" w:color="auto"/>
      </w:divBdr>
    </w:div>
    <w:div w:id="1900625383">
      <w:bodyDiv w:val="1"/>
      <w:marLeft w:val="0"/>
      <w:marRight w:val="0"/>
      <w:marTop w:val="0"/>
      <w:marBottom w:val="0"/>
      <w:divBdr>
        <w:top w:val="none" w:sz="0" w:space="0" w:color="auto"/>
        <w:left w:val="none" w:sz="0" w:space="0" w:color="auto"/>
        <w:bottom w:val="none" w:sz="0" w:space="0" w:color="auto"/>
        <w:right w:val="none" w:sz="0" w:space="0" w:color="auto"/>
      </w:divBdr>
    </w:div>
    <w:div w:id="1911111368">
      <w:bodyDiv w:val="1"/>
      <w:marLeft w:val="0"/>
      <w:marRight w:val="0"/>
      <w:marTop w:val="0"/>
      <w:marBottom w:val="0"/>
      <w:divBdr>
        <w:top w:val="none" w:sz="0" w:space="0" w:color="auto"/>
        <w:left w:val="none" w:sz="0" w:space="0" w:color="auto"/>
        <w:bottom w:val="none" w:sz="0" w:space="0" w:color="auto"/>
        <w:right w:val="none" w:sz="0" w:space="0" w:color="auto"/>
      </w:divBdr>
    </w:div>
    <w:div w:id="1984894464">
      <w:bodyDiv w:val="1"/>
      <w:marLeft w:val="0"/>
      <w:marRight w:val="0"/>
      <w:marTop w:val="0"/>
      <w:marBottom w:val="0"/>
      <w:divBdr>
        <w:top w:val="none" w:sz="0" w:space="0" w:color="auto"/>
        <w:left w:val="none" w:sz="0" w:space="0" w:color="auto"/>
        <w:bottom w:val="none" w:sz="0" w:space="0" w:color="auto"/>
        <w:right w:val="none" w:sz="0" w:space="0" w:color="auto"/>
      </w:divBdr>
    </w:div>
    <w:div w:id="2079595153">
      <w:bodyDiv w:val="1"/>
      <w:marLeft w:val="0"/>
      <w:marRight w:val="0"/>
      <w:marTop w:val="0"/>
      <w:marBottom w:val="0"/>
      <w:divBdr>
        <w:top w:val="none" w:sz="0" w:space="0" w:color="auto"/>
        <w:left w:val="none" w:sz="0" w:space="0" w:color="auto"/>
        <w:bottom w:val="none" w:sz="0" w:space="0" w:color="auto"/>
        <w:right w:val="none" w:sz="0" w:space="0" w:color="auto"/>
      </w:divBdr>
    </w:div>
    <w:div w:id="2119173446">
      <w:bodyDiv w:val="1"/>
      <w:marLeft w:val="0"/>
      <w:marRight w:val="0"/>
      <w:marTop w:val="0"/>
      <w:marBottom w:val="0"/>
      <w:divBdr>
        <w:top w:val="none" w:sz="0" w:space="0" w:color="auto"/>
        <w:left w:val="none" w:sz="0" w:space="0" w:color="auto"/>
        <w:bottom w:val="none" w:sz="0" w:space="0" w:color="auto"/>
        <w:right w:val="none" w:sz="0" w:space="0" w:color="auto"/>
      </w:divBdr>
      <w:divsChild>
        <w:div w:id="1913852575">
          <w:marLeft w:val="0"/>
          <w:marRight w:val="0"/>
          <w:marTop w:val="480"/>
          <w:marBottom w:val="48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s://www.lifegoproformed.eu/publications/protocols-wildfire-risk-reduction.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ugent-dict-farmbook-prd.s3.ugent.be/knowledge-object-prd/05db707190004fb4e0f87fde38cdb7b8"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ugent-dict-farmbook-prd.s3.ugent.be/knowledge-object-prd/05db707190004fb4e0f87fde38cdb7b8"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10" Type="http://schemas.openxmlformats.org/officeDocument/2006/relationships/header" Target="header2.xml"/><Relationship Id="rId19" Type="http://schemas.openxmlformats.org/officeDocument/2006/relationships/hyperlink" Target="https://www.lifegoproformed.eu/publications/protocols-wildfire-risk-reduction.htm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op.europa.eu/ro/publication-detail/-/publication/4e6cc1f1-8b8a-11eb-b85c-01aa75ed71a1" TargetMode="External"/><Relationship Id="rId18" Type="http://schemas.openxmlformats.org/officeDocument/2006/relationships/hyperlink" Target="https://www.cost.eu/nero-extreme-fire-behaviour/" TargetMode="External"/><Relationship Id="rId26" Type="http://schemas.openxmlformats.org/officeDocument/2006/relationships/hyperlink" Target="https://civil-protection-knowledge-network.europa.eu/projects/sparklefire" TargetMode="External"/><Relationship Id="rId39" Type="http://schemas.openxmlformats.org/officeDocument/2006/relationships/hyperlink" Target="https://doi.org/10.25424/CMCC-6A3V-5G64" TargetMode="External"/><Relationship Id="rId3" Type="http://schemas.openxmlformats.org/officeDocument/2006/relationships/hyperlink" Target="https://op.europa.eu/en/publication-detail/-/publication/0b74e77d-f389-11e8-9982-01aa75ed71a1/language-en" TargetMode="External"/><Relationship Id="rId21" Type="http://schemas.openxmlformats.org/officeDocument/2006/relationships/hyperlink" Target="https://commission.europa.eu/topics/equality-and-inclusion/equality-and-inclusion-key-actions_ro" TargetMode="External"/><Relationship Id="rId34" Type="http://schemas.openxmlformats.org/officeDocument/2006/relationships/hyperlink" Target="https://civil-protection-knowledge-network.europa.eu/news/prolongation-resceu-transition-adopted" TargetMode="External"/><Relationship Id="rId42" Type="http://schemas.openxmlformats.org/officeDocument/2006/relationships/hyperlink" Target="https://civil-protection-knowledge-network.europa.eu/technical-assistance-financing-facility-taff" TargetMode="External"/><Relationship Id="rId47" Type="http://schemas.openxmlformats.org/officeDocument/2006/relationships/hyperlink" Target="https://documents1.worldbank.org/curated/en/099050224072033005/pdf/P17907015a302401f1b7e51fc14ed9b73ef.pdf" TargetMode="External"/><Relationship Id="rId50" Type="http://schemas.openxmlformats.org/officeDocument/2006/relationships/hyperlink" Target="https://climate.ec.europa.eu/document/download/4df5c2fe-80f9-4ddc-8199-37eee83e04e4_en?filename=policy_adaptation_climate_resilience_dialogue_report_en.pdf" TargetMode="External"/><Relationship Id="rId7" Type="http://schemas.openxmlformats.org/officeDocument/2006/relationships/hyperlink" Target="https://iopscience.iop.org/article/10.1088/1748-9326/ad5b09" TargetMode="External"/><Relationship Id="rId12" Type="http://schemas.openxmlformats.org/officeDocument/2006/relationships/hyperlink" Target="https://op.europa.eu/ro/publication-detail/-/publication/1c4561c7-7c54-11ee-99ba-01aa75ed71a1" TargetMode="External"/><Relationship Id="rId17" Type="http://schemas.openxmlformats.org/officeDocument/2006/relationships/hyperlink" Target="https://civil-protection-knowledge-network.europa.eu/projects/ewed" TargetMode="External"/><Relationship Id="rId25" Type="http://schemas.openxmlformats.org/officeDocument/2006/relationships/hyperlink" Target="https://civil-protection-knowledge-network.europa.eu/projects/empower-citizens" TargetMode="External"/><Relationship Id="rId33" Type="http://schemas.openxmlformats.org/officeDocument/2006/relationships/hyperlink" Target="https://european-social-fund-plus.ec.europa.eu/ro" TargetMode="External"/><Relationship Id="rId38" Type="http://schemas.openxmlformats.org/officeDocument/2006/relationships/hyperlink" Target="https://www.gfdrr.org/en/publication/management-wildfire-risk-european-union" TargetMode="External"/><Relationship Id="rId46" Type="http://schemas.openxmlformats.org/officeDocument/2006/relationships/hyperlink" Target="https://civil-protection-knowledge-network.europa.eu/system/files/2024-04/Investment%20in%20Disaster%20Risk%20Management%20-%20Summary.pdf" TargetMode="External"/><Relationship Id="rId2" Type="http://schemas.openxmlformats.org/officeDocument/2006/relationships/hyperlink" Target="https://climate.copernicus.eu/copernicus-2025-was-third-hottest-year-record" TargetMode="External"/><Relationship Id="rId16" Type="http://schemas.openxmlformats.org/officeDocument/2006/relationships/hyperlink" Target="https://forest-fire.emergency.copernicus.eu/" TargetMode="External"/><Relationship Id="rId20" Type="http://schemas.openxmlformats.org/officeDocument/2006/relationships/hyperlink" Target="https://commission.europa.eu/topics/equality-and-inclusion/equality-and-inclusion-key-actions_ro" TargetMode="External"/><Relationship Id="rId29" Type="http://schemas.openxmlformats.org/officeDocument/2006/relationships/hyperlink" Target="https://www.epsu.org/article/firefighters-continue-face-workforce-challenge" TargetMode="External"/><Relationship Id="rId41" Type="http://schemas.openxmlformats.org/officeDocument/2006/relationships/hyperlink" Target="https://civil-protection-knowledge-network.europa.eu/knowledge-action-prevention-preparedness-kapp" TargetMode="External"/><Relationship Id="rId1" Type="http://schemas.openxmlformats.org/officeDocument/2006/relationships/hyperlink" Target="https://wedocs.unep.org/items/5d3e5267-17bd-4b06-9964-494dd01f7791" TargetMode="External"/><Relationship Id="rId6" Type="http://schemas.openxmlformats.org/officeDocument/2006/relationships/hyperlink" Target="https://discomap.eea.europa.eu/ClimatePreparedness2025/?page=Wildfires-in-Europe" TargetMode="External"/><Relationship Id="rId11" Type="http://schemas.openxmlformats.org/officeDocument/2006/relationships/hyperlink" Target="https://agriculture.ec.europa.eu/document/download/b397715c-d526-4dd7-af26-adbdfe43af6d_en?filename=analytical-brief-13-grassland_en.pdf" TargetMode="External"/><Relationship Id="rId24" Type="http://schemas.openxmlformats.org/officeDocument/2006/relationships/hyperlink" Target="https://civil-protection-knowledge-network.europa.eu/projects/fireprime" TargetMode="External"/><Relationship Id="rId32" Type="http://schemas.openxmlformats.org/officeDocument/2006/relationships/hyperlink" Target="https://eur-lex.europa.eu/legal-content/RO/ALL/?uri=celex:31989L0391" TargetMode="External"/><Relationship Id="rId37" Type="http://schemas.openxmlformats.org/officeDocument/2006/relationships/hyperlink" Target="https://easac.eu/publications/details/changing-wildfires" TargetMode="External"/><Relationship Id="rId40" Type="http://schemas.openxmlformats.org/officeDocument/2006/relationships/hyperlink" Target="https://civil-protection-knowledge-network.europa.eu/technical-assistance-disaster-risk-management-track-1" TargetMode="External"/><Relationship Id="rId45" Type="http://schemas.openxmlformats.org/officeDocument/2006/relationships/hyperlink" Target="https://civil-protection-knowledge-network.europa.eu/system/files/2024-04/Investment%20in%20Disaster%20Risk%20Management%20-%20Summary.pdf" TargetMode="External"/><Relationship Id="rId53" Type="http://schemas.openxmlformats.org/officeDocument/2006/relationships/hyperlink" Target="https://www.eeas.europa.eu/eeas/new-%E2%80%98ndici-global-europe%E2%80%99-2021-2027_en" TargetMode="External"/><Relationship Id="rId5" Type="http://schemas.openxmlformats.org/officeDocument/2006/relationships/hyperlink" Target="https://www.eea.europa.eu/en/analysis/publications/european-climate-risk-assessment" TargetMode="External"/><Relationship Id="rId15" Type="http://schemas.openxmlformats.org/officeDocument/2006/relationships/hyperlink" Target="https://commission.europa.eu/funding-tenders/find-funding/eu-funding-programmes/technical-support-instrument/technical-support-instrument-tsi_en" TargetMode="External"/><Relationship Id="rId23" Type="http://schemas.openxmlformats.org/officeDocument/2006/relationships/hyperlink" Target="https://op.europa.eu/ro/publication-detail/-/publication/682883e5-005d-11f1-825d-01aa75ed71a1/language-ro" TargetMode="External"/><Relationship Id="rId28" Type="http://schemas.openxmlformats.org/officeDocument/2006/relationships/hyperlink" Target="https://citizens.ec.europa.eu/online-debate-preparedness_ro" TargetMode="External"/><Relationship Id="rId36" Type="http://schemas.openxmlformats.org/officeDocument/2006/relationships/hyperlink" Target="https://drmkc.jrc.ec.europa.eu/risk-data-hub/" TargetMode="External"/><Relationship Id="rId49" Type="http://schemas.openxmlformats.org/officeDocument/2006/relationships/hyperlink" Target="https://www.eiopa.europa.eu/system/files/2022-05/discussion_paper_on_physical_climate_change_risks.pdf" TargetMode="External"/><Relationship Id="rId10" Type="http://schemas.openxmlformats.org/officeDocument/2006/relationships/hyperlink" Target="https://civil-protection-knowledge-network.europa.eu/stories/value-grazing-wildfire-prevention-tool" TargetMode="External"/><Relationship Id="rId19" Type="http://schemas.openxmlformats.org/officeDocument/2006/relationships/hyperlink" Target="https://civil-protection-knowledge-network.europa.eu/system/files/2024-05/Wildfire%20risk%20awareness%20good%20practice%20note.pdf" TargetMode="External"/><Relationship Id="rId31" Type="http://schemas.openxmlformats.org/officeDocument/2006/relationships/hyperlink" Target="https://ec.europa.eu/eurostat/web/products-eurostat-news/w/ddn-20250826-1" TargetMode="External"/><Relationship Id="rId44" Type="http://schemas.openxmlformats.org/officeDocument/2006/relationships/hyperlink" Target="https://openknowledge.worldbank.org/entities/publication/5fddca5c-27f8-4a12-a3f3-cf9f332feac6" TargetMode="External"/><Relationship Id="rId52" Type="http://schemas.openxmlformats.org/officeDocument/2006/relationships/hyperlink" Target="https://erccportal.jrc.ec.europa.eu/ECHO-Products/Maps" TargetMode="External"/><Relationship Id="rId4" Type="http://schemas.openxmlformats.org/officeDocument/2006/relationships/hyperlink" Target="https://doi.org/10.1111/gcb.16547" TargetMode="External"/><Relationship Id="rId9" Type="http://schemas.openxmlformats.org/officeDocument/2006/relationships/hyperlink" Target="https://www.undrr.org/publication/sendai-framework-disaster-risk-reduction-2015-2030." TargetMode="External"/><Relationship Id="rId14" Type="http://schemas.openxmlformats.org/officeDocument/2006/relationships/hyperlink" Target="https://eur-lex.europa.eu/legal-content/RO/TXT/PDF/?uri=COM:2025:2:FIN" TargetMode="External"/><Relationship Id="rId22" Type="http://schemas.openxmlformats.org/officeDocument/2006/relationships/hyperlink" Target="https://civil-protection-knowledge-network.europa.eu/stories/safe-village-safe-people-working-local-community" TargetMode="External"/><Relationship Id="rId27" Type="http://schemas.openxmlformats.org/officeDocument/2006/relationships/hyperlink" Target="https://civil-protection-knowledge-network.europa.eu/projects/sparklefire" TargetMode="External"/><Relationship Id="rId30" Type="http://schemas.openxmlformats.org/officeDocument/2006/relationships/hyperlink" Target="https://www.etuc.org/en/pressrelease/firefighters-cut-12-eu-countries-despite-rising-climate-risk" TargetMode="External"/><Relationship Id="rId35" Type="http://schemas.openxmlformats.org/officeDocument/2006/relationships/hyperlink" Target="https://doi.org/10.1038/s41561-025-01876-0" TargetMode="External"/><Relationship Id="rId43" Type="http://schemas.openxmlformats.org/officeDocument/2006/relationships/hyperlink" Target="https://eur-lex.europa.eu/legal-content/RO/TXT/?uri=celex:52025PC0545" TargetMode="External"/><Relationship Id="rId48" Type="http://schemas.openxmlformats.org/officeDocument/2006/relationships/hyperlink" Target="https://www.eiopa.europa.eu/tools-and-data/dashboard-insurance-protection-gap-natural-catastrophes_en" TargetMode="External"/><Relationship Id="rId8" Type="http://schemas.openxmlformats.org/officeDocument/2006/relationships/hyperlink" Target="https://data.effis.emergency.copernicus.eu/effis/reports-and-publications/annual-fire-reports/Annual_Report" TargetMode="External"/><Relationship Id="rId51" Type="http://schemas.openxmlformats.org/officeDocument/2006/relationships/hyperlink" Target="https://www.undrr.org/news/invisible-costs-wildfire-disasters-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6E1DE-CEB4-4D57-B202-B7FCB7737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8948</Words>
  <Characters>51009</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2026-03-24T11:31:00Z</dcterms:created>
  <dcterms:modified xsi:type="dcterms:W3CDTF">2026-04-14T11:11:00Z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2026-03-24T09:25:21Z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8fc3595d-1ca0-4d7b-9528-cdfdc421d24a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