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Default="00CF052D" w:rsidP="00CF052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981982B-52DE-4897-97A9-D55005B4D68A" style="width:455.25pt;height:330pt">
            <v:imagedata r:id="rId11" o:title=""/>
          </v:shape>
        </w:pict>
      </w:r>
    </w:p>
    <w:p w:rsidR="00F978A0" w:rsidRPr="00FD40BA" w:rsidRDefault="00F978A0">
      <w:pPr>
        <w:rPr>
          <w:noProof/>
        </w:rPr>
        <w:sectPr w:rsidR="00F978A0" w:rsidRPr="00FD40BA" w:rsidSect="00CF052D">
          <w:footerReference w:type="even" r:id="rId12"/>
          <w:footerReference w:type="default" r:id="rId13"/>
          <w:pgSz w:w="11907" w:h="16839"/>
          <w:pgMar w:top="1134" w:right="1417" w:bottom="1134" w:left="1417" w:header="709" w:footer="709" w:gutter="0"/>
          <w:pgNumType w:start="0"/>
          <w:cols w:space="720"/>
          <w:docGrid w:linePitch="360"/>
        </w:sectPr>
      </w:pPr>
    </w:p>
    <w:p w:rsidR="000A48E0" w:rsidRDefault="000A48E0" w:rsidP="000A48E0">
      <w:pPr>
        <w:pStyle w:val="Exposdesmotifstitre"/>
        <w:rPr>
          <w:noProof/>
        </w:rPr>
      </w:pPr>
      <w:bookmarkStart w:id="0" w:name="_GoBack"/>
      <w:bookmarkEnd w:id="0"/>
    </w:p>
    <w:p w:rsidR="000A48E0" w:rsidRPr="000A48E0" w:rsidRDefault="000A48E0" w:rsidP="004C7C69">
      <w:pPr>
        <w:rPr>
          <w:noProof/>
        </w:rPr>
      </w:pPr>
    </w:p>
    <w:p w:rsidR="005E104C" w:rsidRDefault="00E33FF4">
      <w:pPr>
        <w:pStyle w:val="Rfrenceinterinstitutionnelle"/>
        <w:rPr>
          <w:noProof/>
        </w:rPr>
      </w:pPr>
      <w:r>
        <w:rPr>
          <w:noProof/>
        </w:rPr>
        <w:t>2026/0177 (NLE)</w:t>
      </w:r>
    </w:p>
    <w:p w:rsidR="00F978A0" w:rsidRPr="00FD40BA" w:rsidRDefault="00E75977" w:rsidP="00E75977">
      <w:pPr>
        <w:pStyle w:val="Statut"/>
        <w:rPr>
          <w:noProof/>
        </w:rPr>
      </w:pPr>
      <w:r w:rsidRPr="00E75977">
        <w:rPr>
          <w:noProof/>
        </w:rPr>
        <w:t>Proposal for a</w:t>
      </w:r>
    </w:p>
    <w:p w:rsidR="00F978A0" w:rsidRPr="00FD40BA" w:rsidRDefault="00E75977" w:rsidP="00E75977">
      <w:pPr>
        <w:pStyle w:val="Typedudocument"/>
        <w:rPr>
          <w:noProof/>
        </w:rPr>
      </w:pPr>
      <w:r w:rsidRPr="00E75977">
        <w:rPr>
          <w:noProof/>
        </w:rPr>
        <w:t>COUNCIL DECISION</w:t>
      </w:r>
    </w:p>
    <w:p w:rsidR="00F978A0" w:rsidRPr="00FD40BA" w:rsidRDefault="00E75977" w:rsidP="00E75977">
      <w:pPr>
        <w:pStyle w:val="Titreobjet"/>
        <w:rPr>
          <w:noProof/>
        </w:rPr>
      </w:pPr>
      <w:r w:rsidRPr="00E75977">
        <w:rPr>
          <w:noProof/>
        </w:rPr>
        <w:t>on the existence of an excessive deficit in Bulgaria</w:t>
      </w:r>
    </w:p>
    <w:p w:rsidR="00F978A0" w:rsidRPr="00FD40BA" w:rsidRDefault="00F978A0">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F978A0" w:rsidRPr="00FD40BA" w:rsidRDefault="00F978A0">
      <w:pPr>
        <w:rPr>
          <w:noProof/>
        </w:rPr>
      </w:pPr>
      <w:r w:rsidRPr="00FD40BA">
        <w:rPr>
          <w:noProof/>
        </w:rPr>
        <w:t>Having regard to the Treaty on the Functioning of the European Union</w:t>
      </w:r>
      <w:r w:rsidR="002663DA">
        <w:rPr>
          <w:noProof/>
        </w:rPr>
        <w:t xml:space="preserve"> </w:t>
      </w:r>
      <w:r w:rsidR="002663DA">
        <w:rPr>
          <w:noProof/>
          <w:lang w:eastAsia="ja-JP"/>
        </w:rPr>
        <w:t>(TFEU)</w:t>
      </w:r>
      <w:r w:rsidRPr="00FD40BA">
        <w:rPr>
          <w:noProof/>
        </w:rPr>
        <w:t xml:space="preserve">, and in particular Article </w:t>
      </w:r>
      <w:r w:rsidR="0042642B" w:rsidRPr="0042642B">
        <w:rPr>
          <w:noProof/>
        </w:rPr>
        <w:t>126(6)</w:t>
      </w:r>
      <w:r w:rsidRPr="00FD40BA">
        <w:rPr>
          <w:noProof/>
        </w:rPr>
        <w:t xml:space="preserve"> thereof,</w:t>
      </w:r>
    </w:p>
    <w:p w:rsidR="00F978A0" w:rsidRPr="00FD40BA" w:rsidRDefault="00F978A0">
      <w:pPr>
        <w:rPr>
          <w:noProof/>
        </w:rPr>
      </w:pPr>
      <w:r w:rsidRPr="00FD40BA">
        <w:rPr>
          <w:noProof/>
        </w:rPr>
        <w:t>Having regard to the proposal from the European Commission,</w:t>
      </w:r>
    </w:p>
    <w:p w:rsidR="0042642B" w:rsidRDefault="0042642B">
      <w:pPr>
        <w:rPr>
          <w:noProof/>
        </w:rPr>
      </w:pPr>
      <w:r w:rsidRPr="0042642B">
        <w:rPr>
          <w:noProof/>
        </w:rPr>
        <w:t xml:space="preserve">Having regard to the observations made by </w:t>
      </w:r>
      <w:r w:rsidR="002E337A">
        <w:rPr>
          <w:noProof/>
        </w:rPr>
        <w:t>Bulgaria</w:t>
      </w:r>
      <w:r w:rsidR="00432BF4">
        <w:rPr>
          <w:noProof/>
        </w:rPr>
        <w:t>,</w:t>
      </w:r>
      <w:r w:rsidRPr="0042642B">
        <w:rPr>
          <w:noProof/>
        </w:rPr>
        <w:t xml:space="preserve"> </w:t>
      </w:r>
    </w:p>
    <w:p w:rsidR="00F978A0" w:rsidRPr="00FD40BA" w:rsidRDefault="00F978A0">
      <w:pPr>
        <w:rPr>
          <w:noProof/>
        </w:rPr>
      </w:pPr>
      <w:r w:rsidRPr="00FD40BA">
        <w:rPr>
          <w:noProof/>
        </w:rPr>
        <w:t>Whereas:</w:t>
      </w:r>
    </w:p>
    <w:p w:rsidR="0042642B" w:rsidRPr="00274E1C" w:rsidRDefault="0042642B" w:rsidP="00CD2C45">
      <w:pPr>
        <w:pStyle w:val="Point0"/>
        <w:rPr>
          <w:noProof/>
          <w:lang w:eastAsia="ja-JP"/>
        </w:rPr>
      </w:pPr>
      <w:r>
        <w:rPr>
          <w:noProof/>
        </w:rPr>
        <w:t>(1)</w:t>
      </w:r>
      <w:r>
        <w:rPr>
          <w:noProof/>
        </w:rPr>
        <w:tab/>
      </w:r>
      <w:r w:rsidRPr="00845206">
        <w:rPr>
          <w:noProof/>
          <w:lang w:eastAsia="ja-JP"/>
        </w:rPr>
        <w:t xml:space="preserve">Article </w:t>
      </w:r>
      <w:r w:rsidRPr="00EB1679">
        <w:rPr>
          <w:noProof/>
          <w:lang w:val="en-IE"/>
        </w:rPr>
        <w:t>126</w:t>
      </w:r>
      <w:r>
        <w:rPr>
          <w:noProof/>
          <w:lang w:eastAsia="ja-JP"/>
        </w:rPr>
        <w:t>(1)</w:t>
      </w:r>
      <w:r w:rsidRPr="00845206">
        <w:rPr>
          <w:noProof/>
          <w:lang w:eastAsia="ja-JP"/>
        </w:rPr>
        <w:t xml:space="preserve"> of the </w:t>
      </w:r>
      <w:r w:rsidRPr="000C0A0F">
        <w:rPr>
          <w:noProof/>
        </w:rPr>
        <w:t xml:space="preserve">Treaty on the </w:t>
      </w:r>
      <w:r w:rsidRPr="006D4B31">
        <w:rPr>
          <w:noProof/>
        </w:rPr>
        <w:t>Functioning</w:t>
      </w:r>
      <w:r w:rsidRPr="000C0A0F">
        <w:rPr>
          <w:noProof/>
        </w:rPr>
        <w:t xml:space="preserve"> of the European Union</w:t>
      </w:r>
      <w:r>
        <w:rPr>
          <w:noProof/>
          <w:lang w:eastAsia="ja-JP"/>
        </w:rPr>
        <w:t xml:space="preserve"> provides that</w:t>
      </w:r>
      <w:r w:rsidRPr="00845206">
        <w:rPr>
          <w:noProof/>
          <w:lang w:eastAsia="ja-JP"/>
        </w:rPr>
        <w:t xml:space="preserve"> </w:t>
      </w:r>
      <w:r w:rsidRPr="00EB1679">
        <w:rPr>
          <w:rStyle w:val="normaltextrun"/>
          <w:noProof/>
        </w:rPr>
        <w:t>Member</w:t>
      </w:r>
      <w:r w:rsidRPr="00845206">
        <w:rPr>
          <w:noProof/>
          <w:lang w:eastAsia="ja-JP"/>
        </w:rPr>
        <w:t xml:space="preserve"> States </w:t>
      </w:r>
      <w:r>
        <w:rPr>
          <w:noProof/>
          <w:lang w:eastAsia="ja-JP"/>
        </w:rPr>
        <w:t>shall</w:t>
      </w:r>
      <w:r w:rsidRPr="00845206">
        <w:rPr>
          <w:noProof/>
          <w:lang w:eastAsia="ja-JP"/>
        </w:rPr>
        <w:t xml:space="preserve"> avoid excessive government deficits.</w:t>
      </w:r>
    </w:p>
    <w:p w:rsidR="0042642B" w:rsidRPr="0045459D" w:rsidRDefault="0042642B" w:rsidP="004C7C69">
      <w:pPr>
        <w:pStyle w:val="Point0"/>
        <w:rPr>
          <w:noProof/>
        </w:rPr>
      </w:pPr>
      <w:r>
        <w:rPr>
          <w:noProof/>
        </w:rPr>
        <w:t>(2)</w:t>
      </w:r>
      <w:r>
        <w:rPr>
          <w:noProof/>
        </w:rPr>
        <w:tab/>
      </w:r>
      <w:r w:rsidRPr="003B49FB">
        <w:rPr>
          <w:noProof/>
        </w:rPr>
        <w:t xml:space="preserve">The Stability and Growth Pact </w:t>
      </w:r>
      <w:r>
        <w:rPr>
          <w:noProof/>
        </w:rPr>
        <w:t xml:space="preserve">(SGP) </w:t>
      </w:r>
      <w:r w:rsidRPr="003B49FB">
        <w:rPr>
          <w:noProof/>
        </w:rPr>
        <w:t xml:space="preserve">is based on the objective of sound </w:t>
      </w:r>
      <w:r w:rsidRPr="00366447">
        <w:rPr>
          <w:noProof/>
        </w:rPr>
        <w:t>and sustainable </w:t>
      </w:r>
      <w:r w:rsidRPr="003B49FB">
        <w:rPr>
          <w:noProof/>
        </w:rPr>
        <w:t>government finances as a means of strengthening the conditions for price stability and for strong</w:t>
      </w:r>
      <w:r>
        <w:rPr>
          <w:noProof/>
        </w:rPr>
        <w:t xml:space="preserve">, </w:t>
      </w:r>
      <w:r w:rsidRPr="003B49FB">
        <w:rPr>
          <w:noProof/>
        </w:rPr>
        <w:t xml:space="preserve">sustainable </w:t>
      </w:r>
      <w:r>
        <w:rPr>
          <w:noProof/>
        </w:rPr>
        <w:t xml:space="preserve">and inclusive </w:t>
      </w:r>
      <w:r w:rsidRPr="003B49FB">
        <w:rPr>
          <w:noProof/>
        </w:rPr>
        <w:t xml:space="preserve">growth </w:t>
      </w:r>
      <w:r w:rsidRPr="5D3ECF41">
        <w:rPr>
          <w:noProof/>
        </w:rPr>
        <w:t xml:space="preserve">underpinned by financial stability, thereby supporting the achievement of the Union’s objectives for sustainable growth and </w:t>
      </w:r>
      <w:r w:rsidRPr="003B49FB">
        <w:rPr>
          <w:noProof/>
        </w:rPr>
        <w:t>employment.</w:t>
      </w:r>
    </w:p>
    <w:p w:rsidR="0042642B" w:rsidRDefault="0042642B" w:rsidP="004C7C69">
      <w:pPr>
        <w:pStyle w:val="Point0"/>
        <w:rPr>
          <w:noProof/>
        </w:rPr>
      </w:pPr>
      <w:r>
        <w:rPr>
          <w:noProof/>
        </w:rPr>
        <w:t>(3)</w:t>
      </w:r>
      <w:r>
        <w:rPr>
          <w:noProof/>
        </w:rPr>
        <w:tab/>
      </w:r>
      <w:r w:rsidRPr="003B49FB">
        <w:rPr>
          <w:noProof/>
        </w:rPr>
        <w:t>T</w:t>
      </w:r>
      <w:r>
        <w:rPr>
          <w:noProof/>
        </w:rPr>
        <w:t xml:space="preserve">he excessive deficit procedure </w:t>
      </w:r>
      <w:r w:rsidRPr="003B49FB">
        <w:rPr>
          <w:noProof/>
        </w:rPr>
        <w:t xml:space="preserve">under Article 126 </w:t>
      </w:r>
      <w:r>
        <w:rPr>
          <w:noProof/>
        </w:rPr>
        <w:t>TFEU</w:t>
      </w:r>
      <w:r w:rsidRPr="00CA75D1">
        <w:rPr>
          <w:noProof/>
        </w:rPr>
        <w:t xml:space="preserve">, </w:t>
      </w:r>
      <w:r w:rsidRPr="004C300A">
        <w:rPr>
          <w:noProof/>
        </w:rPr>
        <w:t>as clarified by Council Regulation (EC) No 1467/97</w:t>
      </w:r>
      <w:r>
        <w:rPr>
          <w:noProof/>
        </w:rPr>
        <w:t xml:space="preserve"> </w:t>
      </w:r>
      <w:r w:rsidRPr="00556A28">
        <w:rPr>
          <w:noProof/>
        </w:rPr>
        <w:t>on speeding up and clarifying the implementation of the excessive deficit procedure</w:t>
      </w:r>
      <w:r w:rsidR="00F9565B">
        <w:rPr>
          <w:noProof/>
        </w:rPr>
        <w:t xml:space="preserve"> (</w:t>
      </w:r>
      <w:r w:rsidR="00F9565B" w:rsidRPr="003B49FB">
        <w:rPr>
          <w:rStyle w:val="FootnoteReference"/>
          <w:noProof/>
        </w:rPr>
        <w:footnoteReference w:id="1"/>
      </w:r>
      <w:r w:rsidR="00F9565B">
        <w:rPr>
          <w:noProof/>
        </w:rPr>
        <w:t>)</w:t>
      </w:r>
      <w:r>
        <w:rPr>
          <w:noProof/>
        </w:rPr>
        <w:t xml:space="preserve">, </w:t>
      </w:r>
      <w:r w:rsidRPr="003B49FB">
        <w:rPr>
          <w:noProof/>
        </w:rPr>
        <w:t xml:space="preserve">which is part of the </w:t>
      </w:r>
      <w:r>
        <w:rPr>
          <w:noProof/>
        </w:rPr>
        <w:t>SGP</w:t>
      </w:r>
      <w:r w:rsidRPr="003B49FB">
        <w:rPr>
          <w:noProof/>
        </w:rPr>
        <w:t xml:space="preserve">, provides for a decision on the existence of an excessive deficit. Protocol </w:t>
      </w:r>
      <w:r>
        <w:rPr>
          <w:noProof/>
        </w:rPr>
        <w:t xml:space="preserve">No 12 </w:t>
      </w:r>
      <w:r w:rsidRPr="003B49FB">
        <w:rPr>
          <w:noProof/>
        </w:rPr>
        <w:t xml:space="preserve">on the </w:t>
      </w:r>
      <w:r>
        <w:rPr>
          <w:noProof/>
        </w:rPr>
        <w:t>excessive deficit procedure,</w:t>
      </w:r>
      <w:r w:rsidRPr="003B49FB">
        <w:rPr>
          <w:noProof/>
        </w:rPr>
        <w:t xml:space="preserve"> annexed to the Treaty </w:t>
      </w:r>
      <w:r>
        <w:rPr>
          <w:noProof/>
        </w:rPr>
        <w:t>on the European Union and the TFEU,</w:t>
      </w:r>
      <w:r w:rsidRPr="003B49FB">
        <w:rPr>
          <w:noProof/>
        </w:rPr>
        <w:t xml:space="preserve"> sets out further provisions relating to the implementation of the </w:t>
      </w:r>
      <w:r>
        <w:rPr>
          <w:noProof/>
        </w:rPr>
        <w:t>excessive deficit procedure. Council Regulation (EC</w:t>
      </w:r>
      <w:r w:rsidRPr="003B49FB">
        <w:rPr>
          <w:noProof/>
        </w:rPr>
        <w:t>) No 479/2009</w:t>
      </w:r>
      <w:r w:rsidR="002A4DBC">
        <w:rPr>
          <w:rStyle w:val="FootnoteReference"/>
          <w:noProof/>
        </w:rPr>
        <w:footnoteReference w:id="2"/>
      </w:r>
      <w:r w:rsidR="002A4DBC">
        <w:rPr>
          <w:noProof/>
        </w:rPr>
        <w:t xml:space="preserve"> </w:t>
      </w:r>
      <w:r w:rsidRPr="003B49FB">
        <w:rPr>
          <w:noProof/>
        </w:rPr>
        <w:t>lays down detailed rules and definitions for the applicat</w:t>
      </w:r>
      <w:r>
        <w:rPr>
          <w:noProof/>
        </w:rPr>
        <w:t>ion of those</w:t>
      </w:r>
      <w:r w:rsidRPr="003B49FB">
        <w:rPr>
          <w:noProof/>
        </w:rPr>
        <w:t xml:space="preserve"> </w:t>
      </w:r>
      <w:r w:rsidRPr="00FD4912">
        <w:rPr>
          <w:noProof/>
          <w:color w:val="000000"/>
        </w:rPr>
        <w:t>provisions</w:t>
      </w:r>
      <w:r w:rsidRPr="003B49FB">
        <w:rPr>
          <w:noProof/>
        </w:rPr>
        <w:t>.</w:t>
      </w:r>
      <w:r w:rsidRPr="00355847">
        <w:rPr>
          <w:noProof/>
        </w:rPr>
        <w:t xml:space="preserve"> </w:t>
      </w:r>
    </w:p>
    <w:p w:rsidR="0042642B" w:rsidRPr="0045459D" w:rsidRDefault="00A36DC1" w:rsidP="004C7C69">
      <w:pPr>
        <w:pStyle w:val="Point0"/>
        <w:rPr>
          <w:noProof/>
        </w:rPr>
      </w:pPr>
      <w:r>
        <w:rPr>
          <w:noProof/>
        </w:rPr>
        <w:t>(4)</w:t>
      </w:r>
      <w:r>
        <w:rPr>
          <w:noProof/>
        </w:rPr>
        <w:tab/>
      </w:r>
      <w:r w:rsidRPr="006A1AF1">
        <w:rPr>
          <w:rStyle w:val="normaltextrun"/>
          <w:noProof/>
        </w:rPr>
        <w:t xml:space="preserve">According to Article 126(5) TFEU, if the Commission considers that an excessive deficit in a Member State </w:t>
      </w:r>
      <w:r w:rsidRPr="00C40A99">
        <w:rPr>
          <w:noProof/>
          <w:lang w:val="en-IE"/>
        </w:rPr>
        <w:t>exists</w:t>
      </w:r>
      <w:r w:rsidRPr="006A1AF1">
        <w:rPr>
          <w:rStyle w:val="normaltextrun"/>
          <w:noProof/>
        </w:rPr>
        <w:t xml:space="preserve"> or may occur, it is to address an opinion to the Member State concerned and shall inform the Council accordingly. Having taken into account its report adopted pursuant to Article 126(3) TFEU and having regard to the opinion of the Economic and Financial Committee adopted pursuant to Article 126(4) TFEU, the Commission concluded that an excessive deficit </w:t>
      </w:r>
      <w:r w:rsidRPr="00B6460E">
        <w:rPr>
          <w:rStyle w:val="normaltextrun"/>
          <w:noProof/>
        </w:rPr>
        <w:t xml:space="preserve">exists </w:t>
      </w:r>
      <w:r w:rsidRPr="006A1AF1">
        <w:rPr>
          <w:rStyle w:val="normaltextrun"/>
          <w:noProof/>
        </w:rPr>
        <w:t>in </w:t>
      </w:r>
      <w:r w:rsidRPr="00B6460E">
        <w:rPr>
          <w:rStyle w:val="normaltextrun"/>
          <w:noProof/>
        </w:rPr>
        <w:t>Bulgaria</w:t>
      </w:r>
      <w:r w:rsidRPr="006A1AF1">
        <w:rPr>
          <w:rStyle w:val="normaltextrun"/>
          <w:noProof/>
        </w:rPr>
        <w:t xml:space="preserve">. </w:t>
      </w:r>
      <w:r w:rsidRPr="00A36DC1">
        <w:rPr>
          <w:rStyle w:val="normaltextrun"/>
          <w:noProof/>
        </w:rPr>
        <w:lastRenderedPageBreak/>
        <w:t>On </w:t>
      </w:r>
      <w:r w:rsidR="00B76A94">
        <w:rPr>
          <w:rStyle w:val="normaltextrun"/>
          <w:noProof/>
        </w:rPr>
        <w:t>2</w:t>
      </w:r>
      <w:r w:rsidR="007366D5">
        <w:rPr>
          <w:rStyle w:val="normaltextrun"/>
          <w:noProof/>
        </w:rPr>
        <w:t>5</w:t>
      </w:r>
      <w:r w:rsidR="00360C07">
        <w:rPr>
          <w:rStyle w:val="normaltextrun"/>
          <w:noProof/>
        </w:rPr>
        <w:t xml:space="preserve"> </w:t>
      </w:r>
      <w:r w:rsidR="008A214A">
        <w:rPr>
          <w:rStyle w:val="normaltextrun"/>
          <w:noProof/>
        </w:rPr>
        <w:t>June</w:t>
      </w:r>
      <w:r w:rsidR="00360C07">
        <w:rPr>
          <w:rStyle w:val="normaltextrun"/>
          <w:noProof/>
        </w:rPr>
        <w:t xml:space="preserve"> </w:t>
      </w:r>
      <w:r w:rsidR="008A214A">
        <w:rPr>
          <w:rStyle w:val="normaltextrun"/>
          <w:noProof/>
        </w:rPr>
        <w:t>2026</w:t>
      </w:r>
      <w:r w:rsidRPr="00A36DC1">
        <w:rPr>
          <w:rStyle w:val="normaltextrun"/>
          <w:noProof/>
        </w:rPr>
        <w:t>, t</w:t>
      </w:r>
      <w:r w:rsidRPr="006A1AF1">
        <w:rPr>
          <w:rStyle w:val="normaltextrun"/>
          <w:noProof/>
        </w:rPr>
        <w:t>he Commission therefore addressed such an opinion to</w:t>
      </w:r>
      <w:r>
        <w:rPr>
          <w:rStyle w:val="normaltextrun"/>
          <w:noProof/>
        </w:rPr>
        <w:t xml:space="preserve"> Bulgaria</w:t>
      </w:r>
      <w:r w:rsidRPr="006A1AF1">
        <w:rPr>
          <w:rStyle w:val="normaltextrun"/>
          <w:noProof/>
        </w:rPr>
        <w:t> and informed the Council accordingly</w:t>
      </w:r>
      <w:r w:rsidR="0042642B" w:rsidRPr="003B49FB">
        <w:rPr>
          <w:noProof/>
        </w:rPr>
        <w:t>.</w:t>
      </w:r>
      <w:r w:rsidR="00576B36">
        <w:rPr>
          <w:noProof/>
        </w:rPr>
        <w:t xml:space="preserve"> </w:t>
      </w:r>
      <w:r w:rsidR="00F9565B">
        <w:rPr>
          <w:noProof/>
        </w:rPr>
        <w:t>(</w:t>
      </w:r>
      <w:r w:rsidR="00F9565B" w:rsidRPr="00E17590">
        <w:rPr>
          <w:rStyle w:val="FootnoteReference"/>
          <w:noProof/>
          <w:lang w:eastAsia="de-DE"/>
        </w:rPr>
        <w:footnoteReference w:id="3"/>
      </w:r>
      <w:r w:rsidR="00F9565B">
        <w:rPr>
          <w:noProof/>
        </w:rPr>
        <w:t>)</w:t>
      </w:r>
    </w:p>
    <w:p w:rsidR="0042642B" w:rsidRPr="00E54BB7" w:rsidRDefault="0042642B" w:rsidP="004C7C69">
      <w:pPr>
        <w:pStyle w:val="Point0"/>
        <w:rPr>
          <w:noProof/>
        </w:rPr>
      </w:pPr>
      <w:r>
        <w:rPr>
          <w:noProof/>
        </w:rPr>
        <w:t>(5)</w:t>
      </w:r>
      <w:r>
        <w:rPr>
          <w:noProof/>
        </w:rPr>
        <w:tab/>
      </w:r>
      <w:r w:rsidRPr="003B49FB">
        <w:rPr>
          <w:noProof/>
        </w:rPr>
        <w:t xml:space="preserve">Article 126(6) </w:t>
      </w:r>
      <w:r>
        <w:rPr>
          <w:noProof/>
        </w:rPr>
        <w:t xml:space="preserve">TFEU provides </w:t>
      </w:r>
      <w:r w:rsidRPr="003B49FB">
        <w:rPr>
          <w:noProof/>
        </w:rPr>
        <w:t xml:space="preserve">that the Council </w:t>
      </w:r>
      <w:r>
        <w:rPr>
          <w:noProof/>
        </w:rPr>
        <w:t xml:space="preserve">is to </w:t>
      </w:r>
      <w:r w:rsidRPr="003B49FB">
        <w:rPr>
          <w:noProof/>
        </w:rPr>
        <w:t>consider any observations</w:t>
      </w:r>
      <w:r>
        <w:rPr>
          <w:noProof/>
        </w:rPr>
        <w:t>,</w:t>
      </w:r>
      <w:r w:rsidRPr="003B49FB">
        <w:rPr>
          <w:noProof/>
        </w:rPr>
        <w:t xml:space="preserve"> which the Member State concerned may wish to make before deciding after an overall assessment, whether an excessive deficit exists. In the case of </w:t>
      </w:r>
      <w:r w:rsidR="008A214A">
        <w:rPr>
          <w:noProof/>
        </w:rPr>
        <w:t>Bulgaria</w:t>
      </w:r>
      <w:r>
        <w:rPr>
          <w:noProof/>
        </w:rPr>
        <w:t>, the</w:t>
      </w:r>
      <w:r w:rsidRPr="003B49FB">
        <w:rPr>
          <w:noProof/>
        </w:rPr>
        <w:t xml:space="preserve"> overall assessment leads to the conclusions</w:t>
      </w:r>
      <w:r>
        <w:rPr>
          <w:noProof/>
        </w:rPr>
        <w:t xml:space="preserve"> set out below</w:t>
      </w:r>
      <w:r w:rsidRPr="003B49FB">
        <w:rPr>
          <w:noProof/>
        </w:rPr>
        <w:t>.</w:t>
      </w:r>
    </w:p>
    <w:p w:rsidR="00824C6C" w:rsidRPr="00041BCC" w:rsidRDefault="00824C6C" w:rsidP="004C7C69">
      <w:pPr>
        <w:pStyle w:val="Point0"/>
        <w:rPr>
          <w:rFonts w:eastAsia="Calibri"/>
          <w:noProof/>
          <w:szCs w:val="24"/>
          <w:lang w:eastAsia="en-GB"/>
        </w:rPr>
      </w:pPr>
      <w:r>
        <w:rPr>
          <w:noProof/>
        </w:rPr>
        <w:t>(6)</w:t>
      </w:r>
      <w:r>
        <w:rPr>
          <w:noProof/>
        </w:rPr>
        <w:tab/>
      </w:r>
      <w:r w:rsidRPr="7E827C2E">
        <w:rPr>
          <w:rStyle w:val="normaltextrun"/>
          <w:noProof/>
        </w:rPr>
        <w:t>According to the data provided by Eurostat on 22 April 2026 (</w:t>
      </w:r>
      <w:r>
        <w:rPr>
          <w:rStyle w:val="FootnoteReference"/>
          <w:noProof/>
        </w:rPr>
        <w:footnoteReference w:id="4"/>
      </w:r>
      <w:r w:rsidRPr="7E827C2E">
        <w:rPr>
          <w:rStyle w:val="normaltextrun"/>
          <w:noProof/>
        </w:rPr>
        <w:t xml:space="preserve">), the general government deficit in Bulgaria reached 3.5% of GDP in 2025. While </w:t>
      </w:r>
      <w:r w:rsidRPr="7E827C2E">
        <w:rPr>
          <w:noProof/>
          <w:color w:val="000000" w:themeColor="text1"/>
        </w:rPr>
        <w:t xml:space="preserve">Bulgaria did not report a planned deficit for 2026 to Eurostat, the Commission Spring 2026 Forecast projected a 2026 deficit for </w:t>
      </w:r>
      <w:r w:rsidRPr="7E827C2E">
        <w:rPr>
          <w:rStyle w:val="normaltextrun"/>
          <w:noProof/>
        </w:rPr>
        <w:t>Bulgaria at 4.1% of GDP. (</w:t>
      </w:r>
      <w:r>
        <w:rPr>
          <w:rStyle w:val="FootnoteReference"/>
          <w:noProof/>
        </w:rPr>
        <w:footnoteReference w:id="5"/>
      </w:r>
      <w:r w:rsidRPr="7E827C2E">
        <w:rPr>
          <w:rStyle w:val="normaltextrun"/>
          <w:noProof/>
        </w:rPr>
        <w:t>)</w:t>
      </w:r>
      <w:r w:rsidRPr="7E827C2E">
        <w:rPr>
          <w:rStyle w:val="eop"/>
          <w:noProof/>
        </w:rPr>
        <w:t> </w:t>
      </w:r>
      <w:r w:rsidRPr="7E827C2E">
        <w:rPr>
          <w:rStyle w:val="normaltextrun"/>
          <w:noProof/>
        </w:rPr>
        <w:t>The actual government deficit in 2025 and the projected deficit for 2026 are above and not close to the 3% of GDP Treaty reference value, and the deficits in excess of the Treaty reference value are not considered temporary.  Based on the Commission Spring 2026 Forecast, the general government deficit is projected to continue exceeding 3% of GDP in 2027. </w:t>
      </w:r>
      <w:r w:rsidRPr="7E827C2E">
        <w:rPr>
          <w:rFonts w:eastAsia="Calibri"/>
          <w:noProof/>
        </w:rPr>
        <w:t xml:space="preserve">On 8 July 2025, the Council </w:t>
      </w:r>
      <w:r w:rsidRPr="7E827C2E">
        <w:rPr>
          <w:noProof/>
          <w:lang w:eastAsia="en-GB"/>
        </w:rPr>
        <w:t>activated</w:t>
      </w:r>
      <w:r w:rsidRPr="7E827C2E">
        <w:rPr>
          <w:rStyle w:val="normaltextrun"/>
          <w:noProof/>
        </w:rPr>
        <w:t xml:space="preserve"> the national escape clause to facilitate an increase in defence expenditure in Bulgaria</w:t>
      </w:r>
      <w:r w:rsidRPr="7E827C2E">
        <w:rPr>
          <w:rFonts w:eastAsia="Calibri"/>
          <w:noProof/>
        </w:rPr>
        <w:t>, during the period 2025-2028 (</w:t>
      </w:r>
      <w:r>
        <w:rPr>
          <w:rStyle w:val="FootnoteReference"/>
          <w:rFonts w:eastAsia="Calibri"/>
          <w:noProof/>
          <w:szCs w:val="24"/>
        </w:rPr>
        <w:footnoteReference w:id="6"/>
      </w:r>
      <w:r w:rsidRPr="7E827C2E">
        <w:rPr>
          <w:rFonts w:eastAsia="Calibri"/>
          <w:noProof/>
        </w:rPr>
        <w:t xml:space="preserve">). Based on this, </w:t>
      </w:r>
      <w:r w:rsidRPr="7E827C2E">
        <w:rPr>
          <w:rStyle w:val="normaltextrun"/>
          <w:noProof/>
        </w:rPr>
        <w:t>the Commission’s report under Article 126(3) TFEU considered that the deficit in excess over the Treaty reference value of 3% of GDP in 2025</w:t>
      </w:r>
      <w:r w:rsidRPr="7E827C2E">
        <w:rPr>
          <w:rStyle w:val="eop"/>
          <w:noProof/>
        </w:rPr>
        <w:t> </w:t>
      </w:r>
      <w:r w:rsidRPr="7E827C2E">
        <w:rPr>
          <w:rStyle w:val="normaltextrun"/>
          <w:noProof/>
        </w:rPr>
        <w:t xml:space="preserve">is  exceptional, as this can be </w:t>
      </w:r>
      <w:r w:rsidRPr="7E827C2E">
        <w:rPr>
          <w:rFonts w:eastAsia="Calibri" w:cs="Arial"/>
          <w:noProof/>
        </w:rPr>
        <w:t>fully explained by an increase in defence spending since the reference year 2024, while this is not the case for the projected deficit in excess of the reference value for 2026</w:t>
      </w:r>
      <w:r w:rsidRPr="7E827C2E">
        <w:rPr>
          <w:rStyle w:val="normaltextrun"/>
          <w:noProof/>
        </w:rPr>
        <w:t>. </w:t>
      </w:r>
    </w:p>
    <w:p w:rsidR="00824C6C" w:rsidRDefault="00824C6C" w:rsidP="004C7C69">
      <w:pPr>
        <w:pStyle w:val="Point0"/>
        <w:rPr>
          <w:noProof/>
          <w:lang w:eastAsia="en-GB"/>
        </w:rPr>
      </w:pPr>
      <w:r>
        <w:rPr>
          <w:noProof/>
        </w:rPr>
        <w:t>(7)</w:t>
      </w:r>
      <w:r>
        <w:rPr>
          <w:noProof/>
        </w:rPr>
        <w:tab/>
      </w:r>
      <w:r w:rsidRPr="007F05D5">
        <w:rPr>
          <w:noProof/>
          <w:lang w:eastAsia="en-GB"/>
        </w:rPr>
        <w:t>According</w:t>
      </w:r>
      <w:r w:rsidRPr="007F05D5">
        <w:rPr>
          <w:noProof/>
        </w:rPr>
        <w:t xml:space="preserve"> to the data </w:t>
      </w:r>
      <w:r w:rsidRPr="00AD426F">
        <w:rPr>
          <w:rFonts w:eastAsia="Calibri"/>
          <w:noProof/>
          <w:lang w:eastAsia="en-GB"/>
        </w:rPr>
        <w:t>provided</w:t>
      </w:r>
      <w:r w:rsidRPr="007F05D5">
        <w:rPr>
          <w:noProof/>
        </w:rPr>
        <w:t xml:space="preserve"> by </w:t>
      </w:r>
      <w:r w:rsidRPr="00141A56">
        <w:rPr>
          <w:noProof/>
        </w:rPr>
        <w:t xml:space="preserve">Eurostat on </w:t>
      </w:r>
      <w:r w:rsidRPr="0050495E">
        <w:rPr>
          <w:rFonts w:eastAsia="Calibri"/>
          <w:noProof/>
          <w:lang w:eastAsia="en-GB"/>
        </w:rPr>
        <w:t>22</w:t>
      </w:r>
      <w:r>
        <w:rPr>
          <w:rFonts w:eastAsia="Calibri"/>
          <w:noProof/>
          <w:lang w:eastAsia="en-GB"/>
        </w:rPr>
        <w:t xml:space="preserve"> April </w:t>
      </w:r>
      <w:r w:rsidRPr="00051D17">
        <w:rPr>
          <w:rFonts w:eastAsia="Calibri"/>
          <w:noProof/>
          <w:lang w:eastAsia="en-GB"/>
        </w:rPr>
        <w:t>202</w:t>
      </w:r>
      <w:r>
        <w:rPr>
          <w:rFonts w:eastAsia="Calibri"/>
          <w:noProof/>
          <w:lang w:eastAsia="en-GB"/>
        </w:rPr>
        <w:t>6 (</w:t>
      </w:r>
      <w:r w:rsidRPr="007F05D5">
        <w:rPr>
          <w:rStyle w:val="FootnoteReference"/>
          <w:noProof/>
        </w:rPr>
        <w:footnoteReference w:id="7"/>
      </w:r>
      <w:r>
        <w:rPr>
          <w:rFonts w:eastAsia="Calibri"/>
          <w:noProof/>
          <w:lang w:eastAsia="en-GB"/>
        </w:rPr>
        <w:t>)</w:t>
      </w:r>
      <w:r w:rsidRPr="007F05D5">
        <w:rPr>
          <w:noProof/>
        </w:rPr>
        <w:t xml:space="preserve">, the general government debt stood at </w:t>
      </w:r>
      <w:r w:rsidRPr="00E277D7">
        <w:rPr>
          <w:rStyle w:val="normaltextrun"/>
          <w:noProof/>
        </w:rPr>
        <w:t>29.9</w:t>
      </w:r>
      <w:r>
        <w:rPr>
          <w:rStyle w:val="normaltextrun"/>
          <w:noProof/>
        </w:rPr>
        <w:t>% of GDP in 2025</w:t>
      </w:r>
      <w:r>
        <w:rPr>
          <w:rStyle w:val="eop"/>
          <w:noProof/>
        </w:rPr>
        <w:t xml:space="preserve">, which is </w:t>
      </w:r>
      <w:r>
        <w:rPr>
          <w:rStyle w:val="normaltextrun"/>
          <w:noProof/>
        </w:rPr>
        <w:t>below the reference value of 60% of GDP. Thus, the debt criterion in the Treaty is fulfilled.</w:t>
      </w:r>
      <w:r>
        <w:rPr>
          <w:rStyle w:val="eop"/>
          <w:noProof/>
        </w:rPr>
        <w:t> </w:t>
      </w:r>
    </w:p>
    <w:p w:rsidR="00824C6C" w:rsidRPr="007F05D5" w:rsidRDefault="00824C6C" w:rsidP="004C7C69">
      <w:pPr>
        <w:pStyle w:val="Point0"/>
        <w:rPr>
          <w:noProof/>
        </w:rPr>
      </w:pPr>
      <w:r>
        <w:rPr>
          <w:noProof/>
        </w:rPr>
        <w:t>(8)</w:t>
      </w:r>
      <w:r>
        <w:rPr>
          <w:noProof/>
        </w:rPr>
        <w:tab/>
      </w:r>
      <w:r w:rsidRPr="007F05D5">
        <w:rPr>
          <w:noProof/>
        </w:rPr>
        <w:t xml:space="preserve">In line with the requirements of Article 126(3) TFEU, the Commission also analysed all the relevant </w:t>
      </w:r>
      <w:r w:rsidRPr="00A63297">
        <w:rPr>
          <w:rStyle w:val="normaltextrun"/>
          <w:noProof/>
        </w:rPr>
        <w:t>factors</w:t>
      </w:r>
      <w:r w:rsidRPr="007F05D5">
        <w:rPr>
          <w:noProof/>
        </w:rPr>
        <w:t xml:space="preserve"> in its report under Article 126(3) TFEU.</w:t>
      </w:r>
      <w:r>
        <w:rPr>
          <w:noProof/>
        </w:rPr>
        <w:t xml:space="preserve"> </w:t>
      </w:r>
      <w:r w:rsidRPr="007F05D5">
        <w:rPr>
          <w:noProof/>
        </w:rPr>
        <w:t>As laid down in Article 2(4) of Regulation (EC) No 1467/97, whenever the government debt-to-GDP ratio does not exceed the reference value, relevant factors will be taken into account in the steps leading to the decision on the existence of an excessive deficit</w:t>
      </w:r>
      <w:r>
        <w:rPr>
          <w:noProof/>
        </w:rPr>
        <w:t xml:space="preserve"> based on the deficit criterion</w:t>
      </w:r>
      <w:r w:rsidRPr="007F05D5">
        <w:rPr>
          <w:noProof/>
        </w:rPr>
        <w:t xml:space="preserve">. </w:t>
      </w:r>
    </w:p>
    <w:p w:rsidR="00824C6C" w:rsidRPr="00AD426F" w:rsidRDefault="00824C6C" w:rsidP="004C7C69">
      <w:pPr>
        <w:pStyle w:val="Point0"/>
        <w:rPr>
          <w:noProof/>
        </w:rPr>
      </w:pPr>
      <w:r>
        <w:rPr>
          <w:noProof/>
        </w:rPr>
        <w:t>(9)</w:t>
      </w:r>
      <w:r>
        <w:rPr>
          <w:noProof/>
        </w:rPr>
        <w:tab/>
      </w:r>
      <w:r>
        <w:rPr>
          <w:rStyle w:val="normaltextrun"/>
          <w:noProof/>
        </w:rPr>
        <w:t>Overall, the relevant factors examined in the report under Article 126(3) TFEU are assessed as</w:t>
      </w:r>
      <w:r w:rsidRPr="00077819">
        <w:rPr>
          <w:rStyle w:val="normaltextrun"/>
          <w:noProof/>
        </w:rPr>
        <w:t xml:space="preserve"> aggravating</w:t>
      </w:r>
      <w:r>
        <w:rPr>
          <w:rStyle w:val="normaltextrun"/>
          <w:noProof/>
        </w:rPr>
        <w:t xml:space="preserve"> for Bulgaria. Overall</w:t>
      </w:r>
      <w:r w:rsidRPr="00A7608C">
        <w:rPr>
          <w:b/>
          <w:bCs/>
          <w:noProof/>
        </w:rPr>
        <w:t xml:space="preserve">, </w:t>
      </w:r>
      <w:r w:rsidRPr="00A7608C">
        <w:rPr>
          <w:noProof/>
        </w:rPr>
        <w:t xml:space="preserve">taking into account all relevant factors as appropriate and, in particular, as the deficit is increasing to well above 3% of GDP in 2026, </w:t>
      </w:r>
      <w:r>
        <w:rPr>
          <w:rStyle w:val="normaltextrun"/>
          <w:noProof/>
        </w:rPr>
        <w:t>the deficit criterion, as defined by the Treaty and Regulation (EC) No 1467/97, is not fulfilled.</w:t>
      </w:r>
      <w:r w:rsidRPr="00077819">
        <w:rPr>
          <w:rStyle w:val="normaltextrun"/>
          <w:noProof/>
        </w:rPr>
        <w:t> </w:t>
      </w:r>
    </w:p>
    <w:p w:rsidR="00B310E6" w:rsidRDefault="00824C6C" w:rsidP="004C7C69">
      <w:pPr>
        <w:pStyle w:val="Point0"/>
        <w:rPr>
          <w:noProof/>
        </w:rPr>
      </w:pPr>
      <w:r>
        <w:rPr>
          <w:noProof/>
        </w:rPr>
        <w:t>(10)</w:t>
      </w:r>
      <w:r>
        <w:rPr>
          <w:noProof/>
        </w:rPr>
        <w:tab/>
      </w:r>
      <w:r>
        <w:rPr>
          <w:rStyle w:val="normaltextrun"/>
          <w:noProof/>
        </w:rPr>
        <w:t>Article 2(5) of Regulation (EU) No 1467/97 establishes that, if a national escape clause is activated, the Commission and the Council may decide not to reach a conclusion regarding the existence of an excessive deficit. </w:t>
      </w:r>
      <w:r w:rsidRPr="00824C6C">
        <w:rPr>
          <w:noProof/>
          <w:lang w:val="en-IE"/>
        </w:rPr>
        <w:t>(</w:t>
      </w:r>
      <w:r>
        <w:rPr>
          <w:rStyle w:val="FootnoteReference"/>
          <w:noProof/>
          <w:lang w:val="en-IE"/>
        </w:rPr>
        <w:footnoteReference w:id="8"/>
      </w:r>
      <w:r w:rsidRPr="00824C6C">
        <w:rPr>
          <w:noProof/>
          <w:lang w:val="en-IE"/>
        </w:rPr>
        <w:t>)</w:t>
      </w:r>
      <w:r>
        <w:rPr>
          <w:rStyle w:val="normaltextrun"/>
          <w:noProof/>
        </w:rPr>
        <w:t> </w:t>
      </w:r>
      <w:r w:rsidRPr="59E8760F">
        <w:rPr>
          <w:rStyle w:val="normaltextrun"/>
          <w:noProof/>
        </w:rPr>
        <w:t>However,</w:t>
      </w:r>
      <w:r w:rsidRPr="00A63297">
        <w:rPr>
          <w:rStyle w:val="normaltextrun"/>
          <w:noProof/>
        </w:rPr>
        <w:t xml:space="preserve"> </w:t>
      </w:r>
      <w:r>
        <w:rPr>
          <w:rStyle w:val="normaltextrun"/>
          <w:noProof/>
        </w:rPr>
        <w:t>as</w:t>
      </w:r>
      <w:r w:rsidRPr="00A63297">
        <w:rPr>
          <w:rStyle w:val="normaltextrun"/>
          <w:noProof/>
        </w:rPr>
        <w:t xml:space="preserve"> the projected deficit in excess of the reference value for 2026</w:t>
      </w:r>
      <w:r>
        <w:rPr>
          <w:rStyle w:val="normaltextrun"/>
          <w:noProof/>
        </w:rPr>
        <w:t xml:space="preserve"> </w:t>
      </w:r>
      <w:r w:rsidRPr="00A63297">
        <w:rPr>
          <w:rStyle w:val="normaltextrun"/>
          <w:noProof/>
        </w:rPr>
        <w:t xml:space="preserve">cannot be </w:t>
      </w:r>
      <w:r w:rsidRPr="59E8760F">
        <w:rPr>
          <w:rStyle w:val="normaltextrun"/>
          <w:noProof/>
        </w:rPr>
        <w:t>fully explained by an increase in defence expenditure since the reference year of </w:t>
      </w:r>
      <w:r w:rsidRPr="00616FDA">
        <w:rPr>
          <w:rStyle w:val="normaltextrun"/>
          <w:noProof/>
        </w:rPr>
        <w:t>2024</w:t>
      </w:r>
      <w:r>
        <w:rPr>
          <w:rStyle w:val="normaltextrun"/>
          <w:noProof/>
        </w:rPr>
        <w:t xml:space="preserve"> (</w:t>
      </w:r>
      <w:r w:rsidRPr="00824C6C">
        <w:rPr>
          <w:rStyle w:val="normaltextrun"/>
          <w:i/>
          <w:iCs/>
          <w:noProof/>
        </w:rPr>
        <w:t>cf.</w:t>
      </w:r>
      <w:r>
        <w:rPr>
          <w:rStyle w:val="normaltextrun"/>
          <w:noProof/>
        </w:rPr>
        <w:t xml:space="preserve"> recital 6), Article 2(5) does not apply.</w:t>
      </w:r>
      <w:r>
        <w:rPr>
          <w:rStyle w:val="eop"/>
          <w:noProof/>
        </w:rPr>
        <w:t> </w:t>
      </w:r>
    </w:p>
    <w:p w:rsidR="00B310E6" w:rsidRPr="00EB1679" w:rsidRDefault="00B310E6" w:rsidP="00EB1679">
      <w:pPr>
        <w:pStyle w:val="Text1"/>
        <w:rPr>
          <w:noProof/>
        </w:rPr>
      </w:pPr>
    </w:p>
    <w:p w:rsidR="00F978A0" w:rsidRPr="00FD40BA" w:rsidRDefault="00F978A0">
      <w:pPr>
        <w:pStyle w:val="Formuledadoption"/>
        <w:rPr>
          <w:noProof/>
        </w:rPr>
      </w:pPr>
      <w:r w:rsidRPr="00FD40BA">
        <w:rPr>
          <w:noProof/>
        </w:rPr>
        <w:t xml:space="preserve">HAS ADOPTED THIS DECISION: </w:t>
      </w:r>
    </w:p>
    <w:p w:rsidR="00F978A0" w:rsidRPr="00FD40BA" w:rsidRDefault="00F978A0">
      <w:pPr>
        <w:pStyle w:val="Titrearticle"/>
        <w:rPr>
          <w:noProof/>
        </w:rPr>
      </w:pPr>
      <w:r w:rsidRPr="00FD40BA">
        <w:rPr>
          <w:noProof/>
        </w:rPr>
        <w:t>Article 1</w:t>
      </w:r>
    </w:p>
    <w:p w:rsidR="0042642B" w:rsidRPr="00225B94" w:rsidRDefault="0042642B" w:rsidP="0042642B">
      <w:pPr>
        <w:rPr>
          <w:noProof/>
          <w:szCs w:val="24"/>
        </w:rPr>
      </w:pPr>
      <w:r w:rsidRPr="00225B94">
        <w:rPr>
          <w:noProof/>
          <w:szCs w:val="24"/>
        </w:rPr>
        <w:t xml:space="preserve">From an overall assessment it follows that an excessive deficit exists in </w:t>
      </w:r>
      <w:r w:rsidR="004F7CA1">
        <w:rPr>
          <w:noProof/>
          <w:szCs w:val="24"/>
        </w:rPr>
        <w:t>Bulgaria</w:t>
      </w:r>
      <w:r w:rsidRPr="00225B94">
        <w:rPr>
          <w:noProof/>
          <w:szCs w:val="24"/>
        </w:rPr>
        <w:t xml:space="preserve"> due to non-compliance with the deficit</w:t>
      </w:r>
      <w:r w:rsidR="00CB3DD0">
        <w:rPr>
          <w:noProof/>
          <w:szCs w:val="24"/>
        </w:rPr>
        <w:t xml:space="preserve"> </w:t>
      </w:r>
      <w:r w:rsidRPr="00225B94">
        <w:rPr>
          <w:noProof/>
          <w:szCs w:val="24"/>
        </w:rPr>
        <w:t>criterion.</w:t>
      </w:r>
    </w:p>
    <w:p w:rsidR="00F978A0" w:rsidRPr="00FD40BA" w:rsidRDefault="00F978A0">
      <w:pPr>
        <w:rPr>
          <w:noProof/>
        </w:rPr>
      </w:pPr>
    </w:p>
    <w:p w:rsidR="00F978A0" w:rsidRPr="00FD40BA" w:rsidRDefault="00F978A0" w:rsidP="0042642B">
      <w:pPr>
        <w:pStyle w:val="Titrearticle"/>
        <w:rPr>
          <w:noProof/>
        </w:rPr>
      </w:pPr>
      <w:r w:rsidRPr="00FD40BA">
        <w:rPr>
          <w:noProof/>
        </w:rPr>
        <w:t xml:space="preserve">Article </w:t>
      </w:r>
      <w:r w:rsidR="0042642B" w:rsidRPr="0042642B">
        <w:rPr>
          <w:noProof/>
        </w:rPr>
        <w:t>2</w:t>
      </w:r>
      <w:r>
        <w:rPr>
          <w:i w:val="0"/>
          <w:noProof/>
        </w:rPr>
        <w:t xml:space="preserve"> </w:t>
      </w:r>
      <w:r>
        <w:rPr>
          <w:i w:val="0"/>
          <w:noProof/>
        </w:rPr>
        <w:br/>
      </w:r>
    </w:p>
    <w:p w:rsidR="00F978A0" w:rsidRDefault="00F978A0">
      <w:pPr>
        <w:rPr>
          <w:noProof/>
        </w:rPr>
      </w:pPr>
      <w:r w:rsidRPr="00B97935">
        <w:rPr>
          <w:noProof/>
        </w:rPr>
        <w:t xml:space="preserve">This Decision is addressed to the </w:t>
      </w:r>
      <w:r w:rsidR="00DF05F0">
        <w:rPr>
          <w:noProof/>
          <w:color w:val="000000"/>
        </w:rPr>
        <w:t>Republic of Bulgaria</w:t>
      </w:r>
      <w:r w:rsidRPr="00B97935">
        <w:rPr>
          <w:noProof/>
        </w:rPr>
        <w:t>.</w:t>
      </w:r>
    </w:p>
    <w:p w:rsidR="0042642B" w:rsidRPr="00B97935" w:rsidRDefault="0042642B">
      <w:pPr>
        <w:rPr>
          <w:noProof/>
        </w:rPr>
      </w:pPr>
    </w:p>
    <w:p w:rsidR="00F978A0" w:rsidRDefault="00E75977" w:rsidP="00304DF6">
      <w:pPr>
        <w:pStyle w:val="Fait"/>
        <w:rPr>
          <w:noProof/>
        </w:rPr>
      </w:pPr>
      <w:r>
        <w:rPr>
          <w:noProof/>
        </w:rPr>
        <w:t>Done at Brussels,</w:t>
      </w:r>
    </w:p>
    <w:p w:rsidR="00F978A0" w:rsidRDefault="00F978A0" w:rsidP="00304DF6">
      <w:pPr>
        <w:pStyle w:val="Institutionquisigne"/>
        <w:rPr>
          <w:noProof/>
        </w:rPr>
      </w:pPr>
      <w:r w:rsidRPr="00F978A0">
        <w:rPr>
          <w:noProof/>
        </w:rPr>
        <w:tab/>
        <w:t>For the Council</w:t>
      </w:r>
    </w:p>
    <w:p w:rsidR="00F978A0" w:rsidRPr="00F978A0" w:rsidRDefault="00F978A0" w:rsidP="00F978A0">
      <w:pPr>
        <w:pStyle w:val="Personnequisigne"/>
        <w:rPr>
          <w:noProof/>
        </w:rPr>
      </w:pPr>
      <w:r w:rsidRPr="00F978A0">
        <w:rPr>
          <w:noProof/>
        </w:rPr>
        <w:tab/>
        <w:t>The President</w:t>
      </w:r>
    </w:p>
    <w:sectPr w:rsidR="00F978A0" w:rsidRPr="00F978A0" w:rsidSect="00CF052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DF2" w:rsidRDefault="001B7DF2" w:rsidP="00F978A0">
      <w:pPr>
        <w:spacing w:before="0" w:after="0"/>
      </w:pPr>
      <w:r>
        <w:separator/>
      </w:r>
    </w:p>
  </w:endnote>
  <w:endnote w:type="continuationSeparator" w:id="0">
    <w:p w:rsidR="001B7DF2" w:rsidRDefault="001B7DF2" w:rsidP="00F978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52D" w:rsidRPr="00CF052D" w:rsidRDefault="00CF052D" w:rsidP="00CF052D">
    <w:pPr>
      <w:pStyle w:val="Footer"/>
      <w:rPr>
        <w:rFonts w:ascii="Arial" w:hAnsi="Arial" w:cs="Arial"/>
        <w:b/>
        <w:sz w:val="48"/>
      </w:rPr>
    </w:pPr>
    <w:r w:rsidRPr="00CF052D">
      <w:rPr>
        <w:rFonts w:ascii="Arial" w:hAnsi="Arial" w:cs="Arial"/>
        <w:b/>
        <w:sz w:val="48"/>
      </w:rPr>
      <w:t>EN</w:t>
    </w:r>
    <w:r w:rsidRPr="00CF052D">
      <w:rPr>
        <w:rFonts w:ascii="Arial" w:hAnsi="Arial" w:cs="Arial"/>
        <w:b/>
        <w:sz w:val="48"/>
      </w:rPr>
      <w:tab/>
    </w:r>
    <w:r w:rsidRPr="00CF052D">
      <w:rPr>
        <w:rFonts w:ascii="Arial" w:hAnsi="Arial" w:cs="Arial"/>
        <w:b/>
        <w:sz w:val="48"/>
      </w:rPr>
      <w:tab/>
    </w:r>
    <w:r w:rsidRPr="00CF052D">
      <w:tab/>
    </w:r>
    <w:r w:rsidRPr="00CF052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52D" w:rsidRPr="00CF052D" w:rsidRDefault="00CF052D" w:rsidP="00CF052D">
    <w:pPr>
      <w:pStyle w:val="Footer"/>
      <w:rPr>
        <w:rFonts w:ascii="Arial" w:hAnsi="Arial" w:cs="Arial"/>
        <w:b/>
        <w:sz w:val="48"/>
      </w:rPr>
    </w:pPr>
    <w:r w:rsidRPr="00CF052D">
      <w:rPr>
        <w:rFonts w:ascii="Arial" w:hAnsi="Arial" w:cs="Arial"/>
        <w:b/>
        <w:sz w:val="48"/>
      </w:rPr>
      <w:t>EN</w:t>
    </w:r>
    <w:r w:rsidRPr="00CF052D">
      <w:rPr>
        <w:rFonts w:ascii="Arial" w:hAnsi="Arial" w:cs="Arial"/>
        <w:b/>
        <w:sz w:val="48"/>
      </w:rPr>
      <w:tab/>
    </w:r>
    <w:r w:rsidRPr="00CF052D">
      <w:rPr>
        <w:rFonts w:ascii="Arial" w:hAnsi="Arial" w:cs="Arial"/>
        <w:b/>
        <w:sz w:val="48"/>
      </w:rPr>
      <w:tab/>
    </w:r>
    <w:r w:rsidRPr="00CF052D">
      <w:tab/>
    </w:r>
    <w:r w:rsidRPr="00CF052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52D" w:rsidRDefault="00CF05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52D" w:rsidRPr="00CF052D" w:rsidRDefault="00CF052D" w:rsidP="00CF052D">
    <w:pPr>
      <w:pStyle w:val="Footer"/>
      <w:rPr>
        <w:rFonts w:ascii="Arial" w:hAnsi="Arial" w:cs="Arial"/>
        <w:b/>
        <w:sz w:val="48"/>
      </w:rPr>
    </w:pPr>
    <w:r w:rsidRPr="00CF052D">
      <w:rPr>
        <w:rFonts w:ascii="Arial" w:hAnsi="Arial" w:cs="Arial"/>
        <w:b/>
        <w:sz w:val="48"/>
      </w:rPr>
      <w:t>EN</w:t>
    </w:r>
    <w:r w:rsidRPr="00CF052D">
      <w:rPr>
        <w:rFonts w:ascii="Arial" w:hAnsi="Arial" w:cs="Arial"/>
        <w:b/>
        <w:sz w:val="48"/>
      </w:rPr>
      <w:tab/>
    </w:r>
    <w:r>
      <w:fldChar w:fldCharType="begin"/>
    </w:r>
    <w:r>
      <w:instrText xml:space="preserve"> PAGE  \* MERGEFORMAT </w:instrText>
    </w:r>
    <w:r>
      <w:fldChar w:fldCharType="separate"/>
    </w:r>
    <w:r w:rsidR="00304DF6">
      <w:rPr>
        <w:noProof/>
      </w:rPr>
      <w:t>3</w:t>
    </w:r>
    <w:r>
      <w:fldChar w:fldCharType="end"/>
    </w:r>
    <w:r>
      <w:tab/>
    </w:r>
    <w:r w:rsidRPr="00CF052D">
      <w:tab/>
    </w:r>
    <w:r w:rsidRPr="00CF052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52D" w:rsidRDefault="00CF052D" w:rsidP="00CF0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DF2" w:rsidRDefault="001B7DF2" w:rsidP="00F978A0">
      <w:pPr>
        <w:spacing w:before="0" w:after="0"/>
      </w:pPr>
      <w:r>
        <w:separator/>
      </w:r>
    </w:p>
  </w:footnote>
  <w:footnote w:type="continuationSeparator" w:id="0">
    <w:p w:rsidR="001B7DF2" w:rsidRDefault="001B7DF2" w:rsidP="00F978A0">
      <w:pPr>
        <w:spacing w:before="0" w:after="0"/>
      </w:pPr>
      <w:r>
        <w:continuationSeparator/>
      </w:r>
    </w:p>
  </w:footnote>
  <w:footnote w:id="1">
    <w:p w:rsidR="00F9565B" w:rsidRPr="00E54BB7" w:rsidRDefault="00F9565B" w:rsidP="0042642B">
      <w:pPr>
        <w:pStyle w:val="FootnoteText"/>
        <w:rPr>
          <w:lang w:val="pl-PL"/>
        </w:rPr>
      </w:pPr>
      <w:r w:rsidRPr="005317D3">
        <w:rPr>
          <w:rStyle w:val="FootnoteReference"/>
        </w:rPr>
        <w:footnoteRef/>
      </w:r>
      <w:r w:rsidRPr="00E54BB7">
        <w:rPr>
          <w:lang w:val="pl-PL"/>
        </w:rPr>
        <w:tab/>
      </w:r>
      <w:r w:rsidRPr="00A37F37">
        <w:t>Council Regulation (EC) No 1467/97 on speeding up and clarifying the implementation of the excessive deficit procedure (</w:t>
      </w:r>
      <w:r w:rsidRPr="00E54BB7">
        <w:rPr>
          <w:lang w:val="pl-PL"/>
        </w:rPr>
        <w:t>OJ L 209, 2.8.1997, EL</w:t>
      </w:r>
      <w:r w:rsidRPr="009F2969">
        <w:rPr>
          <w:lang w:val="pl-PL"/>
        </w:rPr>
        <w:t>I:</w:t>
      </w:r>
      <w:r w:rsidRPr="007454F5">
        <w:rPr>
          <w:lang w:val="en-IE"/>
        </w:rPr>
        <w:t xml:space="preserve"> </w:t>
      </w:r>
      <w:hyperlink r:id="rId1" w:history="1">
        <w:r w:rsidRPr="00ED6B84">
          <w:rPr>
            <w:rStyle w:val="Hyperlink"/>
            <w:lang w:val="pl-PL"/>
          </w:rPr>
          <w:t>http://data.europa.eu/eli/reg/1997/1467/2024-04-30</w:t>
        </w:r>
      </w:hyperlink>
      <w:r>
        <w:t>)</w:t>
      </w:r>
      <w:r w:rsidRPr="0048518F">
        <w:t xml:space="preserve"> </w:t>
      </w:r>
      <w:r w:rsidRPr="00A37F37">
        <w:t>as last amended by Council</w:t>
      </w:r>
      <w:r w:rsidRPr="002C52B4">
        <w:t xml:space="preserve"> Regulation (EU) 2024/1264 of 29 April 2024 (OJ L, 2024/1264, 30.4.2024</w:t>
      </w:r>
      <w:r>
        <w:t>)</w:t>
      </w:r>
      <w:r>
        <w:rPr>
          <w:lang w:val="pl-PL"/>
        </w:rPr>
        <w:t xml:space="preserve">. </w:t>
      </w:r>
    </w:p>
  </w:footnote>
  <w:footnote w:id="2">
    <w:p w:rsidR="002A4DBC" w:rsidRPr="002A4DBC" w:rsidRDefault="002A4DBC">
      <w:pPr>
        <w:pStyle w:val="FootnoteText"/>
        <w:rPr>
          <w:lang w:val="en-IE"/>
        </w:rPr>
      </w:pPr>
      <w:r w:rsidRPr="005317D3">
        <w:rPr>
          <w:rStyle w:val="FootnoteReference"/>
        </w:rPr>
        <w:footnoteRef/>
      </w:r>
      <w:r w:rsidR="005317D3">
        <w:tab/>
      </w:r>
      <w:r w:rsidRPr="002A4DBC">
        <w:t>Council Regulation (EC) No 479/2009 of 25 May 2009 on the application of the Protocol on the excessive deficit procedure annexed to the Treaty establishing the European Community (OJ L 145, 10.6.2009, ELI: http://data.europa.eu/eli/reg/2009/479/2014-09-01) as last amended by Commission Regulation (EU) No 220/2014 of 7 March 2014 as regards references to the European system of national and regional accounts in the European Union (OJ L 69, 8.3.2014).</w:t>
      </w:r>
    </w:p>
  </w:footnote>
  <w:footnote w:id="3">
    <w:p w:rsidR="00F9565B" w:rsidRPr="005969E0" w:rsidRDefault="00F9565B" w:rsidP="0042642B">
      <w:pPr>
        <w:pStyle w:val="FootnoteText"/>
      </w:pPr>
      <w:r w:rsidRPr="005317D3">
        <w:rPr>
          <w:rStyle w:val="FootnoteReference"/>
        </w:rPr>
        <w:footnoteRef/>
      </w:r>
      <w:r w:rsidRPr="005969E0">
        <w:rPr>
          <w:lang w:val="en-US"/>
        </w:rPr>
        <w:tab/>
      </w:r>
      <w:r w:rsidRPr="005969E0">
        <w:t xml:space="preserve">All EDP-related documents for </w:t>
      </w:r>
      <w:r>
        <w:t>Bulgaria</w:t>
      </w:r>
      <w:r w:rsidRPr="005969E0">
        <w:t xml:space="preserve"> can be found at: </w:t>
      </w:r>
      <w:hyperlink r:id="rId2" w:history="1">
        <w:r w:rsidRPr="00643795">
          <w:rPr>
            <w:rStyle w:val="Hyperlink"/>
          </w:rPr>
          <w:t>https://economy-finance.ec.europa.eu/economic-governance-framework/stability-and-growth-pact/corrective-arm-excessive-deficit-procedure/excessive-deficit-procedures-overview/bulgaria_en</w:t>
        </w:r>
      </w:hyperlink>
      <w:r>
        <w:t xml:space="preserve"> </w:t>
      </w:r>
    </w:p>
  </w:footnote>
  <w:footnote w:id="4">
    <w:p w:rsidR="00824C6C" w:rsidRPr="00456379" w:rsidRDefault="00824C6C" w:rsidP="00824C6C">
      <w:pPr>
        <w:pStyle w:val="FootnoteText"/>
      </w:pPr>
      <w:r w:rsidRPr="005317D3">
        <w:rPr>
          <w:rStyle w:val="FootnoteReference"/>
        </w:rPr>
        <w:footnoteRef/>
      </w:r>
      <w:r w:rsidR="0032732B">
        <w:tab/>
      </w:r>
      <w:r w:rsidRPr="005969E0">
        <w:t xml:space="preserve">Eurostat Euro Indicators </w:t>
      </w:r>
      <w:r w:rsidRPr="008E712F">
        <w:t xml:space="preserve">published </w:t>
      </w:r>
      <w:r w:rsidRPr="00C75C11">
        <w:t xml:space="preserve">on </w:t>
      </w:r>
      <w:r w:rsidRPr="00D76D3F">
        <w:rPr>
          <w:rFonts w:eastAsia="Calibri"/>
          <w:noProof/>
          <w:lang w:eastAsia="en-GB"/>
        </w:rPr>
        <w:t>22</w:t>
      </w:r>
      <w:r w:rsidRPr="00114EFD">
        <w:rPr>
          <w:noProof/>
          <w:lang w:val="en-IE"/>
        </w:rPr>
        <w:t xml:space="preserve"> April 2026 </w:t>
      </w:r>
      <w:r w:rsidRPr="00114EFD">
        <w:t>(</w:t>
      </w:r>
      <w:hyperlink r:id="rId3" w:history="1">
        <w:r w:rsidRPr="00510A29">
          <w:rPr>
            <w:rStyle w:val="Hyperlink"/>
          </w:rPr>
          <w:t>https://ec.europa.eu/eurostat/en/web/products-euro-indicators/w/2-22042026-ap</w:t>
        </w:r>
      </w:hyperlink>
      <w:r w:rsidRPr="00114EFD">
        <w:t>), in accordanc</w:t>
      </w:r>
      <w:r w:rsidRPr="00A72248">
        <w:t>e with Article 14 of Council Regulation (EC) No 479/2009.</w:t>
      </w:r>
    </w:p>
  </w:footnote>
  <w:footnote w:id="5">
    <w:p w:rsidR="00824C6C" w:rsidRPr="00EB7F25" w:rsidRDefault="00824C6C" w:rsidP="00824C6C">
      <w:pPr>
        <w:pStyle w:val="FootnoteText"/>
      </w:pPr>
      <w:r w:rsidRPr="005317D3">
        <w:rPr>
          <w:rStyle w:val="FootnoteReference"/>
        </w:rPr>
        <w:footnoteRef/>
      </w:r>
      <w:r w:rsidR="0032732B">
        <w:tab/>
      </w:r>
      <w:r w:rsidRPr="00D54F80">
        <w:t xml:space="preserve">European Commission Spring 2026 Forecast (European Economy Institutional Paper </w:t>
      </w:r>
      <w:r w:rsidRPr="001838D4">
        <w:t>341, May 2026</w:t>
      </w:r>
      <w:r w:rsidRPr="00D54F80">
        <w:t>)</w:t>
      </w:r>
    </w:p>
  </w:footnote>
  <w:footnote w:id="6">
    <w:p w:rsidR="00824C6C" w:rsidRPr="00A47FA0" w:rsidRDefault="00824C6C" w:rsidP="00824C6C">
      <w:pPr>
        <w:pStyle w:val="FootnoteText"/>
      </w:pPr>
      <w:r w:rsidRPr="005317D3">
        <w:rPr>
          <w:rStyle w:val="FootnoteReference"/>
        </w:rPr>
        <w:footnoteRef/>
      </w:r>
      <w:r w:rsidR="0032732B">
        <w:tab/>
      </w:r>
      <w:r w:rsidRPr="001838D4">
        <w:t>Council</w:t>
      </w:r>
      <w:r w:rsidRPr="00D54F80">
        <w:rPr>
          <w:lang w:val="en-IE"/>
        </w:rPr>
        <w:t xml:space="preserve"> </w:t>
      </w:r>
      <w:r>
        <w:rPr>
          <w:lang w:val="en-IE"/>
        </w:rPr>
        <w:t>R</w:t>
      </w:r>
      <w:r w:rsidRPr="00D54F80">
        <w:rPr>
          <w:lang w:val="en-IE"/>
        </w:rPr>
        <w:t xml:space="preserve">ecommendation of 8 July 2025 allowing Bulgaria to deviate from the maximum growth rates of net expenditure as set by the Council under Regulation (EU) 2024/1263 (Activation of the national escape clause), (OJ C, C/2025/3961, </w:t>
      </w:r>
      <w:r w:rsidRPr="008C6177">
        <w:t>20.8.2025, ELI:</w:t>
      </w:r>
      <w:r>
        <w:t xml:space="preserve"> </w:t>
      </w:r>
      <w:hyperlink r:id="rId4" w:tgtFrame="_blank" w:tooltip="Gives access to this document through its ELI URI." w:history="1">
        <w:r w:rsidRPr="008C6177">
          <w:rPr>
            <w:rStyle w:val="Hyperlink"/>
          </w:rPr>
          <w:t>http://data.europa.eu/eli/C/2025/3961/oj</w:t>
        </w:r>
      </w:hyperlink>
      <w:r w:rsidRPr="00D54F80">
        <w:rPr>
          <w:lang w:val="en-IE"/>
        </w:rPr>
        <w:t>)</w:t>
      </w:r>
      <w:r>
        <w:rPr>
          <w:lang w:val="en-IE"/>
        </w:rPr>
        <w:t>.</w:t>
      </w:r>
    </w:p>
  </w:footnote>
  <w:footnote w:id="7">
    <w:p w:rsidR="00824C6C" w:rsidRPr="00A72248" w:rsidRDefault="00824C6C" w:rsidP="00824C6C">
      <w:pPr>
        <w:pStyle w:val="FootnoteText"/>
      </w:pPr>
      <w:r w:rsidRPr="005317D3">
        <w:rPr>
          <w:rStyle w:val="FootnoteReference"/>
        </w:rPr>
        <w:footnoteRef/>
      </w:r>
      <w:r w:rsidR="0032732B">
        <w:tab/>
      </w:r>
      <w:r w:rsidRPr="005969E0">
        <w:t xml:space="preserve">Eurostat Euro Indicators </w:t>
      </w:r>
      <w:r w:rsidRPr="008E712F">
        <w:t xml:space="preserve">published </w:t>
      </w:r>
      <w:r w:rsidRPr="00C75C11">
        <w:t xml:space="preserve">on </w:t>
      </w:r>
      <w:r w:rsidRPr="00D76D3F">
        <w:rPr>
          <w:rFonts w:eastAsia="Calibri"/>
          <w:noProof/>
          <w:lang w:eastAsia="en-GB"/>
        </w:rPr>
        <w:t>22</w:t>
      </w:r>
      <w:r>
        <w:rPr>
          <w:noProof/>
          <w:lang w:val="en-IE"/>
        </w:rPr>
        <w:t xml:space="preserve"> April 2026 </w:t>
      </w:r>
      <w:r>
        <w:t>(</w:t>
      </w:r>
      <w:hyperlink r:id="rId5" w:history="1">
        <w:r w:rsidRPr="00510A29">
          <w:rPr>
            <w:rStyle w:val="Hyperlink"/>
          </w:rPr>
          <w:t>https://ec.europa.eu/eurostat/en/web/products-euro-indicators/w/2-22042026-bp</w:t>
        </w:r>
      </w:hyperlink>
      <w:r>
        <w:t>)</w:t>
      </w:r>
      <w:r w:rsidRPr="0029734B">
        <w:t xml:space="preserve">, in </w:t>
      </w:r>
      <w:r w:rsidRPr="00A72248">
        <w:t>accordance with Article 14 of Council Regulation (EC) No 479/2009.</w:t>
      </w:r>
    </w:p>
  </w:footnote>
  <w:footnote w:id="8">
    <w:p w:rsidR="00824C6C" w:rsidRPr="00B56881" w:rsidRDefault="00824C6C" w:rsidP="00824C6C">
      <w:pPr>
        <w:pStyle w:val="FootnoteText"/>
        <w:rPr>
          <w:lang w:val="en-IE"/>
        </w:rPr>
      </w:pPr>
      <w:r w:rsidRPr="005317D3">
        <w:rPr>
          <w:rStyle w:val="FootnoteReference"/>
        </w:rPr>
        <w:footnoteRef/>
      </w:r>
      <w:r w:rsidR="0032732B">
        <w:tab/>
      </w:r>
      <w:r w:rsidRPr="00FA6A49">
        <w:t>In line with the Commission Communication of 19 March 2025</w:t>
      </w:r>
      <w:r>
        <w:t xml:space="preserve">, </w:t>
      </w:r>
      <w:r w:rsidRPr="00D54F80">
        <w:rPr>
          <w:lang w:val="en-IE"/>
        </w:rPr>
        <w:t>C(2025) 2000 final</w:t>
      </w:r>
      <w:r w:rsidRPr="00FA6A49">
        <w:t xml:space="preserve">, if the national escape clause for defence spending is activated, the Commission and Council may decide not to reach a conclusion regarding the existence of an </w:t>
      </w:r>
      <w:r w:rsidRPr="00B56881">
        <w:rPr>
          <w:lang w:val="en-IE"/>
        </w:rPr>
        <w:t>excessive</w:t>
      </w:r>
      <w:r w:rsidRPr="00FA6A49">
        <w:t xml:space="preserve"> deficit in case of an excess of the deficit exceeding 3% of GDP, when this is due to an increase in defence expenditure.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52D" w:rsidRDefault="00CF0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52D" w:rsidRDefault="00CF05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CF00DE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4A627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0EE0EB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AEAC62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C75752E"/>
    <w:multiLevelType w:val="hybridMultilevel"/>
    <w:tmpl w:val="674C3B32"/>
    <w:lvl w:ilvl="0" w:tplc="4B628422">
      <w:start w:val="1"/>
      <w:numFmt w:val="decimal"/>
      <w:pStyle w:val="ListParagraph"/>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4"/>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4"/>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5 08:28: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981982B-52DE-4897-97A9-D55005B4D68A"/>
    <w:docVar w:name="LW_COVERPAGE_TYPE" w:val="1"/>
    <w:docVar w:name="LW_CreatedUtc" w:val="2026-05-21T08:10:14.8493723Z"/>
    <w:docVar w:name="LW_CROSSREFERENCE" w:val="&lt;UNUSED&gt;"/>
    <w:docVar w:name="LW_DocType" w:val="COM"/>
    <w:docVar w:name="LW_EMISSION" w:val="25.6.2026"/>
    <w:docVar w:name="LW_EMISSION_ISODATE" w:val="2026-06-25"/>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77"/>
    <w:docVar w:name="LW_REF.II.NEW.CP_YEAR" w:val="2026"/>
    <w:docVar w:name="LW_REF.INST.NEW" w:val="COM"/>
    <w:docVar w:name="LW_REF.INST.NEW_ADOPTED" w:val="final"/>
    <w:docVar w:name="LW_REF.INST.NEW_TEXT" w:val="(2026) 3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existence of an excessive deficit in Bulgaria"/>
    <w:docVar w:name="LW_TYPE.DOC.CP" w:val="COUNCIL DECISION"/>
    <w:docVar w:name="LwApiVersions" w:val="LW4CoDe 1.24.5.0; LW 9.2, Build 20251112"/>
  </w:docVars>
  <w:rsids>
    <w:rsidRoot w:val="00F978A0"/>
    <w:rsid w:val="00002620"/>
    <w:rsid w:val="000030BB"/>
    <w:rsid w:val="0000363A"/>
    <w:rsid w:val="0000368D"/>
    <w:rsid w:val="00007AC6"/>
    <w:rsid w:val="00010058"/>
    <w:rsid w:val="00010A75"/>
    <w:rsid w:val="00011525"/>
    <w:rsid w:val="00011AEC"/>
    <w:rsid w:val="0002206A"/>
    <w:rsid w:val="000220BD"/>
    <w:rsid w:val="00031336"/>
    <w:rsid w:val="00033BC7"/>
    <w:rsid w:val="00033C79"/>
    <w:rsid w:val="00035A92"/>
    <w:rsid w:val="00037D7A"/>
    <w:rsid w:val="00045BF2"/>
    <w:rsid w:val="00045E94"/>
    <w:rsid w:val="00053928"/>
    <w:rsid w:val="00057071"/>
    <w:rsid w:val="00070CB5"/>
    <w:rsid w:val="000717DC"/>
    <w:rsid w:val="000814BF"/>
    <w:rsid w:val="000817A5"/>
    <w:rsid w:val="00084EBC"/>
    <w:rsid w:val="0008531D"/>
    <w:rsid w:val="00095189"/>
    <w:rsid w:val="000970A0"/>
    <w:rsid w:val="000971DB"/>
    <w:rsid w:val="000A2860"/>
    <w:rsid w:val="000A48E0"/>
    <w:rsid w:val="000A5108"/>
    <w:rsid w:val="000A56E9"/>
    <w:rsid w:val="000A6510"/>
    <w:rsid w:val="000A75A8"/>
    <w:rsid w:val="000B0CB5"/>
    <w:rsid w:val="000B0FBB"/>
    <w:rsid w:val="000C20D2"/>
    <w:rsid w:val="000C3B84"/>
    <w:rsid w:val="000D4654"/>
    <w:rsid w:val="000D7ECA"/>
    <w:rsid w:val="000E6D06"/>
    <w:rsid w:val="000F3B9B"/>
    <w:rsid w:val="00102F34"/>
    <w:rsid w:val="0010525C"/>
    <w:rsid w:val="001065F5"/>
    <w:rsid w:val="00106C15"/>
    <w:rsid w:val="0011373A"/>
    <w:rsid w:val="00115D8E"/>
    <w:rsid w:val="00121FE1"/>
    <w:rsid w:val="001235C8"/>
    <w:rsid w:val="001238EF"/>
    <w:rsid w:val="00126AFC"/>
    <w:rsid w:val="00131C70"/>
    <w:rsid w:val="00143B89"/>
    <w:rsid w:val="00145D87"/>
    <w:rsid w:val="001463E2"/>
    <w:rsid w:val="00146DD5"/>
    <w:rsid w:val="00151881"/>
    <w:rsid w:val="0015354C"/>
    <w:rsid w:val="00153DAD"/>
    <w:rsid w:val="001825D6"/>
    <w:rsid w:val="0018343D"/>
    <w:rsid w:val="00184CB3"/>
    <w:rsid w:val="00191C8D"/>
    <w:rsid w:val="00194FA8"/>
    <w:rsid w:val="00197613"/>
    <w:rsid w:val="001A4D67"/>
    <w:rsid w:val="001A58CF"/>
    <w:rsid w:val="001A6642"/>
    <w:rsid w:val="001A776E"/>
    <w:rsid w:val="001B017B"/>
    <w:rsid w:val="001B24BA"/>
    <w:rsid w:val="001B309F"/>
    <w:rsid w:val="001B30B3"/>
    <w:rsid w:val="001B3787"/>
    <w:rsid w:val="001B7398"/>
    <w:rsid w:val="001B7DF2"/>
    <w:rsid w:val="001C1F65"/>
    <w:rsid w:val="001C5BE6"/>
    <w:rsid w:val="001C7FFB"/>
    <w:rsid w:val="001D03DF"/>
    <w:rsid w:val="001D17A8"/>
    <w:rsid w:val="001D6733"/>
    <w:rsid w:val="001E32EE"/>
    <w:rsid w:val="001F06AE"/>
    <w:rsid w:val="001F2899"/>
    <w:rsid w:val="001F5E97"/>
    <w:rsid w:val="001F68ED"/>
    <w:rsid w:val="001F7388"/>
    <w:rsid w:val="00201D9A"/>
    <w:rsid w:val="00202F11"/>
    <w:rsid w:val="0020531F"/>
    <w:rsid w:val="00210B6F"/>
    <w:rsid w:val="00213742"/>
    <w:rsid w:val="0021642B"/>
    <w:rsid w:val="002164FF"/>
    <w:rsid w:val="00220AD1"/>
    <w:rsid w:val="00220E3E"/>
    <w:rsid w:val="00222462"/>
    <w:rsid w:val="00222B90"/>
    <w:rsid w:val="00226126"/>
    <w:rsid w:val="00227EF4"/>
    <w:rsid w:val="002322C3"/>
    <w:rsid w:val="0023254B"/>
    <w:rsid w:val="00233DC7"/>
    <w:rsid w:val="0023491D"/>
    <w:rsid w:val="0024171C"/>
    <w:rsid w:val="00241C1B"/>
    <w:rsid w:val="00241FBF"/>
    <w:rsid w:val="00243B03"/>
    <w:rsid w:val="00244112"/>
    <w:rsid w:val="00247779"/>
    <w:rsid w:val="0025461A"/>
    <w:rsid w:val="00255CDD"/>
    <w:rsid w:val="002633BC"/>
    <w:rsid w:val="0026425D"/>
    <w:rsid w:val="002663DA"/>
    <w:rsid w:val="00270FEF"/>
    <w:rsid w:val="00273D77"/>
    <w:rsid w:val="00284B99"/>
    <w:rsid w:val="00285BEE"/>
    <w:rsid w:val="0029073B"/>
    <w:rsid w:val="0029514D"/>
    <w:rsid w:val="0029533F"/>
    <w:rsid w:val="002960A7"/>
    <w:rsid w:val="002A478F"/>
    <w:rsid w:val="002A4DBC"/>
    <w:rsid w:val="002B2327"/>
    <w:rsid w:val="002B30AF"/>
    <w:rsid w:val="002B4713"/>
    <w:rsid w:val="002C0E46"/>
    <w:rsid w:val="002C6114"/>
    <w:rsid w:val="002C72A8"/>
    <w:rsid w:val="002D0B8F"/>
    <w:rsid w:val="002D4DA4"/>
    <w:rsid w:val="002E0457"/>
    <w:rsid w:val="002E337A"/>
    <w:rsid w:val="002E764B"/>
    <w:rsid w:val="002F3596"/>
    <w:rsid w:val="002F772D"/>
    <w:rsid w:val="00302E4B"/>
    <w:rsid w:val="00304280"/>
    <w:rsid w:val="00304DF6"/>
    <w:rsid w:val="00312B80"/>
    <w:rsid w:val="003133FD"/>
    <w:rsid w:val="003141C7"/>
    <w:rsid w:val="00314B2F"/>
    <w:rsid w:val="00316ABB"/>
    <w:rsid w:val="00316C29"/>
    <w:rsid w:val="0032732B"/>
    <w:rsid w:val="0033344A"/>
    <w:rsid w:val="0033510C"/>
    <w:rsid w:val="003367AF"/>
    <w:rsid w:val="00343009"/>
    <w:rsid w:val="003463BE"/>
    <w:rsid w:val="00352CFD"/>
    <w:rsid w:val="00360C07"/>
    <w:rsid w:val="00361FC0"/>
    <w:rsid w:val="00362083"/>
    <w:rsid w:val="003629A1"/>
    <w:rsid w:val="00362E9D"/>
    <w:rsid w:val="00363B3E"/>
    <w:rsid w:val="00363EE2"/>
    <w:rsid w:val="00363F69"/>
    <w:rsid w:val="003728BC"/>
    <w:rsid w:val="003733D3"/>
    <w:rsid w:val="00377560"/>
    <w:rsid w:val="0038116A"/>
    <w:rsid w:val="00383039"/>
    <w:rsid w:val="00392F5F"/>
    <w:rsid w:val="003A1C77"/>
    <w:rsid w:val="003A22B6"/>
    <w:rsid w:val="003A7187"/>
    <w:rsid w:val="003B2D2F"/>
    <w:rsid w:val="003B6EB6"/>
    <w:rsid w:val="003B7E4C"/>
    <w:rsid w:val="003C4649"/>
    <w:rsid w:val="003D386A"/>
    <w:rsid w:val="003E2767"/>
    <w:rsid w:val="003E79C8"/>
    <w:rsid w:val="003F383A"/>
    <w:rsid w:val="003F762F"/>
    <w:rsid w:val="003F7DFA"/>
    <w:rsid w:val="00402086"/>
    <w:rsid w:val="0040680E"/>
    <w:rsid w:val="004078E6"/>
    <w:rsid w:val="00411A76"/>
    <w:rsid w:val="00413D60"/>
    <w:rsid w:val="00415461"/>
    <w:rsid w:val="00425FB3"/>
    <w:rsid w:val="0042642B"/>
    <w:rsid w:val="0042648E"/>
    <w:rsid w:val="00427A86"/>
    <w:rsid w:val="00432BF4"/>
    <w:rsid w:val="00433689"/>
    <w:rsid w:val="004352C3"/>
    <w:rsid w:val="00436E10"/>
    <w:rsid w:val="004436E7"/>
    <w:rsid w:val="0045086F"/>
    <w:rsid w:val="00455878"/>
    <w:rsid w:val="004624E4"/>
    <w:rsid w:val="004628DC"/>
    <w:rsid w:val="004631AF"/>
    <w:rsid w:val="0046324E"/>
    <w:rsid w:val="00464B5C"/>
    <w:rsid w:val="00475901"/>
    <w:rsid w:val="004815DE"/>
    <w:rsid w:val="0048446C"/>
    <w:rsid w:val="00487829"/>
    <w:rsid w:val="00492B9D"/>
    <w:rsid w:val="004936D2"/>
    <w:rsid w:val="004A16A4"/>
    <w:rsid w:val="004A539B"/>
    <w:rsid w:val="004A70BA"/>
    <w:rsid w:val="004A7825"/>
    <w:rsid w:val="004A7ED4"/>
    <w:rsid w:val="004B05F8"/>
    <w:rsid w:val="004B17BA"/>
    <w:rsid w:val="004B330E"/>
    <w:rsid w:val="004B78B2"/>
    <w:rsid w:val="004C4CC2"/>
    <w:rsid w:val="004C76C6"/>
    <w:rsid w:val="004C7C69"/>
    <w:rsid w:val="004E514D"/>
    <w:rsid w:val="004E64F4"/>
    <w:rsid w:val="004F013E"/>
    <w:rsid w:val="004F3F76"/>
    <w:rsid w:val="004F7CA1"/>
    <w:rsid w:val="005122E6"/>
    <w:rsid w:val="005161C4"/>
    <w:rsid w:val="00521D51"/>
    <w:rsid w:val="00524081"/>
    <w:rsid w:val="00525893"/>
    <w:rsid w:val="005271AD"/>
    <w:rsid w:val="005317D3"/>
    <w:rsid w:val="00531BAD"/>
    <w:rsid w:val="00531D66"/>
    <w:rsid w:val="00535619"/>
    <w:rsid w:val="00543D02"/>
    <w:rsid w:val="005451F3"/>
    <w:rsid w:val="00550BF8"/>
    <w:rsid w:val="0055657D"/>
    <w:rsid w:val="0056375C"/>
    <w:rsid w:val="00566031"/>
    <w:rsid w:val="00566A5C"/>
    <w:rsid w:val="00576B36"/>
    <w:rsid w:val="00581A1E"/>
    <w:rsid w:val="00583DDD"/>
    <w:rsid w:val="005954C0"/>
    <w:rsid w:val="005A2740"/>
    <w:rsid w:val="005A2CEA"/>
    <w:rsid w:val="005A4B53"/>
    <w:rsid w:val="005B1EB6"/>
    <w:rsid w:val="005B3120"/>
    <w:rsid w:val="005B6A71"/>
    <w:rsid w:val="005C08E1"/>
    <w:rsid w:val="005C5839"/>
    <w:rsid w:val="005C6648"/>
    <w:rsid w:val="005D1F90"/>
    <w:rsid w:val="005E104C"/>
    <w:rsid w:val="005E58D8"/>
    <w:rsid w:val="005E67A1"/>
    <w:rsid w:val="005E6A7C"/>
    <w:rsid w:val="005E6AB9"/>
    <w:rsid w:val="005F21DF"/>
    <w:rsid w:val="005F253D"/>
    <w:rsid w:val="005F487B"/>
    <w:rsid w:val="005F53D4"/>
    <w:rsid w:val="00602297"/>
    <w:rsid w:val="006038D2"/>
    <w:rsid w:val="00613B39"/>
    <w:rsid w:val="006179DD"/>
    <w:rsid w:val="00625F86"/>
    <w:rsid w:val="00630A7C"/>
    <w:rsid w:val="00632084"/>
    <w:rsid w:val="00637740"/>
    <w:rsid w:val="00640052"/>
    <w:rsid w:val="0064309F"/>
    <w:rsid w:val="006541E0"/>
    <w:rsid w:val="006567D2"/>
    <w:rsid w:val="00662022"/>
    <w:rsid w:val="0068089B"/>
    <w:rsid w:val="00680C7A"/>
    <w:rsid w:val="0068275E"/>
    <w:rsid w:val="00682C61"/>
    <w:rsid w:val="006928DB"/>
    <w:rsid w:val="00695A24"/>
    <w:rsid w:val="006B4E64"/>
    <w:rsid w:val="006C60F4"/>
    <w:rsid w:val="006C67D0"/>
    <w:rsid w:val="006D0A28"/>
    <w:rsid w:val="006D12E9"/>
    <w:rsid w:val="006D2045"/>
    <w:rsid w:val="006D2CA5"/>
    <w:rsid w:val="006D2CE3"/>
    <w:rsid w:val="006D4B31"/>
    <w:rsid w:val="006D6C64"/>
    <w:rsid w:val="006E1EA1"/>
    <w:rsid w:val="006E1F02"/>
    <w:rsid w:val="006E61C7"/>
    <w:rsid w:val="006E78D9"/>
    <w:rsid w:val="006F29D7"/>
    <w:rsid w:val="006F3A05"/>
    <w:rsid w:val="00705079"/>
    <w:rsid w:val="00705DDD"/>
    <w:rsid w:val="00710D17"/>
    <w:rsid w:val="007168D9"/>
    <w:rsid w:val="00717297"/>
    <w:rsid w:val="007235EA"/>
    <w:rsid w:val="00724D7C"/>
    <w:rsid w:val="00730595"/>
    <w:rsid w:val="00730C43"/>
    <w:rsid w:val="007335BD"/>
    <w:rsid w:val="007340CF"/>
    <w:rsid w:val="0073492E"/>
    <w:rsid w:val="007366D5"/>
    <w:rsid w:val="00740F7A"/>
    <w:rsid w:val="00742EE6"/>
    <w:rsid w:val="00744E10"/>
    <w:rsid w:val="00746884"/>
    <w:rsid w:val="00747B02"/>
    <w:rsid w:val="007567B4"/>
    <w:rsid w:val="00756F92"/>
    <w:rsid w:val="00760CD2"/>
    <w:rsid w:val="00765045"/>
    <w:rsid w:val="00773331"/>
    <w:rsid w:val="00773AE0"/>
    <w:rsid w:val="00777129"/>
    <w:rsid w:val="007828F7"/>
    <w:rsid w:val="0078495D"/>
    <w:rsid w:val="00786CD7"/>
    <w:rsid w:val="00792417"/>
    <w:rsid w:val="00792564"/>
    <w:rsid w:val="007932EF"/>
    <w:rsid w:val="0079758C"/>
    <w:rsid w:val="007A2FE8"/>
    <w:rsid w:val="007B2646"/>
    <w:rsid w:val="007B4FF2"/>
    <w:rsid w:val="007B65C8"/>
    <w:rsid w:val="007C200E"/>
    <w:rsid w:val="007D1AC6"/>
    <w:rsid w:val="007D58EC"/>
    <w:rsid w:val="007D7018"/>
    <w:rsid w:val="007E021E"/>
    <w:rsid w:val="007E05B0"/>
    <w:rsid w:val="007E63C9"/>
    <w:rsid w:val="007F164D"/>
    <w:rsid w:val="007F16ED"/>
    <w:rsid w:val="007F5FA4"/>
    <w:rsid w:val="007F7E66"/>
    <w:rsid w:val="00811578"/>
    <w:rsid w:val="0081638F"/>
    <w:rsid w:val="00817757"/>
    <w:rsid w:val="00821906"/>
    <w:rsid w:val="008224C1"/>
    <w:rsid w:val="00822F4D"/>
    <w:rsid w:val="00824C6C"/>
    <w:rsid w:val="00833857"/>
    <w:rsid w:val="008364AC"/>
    <w:rsid w:val="0083673A"/>
    <w:rsid w:val="00837C0A"/>
    <w:rsid w:val="00840C08"/>
    <w:rsid w:val="008414A3"/>
    <w:rsid w:val="008419C7"/>
    <w:rsid w:val="00842E99"/>
    <w:rsid w:val="008443A2"/>
    <w:rsid w:val="00854FE8"/>
    <w:rsid w:val="0086067F"/>
    <w:rsid w:val="00863F17"/>
    <w:rsid w:val="00864E0D"/>
    <w:rsid w:val="00866292"/>
    <w:rsid w:val="00866BBC"/>
    <w:rsid w:val="00874D22"/>
    <w:rsid w:val="0088303E"/>
    <w:rsid w:val="00886CE2"/>
    <w:rsid w:val="008954F3"/>
    <w:rsid w:val="0089561F"/>
    <w:rsid w:val="008A15CB"/>
    <w:rsid w:val="008A214A"/>
    <w:rsid w:val="008A22F6"/>
    <w:rsid w:val="008A2914"/>
    <w:rsid w:val="008B1D6B"/>
    <w:rsid w:val="008B2449"/>
    <w:rsid w:val="008B2B9D"/>
    <w:rsid w:val="008B38E1"/>
    <w:rsid w:val="008B3C21"/>
    <w:rsid w:val="008C083E"/>
    <w:rsid w:val="008C0A49"/>
    <w:rsid w:val="008C19E2"/>
    <w:rsid w:val="008C287B"/>
    <w:rsid w:val="008C3D77"/>
    <w:rsid w:val="008C5D98"/>
    <w:rsid w:val="008E2634"/>
    <w:rsid w:val="008E4D8E"/>
    <w:rsid w:val="008E5383"/>
    <w:rsid w:val="008F1BB0"/>
    <w:rsid w:val="008F438D"/>
    <w:rsid w:val="008F4F2B"/>
    <w:rsid w:val="008F60F9"/>
    <w:rsid w:val="009015E9"/>
    <w:rsid w:val="00903EB3"/>
    <w:rsid w:val="00912211"/>
    <w:rsid w:val="00915590"/>
    <w:rsid w:val="00917311"/>
    <w:rsid w:val="0093001C"/>
    <w:rsid w:val="00931006"/>
    <w:rsid w:val="00934FB6"/>
    <w:rsid w:val="00940558"/>
    <w:rsid w:val="00940A17"/>
    <w:rsid w:val="00941A4F"/>
    <w:rsid w:val="00945772"/>
    <w:rsid w:val="009529A4"/>
    <w:rsid w:val="0095796E"/>
    <w:rsid w:val="009617DD"/>
    <w:rsid w:val="009628EB"/>
    <w:rsid w:val="00962C16"/>
    <w:rsid w:val="009660C0"/>
    <w:rsid w:val="009669BA"/>
    <w:rsid w:val="00984793"/>
    <w:rsid w:val="009872ED"/>
    <w:rsid w:val="00987B13"/>
    <w:rsid w:val="00991485"/>
    <w:rsid w:val="00992E45"/>
    <w:rsid w:val="0099649F"/>
    <w:rsid w:val="009A1B44"/>
    <w:rsid w:val="009A32B3"/>
    <w:rsid w:val="009A6C48"/>
    <w:rsid w:val="009A726D"/>
    <w:rsid w:val="009B331D"/>
    <w:rsid w:val="009B5861"/>
    <w:rsid w:val="009B7753"/>
    <w:rsid w:val="009C1C45"/>
    <w:rsid w:val="009C2DB1"/>
    <w:rsid w:val="009D09A2"/>
    <w:rsid w:val="009D79E0"/>
    <w:rsid w:val="009E7D72"/>
    <w:rsid w:val="009F384B"/>
    <w:rsid w:val="009F5F03"/>
    <w:rsid w:val="009F6047"/>
    <w:rsid w:val="009F6A52"/>
    <w:rsid w:val="009F7027"/>
    <w:rsid w:val="009F77E7"/>
    <w:rsid w:val="00A122F3"/>
    <w:rsid w:val="00A14618"/>
    <w:rsid w:val="00A16942"/>
    <w:rsid w:val="00A1717C"/>
    <w:rsid w:val="00A2083A"/>
    <w:rsid w:val="00A2574F"/>
    <w:rsid w:val="00A267CA"/>
    <w:rsid w:val="00A314EE"/>
    <w:rsid w:val="00A32130"/>
    <w:rsid w:val="00A35761"/>
    <w:rsid w:val="00A3606E"/>
    <w:rsid w:val="00A36DC1"/>
    <w:rsid w:val="00A37336"/>
    <w:rsid w:val="00A44C11"/>
    <w:rsid w:val="00A5118B"/>
    <w:rsid w:val="00A540BE"/>
    <w:rsid w:val="00A54AA5"/>
    <w:rsid w:val="00A6026F"/>
    <w:rsid w:val="00A60270"/>
    <w:rsid w:val="00A60492"/>
    <w:rsid w:val="00A62EA4"/>
    <w:rsid w:val="00A646BE"/>
    <w:rsid w:val="00A65430"/>
    <w:rsid w:val="00A65880"/>
    <w:rsid w:val="00A67680"/>
    <w:rsid w:val="00A70A4A"/>
    <w:rsid w:val="00A74ABE"/>
    <w:rsid w:val="00A75A28"/>
    <w:rsid w:val="00A779C7"/>
    <w:rsid w:val="00A80B58"/>
    <w:rsid w:val="00A851F3"/>
    <w:rsid w:val="00A86A2E"/>
    <w:rsid w:val="00A92B70"/>
    <w:rsid w:val="00A92E00"/>
    <w:rsid w:val="00A94616"/>
    <w:rsid w:val="00A97C79"/>
    <w:rsid w:val="00AA6540"/>
    <w:rsid w:val="00AA69F1"/>
    <w:rsid w:val="00AA6FAA"/>
    <w:rsid w:val="00AB003F"/>
    <w:rsid w:val="00AB1C04"/>
    <w:rsid w:val="00AB4C11"/>
    <w:rsid w:val="00AC5981"/>
    <w:rsid w:val="00AD1D85"/>
    <w:rsid w:val="00AD59C3"/>
    <w:rsid w:val="00AE2643"/>
    <w:rsid w:val="00AE3010"/>
    <w:rsid w:val="00AE3190"/>
    <w:rsid w:val="00AE5EE6"/>
    <w:rsid w:val="00AE68EE"/>
    <w:rsid w:val="00AF1352"/>
    <w:rsid w:val="00B021AA"/>
    <w:rsid w:val="00B02CD3"/>
    <w:rsid w:val="00B031B9"/>
    <w:rsid w:val="00B05009"/>
    <w:rsid w:val="00B15C38"/>
    <w:rsid w:val="00B20194"/>
    <w:rsid w:val="00B20A8C"/>
    <w:rsid w:val="00B240C7"/>
    <w:rsid w:val="00B248DF"/>
    <w:rsid w:val="00B263F5"/>
    <w:rsid w:val="00B310E6"/>
    <w:rsid w:val="00B34361"/>
    <w:rsid w:val="00B351D4"/>
    <w:rsid w:val="00B411A1"/>
    <w:rsid w:val="00B42620"/>
    <w:rsid w:val="00B43C9B"/>
    <w:rsid w:val="00B45758"/>
    <w:rsid w:val="00B47137"/>
    <w:rsid w:val="00B55202"/>
    <w:rsid w:val="00B732F1"/>
    <w:rsid w:val="00B75964"/>
    <w:rsid w:val="00B7697A"/>
    <w:rsid w:val="00B76A94"/>
    <w:rsid w:val="00B76ED4"/>
    <w:rsid w:val="00B8220E"/>
    <w:rsid w:val="00B91A27"/>
    <w:rsid w:val="00B91D97"/>
    <w:rsid w:val="00B92968"/>
    <w:rsid w:val="00B93747"/>
    <w:rsid w:val="00B9539F"/>
    <w:rsid w:val="00B95FAB"/>
    <w:rsid w:val="00B96D77"/>
    <w:rsid w:val="00BA50B8"/>
    <w:rsid w:val="00BB079B"/>
    <w:rsid w:val="00BB0AA6"/>
    <w:rsid w:val="00BB53D8"/>
    <w:rsid w:val="00BB610C"/>
    <w:rsid w:val="00BC7CDC"/>
    <w:rsid w:val="00BD0B7E"/>
    <w:rsid w:val="00BD3099"/>
    <w:rsid w:val="00BD44AA"/>
    <w:rsid w:val="00BE4663"/>
    <w:rsid w:val="00BE4782"/>
    <w:rsid w:val="00BE48A8"/>
    <w:rsid w:val="00BE5FB0"/>
    <w:rsid w:val="00BE7630"/>
    <w:rsid w:val="00BF0D57"/>
    <w:rsid w:val="00BF2A70"/>
    <w:rsid w:val="00BF41E1"/>
    <w:rsid w:val="00BF7D19"/>
    <w:rsid w:val="00C024B4"/>
    <w:rsid w:val="00C0352C"/>
    <w:rsid w:val="00C10955"/>
    <w:rsid w:val="00C1217D"/>
    <w:rsid w:val="00C12301"/>
    <w:rsid w:val="00C23178"/>
    <w:rsid w:val="00C23CE3"/>
    <w:rsid w:val="00C24A42"/>
    <w:rsid w:val="00C26341"/>
    <w:rsid w:val="00C34B3D"/>
    <w:rsid w:val="00C355FC"/>
    <w:rsid w:val="00C35C94"/>
    <w:rsid w:val="00C40A99"/>
    <w:rsid w:val="00C44639"/>
    <w:rsid w:val="00C501E4"/>
    <w:rsid w:val="00C51922"/>
    <w:rsid w:val="00C779FA"/>
    <w:rsid w:val="00C77C0B"/>
    <w:rsid w:val="00C80097"/>
    <w:rsid w:val="00C80305"/>
    <w:rsid w:val="00C8320F"/>
    <w:rsid w:val="00C86075"/>
    <w:rsid w:val="00C875C5"/>
    <w:rsid w:val="00CA4E55"/>
    <w:rsid w:val="00CA769B"/>
    <w:rsid w:val="00CB053F"/>
    <w:rsid w:val="00CB3C9C"/>
    <w:rsid w:val="00CB3DD0"/>
    <w:rsid w:val="00CB42BE"/>
    <w:rsid w:val="00CB648C"/>
    <w:rsid w:val="00CC4C80"/>
    <w:rsid w:val="00CC6272"/>
    <w:rsid w:val="00CC758F"/>
    <w:rsid w:val="00CC75C2"/>
    <w:rsid w:val="00CD1208"/>
    <w:rsid w:val="00CD181B"/>
    <w:rsid w:val="00CD2C45"/>
    <w:rsid w:val="00CD4059"/>
    <w:rsid w:val="00CD5D18"/>
    <w:rsid w:val="00CD61BA"/>
    <w:rsid w:val="00CD6304"/>
    <w:rsid w:val="00CE03C3"/>
    <w:rsid w:val="00CE1D47"/>
    <w:rsid w:val="00CE2168"/>
    <w:rsid w:val="00CE72CF"/>
    <w:rsid w:val="00CF052D"/>
    <w:rsid w:val="00CF32AF"/>
    <w:rsid w:val="00CF3CFA"/>
    <w:rsid w:val="00CF575A"/>
    <w:rsid w:val="00D0147C"/>
    <w:rsid w:val="00D02743"/>
    <w:rsid w:val="00D0513E"/>
    <w:rsid w:val="00D07EE9"/>
    <w:rsid w:val="00D12134"/>
    <w:rsid w:val="00D16F9C"/>
    <w:rsid w:val="00D20381"/>
    <w:rsid w:val="00D22F06"/>
    <w:rsid w:val="00D30625"/>
    <w:rsid w:val="00D359F0"/>
    <w:rsid w:val="00D36D83"/>
    <w:rsid w:val="00D408B7"/>
    <w:rsid w:val="00D458AB"/>
    <w:rsid w:val="00D51D79"/>
    <w:rsid w:val="00D51E7F"/>
    <w:rsid w:val="00D52615"/>
    <w:rsid w:val="00D719A5"/>
    <w:rsid w:val="00D74A35"/>
    <w:rsid w:val="00D75A51"/>
    <w:rsid w:val="00D768B9"/>
    <w:rsid w:val="00D80128"/>
    <w:rsid w:val="00D813AD"/>
    <w:rsid w:val="00D824E8"/>
    <w:rsid w:val="00D82529"/>
    <w:rsid w:val="00D82E74"/>
    <w:rsid w:val="00D84365"/>
    <w:rsid w:val="00D86D7B"/>
    <w:rsid w:val="00DA124B"/>
    <w:rsid w:val="00DA1BB2"/>
    <w:rsid w:val="00DA788B"/>
    <w:rsid w:val="00DB4D8C"/>
    <w:rsid w:val="00DC4A2E"/>
    <w:rsid w:val="00DD27F8"/>
    <w:rsid w:val="00DD7069"/>
    <w:rsid w:val="00DE2A96"/>
    <w:rsid w:val="00DE66FF"/>
    <w:rsid w:val="00DF05F0"/>
    <w:rsid w:val="00DF30CD"/>
    <w:rsid w:val="00E01511"/>
    <w:rsid w:val="00E01C15"/>
    <w:rsid w:val="00E0772A"/>
    <w:rsid w:val="00E1138C"/>
    <w:rsid w:val="00E12311"/>
    <w:rsid w:val="00E1585B"/>
    <w:rsid w:val="00E21596"/>
    <w:rsid w:val="00E2194E"/>
    <w:rsid w:val="00E277A5"/>
    <w:rsid w:val="00E27E12"/>
    <w:rsid w:val="00E40516"/>
    <w:rsid w:val="00E42F44"/>
    <w:rsid w:val="00E53542"/>
    <w:rsid w:val="00E55162"/>
    <w:rsid w:val="00E6059E"/>
    <w:rsid w:val="00E664ED"/>
    <w:rsid w:val="00E72337"/>
    <w:rsid w:val="00E734E7"/>
    <w:rsid w:val="00E7401B"/>
    <w:rsid w:val="00E75977"/>
    <w:rsid w:val="00E769E4"/>
    <w:rsid w:val="00E802BD"/>
    <w:rsid w:val="00E8261D"/>
    <w:rsid w:val="00E82DAA"/>
    <w:rsid w:val="00E91A21"/>
    <w:rsid w:val="00E9219D"/>
    <w:rsid w:val="00E931A4"/>
    <w:rsid w:val="00E94DB8"/>
    <w:rsid w:val="00EA3A91"/>
    <w:rsid w:val="00EA4F30"/>
    <w:rsid w:val="00EA58F6"/>
    <w:rsid w:val="00EA5E67"/>
    <w:rsid w:val="00EB1679"/>
    <w:rsid w:val="00EB2EDE"/>
    <w:rsid w:val="00EB46E8"/>
    <w:rsid w:val="00EC6AD1"/>
    <w:rsid w:val="00ED263B"/>
    <w:rsid w:val="00EE03E6"/>
    <w:rsid w:val="00EE1644"/>
    <w:rsid w:val="00EE2E31"/>
    <w:rsid w:val="00EE2E65"/>
    <w:rsid w:val="00EF46C1"/>
    <w:rsid w:val="00EF4CEF"/>
    <w:rsid w:val="00F02C90"/>
    <w:rsid w:val="00F03203"/>
    <w:rsid w:val="00F0651B"/>
    <w:rsid w:val="00F1577C"/>
    <w:rsid w:val="00F247A7"/>
    <w:rsid w:val="00F24E0F"/>
    <w:rsid w:val="00F26E1B"/>
    <w:rsid w:val="00F30346"/>
    <w:rsid w:val="00F324FA"/>
    <w:rsid w:val="00F33F68"/>
    <w:rsid w:val="00F374DC"/>
    <w:rsid w:val="00F45814"/>
    <w:rsid w:val="00F45EE1"/>
    <w:rsid w:val="00F4742A"/>
    <w:rsid w:val="00F47A9B"/>
    <w:rsid w:val="00F511DC"/>
    <w:rsid w:val="00F52B01"/>
    <w:rsid w:val="00F5789A"/>
    <w:rsid w:val="00F66151"/>
    <w:rsid w:val="00F7182D"/>
    <w:rsid w:val="00F76A78"/>
    <w:rsid w:val="00F8545A"/>
    <w:rsid w:val="00F86AD0"/>
    <w:rsid w:val="00F90B43"/>
    <w:rsid w:val="00F9565B"/>
    <w:rsid w:val="00F95F40"/>
    <w:rsid w:val="00F96101"/>
    <w:rsid w:val="00F969B2"/>
    <w:rsid w:val="00F978A0"/>
    <w:rsid w:val="00F97A45"/>
    <w:rsid w:val="00FA0030"/>
    <w:rsid w:val="00FA12EA"/>
    <w:rsid w:val="00FA21D5"/>
    <w:rsid w:val="00FB012C"/>
    <w:rsid w:val="00FB1685"/>
    <w:rsid w:val="00FB43B7"/>
    <w:rsid w:val="00FB5F3E"/>
    <w:rsid w:val="00FB7CD6"/>
    <w:rsid w:val="00FC0D3C"/>
    <w:rsid w:val="00FC26DB"/>
    <w:rsid w:val="00FC38E4"/>
    <w:rsid w:val="00FC38F8"/>
    <w:rsid w:val="00FC68E1"/>
    <w:rsid w:val="00FD0DE4"/>
    <w:rsid w:val="00FE6265"/>
    <w:rsid w:val="00FF0982"/>
    <w:rsid w:val="00FF67EE"/>
    <w:rsid w:val="2DF17A9A"/>
    <w:rsid w:val="5BAD80BE"/>
    <w:rsid w:val="7E82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51201"/>
    <o:shapelayout v:ext="edit">
      <o:idmap v:ext="edit" data="1"/>
    </o:shapelayout>
  </w:shapeDefaults>
  <w:decimalSymbol w:val=","/>
  <w:listSeparator w:val=";"/>
  <w15:docId w15:val="{69863510-9CBC-43CF-B48F-FCAFD8BD0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42B"/>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rsid w:val="0042642B"/>
    <w:pPr>
      <w:spacing w:after="160" w:line="240" w:lineRule="exact"/>
      <w:ind w:left="357"/>
    </w:pPr>
    <w:rPr>
      <w:rFonts w:asciiTheme="minorHAnsi" w:hAnsiTheme="minorHAnsi" w:cstheme="minorBidi"/>
      <w:sz w:val="22"/>
      <w:vertAlign w:val="superscript"/>
      <w:lang w:val="en-US"/>
    </w:rPr>
  </w:style>
  <w:style w:type="character" w:customStyle="1" w:styleId="normaltextrun">
    <w:name w:val="normaltextrun"/>
    <w:basedOn w:val="DefaultParagraphFont"/>
    <w:rsid w:val="00A36DC1"/>
  </w:style>
  <w:style w:type="character" w:styleId="CommentReference">
    <w:name w:val="annotation reference"/>
    <w:basedOn w:val="DefaultParagraphFont"/>
    <w:uiPriority w:val="99"/>
    <w:semiHidden/>
    <w:unhideWhenUsed/>
    <w:rsid w:val="003463BE"/>
    <w:rPr>
      <w:sz w:val="16"/>
      <w:szCs w:val="16"/>
    </w:rPr>
  </w:style>
  <w:style w:type="paragraph" w:styleId="CommentText">
    <w:name w:val="annotation text"/>
    <w:basedOn w:val="Normal"/>
    <w:link w:val="CommentTextChar"/>
    <w:uiPriority w:val="99"/>
    <w:unhideWhenUsed/>
    <w:rsid w:val="003463BE"/>
    <w:rPr>
      <w:sz w:val="20"/>
      <w:szCs w:val="20"/>
    </w:rPr>
  </w:style>
  <w:style w:type="character" w:customStyle="1" w:styleId="CommentTextChar">
    <w:name w:val="Comment Text Char"/>
    <w:basedOn w:val="DefaultParagraphFont"/>
    <w:link w:val="CommentText"/>
    <w:uiPriority w:val="99"/>
    <w:rsid w:val="003463B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463BE"/>
    <w:rPr>
      <w:b/>
      <w:bCs/>
    </w:rPr>
  </w:style>
  <w:style w:type="character" w:customStyle="1" w:styleId="CommentSubjectChar">
    <w:name w:val="Comment Subject Char"/>
    <w:basedOn w:val="CommentTextChar"/>
    <w:link w:val="CommentSubject"/>
    <w:uiPriority w:val="99"/>
    <w:semiHidden/>
    <w:rsid w:val="003463BE"/>
    <w:rPr>
      <w:rFonts w:ascii="Times New Roman" w:hAnsi="Times New Roman" w:cs="Times New Roman"/>
      <w:b/>
      <w:bCs/>
      <w:sz w:val="20"/>
      <w:szCs w:val="20"/>
      <w:lang w:val="en-GB"/>
    </w:rPr>
  </w:style>
  <w:style w:type="paragraph" w:styleId="ListBullet">
    <w:name w:val="List Bullet"/>
    <w:basedOn w:val="Normal"/>
    <w:uiPriority w:val="99"/>
    <w:semiHidden/>
    <w:unhideWhenUsed/>
    <w:rsid w:val="00DF05F0"/>
    <w:pPr>
      <w:numPr>
        <w:numId w:val="2"/>
      </w:numPr>
      <w:contextualSpacing/>
    </w:pPr>
  </w:style>
  <w:style w:type="paragraph" w:styleId="ListBullet2">
    <w:name w:val="List Bullet 2"/>
    <w:basedOn w:val="Normal"/>
    <w:uiPriority w:val="99"/>
    <w:semiHidden/>
    <w:unhideWhenUsed/>
    <w:rsid w:val="00DF05F0"/>
    <w:pPr>
      <w:numPr>
        <w:numId w:val="3"/>
      </w:numPr>
      <w:contextualSpacing/>
    </w:pPr>
  </w:style>
  <w:style w:type="paragraph" w:styleId="ListBullet3">
    <w:name w:val="List Bullet 3"/>
    <w:basedOn w:val="Normal"/>
    <w:uiPriority w:val="99"/>
    <w:semiHidden/>
    <w:unhideWhenUsed/>
    <w:rsid w:val="00DF05F0"/>
    <w:pPr>
      <w:numPr>
        <w:numId w:val="4"/>
      </w:numPr>
      <w:contextualSpacing/>
    </w:pPr>
  </w:style>
  <w:style w:type="paragraph" w:styleId="ListBullet4">
    <w:name w:val="List Bullet 4"/>
    <w:basedOn w:val="Normal"/>
    <w:uiPriority w:val="99"/>
    <w:semiHidden/>
    <w:unhideWhenUsed/>
    <w:rsid w:val="00DF05F0"/>
    <w:pPr>
      <w:numPr>
        <w:numId w:val="5"/>
      </w:numPr>
      <w:contextualSpacing/>
    </w:pPr>
  </w:style>
  <w:style w:type="paragraph" w:styleId="Revision">
    <w:name w:val="Revision"/>
    <w:hidden/>
    <w:uiPriority w:val="99"/>
    <w:semiHidden/>
    <w:rsid w:val="00DF05F0"/>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EE03E6"/>
    <w:rPr>
      <w:color w:val="605E5C"/>
      <w:shd w:val="clear" w:color="auto" w:fill="E1DFDD"/>
    </w:rPr>
  </w:style>
  <w:style w:type="character" w:styleId="FollowedHyperlink">
    <w:name w:val="FollowedHyperlink"/>
    <w:basedOn w:val="DefaultParagraphFont"/>
    <w:uiPriority w:val="99"/>
    <w:semiHidden/>
    <w:unhideWhenUsed/>
    <w:rsid w:val="00EE03E6"/>
    <w:rPr>
      <w:color w:val="800080" w:themeColor="followedHyperlink"/>
      <w:u w:val="single"/>
    </w:rPr>
  </w:style>
  <w:style w:type="character" w:customStyle="1" w:styleId="eop">
    <w:name w:val="eop"/>
    <w:basedOn w:val="DefaultParagraphFont"/>
    <w:rsid w:val="00B310E6"/>
  </w:style>
  <w:style w:type="paragraph" w:customStyle="1" w:styleId="paragraph">
    <w:name w:val="paragraph"/>
    <w:basedOn w:val="Normal"/>
    <w:rsid w:val="00B310E6"/>
    <w:pPr>
      <w:spacing w:before="100" w:beforeAutospacing="1" w:after="100" w:afterAutospacing="1"/>
      <w:jc w:val="left"/>
    </w:pPr>
    <w:rPr>
      <w:rFonts w:eastAsia="Times New Roman"/>
      <w:szCs w:val="24"/>
      <w:lang w:val="en-IE" w:eastAsia="en-IE"/>
    </w:rPr>
  </w:style>
  <w:style w:type="character" w:customStyle="1" w:styleId="Mention">
    <w:name w:val="Mention"/>
    <w:basedOn w:val="DefaultParagraphFont"/>
    <w:uiPriority w:val="99"/>
    <w:unhideWhenUsed/>
    <w:rsid w:val="00B310E6"/>
    <w:rPr>
      <w:color w:val="2B579A"/>
      <w:shd w:val="clear" w:color="auto" w:fill="E1DFDD"/>
    </w:rPr>
  </w:style>
  <w:style w:type="paragraph" w:styleId="ListParagraph">
    <w:name w:val="List Paragraph"/>
    <w:basedOn w:val="ManualNumPar1"/>
    <w:uiPriority w:val="34"/>
    <w:qFormat/>
    <w:rsid w:val="00070CB5"/>
    <w:pPr>
      <w:numPr>
        <w:numId w:val="1"/>
      </w:numPr>
      <w:ind w:left="491" w:hanging="491"/>
    </w:pPr>
  </w:style>
  <w:style w:type="character" w:customStyle="1" w:styleId="HeaderChar">
    <w:name w:val="Header Char"/>
    <w:basedOn w:val="DefaultParagraphFont"/>
    <w:link w:val="Header"/>
    <w:uiPriority w:val="99"/>
    <w:rsid w:val="00CF052D"/>
    <w:rPr>
      <w:rFonts w:ascii="Times New Roman" w:hAnsi="Times New Roman" w:cs="Times New Roman"/>
      <w:sz w:val="24"/>
      <w:lang w:val="en-GB"/>
    </w:rPr>
  </w:style>
  <w:style w:type="character" w:customStyle="1" w:styleId="FooterChar">
    <w:name w:val="Footer Char"/>
    <w:basedOn w:val="DefaultParagraphFont"/>
    <w:link w:val="Footer"/>
    <w:uiPriority w:val="99"/>
    <w:rsid w:val="00CF052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CF052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F052D"/>
    <w:pPr>
      <w:spacing w:before="0"/>
      <w:jc w:val="right"/>
    </w:pPr>
    <w:rPr>
      <w:sz w:val="28"/>
    </w:rPr>
  </w:style>
  <w:style w:type="paragraph" w:customStyle="1" w:styleId="FooterSensitivity">
    <w:name w:val="Footer Sensitivity"/>
    <w:basedOn w:val="Normal"/>
    <w:rsid w:val="00CF052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F052D"/>
    <w:pPr>
      <w:tabs>
        <w:tab w:val="center" w:pos="4535"/>
        <w:tab w:val="right" w:pos="9071"/>
      </w:tabs>
      <w:spacing w:before="0"/>
    </w:pPr>
  </w:style>
  <w:style w:type="paragraph" w:customStyle="1" w:styleId="HeaderLandscape">
    <w:name w:val="HeaderLandscape"/>
    <w:basedOn w:val="Normal"/>
    <w:rsid w:val="00CF052D"/>
    <w:pPr>
      <w:tabs>
        <w:tab w:val="center" w:pos="7285"/>
        <w:tab w:val="right" w:pos="14003"/>
      </w:tabs>
      <w:spacing w:before="0"/>
    </w:pPr>
  </w:style>
  <w:style w:type="paragraph" w:styleId="Footer">
    <w:name w:val="footer"/>
    <w:basedOn w:val="Normal"/>
    <w:link w:val="FooterChar"/>
    <w:uiPriority w:val="99"/>
    <w:unhideWhenUsed/>
    <w:rsid w:val="00CF052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F052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54388">
      <w:bodyDiv w:val="1"/>
      <w:marLeft w:val="0"/>
      <w:marRight w:val="0"/>
      <w:marTop w:val="0"/>
      <w:marBottom w:val="0"/>
      <w:divBdr>
        <w:top w:val="none" w:sz="0" w:space="0" w:color="auto"/>
        <w:left w:val="none" w:sz="0" w:space="0" w:color="auto"/>
        <w:bottom w:val="none" w:sz="0" w:space="0" w:color="auto"/>
        <w:right w:val="none" w:sz="0" w:space="0" w:color="auto"/>
      </w:divBdr>
    </w:div>
    <w:div w:id="730075736">
      <w:bodyDiv w:val="1"/>
      <w:marLeft w:val="0"/>
      <w:marRight w:val="0"/>
      <w:marTop w:val="0"/>
      <w:marBottom w:val="0"/>
      <w:divBdr>
        <w:top w:val="none" w:sz="0" w:space="0" w:color="auto"/>
        <w:left w:val="none" w:sz="0" w:space="0" w:color="auto"/>
        <w:bottom w:val="none" w:sz="0" w:space="0" w:color="auto"/>
        <w:right w:val="none" w:sz="0" w:space="0" w:color="auto"/>
      </w:divBdr>
    </w:div>
    <w:div w:id="1807116390">
      <w:bodyDiv w:val="1"/>
      <w:marLeft w:val="0"/>
      <w:marRight w:val="0"/>
      <w:marTop w:val="0"/>
      <w:marBottom w:val="0"/>
      <w:divBdr>
        <w:top w:val="none" w:sz="0" w:space="0" w:color="auto"/>
        <w:left w:val="none" w:sz="0" w:space="0" w:color="auto"/>
        <w:bottom w:val="none" w:sz="0" w:space="0" w:color="auto"/>
        <w:right w:val="none" w:sz="0" w:space="0" w:color="auto"/>
      </w:divBdr>
    </w:div>
    <w:div w:id="20024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en/web/products-euro-indicators/w/2-22042026-ap" TargetMode="External"/><Relationship Id="rId2" Type="http://schemas.openxmlformats.org/officeDocument/2006/relationships/hyperlink" Target="https://economy-finance.ec.europa.eu/economic-governance-framework/stability-and-growth-pact/corrective-arm-excessive-deficit-procedure/excessive-deficit-procedures-overview/bulgaria_en" TargetMode="External"/><Relationship Id="rId1" Type="http://schemas.openxmlformats.org/officeDocument/2006/relationships/hyperlink" Target="http://data.europa.eu/eli/reg/1997/1467/2024-04-30" TargetMode="External"/><Relationship Id="rId5" Type="http://schemas.openxmlformats.org/officeDocument/2006/relationships/hyperlink" Target="https://ec.europa.eu/eurostat/en/web/products-euro-indicators/w/2-22042026-bp" TargetMode="External"/><Relationship Id="rId4" Type="http://schemas.openxmlformats.org/officeDocument/2006/relationships/hyperlink" Target="http://data.europa.eu/eli/C/2025/396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D31F1-7D4B-4982-B4AF-7C83DF0DAFFC}">
  <ds:schemaRefs>
    <ds:schemaRef ds:uri="http://schemas.microsoft.com/office/2006/metadata/properties"/>
    <ds:schemaRef ds:uri="http://schemas.microsoft.com/office/infopath/2007/PartnerControls"/>
    <ds:schemaRef ds:uri="248cd52f-b46b-4611-a611-1f804cc55ba9"/>
  </ds:schemaRefs>
</ds:datastoreItem>
</file>

<file path=customXml/itemProps2.xml><?xml version="1.0" encoding="utf-8"?>
<ds:datastoreItem xmlns:ds="http://schemas.openxmlformats.org/officeDocument/2006/customXml" ds:itemID="{CF3EDBCA-0042-48F1-8406-E2BDB70C92A1}">
  <ds:schemaRefs>
    <ds:schemaRef ds:uri="http://schemas.microsoft.com/sharepoint/v3/contenttype/forms"/>
  </ds:schemaRefs>
</ds:datastoreItem>
</file>

<file path=customXml/itemProps3.xml><?xml version="1.0" encoding="utf-8"?>
<ds:datastoreItem xmlns:ds="http://schemas.openxmlformats.org/officeDocument/2006/customXml" ds:itemID="{637C591F-798E-47C6-BEEE-D12A7C97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2E0A5D-75FC-4482-88D9-BA47596E1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805</Words>
  <Characters>4595</Characters>
  <Application>Microsoft Office Word</Application>
  <DocSecurity>0</DocSecurity>
  <Lines>38</Lines>
  <Paragraphs>10</Paragraphs>
  <ScaleCrop>false</ScaleCrop>
  <Manager/>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2026-06-23T09:25:00Z</dcterms:created>
  <dcterms:modified xsi:type="dcterms:W3CDTF">2026-06-25T06:28:00Z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2026-05-21T08:12:12Z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4f1ff6dc-9d90-45c9-8d5d-83f942d8d773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