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33F" w:rsidRPr="004813CA" w:rsidRDefault="002638A7" w:rsidP="002638A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E0377F0-75F8-4607-A2E5-B6DA3A60AC2F" style="width:455.25pt;height:330pt">
            <v:imagedata r:id="rId11" o:title=""/>
          </v:shape>
        </w:pict>
      </w:r>
    </w:p>
    <w:p w:rsidR="00F978A0" w:rsidRPr="004813CA" w:rsidRDefault="00F978A0">
      <w:pPr>
        <w:rPr>
          <w:noProof/>
        </w:rPr>
        <w:sectPr w:rsidR="00F978A0" w:rsidRPr="004813CA" w:rsidSect="002638A7">
          <w:footerReference w:type="even" r:id="rId12"/>
          <w:footerReference w:type="default" r:id="rId13"/>
          <w:pgSz w:w="11907" w:h="16839"/>
          <w:pgMar w:top="1134" w:right="1417" w:bottom="1134" w:left="1417" w:header="709" w:footer="709" w:gutter="0"/>
          <w:pgNumType w:start="0"/>
          <w:cols w:space="720"/>
          <w:docGrid w:linePitch="360"/>
        </w:sectPr>
      </w:pPr>
    </w:p>
    <w:p w:rsidR="000A48E0" w:rsidRPr="004813CA" w:rsidRDefault="000A48E0" w:rsidP="000A48E0">
      <w:pPr>
        <w:pStyle w:val="Exposdesmotifstitre"/>
        <w:rPr>
          <w:noProof/>
        </w:rPr>
      </w:pPr>
      <w:bookmarkStart w:id="0" w:name="_GoBack"/>
      <w:bookmarkEnd w:id="0"/>
    </w:p>
    <w:p w:rsidR="000A48E0" w:rsidRPr="004813CA" w:rsidRDefault="000A48E0" w:rsidP="004C7C69">
      <w:pPr>
        <w:rPr>
          <w:noProof/>
        </w:rPr>
      </w:pPr>
    </w:p>
    <w:p w:rsidR="00787631" w:rsidRDefault="00841D50">
      <w:pPr>
        <w:pStyle w:val="Rfrenceinterinstitutionnelle"/>
        <w:rPr>
          <w:noProof/>
        </w:rPr>
      </w:pPr>
      <w:r>
        <w:rPr>
          <w:noProof/>
        </w:rPr>
        <w:t>2026/0177 (NLE)</w:t>
      </w:r>
    </w:p>
    <w:p w:rsidR="00F978A0" w:rsidRPr="004813CA" w:rsidRDefault="004813CA" w:rsidP="004813CA">
      <w:pPr>
        <w:pStyle w:val="Statut"/>
        <w:rPr>
          <w:noProof/>
        </w:rPr>
      </w:pPr>
      <w:r w:rsidRPr="004813CA">
        <w:rPr>
          <w:noProof/>
        </w:rPr>
        <w:t>Proposition de</w:t>
      </w:r>
    </w:p>
    <w:p w:rsidR="00F978A0" w:rsidRPr="004813CA" w:rsidRDefault="004813CA" w:rsidP="004813CA">
      <w:pPr>
        <w:pStyle w:val="Typedudocument"/>
        <w:rPr>
          <w:noProof/>
        </w:rPr>
      </w:pPr>
      <w:r w:rsidRPr="004813CA">
        <w:rPr>
          <w:noProof/>
        </w:rPr>
        <w:t>DÉCISION DU CONSEIL</w:t>
      </w:r>
    </w:p>
    <w:p w:rsidR="00F978A0" w:rsidRPr="004813CA" w:rsidRDefault="004813CA" w:rsidP="004813CA">
      <w:pPr>
        <w:pStyle w:val="Titreobjet"/>
        <w:rPr>
          <w:noProof/>
        </w:rPr>
      </w:pPr>
      <w:r w:rsidRPr="004813CA">
        <w:rPr>
          <w:noProof/>
        </w:rPr>
        <w:t>sur l’existence d’un déficit excessif en Bulgarie</w:t>
      </w:r>
    </w:p>
    <w:p w:rsidR="00F978A0" w:rsidRPr="004813CA" w:rsidRDefault="00F978A0">
      <w:pPr>
        <w:pStyle w:val="Institutionquiagit"/>
        <w:rPr>
          <w:noProof/>
        </w:rPr>
      </w:pPr>
      <w:r w:rsidRPr="004813CA">
        <w:rPr>
          <w:noProof/>
        </w:rPr>
        <w:t>LE CONSEIL DE L’UNION EUROPÉENNE,</w:t>
      </w:r>
    </w:p>
    <w:p w:rsidR="00F978A0" w:rsidRPr="004813CA" w:rsidRDefault="00F978A0">
      <w:pPr>
        <w:rPr>
          <w:noProof/>
        </w:rPr>
      </w:pPr>
      <w:r w:rsidRPr="004813CA">
        <w:rPr>
          <w:noProof/>
        </w:rPr>
        <w:t>vu le traité sur le fonctionnement de l’Union européenne (TFUE), et notamment son article 126, paragraphe 6,</w:t>
      </w:r>
    </w:p>
    <w:p w:rsidR="00F978A0" w:rsidRPr="004813CA" w:rsidRDefault="00F978A0">
      <w:pPr>
        <w:rPr>
          <w:noProof/>
        </w:rPr>
      </w:pPr>
      <w:r w:rsidRPr="004813CA">
        <w:rPr>
          <w:noProof/>
        </w:rPr>
        <w:t>vu la proposition de la Commission européenne,</w:t>
      </w:r>
    </w:p>
    <w:p w:rsidR="0042642B" w:rsidRPr="004813CA" w:rsidRDefault="0042642B">
      <w:pPr>
        <w:rPr>
          <w:noProof/>
        </w:rPr>
      </w:pPr>
      <w:r w:rsidRPr="004813CA">
        <w:rPr>
          <w:noProof/>
        </w:rPr>
        <w:t xml:space="preserve">vu les observations émises par la Bulgarie, </w:t>
      </w:r>
    </w:p>
    <w:p w:rsidR="00F978A0" w:rsidRPr="004813CA" w:rsidRDefault="00F978A0">
      <w:pPr>
        <w:rPr>
          <w:noProof/>
        </w:rPr>
      </w:pPr>
      <w:r w:rsidRPr="004813CA">
        <w:rPr>
          <w:noProof/>
        </w:rPr>
        <w:t>considérant ce qui suit:</w:t>
      </w:r>
    </w:p>
    <w:p w:rsidR="0042642B" w:rsidRPr="004813CA" w:rsidRDefault="0042642B" w:rsidP="00CD2C45">
      <w:pPr>
        <w:pStyle w:val="Point0"/>
        <w:rPr>
          <w:noProof/>
        </w:rPr>
      </w:pPr>
      <w:r>
        <w:rPr>
          <w:noProof/>
        </w:rPr>
        <w:t>(1)</w:t>
      </w:r>
      <w:r>
        <w:rPr>
          <w:noProof/>
        </w:rPr>
        <w:tab/>
      </w:r>
      <w:r w:rsidRPr="004813CA">
        <w:rPr>
          <w:noProof/>
        </w:rPr>
        <w:t xml:space="preserve">L’article 126, paragraphe 1, du traité sur le fonctionnement de l’Union européenne prévoit que les États </w:t>
      </w:r>
      <w:r w:rsidRPr="004813CA">
        <w:rPr>
          <w:rStyle w:val="normaltextrun"/>
          <w:noProof/>
        </w:rPr>
        <w:t>membres</w:t>
      </w:r>
      <w:r w:rsidRPr="004813CA">
        <w:rPr>
          <w:noProof/>
        </w:rPr>
        <w:t xml:space="preserve"> évitent les déficits publics excessifs.</w:t>
      </w:r>
    </w:p>
    <w:p w:rsidR="0042642B" w:rsidRPr="004813CA" w:rsidRDefault="0042642B" w:rsidP="004C7C69">
      <w:pPr>
        <w:pStyle w:val="Point0"/>
        <w:rPr>
          <w:noProof/>
        </w:rPr>
      </w:pPr>
      <w:r>
        <w:rPr>
          <w:noProof/>
        </w:rPr>
        <w:t>(2)</w:t>
      </w:r>
      <w:r>
        <w:rPr>
          <w:noProof/>
        </w:rPr>
        <w:tab/>
      </w:r>
      <w:r w:rsidRPr="004813CA">
        <w:rPr>
          <w:noProof/>
        </w:rPr>
        <w:t>Le pacte de stabilité et de croissance repose sur l’objectif de finances publiques saines et durables en tant que moyen de renforcer les conditions assurant la stabilité des prix et une croissance forte, durable et inclusive soutenue par la stabilité financière, et ainsi de favoriser la réalisation des objectifs de l’Union en matière de croissance durable et d’emplois.</w:t>
      </w:r>
    </w:p>
    <w:p w:rsidR="0042642B" w:rsidRPr="004813CA" w:rsidRDefault="0042642B" w:rsidP="004C7C69">
      <w:pPr>
        <w:pStyle w:val="Point0"/>
        <w:rPr>
          <w:noProof/>
        </w:rPr>
      </w:pPr>
      <w:r>
        <w:rPr>
          <w:noProof/>
        </w:rPr>
        <w:t>(3)</w:t>
      </w:r>
      <w:r>
        <w:rPr>
          <w:noProof/>
        </w:rPr>
        <w:tab/>
      </w:r>
      <w:r w:rsidRPr="004813CA">
        <w:rPr>
          <w:noProof/>
        </w:rPr>
        <w:t>La procédure concernant les déficits excessifs prévue par l’article 126 du TFUE, telle que clarifiée par le règlement (CE) nº 1467/97 du Conseil visant à accélérer et à clarifier la mise en œuvre de la procédure concernant les déficits excessifs (</w:t>
      </w:r>
      <w:r w:rsidRPr="004813CA">
        <w:rPr>
          <w:rStyle w:val="FootnoteReference"/>
          <w:noProof/>
        </w:rPr>
        <w:footnoteReference w:id="1"/>
      </w:r>
      <w:r w:rsidRPr="004813CA">
        <w:rPr>
          <w:noProof/>
        </w:rPr>
        <w:t>), qui fait partie du pacte de stabilité et de croissance, prévoit l’adoption d’une décision sur l’existence d’un déficit excessif. Le protocole nº 12 sur la procédure concernant les déficits excessifs, annexé au traité sur l’Union européenne et au TFUE, contient des dispositions supplémentaires relatives à la mise en œuvre de la procédure concernant les déficits excessifs. Le règlement (CE) nº 479/2009 du Conseil</w:t>
      </w:r>
      <w:r w:rsidR="002F6202" w:rsidRPr="004813CA">
        <w:rPr>
          <w:noProof/>
        </w:rPr>
        <w:t xml:space="preserve"> (</w:t>
      </w:r>
      <w:r w:rsidRPr="004813CA">
        <w:rPr>
          <w:rStyle w:val="FootnoteReference"/>
          <w:noProof/>
        </w:rPr>
        <w:footnoteReference w:id="2"/>
      </w:r>
      <w:r w:rsidR="002F6202" w:rsidRPr="004813CA">
        <w:rPr>
          <w:noProof/>
        </w:rPr>
        <w:t>)</w:t>
      </w:r>
      <w:r w:rsidRPr="004813CA">
        <w:rPr>
          <w:noProof/>
        </w:rPr>
        <w:t xml:space="preserve"> énonce les règles détaillées et les définitions nécessaires à l’application de ces </w:t>
      </w:r>
      <w:r w:rsidRPr="004813CA">
        <w:rPr>
          <w:noProof/>
          <w:color w:val="000000"/>
        </w:rPr>
        <w:t>dispositions</w:t>
      </w:r>
      <w:r w:rsidRPr="004813CA">
        <w:rPr>
          <w:noProof/>
        </w:rPr>
        <w:t xml:space="preserve">. </w:t>
      </w:r>
    </w:p>
    <w:p w:rsidR="0042642B" w:rsidRPr="004813CA" w:rsidRDefault="00A36DC1" w:rsidP="004C7C69">
      <w:pPr>
        <w:pStyle w:val="Point0"/>
        <w:rPr>
          <w:noProof/>
        </w:rPr>
      </w:pPr>
      <w:r>
        <w:rPr>
          <w:noProof/>
        </w:rPr>
        <w:t>(4)</w:t>
      </w:r>
      <w:r>
        <w:rPr>
          <w:noProof/>
        </w:rPr>
        <w:tab/>
      </w:r>
      <w:r w:rsidRPr="004813CA">
        <w:rPr>
          <w:rStyle w:val="normaltextrun"/>
          <w:noProof/>
        </w:rPr>
        <w:t>Conformément à l’article 126, paragraphe 5, du TFUE, si la Commission estime qu’il y a un déficit excessif dans un État membre</w:t>
      </w:r>
      <w:r w:rsidRPr="004813CA">
        <w:rPr>
          <w:noProof/>
        </w:rPr>
        <w:t xml:space="preserve"> ou qu’un tel déficit </w:t>
      </w:r>
      <w:r w:rsidRPr="004813CA">
        <w:rPr>
          <w:rStyle w:val="normaltextrun"/>
          <w:noProof/>
        </w:rPr>
        <w:t xml:space="preserve">risque de se produire, elle doit adresser un avis à l’État membre concerné et en informer le Conseil. Compte tenu du rapport qu’elle a adopté en vertu de l’article 126, paragraphe 3, du TFUE et de l’avis rendu par le comité économique et financier en </w:t>
      </w:r>
      <w:r w:rsidRPr="004813CA">
        <w:rPr>
          <w:rStyle w:val="normaltextrun"/>
          <w:noProof/>
        </w:rPr>
        <w:lastRenderedPageBreak/>
        <w:t>vertu de l’article 126, paragraphe 4, du TFUE, la Commission a conclu à l’existence d’un déficit excessif en Bulgarie. Le 25 juin 2026, elle a donc adressé un avis en ce sens à la Bulgarie et en a informé le Conseil</w:t>
      </w:r>
      <w:r w:rsidR="00B962BC" w:rsidRPr="004813CA">
        <w:rPr>
          <w:noProof/>
        </w:rPr>
        <w:t xml:space="preserve"> </w:t>
      </w:r>
      <w:r w:rsidRPr="004813CA">
        <w:rPr>
          <w:noProof/>
        </w:rPr>
        <w:t>(</w:t>
      </w:r>
      <w:r w:rsidRPr="004813CA">
        <w:rPr>
          <w:rStyle w:val="FootnoteReference"/>
          <w:noProof/>
          <w:lang w:eastAsia="de-DE"/>
        </w:rPr>
        <w:footnoteReference w:id="3"/>
      </w:r>
      <w:r w:rsidRPr="004813CA">
        <w:rPr>
          <w:noProof/>
        </w:rPr>
        <w:t>)</w:t>
      </w:r>
      <w:r w:rsidR="00B962BC" w:rsidRPr="004813CA">
        <w:rPr>
          <w:noProof/>
        </w:rPr>
        <w:t>.</w:t>
      </w:r>
    </w:p>
    <w:p w:rsidR="0042642B" w:rsidRPr="004813CA" w:rsidRDefault="0042642B" w:rsidP="004C7C69">
      <w:pPr>
        <w:pStyle w:val="Point0"/>
        <w:rPr>
          <w:noProof/>
        </w:rPr>
      </w:pPr>
      <w:r>
        <w:rPr>
          <w:noProof/>
        </w:rPr>
        <w:t>(5)</w:t>
      </w:r>
      <w:r>
        <w:rPr>
          <w:noProof/>
        </w:rPr>
        <w:tab/>
      </w:r>
      <w:r w:rsidRPr="004813CA">
        <w:rPr>
          <w:noProof/>
        </w:rPr>
        <w:t>L’article 126, paragraphe 6, du TFUE dispose que le Conseil doit tenir compte des observations éventuelles de l’État membre concerné avant de décider, après une évaluation globale, s’il y a ou non un déficit excessif. Dans le cas de la Bulgarie, cette évaluation globale conduit aux conclusions énoncées ci-dessous.</w:t>
      </w:r>
    </w:p>
    <w:p w:rsidR="00824C6C" w:rsidRPr="004813CA" w:rsidRDefault="00824C6C" w:rsidP="004C7C69">
      <w:pPr>
        <w:pStyle w:val="Point0"/>
        <w:rPr>
          <w:rFonts w:eastAsia="Calibri"/>
          <w:noProof/>
          <w:szCs w:val="24"/>
        </w:rPr>
      </w:pPr>
      <w:r>
        <w:rPr>
          <w:noProof/>
        </w:rPr>
        <w:t>(6)</w:t>
      </w:r>
      <w:r>
        <w:rPr>
          <w:noProof/>
        </w:rPr>
        <w:tab/>
      </w:r>
      <w:r w:rsidRPr="004813CA">
        <w:rPr>
          <w:rStyle w:val="normaltextrun"/>
          <w:noProof/>
        </w:rPr>
        <w:t>D’après les données fournies par Eurostat le 22 avril 2026 (</w:t>
      </w:r>
      <w:r w:rsidRPr="004813CA">
        <w:rPr>
          <w:rStyle w:val="FootnoteReference"/>
          <w:noProof/>
        </w:rPr>
        <w:footnoteReference w:id="4"/>
      </w:r>
      <w:r w:rsidRPr="004813CA">
        <w:rPr>
          <w:rStyle w:val="normaltextrun"/>
          <w:noProof/>
        </w:rPr>
        <w:t>), le déficit public de la Bulgarie a atteint 3,5 % du PIB en 2025. Si</w:t>
      </w:r>
      <w:r w:rsidRPr="004813CA">
        <w:rPr>
          <w:noProof/>
          <w:color w:val="000000" w:themeColor="text1"/>
        </w:rPr>
        <w:t xml:space="preserve"> la Bulgarie n’a pas communiqué de déficit prévu pour 2026 à Eurostat, les prévisions du printemps 2026 de la Commission tablaient sur un déficit</w:t>
      </w:r>
      <w:r w:rsidRPr="004813CA">
        <w:rPr>
          <w:rStyle w:val="normaltextrun"/>
          <w:noProof/>
        </w:rPr>
        <w:t xml:space="preserve"> de 4,1 % du PIB en Bulgarie en 2026 (</w:t>
      </w:r>
      <w:r w:rsidRPr="004813CA">
        <w:rPr>
          <w:rStyle w:val="FootnoteReference"/>
          <w:noProof/>
        </w:rPr>
        <w:footnoteReference w:id="5"/>
      </w:r>
      <w:r w:rsidRPr="004813CA">
        <w:rPr>
          <w:rStyle w:val="normaltextrun"/>
          <w:noProof/>
        </w:rPr>
        <w:t>)</w:t>
      </w:r>
      <w:r w:rsidRPr="004813CA">
        <w:rPr>
          <w:rStyle w:val="eop"/>
          <w:noProof/>
        </w:rPr>
        <w:t>.</w:t>
      </w:r>
      <w:r w:rsidRPr="004813CA">
        <w:rPr>
          <w:rStyle w:val="normaltextrun"/>
          <w:noProof/>
        </w:rPr>
        <w:t xml:space="preserve"> Le déficit public effectif de 2025 et le déficit prévu pour 2026 sont supérieurs à la valeur de référence de 3 % du PIB prévue par le traité et n’en sont pas proches, et les dépassements de cette valeur de référence pour le déficit ne sont pas considérés comme temporaires.</w:t>
      </w:r>
      <w:r w:rsidR="00364C12" w:rsidRPr="004813CA">
        <w:rPr>
          <w:rStyle w:val="normaltextrun"/>
          <w:noProof/>
        </w:rPr>
        <w:t xml:space="preserve"> </w:t>
      </w:r>
      <w:r w:rsidRPr="004813CA">
        <w:rPr>
          <w:rStyle w:val="normaltextrun"/>
          <w:noProof/>
        </w:rPr>
        <w:t>Selon les prévisions du printemps 2026 de la Commission, le déficit public devrait continuer à dépasser 3 % du PIB en 2027. </w:t>
      </w:r>
      <w:r w:rsidRPr="004813CA">
        <w:rPr>
          <w:noProof/>
        </w:rPr>
        <w:t xml:space="preserve">Le 8 juillet 2025, le Conseil a activé </w:t>
      </w:r>
      <w:r w:rsidRPr="004813CA">
        <w:rPr>
          <w:rStyle w:val="normaltextrun"/>
          <w:noProof/>
        </w:rPr>
        <w:t>la clause dérogatoire nationale pour faciliter une augmentation des dépenses de défense en Bulgarie</w:t>
      </w:r>
      <w:r w:rsidRPr="004813CA">
        <w:rPr>
          <w:noProof/>
        </w:rPr>
        <w:t xml:space="preserve"> au cours de la période 2025-2028 (</w:t>
      </w:r>
      <w:r w:rsidRPr="004813CA">
        <w:rPr>
          <w:rStyle w:val="FootnoteReference"/>
          <w:rFonts w:eastAsia="Calibri"/>
          <w:noProof/>
          <w:szCs w:val="24"/>
        </w:rPr>
        <w:footnoteReference w:id="6"/>
      </w:r>
      <w:r w:rsidRPr="004813CA">
        <w:rPr>
          <w:noProof/>
        </w:rPr>
        <w:t xml:space="preserve">). Sur cette base, </w:t>
      </w:r>
      <w:r w:rsidRPr="004813CA">
        <w:rPr>
          <w:rStyle w:val="normaltextrun"/>
          <w:noProof/>
        </w:rPr>
        <w:t>dans son rapport au titre de l’article 126, paragraphe 3, du TFUE, la Commission a estimé que le dépassement de la valeur de référence de 3 % du PIB prévue par le traité en 2025</w:t>
      </w:r>
      <w:r w:rsidRPr="004813CA">
        <w:rPr>
          <w:rStyle w:val="eop"/>
          <w:noProof/>
        </w:rPr>
        <w:t xml:space="preserve"> </w:t>
      </w:r>
      <w:r w:rsidRPr="004813CA">
        <w:rPr>
          <w:rStyle w:val="normaltextrun"/>
          <w:noProof/>
        </w:rPr>
        <w:t>était exceptionnel, dans la mesure où il peut pleinement</w:t>
      </w:r>
      <w:r w:rsidRPr="004813CA">
        <w:rPr>
          <w:noProof/>
        </w:rPr>
        <w:t xml:space="preserve"> s’expliquer par une augmentation des dépenses de défense depuis l’année de référence 2024, ce qui n’est pas le cas pour le dépassement prévu de la valeur de référence pour le déficit en 2026</w:t>
      </w:r>
      <w:r w:rsidRPr="004813CA">
        <w:rPr>
          <w:rStyle w:val="normaltextrun"/>
          <w:noProof/>
        </w:rPr>
        <w:t>. </w:t>
      </w:r>
    </w:p>
    <w:p w:rsidR="00824C6C" w:rsidRPr="004813CA" w:rsidRDefault="00824C6C" w:rsidP="004C7C69">
      <w:pPr>
        <w:pStyle w:val="Point0"/>
        <w:rPr>
          <w:noProof/>
        </w:rPr>
      </w:pPr>
      <w:r>
        <w:rPr>
          <w:noProof/>
        </w:rPr>
        <w:t>(7)</w:t>
      </w:r>
      <w:r>
        <w:rPr>
          <w:noProof/>
        </w:rPr>
        <w:tab/>
      </w:r>
      <w:r w:rsidRPr="004813CA">
        <w:rPr>
          <w:noProof/>
        </w:rPr>
        <w:t>D’après les données fournies par Eurostat le 22 avril 2026 (</w:t>
      </w:r>
      <w:r w:rsidRPr="004813CA">
        <w:rPr>
          <w:rStyle w:val="FootnoteReference"/>
          <w:noProof/>
        </w:rPr>
        <w:footnoteReference w:id="7"/>
      </w:r>
      <w:r w:rsidRPr="004813CA">
        <w:rPr>
          <w:noProof/>
        </w:rPr>
        <w:t xml:space="preserve">), la dette publique s’est établie à </w:t>
      </w:r>
      <w:r w:rsidRPr="004813CA">
        <w:rPr>
          <w:rStyle w:val="normaltextrun"/>
          <w:noProof/>
        </w:rPr>
        <w:t>29,9 % du PIB en 2025</w:t>
      </w:r>
      <w:r w:rsidRPr="004813CA">
        <w:rPr>
          <w:rStyle w:val="eop"/>
          <w:noProof/>
        </w:rPr>
        <w:t>, ce qui est</w:t>
      </w:r>
      <w:r w:rsidRPr="004813CA">
        <w:rPr>
          <w:rStyle w:val="normaltextrun"/>
          <w:noProof/>
        </w:rPr>
        <w:t xml:space="preserve"> inférieur à la valeur de référence de 60 % du PIB. Le critère de la dette prévu par le traité est donc rempli.</w:t>
      </w:r>
      <w:r w:rsidRPr="004813CA">
        <w:rPr>
          <w:rStyle w:val="eop"/>
          <w:noProof/>
        </w:rPr>
        <w:t xml:space="preserve"> </w:t>
      </w:r>
    </w:p>
    <w:p w:rsidR="00824C6C" w:rsidRPr="004813CA" w:rsidRDefault="00824C6C" w:rsidP="004C7C69">
      <w:pPr>
        <w:pStyle w:val="Point0"/>
        <w:rPr>
          <w:noProof/>
        </w:rPr>
      </w:pPr>
      <w:r>
        <w:rPr>
          <w:noProof/>
        </w:rPr>
        <w:t>(8)</w:t>
      </w:r>
      <w:r>
        <w:rPr>
          <w:noProof/>
        </w:rPr>
        <w:tab/>
      </w:r>
      <w:r w:rsidRPr="004813CA">
        <w:rPr>
          <w:noProof/>
        </w:rPr>
        <w:t xml:space="preserve">Conformément aux exigences de l’article 126, paragraphe 3, du TFUE, la Commission a également analysé tous les </w:t>
      </w:r>
      <w:r w:rsidRPr="004813CA">
        <w:rPr>
          <w:rStyle w:val="normaltextrun"/>
          <w:noProof/>
        </w:rPr>
        <w:t>facteurs</w:t>
      </w:r>
      <w:r w:rsidRPr="004813CA">
        <w:rPr>
          <w:noProof/>
        </w:rPr>
        <w:t xml:space="preserve"> pertinents dans le rapport qu’elle a élaboré au titre de cette disposition. Conformément à l’article 2, paragraphe 4, du règlement (CE) nº 1467/97, lorsque le rapport entre la dette publique et le PIB ne dépasse pas la valeur de référence, les facteurs pertinents sont pris en compte au cours des étapes conduisant à la décision constatant l’existence d’un déficit excessif sur la base du critère du déficit. </w:t>
      </w:r>
    </w:p>
    <w:p w:rsidR="00824C6C" w:rsidRPr="004813CA" w:rsidRDefault="00824C6C" w:rsidP="004C7C69">
      <w:pPr>
        <w:pStyle w:val="Point0"/>
        <w:rPr>
          <w:noProof/>
        </w:rPr>
      </w:pPr>
      <w:r>
        <w:rPr>
          <w:noProof/>
        </w:rPr>
        <w:t>(9)</w:t>
      </w:r>
      <w:r>
        <w:rPr>
          <w:noProof/>
        </w:rPr>
        <w:tab/>
      </w:r>
      <w:r w:rsidRPr="004813CA">
        <w:rPr>
          <w:rStyle w:val="normaltextrun"/>
          <w:noProof/>
        </w:rPr>
        <w:t>Dans l’ensemble, les facteurs pertinents examinés dans le rapport au titre de l’article 126, paragraphe 3, du TFUE sont considérés comme aggravants pour la Bulgarie. Globalement</w:t>
      </w:r>
      <w:r w:rsidRPr="004813CA">
        <w:rPr>
          <w:b/>
          <w:noProof/>
        </w:rPr>
        <w:t xml:space="preserve">, </w:t>
      </w:r>
      <w:r w:rsidRPr="004813CA">
        <w:rPr>
          <w:noProof/>
        </w:rPr>
        <w:t xml:space="preserve">compte tenu de tous les facteurs pertinents et, en particulier, du fait que le déficit dépasse largement 3 % du PIB en 2026, </w:t>
      </w:r>
      <w:r w:rsidRPr="004813CA">
        <w:rPr>
          <w:rStyle w:val="normaltextrun"/>
          <w:noProof/>
        </w:rPr>
        <w:t xml:space="preserve">le critère du déficit au sens du traité et du règlement (CE) nº 1467/97 n’est pas rempli. </w:t>
      </w:r>
    </w:p>
    <w:p w:rsidR="00B310E6" w:rsidRPr="004813CA" w:rsidRDefault="00824C6C" w:rsidP="004C7C69">
      <w:pPr>
        <w:pStyle w:val="Point0"/>
        <w:rPr>
          <w:noProof/>
        </w:rPr>
      </w:pPr>
      <w:r>
        <w:rPr>
          <w:noProof/>
        </w:rPr>
        <w:t>(10)</w:t>
      </w:r>
      <w:r>
        <w:rPr>
          <w:noProof/>
        </w:rPr>
        <w:tab/>
      </w:r>
      <w:r w:rsidRPr="004813CA">
        <w:rPr>
          <w:rStyle w:val="normaltextrun"/>
          <w:noProof/>
        </w:rPr>
        <w:t>L’article 2, paragraphe 5, du règlement (CE) nº 1467/97 dispose que, si une clause dérogatoire nationale est activée, la Commission et le Conseil peuvent décider de ne pas parvenir à une conclusion concernant l’existence d’un déficit excessif (</w:t>
      </w:r>
      <w:r w:rsidRPr="004813CA">
        <w:rPr>
          <w:rStyle w:val="FootnoteReference"/>
          <w:noProof/>
        </w:rPr>
        <w:footnoteReference w:id="8"/>
      </w:r>
      <w:r w:rsidRPr="004813CA">
        <w:rPr>
          <w:rStyle w:val="normaltextrun"/>
          <w:noProof/>
        </w:rPr>
        <w:t>). Toutefois, étant donné que le dépassement prévu de la valeur de référence pour le déficit en 2026 ne peut pleinement s’expliquer par une augmentation des dépenses de défense depuis l’année de référence 2024 (voir considérant 6), l’article 2, paragraphe 5, ne s’applique pas.</w:t>
      </w:r>
      <w:r w:rsidRPr="004813CA">
        <w:rPr>
          <w:rStyle w:val="eop"/>
          <w:noProof/>
        </w:rPr>
        <w:t xml:space="preserve"> </w:t>
      </w:r>
    </w:p>
    <w:p w:rsidR="00B310E6" w:rsidRPr="004813CA" w:rsidRDefault="00B310E6" w:rsidP="00EB1679">
      <w:pPr>
        <w:pStyle w:val="Text1"/>
        <w:rPr>
          <w:noProof/>
        </w:rPr>
      </w:pPr>
    </w:p>
    <w:p w:rsidR="00F978A0" w:rsidRPr="004813CA" w:rsidRDefault="00F978A0">
      <w:pPr>
        <w:pStyle w:val="Formuledadoption"/>
        <w:rPr>
          <w:noProof/>
        </w:rPr>
      </w:pPr>
      <w:r w:rsidRPr="004813CA">
        <w:rPr>
          <w:noProof/>
        </w:rPr>
        <w:t xml:space="preserve">A ADOPTÉ LA PRÉSENTE DÉCISION: </w:t>
      </w:r>
    </w:p>
    <w:p w:rsidR="00F978A0" w:rsidRPr="004813CA" w:rsidRDefault="00F978A0">
      <w:pPr>
        <w:pStyle w:val="Titrearticle"/>
        <w:rPr>
          <w:noProof/>
        </w:rPr>
      </w:pPr>
      <w:r w:rsidRPr="004813CA">
        <w:rPr>
          <w:noProof/>
        </w:rPr>
        <w:t>Article premier</w:t>
      </w:r>
    </w:p>
    <w:p w:rsidR="0042642B" w:rsidRPr="004813CA" w:rsidRDefault="0042642B" w:rsidP="0042642B">
      <w:pPr>
        <w:rPr>
          <w:noProof/>
          <w:szCs w:val="24"/>
        </w:rPr>
      </w:pPr>
      <w:r w:rsidRPr="004813CA">
        <w:rPr>
          <w:noProof/>
        </w:rPr>
        <w:t>Il ressort d’une évaluation globale qu’il existe un déficit excessif en Bulgarie en raison du non-respect du critère du déficit.</w:t>
      </w:r>
    </w:p>
    <w:p w:rsidR="00F978A0" w:rsidRPr="004813CA" w:rsidRDefault="00F978A0">
      <w:pPr>
        <w:rPr>
          <w:noProof/>
        </w:rPr>
      </w:pPr>
    </w:p>
    <w:p w:rsidR="00F978A0" w:rsidRPr="004813CA" w:rsidRDefault="00F978A0" w:rsidP="0042642B">
      <w:pPr>
        <w:pStyle w:val="Titrearticle"/>
        <w:rPr>
          <w:noProof/>
        </w:rPr>
      </w:pPr>
      <w:r w:rsidRPr="004813CA">
        <w:rPr>
          <w:noProof/>
        </w:rPr>
        <w:t>Article 2</w:t>
      </w:r>
      <w:r w:rsidRPr="004813CA">
        <w:rPr>
          <w:i w:val="0"/>
          <w:noProof/>
        </w:rPr>
        <w:t xml:space="preserve"> </w:t>
      </w:r>
      <w:r w:rsidRPr="004813CA">
        <w:rPr>
          <w:noProof/>
        </w:rPr>
        <w:t xml:space="preserve"> </w:t>
      </w:r>
      <w:r w:rsidRPr="004813CA">
        <w:rPr>
          <w:noProof/>
        </w:rPr>
        <w:br/>
      </w:r>
    </w:p>
    <w:p w:rsidR="00F978A0" w:rsidRPr="004813CA" w:rsidRDefault="00F978A0">
      <w:pPr>
        <w:rPr>
          <w:noProof/>
        </w:rPr>
      </w:pPr>
      <w:r w:rsidRPr="004813CA">
        <w:rPr>
          <w:noProof/>
        </w:rPr>
        <w:t xml:space="preserve">La </w:t>
      </w:r>
      <w:r w:rsidRPr="004813CA">
        <w:rPr>
          <w:noProof/>
          <w:color w:val="000000"/>
        </w:rPr>
        <w:t>République de Bulgarie</w:t>
      </w:r>
      <w:r w:rsidRPr="004813CA">
        <w:rPr>
          <w:noProof/>
        </w:rPr>
        <w:t xml:space="preserve"> est destinataire de la présente décision.</w:t>
      </w:r>
    </w:p>
    <w:p w:rsidR="0042642B" w:rsidRPr="004813CA" w:rsidRDefault="0042642B">
      <w:pPr>
        <w:rPr>
          <w:noProof/>
        </w:rPr>
      </w:pPr>
    </w:p>
    <w:p w:rsidR="00F978A0" w:rsidRPr="004813CA" w:rsidRDefault="004813CA" w:rsidP="009F64B8">
      <w:pPr>
        <w:pStyle w:val="Fait"/>
        <w:rPr>
          <w:noProof/>
        </w:rPr>
      </w:pPr>
      <w:r>
        <w:rPr>
          <w:noProof/>
        </w:rPr>
        <w:t>Fait à Bruxelles, le</w:t>
      </w:r>
    </w:p>
    <w:p w:rsidR="00F978A0" w:rsidRPr="004813CA" w:rsidRDefault="00F978A0" w:rsidP="009F64B8">
      <w:pPr>
        <w:pStyle w:val="Institutionquisigne"/>
        <w:rPr>
          <w:noProof/>
        </w:rPr>
      </w:pPr>
      <w:r w:rsidRPr="004813CA">
        <w:rPr>
          <w:noProof/>
        </w:rPr>
        <w:tab/>
        <w:t>Par le Conseil</w:t>
      </w:r>
    </w:p>
    <w:p w:rsidR="00F978A0" w:rsidRPr="004813CA" w:rsidRDefault="00F978A0" w:rsidP="00F978A0">
      <w:pPr>
        <w:pStyle w:val="Personnequisigne"/>
        <w:rPr>
          <w:noProof/>
        </w:rPr>
      </w:pPr>
      <w:r w:rsidRPr="004813CA">
        <w:rPr>
          <w:noProof/>
        </w:rPr>
        <w:tab/>
        <w:t>Le président/La présidente</w:t>
      </w:r>
    </w:p>
    <w:sectPr w:rsidR="00F978A0" w:rsidRPr="004813CA" w:rsidSect="002638A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DF2" w:rsidRDefault="001B7DF2" w:rsidP="00F978A0">
      <w:pPr>
        <w:spacing w:before="0" w:after="0"/>
      </w:pPr>
      <w:r>
        <w:separator/>
      </w:r>
    </w:p>
  </w:endnote>
  <w:endnote w:type="continuationSeparator" w:id="0">
    <w:p w:rsidR="001B7DF2" w:rsidRDefault="001B7DF2" w:rsidP="00F978A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8A7" w:rsidRPr="002638A7" w:rsidRDefault="002638A7" w:rsidP="002638A7">
    <w:pPr>
      <w:pStyle w:val="Footer"/>
      <w:rPr>
        <w:rFonts w:ascii="Arial" w:hAnsi="Arial" w:cs="Arial"/>
        <w:b/>
        <w:sz w:val="48"/>
      </w:rPr>
    </w:pPr>
    <w:r w:rsidRPr="002638A7">
      <w:rPr>
        <w:rFonts w:ascii="Arial" w:hAnsi="Arial" w:cs="Arial"/>
        <w:b/>
        <w:sz w:val="48"/>
      </w:rPr>
      <w:t>FR</w:t>
    </w:r>
    <w:r w:rsidRPr="002638A7">
      <w:rPr>
        <w:rFonts w:ascii="Arial" w:hAnsi="Arial" w:cs="Arial"/>
        <w:b/>
        <w:sz w:val="48"/>
      </w:rPr>
      <w:tab/>
    </w:r>
    <w:r w:rsidRPr="002638A7">
      <w:rPr>
        <w:rFonts w:ascii="Arial" w:hAnsi="Arial" w:cs="Arial"/>
        <w:b/>
        <w:sz w:val="48"/>
      </w:rPr>
      <w:tab/>
    </w:r>
    <w:r w:rsidRPr="002638A7">
      <w:tab/>
    </w:r>
    <w:r w:rsidRPr="002638A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8A7" w:rsidRPr="002638A7" w:rsidRDefault="002638A7" w:rsidP="002638A7">
    <w:pPr>
      <w:pStyle w:val="Footer"/>
      <w:rPr>
        <w:rFonts w:ascii="Arial" w:hAnsi="Arial" w:cs="Arial"/>
        <w:b/>
        <w:sz w:val="48"/>
      </w:rPr>
    </w:pPr>
    <w:r w:rsidRPr="002638A7">
      <w:rPr>
        <w:rFonts w:ascii="Arial" w:hAnsi="Arial" w:cs="Arial"/>
        <w:b/>
        <w:sz w:val="48"/>
      </w:rPr>
      <w:t>FR</w:t>
    </w:r>
    <w:r w:rsidRPr="002638A7">
      <w:rPr>
        <w:rFonts w:ascii="Arial" w:hAnsi="Arial" w:cs="Arial"/>
        <w:b/>
        <w:sz w:val="48"/>
      </w:rPr>
      <w:tab/>
    </w:r>
    <w:r w:rsidRPr="002638A7">
      <w:rPr>
        <w:rFonts w:ascii="Arial" w:hAnsi="Arial" w:cs="Arial"/>
        <w:b/>
        <w:sz w:val="48"/>
      </w:rPr>
      <w:tab/>
    </w:r>
    <w:r w:rsidRPr="002638A7">
      <w:tab/>
    </w:r>
    <w:r w:rsidRPr="002638A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8A7" w:rsidRDefault="002638A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8A7" w:rsidRPr="002638A7" w:rsidRDefault="002638A7" w:rsidP="002638A7">
    <w:pPr>
      <w:pStyle w:val="Footer"/>
      <w:rPr>
        <w:rFonts w:ascii="Arial" w:hAnsi="Arial" w:cs="Arial"/>
        <w:b/>
        <w:sz w:val="48"/>
      </w:rPr>
    </w:pPr>
    <w:r w:rsidRPr="002638A7">
      <w:rPr>
        <w:rFonts w:ascii="Arial" w:hAnsi="Arial" w:cs="Arial"/>
        <w:b/>
        <w:sz w:val="48"/>
      </w:rPr>
      <w:t>FR</w:t>
    </w:r>
    <w:r w:rsidRPr="002638A7">
      <w:rPr>
        <w:rFonts w:ascii="Arial" w:hAnsi="Arial" w:cs="Arial"/>
        <w:b/>
        <w:sz w:val="48"/>
      </w:rPr>
      <w:tab/>
    </w:r>
    <w:r>
      <w:fldChar w:fldCharType="begin"/>
    </w:r>
    <w:r>
      <w:instrText xml:space="preserve"> PAGE  \* MERGEFORMAT </w:instrText>
    </w:r>
    <w:r>
      <w:fldChar w:fldCharType="separate"/>
    </w:r>
    <w:r w:rsidR="009F64B8">
      <w:rPr>
        <w:noProof/>
      </w:rPr>
      <w:t>3</w:t>
    </w:r>
    <w:r>
      <w:fldChar w:fldCharType="end"/>
    </w:r>
    <w:r>
      <w:tab/>
    </w:r>
    <w:r w:rsidRPr="002638A7">
      <w:tab/>
    </w:r>
    <w:r w:rsidRPr="002638A7">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8A7" w:rsidRDefault="002638A7" w:rsidP="002638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DF2" w:rsidRDefault="001B7DF2" w:rsidP="00F978A0">
      <w:pPr>
        <w:spacing w:before="0" w:after="0"/>
      </w:pPr>
      <w:r>
        <w:separator/>
      </w:r>
    </w:p>
  </w:footnote>
  <w:footnote w:type="continuationSeparator" w:id="0">
    <w:p w:rsidR="001B7DF2" w:rsidRDefault="001B7DF2" w:rsidP="00F978A0">
      <w:pPr>
        <w:spacing w:before="0" w:after="0"/>
      </w:pPr>
      <w:r>
        <w:continuationSeparator/>
      </w:r>
    </w:p>
  </w:footnote>
  <w:footnote w:id="1">
    <w:p w:rsidR="00F9565B" w:rsidRPr="002F6202" w:rsidRDefault="00F9565B" w:rsidP="0042642B">
      <w:pPr>
        <w:pStyle w:val="FootnoteText"/>
        <w:rPr>
          <w:lang w:val="fr-BE"/>
        </w:rPr>
      </w:pPr>
      <w:r>
        <w:rPr>
          <w:rStyle w:val="FootnoteReference"/>
        </w:rPr>
        <w:footnoteRef/>
      </w:r>
      <w:r w:rsidRPr="002F6202">
        <w:rPr>
          <w:lang w:val="fr-BE"/>
        </w:rPr>
        <w:tab/>
        <w:t xml:space="preserve">Règlement (CE) nº 1467/97 du Conseil visant à accélérer et à clarifier la mise en œuvre de la procédure concernant les déficits excessifs (JO L 209 du 2.8.1997, ELI: </w:t>
      </w:r>
      <w:hyperlink r:id="rId1" w:history="1">
        <w:r w:rsidRPr="002F6202">
          <w:rPr>
            <w:rStyle w:val="Hyperlink"/>
            <w:lang w:val="fr-BE"/>
          </w:rPr>
          <w:t>http://data.europa.eu/eli/reg/1997/1467/2024-04-30</w:t>
        </w:r>
      </w:hyperlink>
      <w:r w:rsidRPr="002F6202">
        <w:rPr>
          <w:lang w:val="fr-BE"/>
        </w:rPr>
        <w:t xml:space="preserve">), modifié en dernier lieu par le règlement (UE) 2024/1264 du Conseil du 29 avril 2024 (JO L, 2024/1264, 30.4.2024). </w:t>
      </w:r>
    </w:p>
  </w:footnote>
  <w:footnote w:id="2">
    <w:p w:rsidR="002A4DBC" w:rsidRPr="002F6202" w:rsidRDefault="002A4DBC">
      <w:pPr>
        <w:pStyle w:val="FootnoteText"/>
        <w:rPr>
          <w:lang w:val="fr-BE"/>
        </w:rPr>
      </w:pPr>
      <w:r>
        <w:rPr>
          <w:rStyle w:val="FootnoteReference"/>
        </w:rPr>
        <w:footnoteRef/>
      </w:r>
      <w:r w:rsidRPr="002F6202">
        <w:rPr>
          <w:lang w:val="fr-BE"/>
        </w:rPr>
        <w:tab/>
        <w:t>Règlement (CE) nº 479/2009 du Conseil du 25 mai 2009 relatif à l’application du protocole sur la procédure concernant les déficits excessifs annexé au traité instituant la Communauté européenne (JO L 145 du 10.6.2009, ELI: http://data.europa.eu/eli/reg/2009/479/2014-09-01) modifié en dernier lieu par le règlement (UE) nº 220/2014 de la Commission du 7 mars 2014 en ce qui concerne les références au système européen des comptes nationaux et régionaux dans l’Union européenne (JO L 69 du 8.3.2014).</w:t>
      </w:r>
    </w:p>
  </w:footnote>
  <w:footnote w:id="3">
    <w:p w:rsidR="00F9565B" w:rsidRPr="002F6202" w:rsidRDefault="00F9565B" w:rsidP="0042642B">
      <w:pPr>
        <w:pStyle w:val="FootnoteText"/>
        <w:rPr>
          <w:lang w:val="fr-BE"/>
        </w:rPr>
      </w:pPr>
      <w:r>
        <w:rPr>
          <w:rStyle w:val="FootnoteReference"/>
        </w:rPr>
        <w:footnoteRef/>
      </w:r>
      <w:r w:rsidRPr="002F6202">
        <w:rPr>
          <w:lang w:val="fr-BE"/>
        </w:rPr>
        <w:tab/>
        <w:t xml:space="preserve">Tous les documents relatifs à la PDE concernant la Bulgarie peuvent être consultés à l’adresse: </w:t>
      </w:r>
      <w:hyperlink r:id="rId2" w:history="1">
        <w:r w:rsidRPr="002F6202">
          <w:rPr>
            <w:rStyle w:val="Hyperlink"/>
            <w:lang w:val="fr-BE"/>
          </w:rPr>
          <w:t>https://economy-finance.ec.europa.eu/economic-governance-framework/stability-and-growth-pact/corrective-arm-excessive-deficit-procedure/excessive-deficit-procedures-overview/bulgaria_fr</w:t>
        </w:r>
      </w:hyperlink>
      <w:r w:rsidRPr="002F6202">
        <w:rPr>
          <w:lang w:val="fr-BE"/>
        </w:rPr>
        <w:t xml:space="preserve">. </w:t>
      </w:r>
    </w:p>
  </w:footnote>
  <w:footnote w:id="4">
    <w:p w:rsidR="00824C6C" w:rsidRPr="002F6202" w:rsidRDefault="00824C6C" w:rsidP="00824C6C">
      <w:pPr>
        <w:pStyle w:val="FootnoteText"/>
        <w:rPr>
          <w:lang w:val="fr-BE"/>
        </w:rPr>
      </w:pPr>
      <w:r>
        <w:rPr>
          <w:rStyle w:val="FootnoteReference"/>
        </w:rPr>
        <w:footnoteRef/>
      </w:r>
      <w:r w:rsidRPr="002F6202">
        <w:rPr>
          <w:lang w:val="fr-BE"/>
        </w:rPr>
        <w:tab/>
        <w:t>Euro-indicateurs Eurostat publiés le 22 avril 2026 (</w:t>
      </w:r>
      <w:hyperlink r:id="rId3" w:history="1">
        <w:r w:rsidRPr="002F6202">
          <w:rPr>
            <w:rStyle w:val="Hyperlink"/>
            <w:lang w:val="fr-BE"/>
          </w:rPr>
          <w:t>https://ec.europa.eu/eurostat/en/web/products-euro-indicators/w/2-22042026-ap</w:t>
        </w:r>
      </w:hyperlink>
      <w:r w:rsidRPr="002F6202">
        <w:rPr>
          <w:lang w:val="fr-BE"/>
        </w:rPr>
        <w:t>), conformément à l’article 14 du règlement (CE) nº 479/2009 du Conseil.</w:t>
      </w:r>
    </w:p>
  </w:footnote>
  <w:footnote w:id="5">
    <w:p w:rsidR="00824C6C" w:rsidRPr="002F6202" w:rsidRDefault="00824C6C" w:rsidP="00824C6C">
      <w:pPr>
        <w:pStyle w:val="FootnoteText"/>
        <w:rPr>
          <w:lang w:val="fr-BE"/>
        </w:rPr>
      </w:pPr>
      <w:r>
        <w:rPr>
          <w:rStyle w:val="FootnoteReference"/>
        </w:rPr>
        <w:footnoteRef/>
      </w:r>
      <w:r w:rsidRPr="002F6202">
        <w:rPr>
          <w:lang w:val="fr-BE"/>
        </w:rPr>
        <w:tab/>
        <w:t>Prévisions du printemps 2026 de la Commission européenne (European Economy Institutional Paper, nº 341, mai 2026).</w:t>
      </w:r>
    </w:p>
  </w:footnote>
  <w:footnote w:id="6">
    <w:p w:rsidR="00824C6C" w:rsidRPr="002F6202" w:rsidRDefault="00824C6C" w:rsidP="00824C6C">
      <w:pPr>
        <w:pStyle w:val="FootnoteText"/>
        <w:rPr>
          <w:lang w:val="fr-BE"/>
        </w:rPr>
      </w:pPr>
      <w:r>
        <w:rPr>
          <w:rStyle w:val="FootnoteReference"/>
        </w:rPr>
        <w:footnoteRef/>
      </w:r>
      <w:r w:rsidRPr="002F6202">
        <w:rPr>
          <w:lang w:val="fr-BE"/>
        </w:rPr>
        <w:tab/>
        <w:t xml:space="preserve">Recommandation du Conseil du 8 juillet 2025 autorisant la Bulgarie à s’écarter des taux de croissance maximaux des dépenses nettes fixés par le Conseil en vertu du règlement (UE) 2024/1263 (activation de la clause dérogatoire nationale) (JO C, C/2025/3961, 20.8.2025, ELI: </w:t>
      </w:r>
      <w:hyperlink r:id="rId4" w:tgtFrame="_blank" w:tooltip="Permet d’accéder à ce document par l’intermédiaire de son URI ELI." w:history="1">
        <w:r w:rsidRPr="002F6202">
          <w:rPr>
            <w:rStyle w:val="Hyperlink"/>
            <w:lang w:val="fr-BE"/>
          </w:rPr>
          <w:t>http://data.europa.eu/eli/C/2025/3961/oj</w:t>
        </w:r>
      </w:hyperlink>
      <w:r w:rsidRPr="002F6202">
        <w:rPr>
          <w:lang w:val="fr-BE"/>
        </w:rPr>
        <w:t>).</w:t>
      </w:r>
    </w:p>
  </w:footnote>
  <w:footnote w:id="7">
    <w:p w:rsidR="00824C6C" w:rsidRPr="002F6202" w:rsidRDefault="00824C6C" w:rsidP="00824C6C">
      <w:pPr>
        <w:pStyle w:val="FootnoteText"/>
        <w:rPr>
          <w:lang w:val="fr-BE"/>
        </w:rPr>
      </w:pPr>
      <w:r>
        <w:rPr>
          <w:rStyle w:val="FootnoteReference"/>
        </w:rPr>
        <w:footnoteRef/>
      </w:r>
      <w:r w:rsidRPr="002F6202">
        <w:rPr>
          <w:lang w:val="fr-BE"/>
        </w:rPr>
        <w:tab/>
        <w:t>Euro-indicateurs Eurostat publiés le 22 avril 2026 (</w:t>
      </w:r>
      <w:hyperlink r:id="rId5" w:history="1">
        <w:r w:rsidRPr="002F6202">
          <w:rPr>
            <w:rStyle w:val="Hyperlink"/>
            <w:lang w:val="fr-BE"/>
          </w:rPr>
          <w:t>https://ec.europa.eu/eurostat/en/web/products-euro-indicators/w/2-22042026-bp</w:t>
        </w:r>
      </w:hyperlink>
      <w:r w:rsidRPr="002F6202">
        <w:rPr>
          <w:lang w:val="fr-BE"/>
        </w:rPr>
        <w:t>), conformément à l’article 14 du règlement (CE) nº 479/2009 du Conseil.</w:t>
      </w:r>
    </w:p>
  </w:footnote>
  <w:footnote w:id="8">
    <w:p w:rsidR="00824C6C" w:rsidRPr="002F6202" w:rsidRDefault="00824C6C" w:rsidP="00824C6C">
      <w:pPr>
        <w:pStyle w:val="FootnoteText"/>
        <w:rPr>
          <w:lang w:val="fr-BE"/>
        </w:rPr>
      </w:pPr>
      <w:r>
        <w:rPr>
          <w:rStyle w:val="FootnoteReference"/>
        </w:rPr>
        <w:footnoteRef/>
      </w:r>
      <w:r w:rsidRPr="002F6202">
        <w:rPr>
          <w:lang w:val="fr-BE"/>
        </w:rPr>
        <w:tab/>
        <w:t>Conformément à la communication de la Commission du 19 mars 2025 [C(2025) 2000 final], si la clause dérogatoire nationale prévue pour les dépenses de défense est activée, la Commission et le Conseil peuvent décider de ne pas parvenir à une conclusion quant à l’existence d’un déficit excessif en cas de déficit dépassant 3 % du PIB, lorsque cela est dû à une augmentation des dépenses de défense.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8A7" w:rsidRDefault="002638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8A7" w:rsidRDefault="00263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CF00DE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4A6272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0EE0EB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AEAC62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1C75752E"/>
    <w:multiLevelType w:val="hybridMultilevel"/>
    <w:tmpl w:val="674C3B32"/>
    <w:lvl w:ilvl="0" w:tplc="4B628422">
      <w:start w:val="1"/>
      <w:numFmt w:val="decimal"/>
      <w:pStyle w:val="ListParagraph"/>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3"/>
  </w:num>
  <w:num w:numId="3">
    <w:abstractNumId w:val="2"/>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4"/>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02 09:39: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FE0377F0-75F8-4607-A2E5-B6DA3A60AC2F"/>
    <w:docVar w:name="LW_COVERPAGE_TYPE" w:val="1"/>
    <w:docVar w:name="LW_CreatedUtc" w:val="2026-05-21T08:10:14.8493723Z"/>
    <w:docVar w:name="LW_CROSSREFERENCE" w:val="&lt;UNUSED&gt;"/>
    <w:docVar w:name="LW_DocType" w:val="COM"/>
    <w:docVar w:name="LW_EMISSION" w:val="25.6.2026"/>
    <w:docVar w:name="LW_EMISSION_ISODATE" w:val="2026-06-25"/>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77"/>
    <w:docVar w:name="LW_REF.II.NEW.CP_YEAR" w:val="2026"/>
    <w:docVar w:name="LW_REF.INST.NEW" w:val="COM"/>
    <w:docVar w:name="LW_REF.INST.NEW_ADOPTED" w:val="final"/>
    <w:docVar w:name="LW_REF.INST.NEW_TEXT" w:val="(2026) 3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sur l\u8217?existence d\u8217?un déficit excessif en Bulgarie"/>
    <w:docVar w:name="LW_TYPE.DOC.CP" w:val="DÉCISION DU CONSEIL"/>
    <w:docVar w:name="LwApiVersions" w:val="LW4CoDe 1.24.5.0; LW 9.2, Build 20251112"/>
  </w:docVars>
  <w:rsids>
    <w:rsidRoot w:val="00F978A0"/>
    <w:rsid w:val="00002620"/>
    <w:rsid w:val="000030BB"/>
    <w:rsid w:val="0000363A"/>
    <w:rsid w:val="0000368D"/>
    <w:rsid w:val="00007AC6"/>
    <w:rsid w:val="00010058"/>
    <w:rsid w:val="00010A75"/>
    <w:rsid w:val="00011525"/>
    <w:rsid w:val="00011AEC"/>
    <w:rsid w:val="0002206A"/>
    <w:rsid w:val="000220BD"/>
    <w:rsid w:val="00031336"/>
    <w:rsid w:val="00033BC7"/>
    <w:rsid w:val="00033C79"/>
    <w:rsid w:val="00035A92"/>
    <w:rsid w:val="00037D7A"/>
    <w:rsid w:val="00045BF2"/>
    <w:rsid w:val="00045E94"/>
    <w:rsid w:val="00053928"/>
    <w:rsid w:val="00057071"/>
    <w:rsid w:val="00070CB5"/>
    <w:rsid w:val="000717DC"/>
    <w:rsid w:val="000814BF"/>
    <w:rsid w:val="000817A5"/>
    <w:rsid w:val="00084EBC"/>
    <w:rsid w:val="0008531D"/>
    <w:rsid w:val="00095189"/>
    <w:rsid w:val="000970A0"/>
    <w:rsid w:val="000971DB"/>
    <w:rsid w:val="000A2860"/>
    <w:rsid w:val="000A48E0"/>
    <w:rsid w:val="000A5108"/>
    <w:rsid w:val="000A56E9"/>
    <w:rsid w:val="000A6510"/>
    <w:rsid w:val="000A75A8"/>
    <w:rsid w:val="000B0CB5"/>
    <w:rsid w:val="000B0FBB"/>
    <w:rsid w:val="000C20D2"/>
    <w:rsid w:val="000C3B84"/>
    <w:rsid w:val="000D4654"/>
    <w:rsid w:val="000D7ECA"/>
    <w:rsid w:val="000F3B9B"/>
    <w:rsid w:val="00102F34"/>
    <w:rsid w:val="0010525C"/>
    <w:rsid w:val="001065F5"/>
    <w:rsid w:val="00106C15"/>
    <w:rsid w:val="0011373A"/>
    <w:rsid w:val="00121FE1"/>
    <w:rsid w:val="001235C8"/>
    <w:rsid w:val="001238EF"/>
    <w:rsid w:val="00126AFC"/>
    <w:rsid w:val="00131C70"/>
    <w:rsid w:val="00143B89"/>
    <w:rsid w:val="00145D87"/>
    <w:rsid w:val="001463E2"/>
    <w:rsid w:val="00146DD5"/>
    <w:rsid w:val="00151881"/>
    <w:rsid w:val="0015354C"/>
    <w:rsid w:val="00153DAD"/>
    <w:rsid w:val="001825D6"/>
    <w:rsid w:val="0018343D"/>
    <w:rsid w:val="00184CB3"/>
    <w:rsid w:val="00191C8D"/>
    <w:rsid w:val="00194FA8"/>
    <w:rsid w:val="00197613"/>
    <w:rsid w:val="001A4D67"/>
    <w:rsid w:val="001A58CF"/>
    <w:rsid w:val="001A6642"/>
    <w:rsid w:val="001A776E"/>
    <w:rsid w:val="001B017B"/>
    <w:rsid w:val="001B24BA"/>
    <w:rsid w:val="001B309F"/>
    <w:rsid w:val="001B30B3"/>
    <w:rsid w:val="001B3787"/>
    <w:rsid w:val="001B7398"/>
    <w:rsid w:val="001B7DF2"/>
    <w:rsid w:val="001C1F65"/>
    <w:rsid w:val="001C5BE6"/>
    <w:rsid w:val="001C7FFB"/>
    <w:rsid w:val="001D03DF"/>
    <w:rsid w:val="001D17A8"/>
    <w:rsid w:val="001D6733"/>
    <w:rsid w:val="001E32EE"/>
    <w:rsid w:val="001F06AE"/>
    <w:rsid w:val="001F1B1F"/>
    <w:rsid w:val="001F2899"/>
    <w:rsid w:val="001F5E97"/>
    <w:rsid w:val="001F68ED"/>
    <w:rsid w:val="001F7388"/>
    <w:rsid w:val="00201D9A"/>
    <w:rsid w:val="00202F11"/>
    <w:rsid w:val="0020531F"/>
    <w:rsid w:val="00210B6F"/>
    <w:rsid w:val="00213742"/>
    <w:rsid w:val="0021642B"/>
    <w:rsid w:val="002164FF"/>
    <w:rsid w:val="00220AD1"/>
    <w:rsid w:val="00220E3E"/>
    <w:rsid w:val="00222462"/>
    <w:rsid w:val="00222B90"/>
    <w:rsid w:val="00226126"/>
    <w:rsid w:val="00227EF4"/>
    <w:rsid w:val="002322C3"/>
    <w:rsid w:val="0023254B"/>
    <w:rsid w:val="00233DC7"/>
    <w:rsid w:val="0023491D"/>
    <w:rsid w:val="0024171C"/>
    <w:rsid w:val="00241C1B"/>
    <w:rsid w:val="00241FBF"/>
    <w:rsid w:val="00243B03"/>
    <w:rsid w:val="00244112"/>
    <w:rsid w:val="00247779"/>
    <w:rsid w:val="0025461A"/>
    <w:rsid w:val="00255CDD"/>
    <w:rsid w:val="002633BC"/>
    <w:rsid w:val="002638A7"/>
    <w:rsid w:val="0026425D"/>
    <w:rsid w:val="002663DA"/>
    <w:rsid w:val="00270FEF"/>
    <w:rsid w:val="00273D77"/>
    <w:rsid w:val="00284B99"/>
    <w:rsid w:val="00285BEE"/>
    <w:rsid w:val="0029073B"/>
    <w:rsid w:val="0029514D"/>
    <w:rsid w:val="0029533F"/>
    <w:rsid w:val="002960A7"/>
    <w:rsid w:val="002A478F"/>
    <w:rsid w:val="002A4DBC"/>
    <w:rsid w:val="002B2327"/>
    <w:rsid w:val="002B30AF"/>
    <w:rsid w:val="002B4713"/>
    <w:rsid w:val="002C0E46"/>
    <w:rsid w:val="002C6114"/>
    <w:rsid w:val="002C72A8"/>
    <w:rsid w:val="002D0B8F"/>
    <w:rsid w:val="002D4DA4"/>
    <w:rsid w:val="002E0457"/>
    <w:rsid w:val="002E337A"/>
    <w:rsid w:val="002E764B"/>
    <w:rsid w:val="002F3596"/>
    <w:rsid w:val="002F6202"/>
    <w:rsid w:val="002F772D"/>
    <w:rsid w:val="00302E4B"/>
    <w:rsid w:val="00304280"/>
    <w:rsid w:val="00312B80"/>
    <w:rsid w:val="003133FD"/>
    <w:rsid w:val="003141C7"/>
    <w:rsid w:val="00314B2F"/>
    <w:rsid w:val="00316ABB"/>
    <w:rsid w:val="00316C29"/>
    <w:rsid w:val="0032732B"/>
    <w:rsid w:val="0033344A"/>
    <w:rsid w:val="0033510C"/>
    <w:rsid w:val="003367AF"/>
    <w:rsid w:val="00343009"/>
    <w:rsid w:val="003463BE"/>
    <w:rsid w:val="00352CFD"/>
    <w:rsid w:val="00360C07"/>
    <w:rsid w:val="00361FC0"/>
    <w:rsid w:val="00362083"/>
    <w:rsid w:val="003629A1"/>
    <w:rsid w:val="00362E9D"/>
    <w:rsid w:val="00363B3E"/>
    <w:rsid w:val="00363EE2"/>
    <w:rsid w:val="00363F69"/>
    <w:rsid w:val="00364C12"/>
    <w:rsid w:val="003728BC"/>
    <w:rsid w:val="003733D3"/>
    <w:rsid w:val="0037478C"/>
    <w:rsid w:val="00377560"/>
    <w:rsid w:val="0038116A"/>
    <w:rsid w:val="00383039"/>
    <w:rsid w:val="00392F5F"/>
    <w:rsid w:val="003A1C77"/>
    <w:rsid w:val="003A22B6"/>
    <w:rsid w:val="003A7187"/>
    <w:rsid w:val="003B2D2F"/>
    <w:rsid w:val="003B6EB6"/>
    <w:rsid w:val="003B7E4C"/>
    <w:rsid w:val="003C4649"/>
    <w:rsid w:val="003D386A"/>
    <w:rsid w:val="003E2767"/>
    <w:rsid w:val="003E79C8"/>
    <w:rsid w:val="003F762F"/>
    <w:rsid w:val="003F7DFA"/>
    <w:rsid w:val="00402086"/>
    <w:rsid w:val="0040680E"/>
    <w:rsid w:val="004078E6"/>
    <w:rsid w:val="00411A76"/>
    <w:rsid w:val="00413D60"/>
    <w:rsid w:val="00415461"/>
    <w:rsid w:val="00425FB3"/>
    <w:rsid w:val="0042642B"/>
    <w:rsid w:val="0042648E"/>
    <w:rsid w:val="00427A86"/>
    <w:rsid w:val="00432BF4"/>
    <w:rsid w:val="00433689"/>
    <w:rsid w:val="004352C3"/>
    <w:rsid w:val="00436E10"/>
    <w:rsid w:val="004436E7"/>
    <w:rsid w:val="0045086F"/>
    <w:rsid w:val="00455878"/>
    <w:rsid w:val="004624E4"/>
    <w:rsid w:val="004628DC"/>
    <w:rsid w:val="004631AF"/>
    <w:rsid w:val="0046324E"/>
    <w:rsid w:val="00464B5C"/>
    <w:rsid w:val="00475901"/>
    <w:rsid w:val="004813CA"/>
    <w:rsid w:val="004815DE"/>
    <w:rsid w:val="0048446C"/>
    <w:rsid w:val="00485B52"/>
    <w:rsid w:val="00487829"/>
    <w:rsid w:val="00492B9D"/>
    <w:rsid w:val="004936D2"/>
    <w:rsid w:val="004A16A4"/>
    <w:rsid w:val="004A539B"/>
    <w:rsid w:val="004A70BA"/>
    <w:rsid w:val="004A7825"/>
    <w:rsid w:val="004A7ED4"/>
    <w:rsid w:val="004B05F8"/>
    <w:rsid w:val="004B17BA"/>
    <w:rsid w:val="004B330E"/>
    <w:rsid w:val="004B78B2"/>
    <w:rsid w:val="004C4523"/>
    <w:rsid w:val="004C4CC2"/>
    <w:rsid w:val="004C76C6"/>
    <w:rsid w:val="004C7C69"/>
    <w:rsid w:val="004E514D"/>
    <w:rsid w:val="004E64F4"/>
    <w:rsid w:val="004F013E"/>
    <w:rsid w:val="004F3F76"/>
    <w:rsid w:val="004F7CA1"/>
    <w:rsid w:val="005122E6"/>
    <w:rsid w:val="005161C4"/>
    <w:rsid w:val="00521D51"/>
    <w:rsid w:val="00524081"/>
    <w:rsid w:val="00525893"/>
    <w:rsid w:val="005271AD"/>
    <w:rsid w:val="005317D3"/>
    <w:rsid w:val="00531BAD"/>
    <w:rsid w:val="00531D66"/>
    <w:rsid w:val="00535619"/>
    <w:rsid w:val="00543D02"/>
    <w:rsid w:val="005451F3"/>
    <w:rsid w:val="00550BF8"/>
    <w:rsid w:val="0055657D"/>
    <w:rsid w:val="0056375C"/>
    <w:rsid w:val="00566031"/>
    <w:rsid w:val="00566A5C"/>
    <w:rsid w:val="00576B36"/>
    <w:rsid w:val="00581A1E"/>
    <w:rsid w:val="00583DDD"/>
    <w:rsid w:val="005954C0"/>
    <w:rsid w:val="005A2740"/>
    <w:rsid w:val="005A2CEA"/>
    <w:rsid w:val="005A4B53"/>
    <w:rsid w:val="005B1EB6"/>
    <w:rsid w:val="005B3120"/>
    <w:rsid w:val="005B6A71"/>
    <w:rsid w:val="005C08E1"/>
    <w:rsid w:val="005C5839"/>
    <w:rsid w:val="005C6648"/>
    <w:rsid w:val="005D1F90"/>
    <w:rsid w:val="005E31B3"/>
    <w:rsid w:val="005E58D8"/>
    <w:rsid w:val="005E67A1"/>
    <w:rsid w:val="005E6A7C"/>
    <w:rsid w:val="005E6AB9"/>
    <w:rsid w:val="005F21DF"/>
    <w:rsid w:val="005F253D"/>
    <w:rsid w:val="005F487B"/>
    <w:rsid w:val="005F53D4"/>
    <w:rsid w:val="00602297"/>
    <w:rsid w:val="006038D2"/>
    <w:rsid w:val="00613B39"/>
    <w:rsid w:val="006179DD"/>
    <w:rsid w:val="00625F86"/>
    <w:rsid w:val="00630A7C"/>
    <w:rsid w:val="00632084"/>
    <w:rsid w:val="00637740"/>
    <w:rsid w:val="00640052"/>
    <w:rsid w:val="0064309F"/>
    <w:rsid w:val="006541E0"/>
    <w:rsid w:val="006567D2"/>
    <w:rsid w:val="00662022"/>
    <w:rsid w:val="0068089B"/>
    <w:rsid w:val="00680C7A"/>
    <w:rsid w:val="0068275E"/>
    <w:rsid w:val="00682C61"/>
    <w:rsid w:val="006928DB"/>
    <w:rsid w:val="00695A24"/>
    <w:rsid w:val="006B4E64"/>
    <w:rsid w:val="006C60F4"/>
    <w:rsid w:val="006C67D0"/>
    <w:rsid w:val="006D0A28"/>
    <w:rsid w:val="006D12E9"/>
    <w:rsid w:val="006D2045"/>
    <w:rsid w:val="006D2CA5"/>
    <w:rsid w:val="006D2CE3"/>
    <w:rsid w:val="006D4B31"/>
    <w:rsid w:val="006D6C64"/>
    <w:rsid w:val="006E1EA1"/>
    <w:rsid w:val="006E1F02"/>
    <w:rsid w:val="006E61C7"/>
    <w:rsid w:val="006E78D9"/>
    <w:rsid w:val="006F29D7"/>
    <w:rsid w:val="006F3A05"/>
    <w:rsid w:val="00705079"/>
    <w:rsid w:val="00705DDD"/>
    <w:rsid w:val="00710D17"/>
    <w:rsid w:val="0071261A"/>
    <w:rsid w:val="007168D9"/>
    <w:rsid w:val="00717297"/>
    <w:rsid w:val="007235EA"/>
    <w:rsid w:val="00724D7C"/>
    <w:rsid w:val="00730595"/>
    <w:rsid w:val="00730C43"/>
    <w:rsid w:val="007335BD"/>
    <w:rsid w:val="007340CF"/>
    <w:rsid w:val="0073492E"/>
    <w:rsid w:val="007366D5"/>
    <w:rsid w:val="00737501"/>
    <w:rsid w:val="00740F7A"/>
    <w:rsid w:val="00742EE6"/>
    <w:rsid w:val="00744E10"/>
    <w:rsid w:val="00746884"/>
    <w:rsid w:val="00747B02"/>
    <w:rsid w:val="007567B4"/>
    <w:rsid w:val="00756F92"/>
    <w:rsid w:val="00760CD2"/>
    <w:rsid w:val="00762C12"/>
    <w:rsid w:val="00765045"/>
    <w:rsid w:val="00773331"/>
    <w:rsid w:val="00773AE0"/>
    <w:rsid w:val="00777129"/>
    <w:rsid w:val="0078495D"/>
    <w:rsid w:val="00786CD7"/>
    <w:rsid w:val="00787631"/>
    <w:rsid w:val="00792417"/>
    <w:rsid w:val="00792564"/>
    <w:rsid w:val="007932EF"/>
    <w:rsid w:val="0079758C"/>
    <w:rsid w:val="007A2FE8"/>
    <w:rsid w:val="007B2646"/>
    <w:rsid w:val="007B4FF2"/>
    <w:rsid w:val="007B65C8"/>
    <w:rsid w:val="007C200E"/>
    <w:rsid w:val="007D1AC6"/>
    <w:rsid w:val="007D58EC"/>
    <w:rsid w:val="007D7018"/>
    <w:rsid w:val="007E021E"/>
    <w:rsid w:val="007E05B0"/>
    <w:rsid w:val="007E63C9"/>
    <w:rsid w:val="007F164D"/>
    <w:rsid w:val="007F16ED"/>
    <w:rsid w:val="007F5FA4"/>
    <w:rsid w:val="007F7E66"/>
    <w:rsid w:val="00811578"/>
    <w:rsid w:val="0081638F"/>
    <w:rsid w:val="00817757"/>
    <w:rsid w:val="00821906"/>
    <w:rsid w:val="008224C1"/>
    <w:rsid w:val="00822F4D"/>
    <w:rsid w:val="00824C6C"/>
    <w:rsid w:val="00833857"/>
    <w:rsid w:val="008364AC"/>
    <w:rsid w:val="0083673A"/>
    <w:rsid w:val="00837C0A"/>
    <w:rsid w:val="00840C08"/>
    <w:rsid w:val="008414A3"/>
    <w:rsid w:val="008419C7"/>
    <w:rsid w:val="00842E99"/>
    <w:rsid w:val="008443A2"/>
    <w:rsid w:val="00854FE8"/>
    <w:rsid w:val="0086067F"/>
    <w:rsid w:val="00863F17"/>
    <w:rsid w:val="00864E0D"/>
    <w:rsid w:val="00866292"/>
    <w:rsid w:val="00866BBC"/>
    <w:rsid w:val="00874D22"/>
    <w:rsid w:val="0088303E"/>
    <w:rsid w:val="00886CE2"/>
    <w:rsid w:val="008954F3"/>
    <w:rsid w:val="0089561F"/>
    <w:rsid w:val="008A15CB"/>
    <w:rsid w:val="008A214A"/>
    <w:rsid w:val="008A22F6"/>
    <w:rsid w:val="008A2914"/>
    <w:rsid w:val="008A64C2"/>
    <w:rsid w:val="008B1D6B"/>
    <w:rsid w:val="008B2449"/>
    <w:rsid w:val="008B2B9D"/>
    <w:rsid w:val="008B38E1"/>
    <w:rsid w:val="008B3C21"/>
    <w:rsid w:val="008C083E"/>
    <w:rsid w:val="008C0A49"/>
    <w:rsid w:val="008C19E2"/>
    <w:rsid w:val="008C287B"/>
    <w:rsid w:val="008C3D77"/>
    <w:rsid w:val="008C5D98"/>
    <w:rsid w:val="008E2634"/>
    <w:rsid w:val="008E4D8E"/>
    <w:rsid w:val="008E5383"/>
    <w:rsid w:val="008F1BB0"/>
    <w:rsid w:val="008F438D"/>
    <w:rsid w:val="008F4F2B"/>
    <w:rsid w:val="008F60F9"/>
    <w:rsid w:val="009015E9"/>
    <w:rsid w:val="00903EB3"/>
    <w:rsid w:val="00912211"/>
    <w:rsid w:val="00915590"/>
    <w:rsid w:val="00917311"/>
    <w:rsid w:val="00924802"/>
    <w:rsid w:val="0093001C"/>
    <w:rsid w:val="00931006"/>
    <w:rsid w:val="00934FB6"/>
    <w:rsid w:val="00940558"/>
    <w:rsid w:val="00940A17"/>
    <w:rsid w:val="00941A4F"/>
    <w:rsid w:val="00945772"/>
    <w:rsid w:val="009529A4"/>
    <w:rsid w:val="0095796E"/>
    <w:rsid w:val="009617DD"/>
    <w:rsid w:val="009628EB"/>
    <w:rsid w:val="00962C16"/>
    <w:rsid w:val="009660C0"/>
    <w:rsid w:val="009669BA"/>
    <w:rsid w:val="00984793"/>
    <w:rsid w:val="009866E0"/>
    <w:rsid w:val="009872ED"/>
    <w:rsid w:val="00987B13"/>
    <w:rsid w:val="00991485"/>
    <w:rsid w:val="00992E45"/>
    <w:rsid w:val="0099649F"/>
    <w:rsid w:val="009A1B44"/>
    <w:rsid w:val="009A32B3"/>
    <w:rsid w:val="009A6C48"/>
    <w:rsid w:val="009A726D"/>
    <w:rsid w:val="009B331D"/>
    <w:rsid w:val="009B5861"/>
    <w:rsid w:val="009B7753"/>
    <w:rsid w:val="009C1C45"/>
    <w:rsid w:val="009C1C81"/>
    <w:rsid w:val="009C2DB1"/>
    <w:rsid w:val="009D09A2"/>
    <w:rsid w:val="009D79E0"/>
    <w:rsid w:val="009E7D72"/>
    <w:rsid w:val="009F384B"/>
    <w:rsid w:val="009F5F03"/>
    <w:rsid w:val="009F6047"/>
    <w:rsid w:val="009F64B8"/>
    <w:rsid w:val="009F6A52"/>
    <w:rsid w:val="009F7027"/>
    <w:rsid w:val="009F77E7"/>
    <w:rsid w:val="00A122F3"/>
    <w:rsid w:val="00A14618"/>
    <w:rsid w:val="00A16942"/>
    <w:rsid w:val="00A1717C"/>
    <w:rsid w:val="00A2083A"/>
    <w:rsid w:val="00A2574F"/>
    <w:rsid w:val="00A267CA"/>
    <w:rsid w:val="00A314EE"/>
    <w:rsid w:val="00A32130"/>
    <w:rsid w:val="00A35761"/>
    <w:rsid w:val="00A3606E"/>
    <w:rsid w:val="00A36DC1"/>
    <w:rsid w:val="00A37336"/>
    <w:rsid w:val="00A44C11"/>
    <w:rsid w:val="00A5118B"/>
    <w:rsid w:val="00A540BE"/>
    <w:rsid w:val="00A54AA5"/>
    <w:rsid w:val="00A6026F"/>
    <w:rsid w:val="00A60270"/>
    <w:rsid w:val="00A60492"/>
    <w:rsid w:val="00A62EA4"/>
    <w:rsid w:val="00A646BE"/>
    <w:rsid w:val="00A65430"/>
    <w:rsid w:val="00A65880"/>
    <w:rsid w:val="00A67680"/>
    <w:rsid w:val="00A70A4A"/>
    <w:rsid w:val="00A74ABE"/>
    <w:rsid w:val="00A75A28"/>
    <w:rsid w:val="00A779C7"/>
    <w:rsid w:val="00A80B58"/>
    <w:rsid w:val="00A851F3"/>
    <w:rsid w:val="00A86A2E"/>
    <w:rsid w:val="00A92B70"/>
    <w:rsid w:val="00A92E00"/>
    <w:rsid w:val="00A94616"/>
    <w:rsid w:val="00A97C79"/>
    <w:rsid w:val="00AA6540"/>
    <w:rsid w:val="00AA69F1"/>
    <w:rsid w:val="00AA6FAA"/>
    <w:rsid w:val="00AB003F"/>
    <w:rsid w:val="00AB1C04"/>
    <w:rsid w:val="00AB4C11"/>
    <w:rsid w:val="00AC5981"/>
    <w:rsid w:val="00AD1D85"/>
    <w:rsid w:val="00AD59C3"/>
    <w:rsid w:val="00AE2643"/>
    <w:rsid w:val="00AE3010"/>
    <w:rsid w:val="00AE3190"/>
    <w:rsid w:val="00AE5EE6"/>
    <w:rsid w:val="00AE68EE"/>
    <w:rsid w:val="00AF1352"/>
    <w:rsid w:val="00B021AA"/>
    <w:rsid w:val="00B02CD3"/>
    <w:rsid w:val="00B031B9"/>
    <w:rsid w:val="00B05009"/>
    <w:rsid w:val="00B15C38"/>
    <w:rsid w:val="00B20194"/>
    <w:rsid w:val="00B20A8C"/>
    <w:rsid w:val="00B240C7"/>
    <w:rsid w:val="00B248DF"/>
    <w:rsid w:val="00B263F5"/>
    <w:rsid w:val="00B310E6"/>
    <w:rsid w:val="00B34361"/>
    <w:rsid w:val="00B351D4"/>
    <w:rsid w:val="00B411A1"/>
    <w:rsid w:val="00B42620"/>
    <w:rsid w:val="00B43C9B"/>
    <w:rsid w:val="00B45758"/>
    <w:rsid w:val="00B47137"/>
    <w:rsid w:val="00B55202"/>
    <w:rsid w:val="00B732F1"/>
    <w:rsid w:val="00B75964"/>
    <w:rsid w:val="00B76A94"/>
    <w:rsid w:val="00B76ED4"/>
    <w:rsid w:val="00B8220E"/>
    <w:rsid w:val="00B91A27"/>
    <w:rsid w:val="00B91D97"/>
    <w:rsid w:val="00B92968"/>
    <w:rsid w:val="00B93747"/>
    <w:rsid w:val="00B95160"/>
    <w:rsid w:val="00B9539F"/>
    <w:rsid w:val="00B95FAB"/>
    <w:rsid w:val="00B962BC"/>
    <w:rsid w:val="00B96D77"/>
    <w:rsid w:val="00BA50B8"/>
    <w:rsid w:val="00BB079B"/>
    <w:rsid w:val="00BB0AA6"/>
    <w:rsid w:val="00BB53D8"/>
    <w:rsid w:val="00BB610C"/>
    <w:rsid w:val="00BC7CDC"/>
    <w:rsid w:val="00BD0B7E"/>
    <w:rsid w:val="00BD3099"/>
    <w:rsid w:val="00BD44AA"/>
    <w:rsid w:val="00BE4663"/>
    <w:rsid w:val="00BE4782"/>
    <w:rsid w:val="00BE48A8"/>
    <w:rsid w:val="00BE5FB0"/>
    <w:rsid w:val="00BE7630"/>
    <w:rsid w:val="00BF0D57"/>
    <w:rsid w:val="00BF2A70"/>
    <w:rsid w:val="00BF41E1"/>
    <w:rsid w:val="00BF7D19"/>
    <w:rsid w:val="00C024B4"/>
    <w:rsid w:val="00C0352C"/>
    <w:rsid w:val="00C10955"/>
    <w:rsid w:val="00C1217D"/>
    <w:rsid w:val="00C12301"/>
    <w:rsid w:val="00C15F15"/>
    <w:rsid w:val="00C23178"/>
    <w:rsid w:val="00C23CE3"/>
    <w:rsid w:val="00C24A42"/>
    <w:rsid w:val="00C26341"/>
    <w:rsid w:val="00C34B3D"/>
    <w:rsid w:val="00C355FC"/>
    <w:rsid w:val="00C35C94"/>
    <w:rsid w:val="00C40A99"/>
    <w:rsid w:val="00C44639"/>
    <w:rsid w:val="00C501E4"/>
    <w:rsid w:val="00C51922"/>
    <w:rsid w:val="00C7798C"/>
    <w:rsid w:val="00C779FA"/>
    <w:rsid w:val="00C77C0B"/>
    <w:rsid w:val="00C80097"/>
    <w:rsid w:val="00C80305"/>
    <w:rsid w:val="00C8320F"/>
    <w:rsid w:val="00C86075"/>
    <w:rsid w:val="00C875C5"/>
    <w:rsid w:val="00CA4E55"/>
    <w:rsid w:val="00CA55AF"/>
    <w:rsid w:val="00CA769B"/>
    <w:rsid w:val="00CB053F"/>
    <w:rsid w:val="00CB3C9C"/>
    <w:rsid w:val="00CB3DD0"/>
    <w:rsid w:val="00CB42BE"/>
    <w:rsid w:val="00CB648C"/>
    <w:rsid w:val="00CC4C80"/>
    <w:rsid w:val="00CC6272"/>
    <w:rsid w:val="00CC758F"/>
    <w:rsid w:val="00CC75C2"/>
    <w:rsid w:val="00CD1208"/>
    <w:rsid w:val="00CD181B"/>
    <w:rsid w:val="00CD2C45"/>
    <w:rsid w:val="00CD4059"/>
    <w:rsid w:val="00CD5D18"/>
    <w:rsid w:val="00CD61BA"/>
    <w:rsid w:val="00CD6304"/>
    <w:rsid w:val="00CE03C3"/>
    <w:rsid w:val="00CE1D47"/>
    <w:rsid w:val="00CE2168"/>
    <w:rsid w:val="00CE72CF"/>
    <w:rsid w:val="00CF32AF"/>
    <w:rsid w:val="00CF3CFA"/>
    <w:rsid w:val="00CF575A"/>
    <w:rsid w:val="00D0147C"/>
    <w:rsid w:val="00D02743"/>
    <w:rsid w:val="00D0513E"/>
    <w:rsid w:val="00D07EE9"/>
    <w:rsid w:val="00D12134"/>
    <w:rsid w:val="00D1280F"/>
    <w:rsid w:val="00D16F9C"/>
    <w:rsid w:val="00D20381"/>
    <w:rsid w:val="00D22F06"/>
    <w:rsid w:val="00D30625"/>
    <w:rsid w:val="00D359F0"/>
    <w:rsid w:val="00D36D83"/>
    <w:rsid w:val="00D408B7"/>
    <w:rsid w:val="00D458AB"/>
    <w:rsid w:val="00D51D79"/>
    <w:rsid w:val="00D51E7F"/>
    <w:rsid w:val="00D52615"/>
    <w:rsid w:val="00D719A5"/>
    <w:rsid w:val="00D74A35"/>
    <w:rsid w:val="00D75A51"/>
    <w:rsid w:val="00D768B9"/>
    <w:rsid w:val="00D80128"/>
    <w:rsid w:val="00D813AD"/>
    <w:rsid w:val="00D824E8"/>
    <w:rsid w:val="00D82529"/>
    <w:rsid w:val="00D82E74"/>
    <w:rsid w:val="00D84365"/>
    <w:rsid w:val="00D86D7B"/>
    <w:rsid w:val="00DA124B"/>
    <w:rsid w:val="00DA1BB2"/>
    <w:rsid w:val="00DA788B"/>
    <w:rsid w:val="00DB4D8C"/>
    <w:rsid w:val="00DC4A2E"/>
    <w:rsid w:val="00DD27F8"/>
    <w:rsid w:val="00DD7069"/>
    <w:rsid w:val="00DE2A96"/>
    <w:rsid w:val="00DE66FF"/>
    <w:rsid w:val="00DF05F0"/>
    <w:rsid w:val="00DF30CD"/>
    <w:rsid w:val="00E01511"/>
    <w:rsid w:val="00E01C15"/>
    <w:rsid w:val="00E0772A"/>
    <w:rsid w:val="00E1138C"/>
    <w:rsid w:val="00E12311"/>
    <w:rsid w:val="00E1585B"/>
    <w:rsid w:val="00E21596"/>
    <w:rsid w:val="00E2194E"/>
    <w:rsid w:val="00E277A5"/>
    <w:rsid w:val="00E27E12"/>
    <w:rsid w:val="00E40516"/>
    <w:rsid w:val="00E42F44"/>
    <w:rsid w:val="00E53542"/>
    <w:rsid w:val="00E55162"/>
    <w:rsid w:val="00E6059E"/>
    <w:rsid w:val="00E664ED"/>
    <w:rsid w:val="00E72337"/>
    <w:rsid w:val="00E734E7"/>
    <w:rsid w:val="00E7401B"/>
    <w:rsid w:val="00E75977"/>
    <w:rsid w:val="00E769E4"/>
    <w:rsid w:val="00E802BD"/>
    <w:rsid w:val="00E8261D"/>
    <w:rsid w:val="00E82DAA"/>
    <w:rsid w:val="00E91A21"/>
    <w:rsid w:val="00E9219D"/>
    <w:rsid w:val="00E931A4"/>
    <w:rsid w:val="00E94DB8"/>
    <w:rsid w:val="00EA3A91"/>
    <w:rsid w:val="00EA4F30"/>
    <w:rsid w:val="00EA58F6"/>
    <w:rsid w:val="00EA5E67"/>
    <w:rsid w:val="00EB1679"/>
    <w:rsid w:val="00EB2EDE"/>
    <w:rsid w:val="00EB46E8"/>
    <w:rsid w:val="00EC6AD1"/>
    <w:rsid w:val="00EE03E6"/>
    <w:rsid w:val="00EE1644"/>
    <w:rsid w:val="00EE2E31"/>
    <w:rsid w:val="00EE2E65"/>
    <w:rsid w:val="00EF46C1"/>
    <w:rsid w:val="00EF4CEF"/>
    <w:rsid w:val="00F02C90"/>
    <w:rsid w:val="00F03203"/>
    <w:rsid w:val="00F0651B"/>
    <w:rsid w:val="00F1577C"/>
    <w:rsid w:val="00F247A7"/>
    <w:rsid w:val="00F24E0F"/>
    <w:rsid w:val="00F26E1B"/>
    <w:rsid w:val="00F30346"/>
    <w:rsid w:val="00F324FA"/>
    <w:rsid w:val="00F33F68"/>
    <w:rsid w:val="00F374DC"/>
    <w:rsid w:val="00F45814"/>
    <w:rsid w:val="00F45EE1"/>
    <w:rsid w:val="00F4742A"/>
    <w:rsid w:val="00F47A9B"/>
    <w:rsid w:val="00F511DC"/>
    <w:rsid w:val="00F52B01"/>
    <w:rsid w:val="00F5789A"/>
    <w:rsid w:val="00F66151"/>
    <w:rsid w:val="00F7182D"/>
    <w:rsid w:val="00F76A78"/>
    <w:rsid w:val="00F8545A"/>
    <w:rsid w:val="00F86AD0"/>
    <w:rsid w:val="00F90B43"/>
    <w:rsid w:val="00F9565B"/>
    <w:rsid w:val="00F95F40"/>
    <w:rsid w:val="00F96101"/>
    <w:rsid w:val="00F969B2"/>
    <w:rsid w:val="00F978A0"/>
    <w:rsid w:val="00F97A45"/>
    <w:rsid w:val="00FA0030"/>
    <w:rsid w:val="00FA12EA"/>
    <w:rsid w:val="00FA21D5"/>
    <w:rsid w:val="00FB012C"/>
    <w:rsid w:val="00FB1685"/>
    <w:rsid w:val="00FB43B7"/>
    <w:rsid w:val="00FB5F3E"/>
    <w:rsid w:val="00FB7CD6"/>
    <w:rsid w:val="00FC0D3C"/>
    <w:rsid w:val="00FC26DB"/>
    <w:rsid w:val="00FC38E4"/>
    <w:rsid w:val="00FC38F8"/>
    <w:rsid w:val="00FC68E1"/>
    <w:rsid w:val="00FD0DE4"/>
    <w:rsid w:val="00FD72B2"/>
    <w:rsid w:val="00FE6265"/>
    <w:rsid w:val="00FF0982"/>
    <w:rsid w:val="00FF67EE"/>
    <w:rsid w:val="2DF17A9A"/>
    <w:rsid w:val="5BAD80BE"/>
    <w:rsid w:val="7E827C2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5:docId w15:val="{69863510-9CBC-43CF-B48F-FCAFD8BD0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642B"/>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link w:val="FootnoteReference"/>
    <w:uiPriority w:val="99"/>
    <w:qFormat/>
    <w:rsid w:val="0042642B"/>
    <w:pPr>
      <w:spacing w:after="160" w:line="240" w:lineRule="exact"/>
      <w:ind w:left="357"/>
    </w:pPr>
    <w:rPr>
      <w:rFonts w:asciiTheme="minorHAnsi" w:hAnsiTheme="minorHAnsi" w:cstheme="minorBidi"/>
      <w:sz w:val="22"/>
      <w:vertAlign w:val="superscript"/>
    </w:rPr>
  </w:style>
  <w:style w:type="character" w:customStyle="1" w:styleId="normaltextrun">
    <w:name w:val="normaltextrun"/>
    <w:basedOn w:val="DefaultParagraphFont"/>
    <w:rsid w:val="00A36DC1"/>
  </w:style>
  <w:style w:type="character" w:styleId="CommentReference">
    <w:name w:val="annotation reference"/>
    <w:basedOn w:val="DefaultParagraphFont"/>
    <w:uiPriority w:val="99"/>
    <w:semiHidden/>
    <w:unhideWhenUsed/>
    <w:rsid w:val="003463BE"/>
    <w:rPr>
      <w:sz w:val="16"/>
      <w:szCs w:val="16"/>
    </w:rPr>
  </w:style>
  <w:style w:type="paragraph" w:styleId="CommentText">
    <w:name w:val="annotation text"/>
    <w:basedOn w:val="Normal"/>
    <w:link w:val="CommentTextChar"/>
    <w:uiPriority w:val="99"/>
    <w:unhideWhenUsed/>
    <w:rsid w:val="003463BE"/>
    <w:rPr>
      <w:sz w:val="20"/>
      <w:szCs w:val="20"/>
    </w:rPr>
  </w:style>
  <w:style w:type="character" w:customStyle="1" w:styleId="CommentTextChar">
    <w:name w:val="Comment Text Char"/>
    <w:basedOn w:val="DefaultParagraphFont"/>
    <w:link w:val="CommentText"/>
    <w:uiPriority w:val="99"/>
    <w:rsid w:val="003463BE"/>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3463BE"/>
    <w:rPr>
      <w:b/>
      <w:bCs/>
    </w:rPr>
  </w:style>
  <w:style w:type="character" w:customStyle="1" w:styleId="CommentSubjectChar">
    <w:name w:val="Comment Subject Char"/>
    <w:basedOn w:val="CommentTextChar"/>
    <w:link w:val="CommentSubject"/>
    <w:uiPriority w:val="99"/>
    <w:semiHidden/>
    <w:rsid w:val="003463BE"/>
    <w:rPr>
      <w:rFonts w:ascii="Times New Roman" w:hAnsi="Times New Roman" w:cs="Times New Roman"/>
      <w:b/>
      <w:bCs/>
      <w:sz w:val="20"/>
      <w:szCs w:val="20"/>
      <w:lang w:val="fr-FR"/>
    </w:rPr>
  </w:style>
  <w:style w:type="paragraph" w:styleId="ListBullet">
    <w:name w:val="List Bullet"/>
    <w:basedOn w:val="Normal"/>
    <w:uiPriority w:val="99"/>
    <w:semiHidden/>
    <w:unhideWhenUsed/>
    <w:rsid w:val="00DF05F0"/>
    <w:pPr>
      <w:numPr>
        <w:numId w:val="2"/>
      </w:numPr>
      <w:contextualSpacing/>
    </w:pPr>
  </w:style>
  <w:style w:type="paragraph" w:styleId="ListBullet2">
    <w:name w:val="List Bullet 2"/>
    <w:basedOn w:val="Normal"/>
    <w:uiPriority w:val="99"/>
    <w:semiHidden/>
    <w:unhideWhenUsed/>
    <w:rsid w:val="00DF05F0"/>
    <w:pPr>
      <w:numPr>
        <w:numId w:val="3"/>
      </w:numPr>
      <w:contextualSpacing/>
    </w:pPr>
  </w:style>
  <w:style w:type="paragraph" w:styleId="ListBullet3">
    <w:name w:val="List Bullet 3"/>
    <w:basedOn w:val="Normal"/>
    <w:uiPriority w:val="99"/>
    <w:semiHidden/>
    <w:unhideWhenUsed/>
    <w:rsid w:val="00DF05F0"/>
    <w:pPr>
      <w:numPr>
        <w:numId w:val="4"/>
      </w:numPr>
      <w:contextualSpacing/>
    </w:pPr>
  </w:style>
  <w:style w:type="paragraph" w:styleId="ListBullet4">
    <w:name w:val="List Bullet 4"/>
    <w:basedOn w:val="Normal"/>
    <w:uiPriority w:val="99"/>
    <w:semiHidden/>
    <w:unhideWhenUsed/>
    <w:rsid w:val="00DF05F0"/>
    <w:pPr>
      <w:numPr>
        <w:numId w:val="5"/>
      </w:numPr>
      <w:contextualSpacing/>
    </w:pPr>
  </w:style>
  <w:style w:type="paragraph" w:styleId="Revision">
    <w:name w:val="Revision"/>
    <w:hidden/>
    <w:uiPriority w:val="99"/>
    <w:semiHidden/>
    <w:rsid w:val="00DF05F0"/>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EE03E6"/>
    <w:rPr>
      <w:color w:val="605E5C"/>
      <w:shd w:val="clear" w:color="auto" w:fill="E1DFDD"/>
    </w:rPr>
  </w:style>
  <w:style w:type="character" w:styleId="FollowedHyperlink">
    <w:name w:val="FollowedHyperlink"/>
    <w:basedOn w:val="DefaultParagraphFont"/>
    <w:uiPriority w:val="99"/>
    <w:semiHidden/>
    <w:unhideWhenUsed/>
    <w:rsid w:val="00EE03E6"/>
    <w:rPr>
      <w:color w:val="800080" w:themeColor="followedHyperlink"/>
      <w:u w:val="single"/>
    </w:rPr>
  </w:style>
  <w:style w:type="character" w:customStyle="1" w:styleId="eop">
    <w:name w:val="eop"/>
    <w:basedOn w:val="DefaultParagraphFont"/>
    <w:rsid w:val="00B310E6"/>
  </w:style>
  <w:style w:type="paragraph" w:customStyle="1" w:styleId="paragraph">
    <w:name w:val="paragraph"/>
    <w:basedOn w:val="Normal"/>
    <w:rsid w:val="00B310E6"/>
    <w:pPr>
      <w:spacing w:before="100" w:beforeAutospacing="1" w:after="100" w:afterAutospacing="1"/>
      <w:jc w:val="left"/>
    </w:pPr>
    <w:rPr>
      <w:rFonts w:eastAsia="Times New Roman"/>
      <w:szCs w:val="24"/>
      <w:lang w:eastAsia="en-IE"/>
    </w:rPr>
  </w:style>
  <w:style w:type="character" w:customStyle="1" w:styleId="Mention">
    <w:name w:val="Mention"/>
    <w:basedOn w:val="DefaultParagraphFont"/>
    <w:uiPriority w:val="99"/>
    <w:unhideWhenUsed/>
    <w:rsid w:val="00B310E6"/>
    <w:rPr>
      <w:color w:val="2B579A"/>
      <w:shd w:val="clear" w:color="auto" w:fill="E1DFDD"/>
    </w:rPr>
  </w:style>
  <w:style w:type="paragraph" w:styleId="ListParagraph">
    <w:name w:val="List Paragraph"/>
    <w:basedOn w:val="ManualNumPar1"/>
    <w:uiPriority w:val="34"/>
    <w:qFormat/>
    <w:rsid w:val="00070CB5"/>
    <w:pPr>
      <w:numPr>
        <w:numId w:val="1"/>
      </w:numPr>
      <w:ind w:left="491" w:hanging="491"/>
    </w:pPr>
  </w:style>
  <w:style w:type="character" w:customStyle="1" w:styleId="HeaderChar">
    <w:name w:val="Header Char"/>
    <w:basedOn w:val="DefaultParagraphFont"/>
    <w:link w:val="Header"/>
    <w:uiPriority w:val="99"/>
    <w:rsid w:val="002638A7"/>
    <w:rPr>
      <w:rFonts w:ascii="Times New Roman" w:hAnsi="Times New Roman" w:cs="Times New Roman"/>
      <w:sz w:val="24"/>
      <w:lang w:val="fr-FR"/>
    </w:rPr>
  </w:style>
  <w:style w:type="character" w:customStyle="1" w:styleId="FooterChar">
    <w:name w:val="Footer Char"/>
    <w:basedOn w:val="DefaultParagraphFont"/>
    <w:link w:val="Footer"/>
    <w:uiPriority w:val="99"/>
    <w:rsid w:val="002638A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2638A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638A7"/>
    <w:pPr>
      <w:spacing w:before="0"/>
      <w:jc w:val="right"/>
    </w:pPr>
    <w:rPr>
      <w:sz w:val="28"/>
    </w:rPr>
  </w:style>
  <w:style w:type="paragraph" w:customStyle="1" w:styleId="FooterSensitivity">
    <w:name w:val="Footer Sensitivity"/>
    <w:basedOn w:val="Normal"/>
    <w:rsid w:val="002638A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638A7"/>
    <w:pPr>
      <w:tabs>
        <w:tab w:val="center" w:pos="4535"/>
        <w:tab w:val="right" w:pos="9071"/>
      </w:tabs>
      <w:spacing w:before="0"/>
    </w:pPr>
  </w:style>
  <w:style w:type="paragraph" w:customStyle="1" w:styleId="HeaderLandscape">
    <w:name w:val="HeaderLandscape"/>
    <w:basedOn w:val="Normal"/>
    <w:rsid w:val="002638A7"/>
    <w:pPr>
      <w:tabs>
        <w:tab w:val="center" w:pos="7285"/>
        <w:tab w:val="right" w:pos="14003"/>
      </w:tabs>
      <w:spacing w:before="0"/>
    </w:pPr>
  </w:style>
  <w:style w:type="paragraph" w:styleId="Footer">
    <w:name w:val="footer"/>
    <w:basedOn w:val="Normal"/>
    <w:link w:val="FooterChar"/>
    <w:uiPriority w:val="99"/>
    <w:unhideWhenUsed/>
    <w:rsid w:val="002638A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638A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954388">
      <w:bodyDiv w:val="1"/>
      <w:marLeft w:val="0"/>
      <w:marRight w:val="0"/>
      <w:marTop w:val="0"/>
      <w:marBottom w:val="0"/>
      <w:divBdr>
        <w:top w:val="none" w:sz="0" w:space="0" w:color="auto"/>
        <w:left w:val="none" w:sz="0" w:space="0" w:color="auto"/>
        <w:bottom w:val="none" w:sz="0" w:space="0" w:color="auto"/>
        <w:right w:val="none" w:sz="0" w:space="0" w:color="auto"/>
      </w:divBdr>
    </w:div>
    <w:div w:id="730075736">
      <w:bodyDiv w:val="1"/>
      <w:marLeft w:val="0"/>
      <w:marRight w:val="0"/>
      <w:marTop w:val="0"/>
      <w:marBottom w:val="0"/>
      <w:divBdr>
        <w:top w:val="none" w:sz="0" w:space="0" w:color="auto"/>
        <w:left w:val="none" w:sz="0" w:space="0" w:color="auto"/>
        <w:bottom w:val="none" w:sz="0" w:space="0" w:color="auto"/>
        <w:right w:val="none" w:sz="0" w:space="0" w:color="auto"/>
      </w:divBdr>
    </w:div>
    <w:div w:id="1807116390">
      <w:bodyDiv w:val="1"/>
      <w:marLeft w:val="0"/>
      <w:marRight w:val="0"/>
      <w:marTop w:val="0"/>
      <w:marBottom w:val="0"/>
      <w:divBdr>
        <w:top w:val="none" w:sz="0" w:space="0" w:color="auto"/>
        <w:left w:val="none" w:sz="0" w:space="0" w:color="auto"/>
        <w:bottom w:val="none" w:sz="0" w:space="0" w:color="auto"/>
        <w:right w:val="none" w:sz="0" w:space="0" w:color="auto"/>
      </w:divBdr>
    </w:div>
    <w:div w:id="200241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en/web/products-euro-indicators/w/2-22042026-ap" TargetMode="External"/><Relationship Id="rId2" Type="http://schemas.openxmlformats.org/officeDocument/2006/relationships/hyperlink" Target="https://economy-finance.ec.europa.eu/economic-governance-framework/stability-and-growth-pact/corrective-arm-excessive-deficit-procedure/excessive-deficit-procedures-overview/bulgaria_fr" TargetMode="External"/><Relationship Id="rId1" Type="http://schemas.openxmlformats.org/officeDocument/2006/relationships/hyperlink" Target="http://data.europa.eu/eli/reg/1997/1467/2024-04-30" TargetMode="External"/><Relationship Id="rId5" Type="http://schemas.openxmlformats.org/officeDocument/2006/relationships/hyperlink" Target="https://ec.europa.eu/eurostat/en/web/products-euro-indicators/w/2-22042026-bp" TargetMode="External"/><Relationship Id="rId4" Type="http://schemas.openxmlformats.org/officeDocument/2006/relationships/hyperlink" Target="http://data.europa.eu/eli/C/2025/396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248cd52f-b46b-4611-a611-1f804cc55ba9" xsi:nil="true"/>
    <Doctype xmlns="248cd52f-b46b-4611-a611-1f804cc55ba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6BF9CE7B864144AB9135903AF2016F" ma:contentTypeVersion="8" ma:contentTypeDescription="Create a new document." ma:contentTypeScope="" ma:versionID="a07eca62e7eb427ed19d0d0876781e78">
  <xsd:schema xmlns:xsd="http://www.w3.org/2001/XMLSchema" xmlns:xs="http://www.w3.org/2001/XMLSchema" xmlns:p="http://schemas.microsoft.com/office/2006/metadata/properties" xmlns:ns2="248cd52f-b46b-4611-a611-1f804cc55ba9" xmlns:ns3="ee00aed3-c832-4f67-975b-fd0d79c6c939" targetNamespace="http://schemas.microsoft.com/office/2006/metadata/properties" ma:root="true" ma:fieldsID="84b05a78eab309583d88f99c55b6a78c" ns2:_="" ns3:_="">
    <xsd:import namespace="248cd52f-b46b-4611-a611-1f804cc55ba9"/>
    <xsd:import namespace="ee00aed3-c832-4f67-975b-fd0d79c6c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3:SharedWithUsers" minOccurs="0"/>
                <xsd:element ref="ns3:SharedWithDetail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cd52f-b46b-4611-a611-1f804cc55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Choice">
          <xsd:enumeration value="Draft"/>
          <xsd:enumeration value="Info"/>
          <xsd:enumeration value="Pending CAB approval"/>
          <xsd:enumeration value="Final"/>
        </xsd:restriction>
      </xsd:simpleType>
    </xsd:element>
    <xsd:element name="Doctype" ma:index="15" nillable="true" ma:displayName="Doc type" ma:format="Dropdown" ma:internalName="Doctype">
      <xsd:simpleType>
        <xsd:restriction base="dms:Choice">
          <xsd:enumeration value="Template"/>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e00aed3-c832-4f67-975b-fd0d79c6c9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D31F1-7D4B-4982-B4AF-7C83DF0DAFFC}">
  <ds:schemaRefs>
    <ds:schemaRef ds:uri="http://schemas.microsoft.com/office/2006/metadata/properties"/>
    <ds:schemaRef ds:uri="http://schemas.microsoft.com/office/infopath/2007/PartnerControls"/>
    <ds:schemaRef ds:uri="248cd52f-b46b-4611-a611-1f804cc55ba9"/>
  </ds:schemaRefs>
</ds:datastoreItem>
</file>

<file path=customXml/itemProps2.xml><?xml version="1.0" encoding="utf-8"?>
<ds:datastoreItem xmlns:ds="http://schemas.openxmlformats.org/officeDocument/2006/customXml" ds:itemID="{637C591F-798E-47C6-BEEE-D12A7C978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cd52f-b46b-4611-a611-1f804cc55ba9"/>
    <ds:schemaRef ds:uri="ee00aed3-c832-4f67-975b-fd0d79c6c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3EDBCA-0042-48F1-8406-E2BDB70C92A1}">
  <ds:schemaRefs>
    <ds:schemaRef ds:uri="http://schemas.microsoft.com/sharepoint/v3/contenttype/forms"/>
  </ds:schemaRefs>
</ds:datastoreItem>
</file>

<file path=customXml/itemProps4.xml><?xml version="1.0" encoding="utf-8"?>
<ds:datastoreItem xmlns:ds="http://schemas.openxmlformats.org/officeDocument/2006/customXml" ds:itemID="{ACC73467-E47F-48F5-843B-91EA88CE3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13</TotalTime>
  <Pages>4</Pages>
  <Words>894</Words>
  <Characters>5098</Characters>
  <Application>Microsoft Office Word</Application>
  <DocSecurity>0</DocSecurity>
  <Lines>42</Lines>
  <Paragraphs>11</Paragraphs>
  <ScaleCrop>false</ScaleCrop>
  <Manager/>
  <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cp:revision>
  <dcterms:created xsi:type="dcterms:W3CDTF">2026-06-23T09:25:00Z</dcterms:created>
  <dcterms:modified xsi:type="dcterms:W3CDTF">2026-07-02T07:39:00Z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2026-05-21T08:12:12Z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4f1ff6dc-9d90-45c9-8d5d-83f942d8d773</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0x010100756BF9CE7B864144AB9135903AF2016F</vt:lpwstr>
  </property>
  <property fmtid="{D5CDD505-2E9C-101B-9397-08002B2CF9AE}" pid="19" name="DQCStatus">
    <vt:lpwstr>Green (DQC version 03)</vt:lpwstr>
  </property>
</Properties>
</file>