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475823" w:rsidRDefault="00803090" w:rsidP="0080309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46E083-1C7C-4662-9883-9DB2F448EA57" style="width:455.25pt;height:330pt">
            <v:imagedata r:id="rId11" o:title=""/>
          </v:shape>
        </w:pict>
      </w:r>
    </w:p>
    <w:p w:rsidR="00F978A0" w:rsidRPr="00475823" w:rsidRDefault="00F978A0">
      <w:pPr>
        <w:rPr>
          <w:noProof/>
        </w:rPr>
        <w:sectPr w:rsidR="00F978A0" w:rsidRPr="00475823" w:rsidSect="00803090">
          <w:footerReference w:type="even" r:id="rId12"/>
          <w:footerReference w:type="default" r:id="rId13"/>
          <w:pgSz w:w="11907" w:h="16839"/>
          <w:pgMar w:top="1134" w:right="1417" w:bottom="1134" w:left="1417" w:header="709" w:footer="709" w:gutter="0"/>
          <w:pgNumType w:start="0"/>
          <w:cols w:space="720"/>
          <w:docGrid w:linePitch="360"/>
        </w:sectPr>
      </w:pPr>
    </w:p>
    <w:p w:rsidR="000A48E0" w:rsidRPr="00475823" w:rsidRDefault="000A48E0" w:rsidP="000A48E0">
      <w:pPr>
        <w:pStyle w:val="Exposdesmotifstitre"/>
        <w:rPr>
          <w:noProof/>
        </w:rPr>
      </w:pPr>
      <w:bookmarkStart w:id="0" w:name="_GoBack"/>
      <w:bookmarkEnd w:id="0"/>
    </w:p>
    <w:p w:rsidR="000A48E0" w:rsidRPr="00475823" w:rsidRDefault="000A48E0" w:rsidP="004C7C69">
      <w:pPr>
        <w:rPr>
          <w:noProof/>
        </w:rPr>
      </w:pPr>
    </w:p>
    <w:p w:rsidR="00AC3A09" w:rsidRDefault="00DA3B3C">
      <w:pPr>
        <w:pStyle w:val="Rfrenceinterinstitutionnelle"/>
        <w:rPr>
          <w:noProof/>
        </w:rPr>
      </w:pPr>
      <w:r>
        <w:rPr>
          <w:noProof/>
        </w:rPr>
        <w:t>2026/0177 (NLE)</w:t>
      </w:r>
    </w:p>
    <w:p w:rsidR="00F978A0" w:rsidRPr="00475823" w:rsidRDefault="000255A8" w:rsidP="000255A8">
      <w:pPr>
        <w:pStyle w:val="Statut"/>
        <w:rPr>
          <w:noProof/>
        </w:rPr>
      </w:pPr>
      <w:r w:rsidRPr="000255A8">
        <w:rPr>
          <w:noProof/>
        </w:rPr>
        <w:t>Propunere de</w:t>
      </w:r>
    </w:p>
    <w:p w:rsidR="00F978A0" w:rsidRPr="00475823" w:rsidRDefault="000255A8" w:rsidP="000255A8">
      <w:pPr>
        <w:pStyle w:val="Typedudocument"/>
        <w:rPr>
          <w:noProof/>
        </w:rPr>
      </w:pPr>
      <w:r w:rsidRPr="000255A8">
        <w:rPr>
          <w:noProof/>
        </w:rPr>
        <w:t>DECIZIE A CONSILIULUI</w:t>
      </w:r>
    </w:p>
    <w:p w:rsidR="00F978A0" w:rsidRPr="00475823" w:rsidRDefault="000255A8" w:rsidP="000255A8">
      <w:pPr>
        <w:pStyle w:val="Titreobjet"/>
        <w:rPr>
          <w:noProof/>
        </w:rPr>
      </w:pPr>
      <w:r w:rsidRPr="000255A8">
        <w:rPr>
          <w:noProof/>
        </w:rPr>
        <w:t>privind existența unui deficit excesiv în Bulgaria</w:t>
      </w:r>
    </w:p>
    <w:p w:rsidR="00F978A0" w:rsidRPr="00475823" w:rsidRDefault="00F978A0">
      <w:pPr>
        <w:pStyle w:val="Institutionquiagit"/>
        <w:rPr>
          <w:noProof/>
        </w:rPr>
      </w:pPr>
      <w:r w:rsidRPr="00475823">
        <w:rPr>
          <w:noProof/>
        </w:rPr>
        <w:t>CONSILIUL UNIUNII EUROPENE,</w:t>
      </w:r>
    </w:p>
    <w:p w:rsidR="00F978A0" w:rsidRPr="00475823" w:rsidRDefault="00F978A0">
      <w:pPr>
        <w:rPr>
          <w:noProof/>
        </w:rPr>
      </w:pPr>
      <w:r w:rsidRPr="00475823">
        <w:rPr>
          <w:noProof/>
        </w:rPr>
        <w:t>având în vedere Tratatul privind funcționarea Uniunii Europene (TFUE), în special articolul</w:t>
      </w:r>
      <w:r w:rsidR="009738BE">
        <w:rPr>
          <w:noProof/>
        </w:rPr>
        <w:t> </w:t>
      </w:r>
      <w:r w:rsidRPr="009738BE">
        <w:rPr>
          <w:noProof/>
        </w:rPr>
        <w:t>126</w:t>
      </w:r>
      <w:r w:rsidRPr="00475823">
        <w:rPr>
          <w:noProof/>
        </w:rPr>
        <w:t xml:space="preserve"> alineatul (</w:t>
      </w:r>
      <w:r w:rsidRPr="009738BE">
        <w:rPr>
          <w:noProof/>
        </w:rPr>
        <w:t>6</w:t>
      </w:r>
      <w:r w:rsidRPr="00475823">
        <w:rPr>
          <w:noProof/>
        </w:rPr>
        <w:t>),</w:t>
      </w:r>
    </w:p>
    <w:p w:rsidR="00F978A0" w:rsidRPr="00475823" w:rsidRDefault="00F978A0">
      <w:pPr>
        <w:rPr>
          <w:noProof/>
        </w:rPr>
      </w:pPr>
      <w:r w:rsidRPr="00475823">
        <w:rPr>
          <w:noProof/>
        </w:rPr>
        <w:t>având în vedere propunerea Comisiei Europene,</w:t>
      </w:r>
    </w:p>
    <w:p w:rsidR="0042642B" w:rsidRPr="00475823" w:rsidRDefault="0042642B">
      <w:pPr>
        <w:rPr>
          <w:noProof/>
        </w:rPr>
      </w:pPr>
      <w:r w:rsidRPr="00475823">
        <w:rPr>
          <w:noProof/>
        </w:rPr>
        <w:t xml:space="preserve">având în vedere observațiile prezentate de Bulgaria, </w:t>
      </w:r>
    </w:p>
    <w:p w:rsidR="00F978A0" w:rsidRPr="00475823" w:rsidRDefault="00F978A0">
      <w:pPr>
        <w:rPr>
          <w:noProof/>
        </w:rPr>
      </w:pPr>
      <w:r w:rsidRPr="00475823">
        <w:rPr>
          <w:noProof/>
        </w:rPr>
        <w:t>întrucât:</w:t>
      </w:r>
    </w:p>
    <w:p w:rsidR="0042642B" w:rsidRPr="00475823" w:rsidRDefault="0042642B" w:rsidP="00CD2C45">
      <w:pPr>
        <w:pStyle w:val="Point0"/>
        <w:rPr>
          <w:noProof/>
        </w:rPr>
      </w:pPr>
      <w:r>
        <w:rPr>
          <w:noProof/>
        </w:rPr>
        <w:t>(1)</w:t>
      </w:r>
      <w:r>
        <w:rPr>
          <w:noProof/>
        </w:rPr>
        <w:tab/>
      </w:r>
      <w:r w:rsidRPr="00475823">
        <w:rPr>
          <w:noProof/>
        </w:rPr>
        <w:t>În conformitate cu articolul </w:t>
      </w:r>
      <w:r w:rsidRPr="009738BE">
        <w:rPr>
          <w:noProof/>
        </w:rPr>
        <w:t>126</w:t>
      </w:r>
      <w:r w:rsidRPr="00475823">
        <w:rPr>
          <w:noProof/>
        </w:rPr>
        <w:t xml:space="preserve"> alineatul (</w:t>
      </w:r>
      <w:r w:rsidRPr="009738BE">
        <w:rPr>
          <w:noProof/>
        </w:rPr>
        <w:t>1</w:t>
      </w:r>
      <w:r w:rsidRPr="00475823">
        <w:rPr>
          <w:noProof/>
        </w:rPr>
        <w:t>) din Tratatul privind funcționarea Uniunii Europene, statele membre trebuie să evite deficitele publice excesive.</w:t>
      </w:r>
    </w:p>
    <w:p w:rsidR="0042642B" w:rsidRPr="00475823" w:rsidRDefault="0042642B" w:rsidP="004C7C69">
      <w:pPr>
        <w:pStyle w:val="Point0"/>
        <w:rPr>
          <w:noProof/>
        </w:rPr>
      </w:pPr>
      <w:r>
        <w:rPr>
          <w:noProof/>
        </w:rPr>
        <w:t>(2)</w:t>
      </w:r>
      <w:r>
        <w:rPr>
          <w:noProof/>
        </w:rPr>
        <w:tab/>
      </w:r>
      <w:r w:rsidRPr="00475823">
        <w:rPr>
          <w:noProof/>
        </w:rPr>
        <w:t>Pactul de stabilitate și de creștere (PSC) are la bază obiectivul unor finanțe publice solide și sustenabile ca mijloc de consolidare a condițiilor de realizare a stabilității prețurilor și a unei creșteri susținute, durabile și incluzive, bazată pe stabilitatea financiară, contribuind astfel la realizarea obiectivelor Uniunii privind creșterea economică durabilă și ocuparea forței de muncă.</w:t>
      </w:r>
    </w:p>
    <w:p w:rsidR="0042642B" w:rsidRPr="00475823" w:rsidRDefault="0042642B" w:rsidP="004C7C69">
      <w:pPr>
        <w:pStyle w:val="Point0"/>
        <w:rPr>
          <w:noProof/>
        </w:rPr>
      </w:pPr>
      <w:r>
        <w:rPr>
          <w:noProof/>
        </w:rPr>
        <w:t>(3)</w:t>
      </w:r>
      <w:r>
        <w:rPr>
          <w:noProof/>
        </w:rPr>
        <w:tab/>
      </w:r>
      <w:r w:rsidRPr="00475823">
        <w:rPr>
          <w:noProof/>
        </w:rPr>
        <w:t xml:space="preserve">Procedura aplicabilă deficitelor excesive prevăzută la articolul </w:t>
      </w:r>
      <w:r w:rsidRPr="009738BE">
        <w:rPr>
          <w:noProof/>
        </w:rPr>
        <w:t>126</w:t>
      </w:r>
      <w:r w:rsidRPr="00475823">
        <w:rPr>
          <w:noProof/>
        </w:rPr>
        <w:t xml:space="preserve"> din TFUE, clarificată prin Regulamentul (CE) nr. </w:t>
      </w:r>
      <w:r w:rsidRPr="009738BE">
        <w:rPr>
          <w:noProof/>
        </w:rPr>
        <w:t>1467</w:t>
      </w:r>
      <w:r w:rsidRPr="00475823">
        <w:rPr>
          <w:noProof/>
        </w:rPr>
        <w:t>/</w:t>
      </w:r>
      <w:r w:rsidRPr="009738BE">
        <w:rPr>
          <w:noProof/>
        </w:rPr>
        <w:t>97</w:t>
      </w:r>
      <w:r w:rsidRPr="00475823">
        <w:rPr>
          <w:noProof/>
        </w:rPr>
        <w:t xml:space="preserve"> al Consiliului privind accelerarea și clarificarea aplicării procedurii de deficit excesiv</w:t>
      </w:r>
      <w:r w:rsidR="009738BE">
        <w:rPr>
          <w:noProof/>
        </w:rPr>
        <w:t> </w:t>
      </w:r>
      <w:r w:rsidRPr="00475823">
        <w:rPr>
          <w:noProof/>
        </w:rPr>
        <w:t>(</w:t>
      </w:r>
      <w:r w:rsidRPr="00475823">
        <w:rPr>
          <w:rStyle w:val="FootnoteReference"/>
          <w:noProof/>
        </w:rPr>
        <w:footnoteReference w:id="1"/>
      </w:r>
      <w:r w:rsidRPr="00475823">
        <w:rPr>
          <w:noProof/>
        </w:rPr>
        <w:t>), care face parte din Pactul de stabilitate și de creștere, prevede adoptarea unei decizii privind existența unui deficit excesiv. Protocolul nr. </w:t>
      </w:r>
      <w:r w:rsidRPr="009738BE">
        <w:rPr>
          <w:noProof/>
        </w:rPr>
        <w:t>12</w:t>
      </w:r>
      <w:r w:rsidRPr="00475823">
        <w:rPr>
          <w:noProof/>
        </w:rPr>
        <w:t xml:space="preserve"> privind procedura aplicabilă deficitelor excesive, anexat la Tratatul privind Uniunea Europeană și la TFUE, prevede dispoziții suplimentare referitoare la punerea în aplicare a procedurii aplicabile deficitelor excesive. Regulamentul (CE) nr. </w:t>
      </w:r>
      <w:r w:rsidRPr="009738BE">
        <w:rPr>
          <w:noProof/>
        </w:rPr>
        <w:t>479</w:t>
      </w:r>
      <w:r w:rsidRPr="00475823">
        <w:rPr>
          <w:noProof/>
        </w:rPr>
        <w:t>/</w:t>
      </w:r>
      <w:r w:rsidRPr="009738BE">
        <w:rPr>
          <w:noProof/>
        </w:rPr>
        <w:t>2009</w:t>
      </w:r>
      <w:r w:rsidRPr="00475823">
        <w:rPr>
          <w:noProof/>
        </w:rPr>
        <w:t xml:space="preserve"> al Consiliului</w:t>
      </w:r>
      <w:r w:rsidR="009738BE">
        <w:rPr>
          <w:noProof/>
        </w:rPr>
        <w:t> (</w:t>
      </w:r>
      <w:r w:rsidRPr="00475823">
        <w:rPr>
          <w:rStyle w:val="FootnoteReference"/>
          <w:noProof/>
        </w:rPr>
        <w:footnoteReference w:id="2"/>
      </w:r>
      <w:r w:rsidR="009738BE">
        <w:rPr>
          <w:noProof/>
        </w:rPr>
        <w:t>)</w:t>
      </w:r>
      <w:r w:rsidRPr="00475823">
        <w:rPr>
          <w:noProof/>
        </w:rPr>
        <w:t xml:space="preserve"> prevede norme și definiții detaliate pentru aplicarea </w:t>
      </w:r>
      <w:r w:rsidRPr="00475823">
        <w:rPr>
          <w:noProof/>
          <w:color w:val="000000"/>
        </w:rPr>
        <w:t>dispozițiilor</w:t>
      </w:r>
      <w:r w:rsidRPr="00475823">
        <w:rPr>
          <w:noProof/>
        </w:rPr>
        <w:t xml:space="preserve"> respective. </w:t>
      </w:r>
    </w:p>
    <w:p w:rsidR="0042642B" w:rsidRPr="00475823" w:rsidRDefault="00A36DC1" w:rsidP="004C7C69">
      <w:pPr>
        <w:pStyle w:val="Point0"/>
        <w:rPr>
          <w:noProof/>
        </w:rPr>
      </w:pPr>
      <w:r>
        <w:rPr>
          <w:noProof/>
        </w:rPr>
        <w:t>(4)</w:t>
      </w:r>
      <w:r>
        <w:rPr>
          <w:noProof/>
        </w:rPr>
        <w:tab/>
      </w:r>
      <w:r w:rsidRPr="00475823">
        <w:rPr>
          <w:noProof/>
        </w:rPr>
        <w:t>În conformitate cu articolul </w:t>
      </w:r>
      <w:r w:rsidRPr="009738BE">
        <w:rPr>
          <w:noProof/>
        </w:rPr>
        <w:t>126</w:t>
      </w:r>
      <w:r w:rsidRPr="00475823">
        <w:rPr>
          <w:noProof/>
        </w:rPr>
        <w:t xml:space="preserve"> alineatul (</w:t>
      </w:r>
      <w:r w:rsidRPr="009738BE">
        <w:rPr>
          <w:noProof/>
        </w:rPr>
        <w:t>5</w:t>
      </w:r>
      <w:r w:rsidRPr="00475823">
        <w:rPr>
          <w:noProof/>
        </w:rPr>
        <w:t>) din TFUE, în cazul în care Comisia consideră că există un deficit excesiv într-un stat membru sau că un astfel de deficit se poate produce, aceasta adresează un aviz statului membru în cauză și informează Consiliul în acest sens.</w:t>
      </w:r>
      <w:r w:rsidRPr="00475823">
        <w:rPr>
          <w:rStyle w:val="normaltextrun"/>
          <w:noProof/>
        </w:rPr>
        <w:t> Luând în considerare raportul său adoptat în temeiul articolului </w:t>
      </w:r>
      <w:r w:rsidRPr="009738BE">
        <w:rPr>
          <w:rStyle w:val="normaltextrun"/>
          <w:noProof/>
        </w:rPr>
        <w:t>126</w:t>
      </w:r>
      <w:r w:rsidRPr="00475823">
        <w:rPr>
          <w:rStyle w:val="normaltextrun"/>
          <w:noProof/>
        </w:rPr>
        <w:t xml:space="preserve"> alineatul (</w:t>
      </w:r>
      <w:r w:rsidRPr="009738BE">
        <w:rPr>
          <w:rStyle w:val="normaltextrun"/>
          <w:noProof/>
        </w:rPr>
        <w:t>3</w:t>
      </w:r>
      <w:r w:rsidRPr="00475823">
        <w:rPr>
          <w:rStyle w:val="normaltextrun"/>
          <w:noProof/>
        </w:rPr>
        <w:t>) din TFUE și având în vedere avizul adoptat de Comitetul economic și financiar în temeiul articolului </w:t>
      </w:r>
      <w:r w:rsidRPr="009738BE">
        <w:rPr>
          <w:rStyle w:val="normaltextrun"/>
          <w:noProof/>
        </w:rPr>
        <w:t>126</w:t>
      </w:r>
      <w:r w:rsidRPr="00475823">
        <w:rPr>
          <w:rStyle w:val="normaltextrun"/>
          <w:noProof/>
        </w:rPr>
        <w:t xml:space="preserve"> alineatul (</w:t>
      </w:r>
      <w:r w:rsidRPr="009738BE">
        <w:rPr>
          <w:rStyle w:val="normaltextrun"/>
          <w:noProof/>
        </w:rPr>
        <w:t>4</w:t>
      </w:r>
      <w:r w:rsidRPr="00475823">
        <w:rPr>
          <w:rStyle w:val="normaltextrun"/>
          <w:noProof/>
        </w:rPr>
        <w:t xml:space="preserve">) din TFUE, Comisia a concluzionat că în Bulgaria există un deficit excesiv. </w:t>
      </w:r>
      <w:r w:rsidRPr="00475823">
        <w:rPr>
          <w:noProof/>
        </w:rPr>
        <w:t xml:space="preserve">În consecință, la </w:t>
      </w:r>
      <w:r w:rsidRPr="009738BE">
        <w:rPr>
          <w:noProof/>
        </w:rPr>
        <w:t>25</w:t>
      </w:r>
      <w:r w:rsidR="009738BE">
        <w:rPr>
          <w:noProof/>
        </w:rPr>
        <w:t> </w:t>
      </w:r>
      <w:r w:rsidRPr="00475823">
        <w:rPr>
          <w:noProof/>
        </w:rPr>
        <w:t>iunie</w:t>
      </w:r>
      <w:r w:rsidR="009738BE">
        <w:rPr>
          <w:noProof/>
        </w:rPr>
        <w:t> </w:t>
      </w:r>
      <w:r w:rsidRPr="009738BE">
        <w:rPr>
          <w:noProof/>
        </w:rPr>
        <w:t>2026</w:t>
      </w:r>
      <w:r w:rsidRPr="00475823">
        <w:rPr>
          <w:noProof/>
        </w:rPr>
        <w:t>, Comisia a adresat Bulgariei un astfel de aviz și a informat Consiliul în acest sens</w:t>
      </w:r>
      <w:r w:rsidR="009738BE">
        <w:rPr>
          <w:noProof/>
        </w:rPr>
        <w:t> </w:t>
      </w:r>
      <w:r w:rsidRPr="00475823">
        <w:rPr>
          <w:noProof/>
        </w:rPr>
        <w:t>(</w:t>
      </w:r>
      <w:r w:rsidRPr="00475823">
        <w:rPr>
          <w:rStyle w:val="FootnoteReference"/>
          <w:noProof/>
          <w:lang w:eastAsia="de-DE"/>
        </w:rPr>
        <w:footnoteReference w:id="3"/>
      </w:r>
      <w:r w:rsidRPr="00475823">
        <w:rPr>
          <w:noProof/>
        </w:rPr>
        <w:t>)</w:t>
      </w:r>
      <w:r w:rsidR="009738BE">
        <w:rPr>
          <w:noProof/>
        </w:rPr>
        <w:t>.</w:t>
      </w:r>
    </w:p>
    <w:p w:rsidR="0042642B" w:rsidRPr="00475823" w:rsidRDefault="0042642B" w:rsidP="004C7C69">
      <w:pPr>
        <w:pStyle w:val="Point0"/>
        <w:rPr>
          <w:noProof/>
        </w:rPr>
      </w:pPr>
      <w:r>
        <w:rPr>
          <w:noProof/>
        </w:rPr>
        <w:t>(5)</w:t>
      </w:r>
      <w:r>
        <w:rPr>
          <w:noProof/>
        </w:rPr>
        <w:tab/>
      </w:r>
      <w:r w:rsidRPr="00475823">
        <w:rPr>
          <w:noProof/>
        </w:rPr>
        <w:t xml:space="preserve">În conformitate cu articolul </w:t>
      </w:r>
      <w:r w:rsidRPr="009738BE">
        <w:rPr>
          <w:noProof/>
        </w:rPr>
        <w:t>126</w:t>
      </w:r>
      <w:r w:rsidRPr="00475823">
        <w:rPr>
          <w:noProof/>
        </w:rPr>
        <w:t xml:space="preserve"> alineatul (</w:t>
      </w:r>
      <w:r w:rsidRPr="009738BE">
        <w:rPr>
          <w:noProof/>
        </w:rPr>
        <w:t>6</w:t>
      </w:r>
      <w:r w:rsidRPr="00475823">
        <w:rPr>
          <w:noProof/>
        </w:rPr>
        <w:t>) din TFUE, Consiliul ia în considerare eventualele observații ale statului membru în cauză, înainte de a decide, după o evaluare globală, dacă există sau nu un deficit excesiv. În cazul Bulgariei, evaluarea globală conduce la concluziile expuse în cele ce urmează.</w:t>
      </w:r>
    </w:p>
    <w:p w:rsidR="00824C6C" w:rsidRPr="00475823" w:rsidRDefault="00824C6C" w:rsidP="004C7C69">
      <w:pPr>
        <w:pStyle w:val="Point0"/>
        <w:rPr>
          <w:rFonts w:eastAsia="Calibri"/>
          <w:noProof/>
          <w:szCs w:val="24"/>
        </w:rPr>
      </w:pPr>
      <w:r>
        <w:rPr>
          <w:noProof/>
        </w:rPr>
        <w:t>(6)</w:t>
      </w:r>
      <w:r>
        <w:rPr>
          <w:noProof/>
        </w:rPr>
        <w:tab/>
      </w:r>
      <w:r w:rsidRPr="00475823">
        <w:rPr>
          <w:rStyle w:val="normaltextrun"/>
          <w:noProof/>
        </w:rPr>
        <w:t xml:space="preserve">Conform datelor furnizate de Eurostat la </w:t>
      </w:r>
      <w:r w:rsidRPr="009738BE">
        <w:rPr>
          <w:rStyle w:val="normaltextrun"/>
          <w:noProof/>
        </w:rPr>
        <w:t>22</w:t>
      </w:r>
      <w:r w:rsidRPr="00475823">
        <w:rPr>
          <w:rStyle w:val="normaltextrun"/>
          <w:noProof/>
        </w:rPr>
        <w:t xml:space="preserve"> aprilie </w:t>
      </w:r>
      <w:r w:rsidRPr="009738BE">
        <w:rPr>
          <w:rStyle w:val="normaltextrun"/>
          <w:noProof/>
        </w:rPr>
        <w:t>2026</w:t>
      </w:r>
      <w:r w:rsidR="009738BE">
        <w:rPr>
          <w:rStyle w:val="normaltextrun"/>
          <w:noProof/>
        </w:rPr>
        <w:t> </w:t>
      </w:r>
      <w:r w:rsidRPr="00475823">
        <w:rPr>
          <w:rStyle w:val="normaltextrun"/>
          <w:noProof/>
        </w:rPr>
        <w:t>(</w:t>
      </w:r>
      <w:r w:rsidRPr="00475823">
        <w:rPr>
          <w:rStyle w:val="FootnoteReference"/>
          <w:noProof/>
        </w:rPr>
        <w:footnoteReference w:id="4"/>
      </w:r>
      <w:r w:rsidRPr="00475823">
        <w:rPr>
          <w:rStyle w:val="normaltextrun"/>
          <w:noProof/>
        </w:rPr>
        <w:t xml:space="preserve">), deficitul public al Bulgariei a fost de </w:t>
      </w:r>
      <w:r w:rsidRPr="009738BE">
        <w:rPr>
          <w:rStyle w:val="normaltextrun"/>
          <w:noProof/>
        </w:rPr>
        <w:t>3</w:t>
      </w:r>
      <w:r w:rsidRPr="00475823">
        <w:rPr>
          <w:rStyle w:val="normaltextrun"/>
          <w:noProof/>
        </w:rPr>
        <w:t>,</w:t>
      </w:r>
      <w:r w:rsidRPr="009738BE">
        <w:rPr>
          <w:rStyle w:val="normaltextrun"/>
          <w:noProof/>
        </w:rPr>
        <w:t>5</w:t>
      </w:r>
      <w:r w:rsidRPr="00475823">
        <w:rPr>
          <w:rStyle w:val="normaltextrun"/>
          <w:noProof/>
        </w:rPr>
        <w:t xml:space="preserve"> % din PIB în </w:t>
      </w:r>
      <w:r w:rsidRPr="009738BE">
        <w:rPr>
          <w:rStyle w:val="normaltextrun"/>
          <w:noProof/>
        </w:rPr>
        <w:t>2025</w:t>
      </w:r>
      <w:r w:rsidRPr="00475823">
        <w:rPr>
          <w:rStyle w:val="normaltextrun"/>
          <w:noProof/>
        </w:rPr>
        <w:t xml:space="preserve">. </w:t>
      </w:r>
      <w:r w:rsidRPr="00475823">
        <w:rPr>
          <w:noProof/>
          <w:color w:val="000000" w:themeColor="text1"/>
        </w:rPr>
        <w:t xml:space="preserve">Deși Bulgaria nu a raportat către Eurostat un deficit planificat pentru </w:t>
      </w:r>
      <w:r w:rsidRPr="009738BE">
        <w:rPr>
          <w:noProof/>
          <w:color w:val="000000" w:themeColor="text1"/>
        </w:rPr>
        <w:t>2026</w:t>
      </w:r>
      <w:r w:rsidRPr="00475823">
        <w:rPr>
          <w:noProof/>
          <w:color w:val="000000" w:themeColor="text1"/>
        </w:rPr>
        <w:t xml:space="preserve">, previziunile Comisiei din primăvara anului </w:t>
      </w:r>
      <w:r w:rsidRPr="009738BE">
        <w:rPr>
          <w:noProof/>
          <w:color w:val="000000" w:themeColor="text1"/>
        </w:rPr>
        <w:t>2026</w:t>
      </w:r>
      <w:r w:rsidRPr="00475823">
        <w:rPr>
          <w:noProof/>
          <w:color w:val="000000" w:themeColor="text1"/>
        </w:rPr>
        <w:t xml:space="preserve"> au preconizat un deficit al Bulgariei în </w:t>
      </w:r>
      <w:r w:rsidRPr="009738BE">
        <w:rPr>
          <w:noProof/>
          <w:color w:val="000000" w:themeColor="text1"/>
        </w:rPr>
        <w:t>2026</w:t>
      </w:r>
      <w:r w:rsidRPr="00475823">
        <w:rPr>
          <w:noProof/>
          <w:color w:val="000000" w:themeColor="text1"/>
        </w:rPr>
        <w:t xml:space="preserve"> situat la </w:t>
      </w:r>
      <w:r w:rsidRPr="009738BE">
        <w:rPr>
          <w:noProof/>
          <w:color w:val="000000" w:themeColor="text1"/>
        </w:rPr>
        <w:t>4</w:t>
      </w:r>
      <w:r w:rsidRPr="00475823">
        <w:rPr>
          <w:noProof/>
          <w:color w:val="000000" w:themeColor="text1"/>
        </w:rPr>
        <w:t>,</w:t>
      </w:r>
      <w:r w:rsidRPr="009738BE">
        <w:rPr>
          <w:noProof/>
          <w:color w:val="000000" w:themeColor="text1"/>
        </w:rPr>
        <w:t>1</w:t>
      </w:r>
      <w:r w:rsidRPr="00475823">
        <w:rPr>
          <w:noProof/>
          <w:color w:val="000000" w:themeColor="text1"/>
        </w:rPr>
        <w:t>% din PIB</w:t>
      </w:r>
      <w:r w:rsidR="009738BE">
        <w:rPr>
          <w:noProof/>
          <w:color w:val="000000" w:themeColor="text1"/>
        </w:rPr>
        <w:t> </w:t>
      </w:r>
      <w:r w:rsidRPr="00475823">
        <w:rPr>
          <w:noProof/>
        </w:rPr>
        <w:t>(</w:t>
      </w:r>
      <w:r w:rsidRPr="00475823">
        <w:rPr>
          <w:rStyle w:val="FootnoteReference"/>
          <w:noProof/>
        </w:rPr>
        <w:footnoteReference w:id="5"/>
      </w:r>
      <w:r w:rsidRPr="00475823">
        <w:rPr>
          <w:noProof/>
        </w:rPr>
        <w:t>)</w:t>
      </w:r>
      <w:r w:rsidR="009738BE">
        <w:rPr>
          <w:noProof/>
        </w:rPr>
        <w:t>.</w:t>
      </w:r>
      <w:r w:rsidRPr="00475823">
        <w:rPr>
          <w:noProof/>
        </w:rPr>
        <w:t xml:space="preserve"> </w:t>
      </w:r>
      <w:r w:rsidRPr="00475823">
        <w:rPr>
          <w:rStyle w:val="normaltextrun"/>
          <w:noProof/>
        </w:rPr>
        <w:t xml:space="preserve">Deficitul public real din </w:t>
      </w:r>
      <w:r w:rsidRPr="009738BE">
        <w:rPr>
          <w:rStyle w:val="normaltextrun"/>
          <w:noProof/>
        </w:rPr>
        <w:t>2025</w:t>
      </w:r>
      <w:r w:rsidRPr="00475823">
        <w:rPr>
          <w:rStyle w:val="normaltextrun"/>
          <w:noProof/>
        </w:rPr>
        <w:t xml:space="preserve"> și deficitul preconizat pentru </w:t>
      </w:r>
      <w:r w:rsidRPr="009738BE">
        <w:rPr>
          <w:rStyle w:val="normaltextrun"/>
          <w:noProof/>
        </w:rPr>
        <w:t>2026</w:t>
      </w:r>
      <w:r w:rsidRPr="00475823">
        <w:rPr>
          <w:rStyle w:val="normaltextrun"/>
          <w:noProof/>
        </w:rPr>
        <w:t xml:space="preserve"> se situează deasupra valorii de referință din tratat de </w:t>
      </w:r>
      <w:r w:rsidRPr="009738BE">
        <w:rPr>
          <w:rStyle w:val="normaltextrun"/>
          <w:noProof/>
        </w:rPr>
        <w:t>3</w:t>
      </w:r>
      <w:r w:rsidRPr="00475823">
        <w:rPr>
          <w:rStyle w:val="normaltextrun"/>
          <w:noProof/>
        </w:rPr>
        <w:t xml:space="preserve"> % din PIB și nu sunt apropiate de aceasta, iar deficitele care depășesc valoarea de referință din Tratat nu sunt considerate temporare. Pe baza previziunilor Comisiei din primăvara anului </w:t>
      </w:r>
      <w:r w:rsidRPr="009738BE">
        <w:rPr>
          <w:rStyle w:val="normaltextrun"/>
          <w:noProof/>
        </w:rPr>
        <w:t>2026</w:t>
      </w:r>
      <w:r w:rsidRPr="00475823">
        <w:rPr>
          <w:rStyle w:val="normaltextrun"/>
          <w:noProof/>
        </w:rPr>
        <w:t xml:space="preserve">, se preconizează că deficitul public va continua să depășească valoarea de </w:t>
      </w:r>
      <w:r w:rsidRPr="009738BE">
        <w:rPr>
          <w:rStyle w:val="normaltextrun"/>
          <w:noProof/>
        </w:rPr>
        <w:t>3</w:t>
      </w:r>
      <w:r w:rsidRPr="00475823">
        <w:rPr>
          <w:rStyle w:val="normaltextrun"/>
          <w:noProof/>
        </w:rPr>
        <w:t xml:space="preserve"> % din PIB în </w:t>
      </w:r>
      <w:r w:rsidRPr="009738BE">
        <w:rPr>
          <w:rStyle w:val="normaltextrun"/>
          <w:noProof/>
        </w:rPr>
        <w:t>2027</w:t>
      </w:r>
      <w:r w:rsidRPr="00475823">
        <w:rPr>
          <w:rStyle w:val="normaltextrun"/>
          <w:noProof/>
        </w:rPr>
        <w:t>. </w:t>
      </w:r>
      <w:r w:rsidRPr="00475823">
        <w:rPr>
          <w:noProof/>
        </w:rPr>
        <w:t xml:space="preserve">La </w:t>
      </w:r>
      <w:r w:rsidRPr="009738BE">
        <w:rPr>
          <w:noProof/>
        </w:rPr>
        <w:t>8</w:t>
      </w:r>
      <w:r w:rsidRPr="00475823">
        <w:rPr>
          <w:noProof/>
        </w:rPr>
        <w:t xml:space="preserve"> iulie </w:t>
      </w:r>
      <w:r w:rsidRPr="009738BE">
        <w:rPr>
          <w:noProof/>
        </w:rPr>
        <w:t>2025</w:t>
      </w:r>
      <w:r w:rsidRPr="00475823">
        <w:rPr>
          <w:noProof/>
        </w:rPr>
        <w:t xml:space="preserve">, Consiliul a activat clauza derogatorie națională pentru a facilita o creștere a cheltuielilor pentru apărare în Bulgaria în perioada </w:t>
      </w:r>
      <w:r w:rsidRPr="009738BE">
        <w:rPr>
          <w:noProof/>
        </w:rPr>
        <w:t>2025</w:t>
      </w:r>
      <w:r w:rsidRPr="00475823">
        <w:rPr>
          <w:noProof/>
        </w:rPr>
        <w:t>-</w:t>
      </w:r>
      <w:r w:rsidRPr="009738BE">
        <w:rPr>
          <w:noProof/>
        </w:rPr>
        <w:t>2028</w:t>
      </w:r>
      <w:r w:rsidR="009738BE">
        <w:rPr>
          <w:noProof/>
        </w:rPr>
        <w:t> </w:t>
      </w:r>
      <w:r w:rsidRPr="00475823">
        <w:rPr>
          <w:noProof/>
        </w:rPr>
        <w:t>(</w:t>
      </w:r>
      <w:r w:rsidRPr="00475823">
        <w:rPr>
          <w:rStyle w:val="FootnoteReference"/>
          <w:rFonts w:eastAsia="Calibri"/>
          <w:noProof/>
          <w:szCs w:val="24"/>
        </w:rPr>
        <w:footnoteReference w:id="6"/>
      </w:r>
      <w:r w:rsidRPr="00475823">
        <w:rPr>
          <w:noProof/>
        </w:rPr>
        <w:t>). Pe această bază, raportul Comisiei întocmit în temeiul articolului </w:t>
      </w:r>
      <w:r w:rsidRPr="009738BE">
        <w:rPr>
          <w:noProof/>
        </w:rPr>
        <w:t>126</w:t>
      </w:r>
      <w:r w:rsidRPr="00475823">
        <w:rPr>
          <w:noProof/>
        </w:rPr>
        <w:t xml:space="preserve"> alineatul (</w:t>
      </w:r>
      <w:r w:rsidRPr="009738BE">
        <w:rPr>
          <w:noProof/>
        </w:rPr>
        <w:t>3</w:t>
      </w:r>
      <w:r w:rsidRPr="00475823">
        <w:rPr>
          <w:noProof/>
        </w:rPr>
        <w:t xml:space="preserve">) din TFUE a considerat că deficitul care a depășit în </w:t>
      </w:r>
      <w:r w:rsidRPr="009738BE">
        <w:rPr>
          <w:noProof/>
        </w:rPr>
        <w:t>2025</w:t>
      </w:r>
      <w:r w:rsidRPr="00475823">
        <w:rPr>
          <w:noProof/>
        </w:rPr>
        <w:t xml:space="preserve"> valoarea de referință de </w:t>
      </w:r>
      <w:r w:rsidRPr="009738BE">
        <w:rPr>
          <w:noProof/>
        </w:rPr>
        <w:t>3</w:t>
      </w:r>
      <w:r w:rsidRPr="00475823">
        <w:rPr>
          <w:noProof/>
        </w:rPr>
        <w:t xml:space="preserve"> % din PIB prevăzută în tratat este excepțional, deoarece acest lucru poate fi explicat pe deplin printr-o creștere a cheltuielilor pentru apărare începând cu anul de referință </w:t>
      </w:r>
      <w:r w:rsidRPr="009738BE">
        <w:rPr>
          <w:noProof/>
        </w:rPr>
        <w:t>2024</w:t>
      </w:r>
      <w:r w:rsidRPr="00475823">
        <w:rPr>
          <w:noProof/>
        </w:rPr>
        <w:t xml:space="preserve">, în timp ce acest lucru nu este valabil pentru deficitul preconizat care depășește valoarea de referință pentru </w:t>
      </w:r>
      <w:r w:rsidRPr="009738BE">
        <w:rPr>
          <w:noProof/>
        </w:rPr>
        <w:t>2026</w:t>
      </w:r>
      <w:r w:rsidRPr="00475823">
        <w:rPr>
          <w:noProof/>
        </w:rPr>
        <w:t>.</w:t>
      </w:r>
      <w:r w:rsidRPr="00475823">
        <w:rPr>
          <w:rStyle w:val="normaltextrun"/>
          <w:noProof/>
        </w:rPr>
        <w:t> </w:t>
      </w:r>
    </w:p>
    <w:p w:rsidR="00824C6C" w:rsidRPr="00475823" w:rsidRDefault="00824C6C" w:rsidP="004C7C69">
      <w:pPr>
        <w:pStyle w:val="Point0"/>
        <w:rPr>
          <w:noProof/>
        </w:rPr>
      </w:pPr>
      <w:r>
        <w:rPr>
          <w:noProof/>
        </w:rPr>
        <w:t>(7)</w:t>
      </w:r>
      <w:r>
        <w:rPr>
          <w:noProof/>
        </w:rPr>
        <w:tab/>
      </w:r>
      <w:r w:rsidRPr="00475823">
        <w:rPr>
          <w:noProof/>
        </w:rPr>
        <w:t xml:space="preserve">Conform datelor furnizate de Eurostat la </w:t>
      </w:r>
      <w:r w:rsidRPr="009738BE">
        <w:rPr>
          <w:noProof/>
        </w:rPr>
        <w:t>22</w:t>
      </w:r>
      <w:r w:rsidRPr="00475823">
        <w:rPr>
          <w:noProof/>
        </w:rPr>
        <w:t xml:space="preserve"> aprilie </w:t>
      </w:r>
      <w:r w:rsidRPr="009738BE">
        <w:rPr>
          <w:noProof/>
        </w:rPr>
        <w:t>2026</w:t>
      </w:r>
      <w:r w:rsidR="009738BE">
        <w:rPr>
          <w:noProof/>
        </w:rPr>
        <w:t> </w:t>
      </w:r>
      <w:r w:rsidRPr="00475823">
        <w:rPr>
          <w:noProof/>
        </w:rPr>
        <w:t>(</w:t>
      </w:r>
      <w:r w:rsidRPr="00475823">
        <w:rPr>
          <w:rStyle w:val="FootnoteReference"/>
          <w:noProof/>
        </w:rPr>
        <w:footnoteReference w:id="7"/>
      </w:r>
      <w:r w:rsidRPr="00475823">
        <w:rPr>
          <w:noProof/>
        </w:rPr>
        <w:t xml:space="preserve">), datoria publică se situa la </w:t>
      </w:r>
      <w:r w:rsidRPr="009738BE">
        <w:rPr>
          <w:noProof/>
        </w:rPr>
        <w:t>29</w:t>
      </w:r>
      <w:r w:rsidRPr="00475823">
        <w:rPr>
          <w:noProof/>
        </w:rPr>
        <w:t>,</w:t>
      </w:r>
      <w:r w:rsidRPr="009738BE">
        <w:rPr>
          <w:noProof/>
        </w:rPr>
        <w:t>9</w:t>
      </w:r>
      <w:r w:rsidRPr="00475823">
        <w:rPr>
          <w:noProof/>
        </w:rPr>
        <w:t xml:space="preserve"> % din PIB în </w:t>
      </w:r>
      <w:r w:rsidRPr="009738BE">
        <w:rPr>
          <w:noProof/>
        </w:rPr>
        <w:t>2025</w:t>
      </w:r>
      <w:r w:rsidRPr="00475823">
        <w:rPr>
          <w:noProof/>
        </w:rPr>
        <w:t xml:space="preserve">, valoare mai mică decât valoarea de referință de </w:t>
      </w:r>
      <w:r w:rsidRPr="009738BE">
        <w:rPr>
          <w:noProof/>
        </w:rPr>
        <w:t>60</w:t>
      </w:r>
      <w:r w:rsidRPr="00475823">
        <w:rPr>
          <w:noProof/>
        </w:rPr>
        <w:t> % din PIB.</w:t>
      </w:r>
      <w:r w:rsidRPr="00475823">
        <w:rPr>
          <w:rStyle w:val="normaltextrun"/>
          <w:noProof/>
        </w:rPr>
        <w:t> Așadar. criteriul datoriei din tratat este îndeplinit.</w:t>
      </w:r>
      <w:r w:rsidRPr="00475823">
        <w:rPr>
          <w:rStyle w:val="eop"/>
          <w:noProof/>
        </w:rPr>
        <w:t xml:space="preserve"> </w:t>
      </w:r>
    </w:p>
    <w:p w:rsidR="00824C6C" w:rsidRPr="00475823" w:rsidRDefault="00824C6C" w:rsidP="004C7C69">
      <w:pPr>
        <w:pStyle w:val="Point0"/>
        <w:rPr>
          <w:noProof/>
        </w:rPr>
      </w:pPr>
      <w:r>
        <w:rPr>
          <w:noProof/>
        </w:rPr>
        <w:t>(8)</w:t>
      </w:r>
      <w:r>
        <w:rPr>
          <w:noProof/>
        </w:rPr>
        <w:tab/>
      </w:r>
      <w:r w:rsidRPr="00475823">
        <w:rPr>
          <w:noProof/>
        </w:rPr>
        <w:t xml:space="preserve">În concordanță cu cerințele articolului </w:t>
      </w:r>
      <w:r w:rsidRPr="009738BE">
        <w:rPr>
          <w:noProof/>
        </w:rPr>
        <w:t>126</w:t>
      </w:r>
      <w:r w:rsidRPr="00475823">
        <w:rPr>
          <w:noProof/>
        </w:rPr>
        <w:t xml:space="preserve"> alineatul (</w:t>
      </w:r>
      <w:r w:rsidRPr="009738BE">
        <w:rPr>
          <w:noProof/>
        </w:rPr>
        <w:t>3</w:t>
      </w:r>
      <w:r w:rsidRPr="00475823">
        <w:rPr>
          <w:noProof/>
        </w:rPr>
        <w:t xml:space="preserve">) din TFUE, Comisia a analizat, de asemenea, toți </w:t>
      </w:r>
      <w:r w:rsidRPr="00475823">
        <w:rPr>
          <w:rStyle w:val="normaltextrun"/>
          <w:noProof/>
        </w:rPr>
        <w:t>factorii</w:t>
      </w:r>
      <w:r w:rsidRPr="00475823">
        <w:rPr>
          <w:noProof/>
        </w:rPr>
        <w:t xml:space="preserve"> relevanți în raportul său întocmit în temeiul articolului </w:t>
      </w:r>
      <w:r w:rsidRPr="009738BE">
        <w:rPr>
          <w:noProof/>
        </w:rPr>
        <w:t>126</w:t>
      </w:r>
      <w:r w:rsidRPr="00475823">
        <w:rPr>
          <w:noProof/>
        </w:rPr>
        <w:t xml:space="preserve"> alineatul (</w:t>
      </w:r>
      <w:r w:rsidRPr="009738BE">
        <w:rPr>
          <w:noProof/>
        </w:rPr>
        <w:t>3</w:t>
      </w:r>
      <w:r w:rsidRPr="00475823">
        <w:rPr>
          <w:noProof/>
        </w:rPr>
        <w:t xml:space="preserve">) din TFUE. În conformitate cu articolul </w:t>
      </w:r>
      <w:r w:rsidRPr="009738BE">
        <w:rPr>
          <w:noProof/>
        </w:rPr>
        <w:t>2</w:t>
      </w:r>
      <w:r w:rsidRPr="00475823">
        <w:rPr>
          <w:noProof/>
        </w:rPr>
        <w:t xml:space="preserve"> alineatul (</w:t>
      </w:r>
      <w:r w:rsidRPr="009738BE">
        <w:rPr>
          <w:noProof/>
        </w:rPr>
        <w:t>4</w:t>
      </w:r>
      <w:r w:rsidRPr="00475823">
        <w:rPr>
          <w:noProof/>
        </w:rPr>
        <w:t xml:space="preserve">) din Regulamentul (CE) nr. </w:t>
      </w:r>
      <w:r w:rsidRPr="009738BE">
        <w:rPr>
          <w:noProof/>
        </w:rPr>
        <w:t>1467</w:t>
      </w:r>
      <w:r w:rsidRPr="00475823">
        <w:rPr>
          <w:noProof/>
        </w:rPr>
        <w:t>/</w:t>
      </w:r>
      <w:r w:rsidRPr="009738BE">
        <w:rPr>
          <w:noProof/>
        </w:rPr>
        <w:t>97</w:t>
      </w:r>
      <w:r w:rsidRPr="00475823">
        <w:rPr>
          <w:noProof/>
        </w:rPr>
        <w:t xml:space="preserve">, ori de câte ori ponderea datoriei publice în PIB nu depășește valoarea de referință, în etapele care conduc la adoptarea deciziei privind existența unui deficit excesiv bazat pe criteriul deficitului vor fi luați în considerare factorii relevanți. </w:t>
      </w:r>
    </w:p>
    <w:p w:rsidR="00824C6C" w:rsidRPr="00475823" w:rsidRDefault="00824C6C" w:rsidP="004C7C69">
      <w:pPr>
        <w:pStyle w:val="Point0"/>
        <w:rPr>
          <w:noProof/>
        </w:rPr>
      </w:pPr>
      <w:r>
        <w:rPr>
          <w:noProof/>
        </w:rPr>
        <w:t>(9)</w:t>
      </w:r>
      <w:r>
        <w:rPr>
          <w:noProof/>
        </w:rPr>
        <w:tab/>
      </w:r>
      <w:r w:rsidRPr="00475823">
        <w:rPr>
          <w:rStyle w:val="normaltextrun"/>
          <w:noProof/>
        </w:rPr>
        <w:t xml:space="preserve">În ansamblu, factorii relevanți examinați în raport în temeiul articolului </w:t>
      </w:r>
      <w:r w:rsidRPr="009738BE">
        <w:rPr>
          <w:rStyle w:val="normaltextrun"/>
          <w:noProof/>
        </w:rPr>
        <w:t>126</w:t>
      </w:r>
      <w:r w:rsidRPr="00475823">
        <w:rPr>
          <w:rStyle w:val="normaltextrun"/>
          <w:noProof/>
        </w:rPr>
        <w:t xml:space="preserve"> alineatul</w:t>
      </w:r>
      <w:r w:rsidR="009738BE">
        <w:rPr>
          <w:rStyle w:val="normaltextrun"/>
          <w:noProof/>
        </w:rPr>
        <w:t> </w:t>
      </w:r>
      <w:r w:rsidRPr="00475823">
        <w:rPr>
          <w:rStyle w:val="normaltextrun"/>
          <w:noProof/>
        </w:rPr>
        <w:t>(</w:t>
      </w:r>
      <w:r w:rsidRPr="009738BE">
        <w:rPr>
          <w:rStyle w:val="normaltextrun"/>
          <w:noProof/>
        </w:rPr>
        <w:t>3</w:t>
      </w:r>
      <w:r w:rsidRPr="00475823">
        <w:rPr>
          <w:rStyle w:val="normaltextrun"/>
          <w:noProof/>
        </w:rPr>
        <w:t xml:space="preserve">) din TFUE sunt evaluați ca fiind agravanți pentru Bulgaria. </w:t>
      </w:r>
      <w:r w:rsidRPr="00475823">
        <w:rPr>
          <w:noProof/>
        </w:rPr>
        <w:t xml:space="preserve">În ansamblu, luând în considerare toți factorii relevanți, după caz, și, în special, întrucât deficitul crește la mult peste </w:t>
      </w:r>
      <w:r w:rsidRPr="009738BE">
        <w:rPr>
          <w:noProof/>
        </w:rPr>
        <w:t>3</w:t>
      </w:r>
      <w:r w:rsidRPr="00475823">
        <w:rPr>
          <w:noProof/>
        </w:rPr>
        <w:t xml:space="preserve"> % din PIB în </w:t>
      </w:r>
      <w:r w:rsidRPr="009738BE">
        <w:rPr>
          <w:noProof/>
        </w:rPr>
        <w:t>2026</w:t>
      </w:r>
      <w:r w:rsidRPr="00475823">
        <w:rPr>
          <w:noProof/>
        </w:rPr>
        <w:t>, criteriul deficitului, astfel cum este definit în tratat și în Regulamentul (CE) nr. </w:t>
      </w:r>
      <w:r w:rsidRPr="009738BE">
        <w:rPr>
          <w:noProof/>
        </w:rPr>
        <w:t>1467</w:t>
      </w:r>
      <w:r w:rsidRPr="00475823">
        <w:rPr>
          <w:noProof/>
        </w:rPr>
        <w:t>/</w:t>
      </w:r>
      <w:r w:rsidRPr="009738BE">
        <w:rPr>
          <w:noProof/>
        </w:rPr>
        <w:t>97</w:t>
      </w:r>
      <w:r w:rsidRPr="00475823">
        <w:rPr>
          <w:noProof/>
        </w:rPr>
        <w:t>, nu este îndeplinit.</w:t>
      </w:r>
      <w:r w:rsidRPr="00475823">
        <w:rPr>
          <w:rStyle w:val="normaltextrun"/>
          <w:noProof/>
        </w:rPr>
        <w:t xml:space="preserve"> </w:t>
      </w:r>
    </w:p>
    <w:p w:rsidR="00B310E6" w:rsidRPr="00475823" w:rsidRDefault="00824C6C" w:rsidP="004C7C69">
      <w:pPr>
        <w:pStyle w:val="Point0"/>
        <w:rPr>
          <w:noProof/>
        </w:rPr>
      </w:pPr>
      <w:r>
        <w:rPr>
          <w:noProof/>
        </w:rPr>
        <w:t>(10)</w:t>
      </w:r>
      <w:r>
        <w:rPr>
          <w:noProof/>
        </w:rPr>
        <w:tab/>
      </w:r>
      <w:r w:rsidRPr="00475823">
        <w:rPr>
          <w:rStyle w:val="normaltextrun"/>
          <w:noProof/>
        </w:rPr>
        <w:t>Articolul </w:t>
      </w:r>
      <w:r w:rsidRPr="009738BE">
        <w:rPr>
          <w:rStyle w:val="normaltextrun"/>
          <w:noProof/>
        </w:rPr>
        <w:t>2</w:t>
      </w:r>
      <w:r w:rsidRPr="00475823">
        <w:rPr>
          <w:rStyle w:val="normaltextrun"/>
          <w:noProof/>
        </w:rPr>
        <w:t xml:space="preserve"> alineatul (</w:t>
      </w:r>
      <w:r w:rsidRPr="009738BE">
        <w:rPr>
          <w:rStyle w:val="normaltextrun"/>
          <w:noProof/>
        </w:rPr>
        <w:t>5</w:t>
      </w:r>
      <w:r w:rsidRPr="00475823">
        <w:rPr>
          <w:rStyle w:val="normaltextrun"/>
          <w:noProof/>
        </w:rPr>
        <w:t>) din Regulamentul (CE) nr. </w:t>
      </w:r>
      <w:r w:rsidRPr="009738BE">
        <w:rPr>
          <w:rStyle w:val="normaltextrun"/>
          <w:noProof/>
        </w:rPr>
        <w:t>1467</w:t>
      </w:r>
      <w:r w:rsidRPr="00475823">
        <w:rPr>
          <w:rStyle w:val="normaltextrun"/>
          <w:noProof/>
        </w:rPr>
        <w:t>/</w:t>
      </w:r>
      <w:r w:rsidRPr="009738BE">
        <w:rPr>
          <w:rStyle w:val="normaltextrun"/>
          <w:noProof/>
        </w:rPr>
        <w:t>97</w:t>
      </w:r>
      <w:r w:rsidRPr="00475823">
        <w:rPr>
          <w:rStyle w:val="normaltextrun"/>
          <w:noProof/>
        </w:rPr>
        <w:t xml:space="preserve"> prevede că, în cazul activării unei clauze derogatorii naționale, Comisia și Consiliul pot decide să nu formuleze o concluzie privind existența unui deficit excesiv</w:t>
      </w:r>
      <w:r w:rsidR="009738BE">
        <w:rPr>
          <w:rStyle w:val="normaltextrun"/>
          <w:noProof/>
        </w:rPr>
        <w:t> </w:t>
      </w:r>
      <w:r w:rsidRPr="00475823">
        <w:rPr>
          <w:noProof/>
        </w:rPr>
        <w:t>(</w:t>
      </w:r>
      <w:r w:rsidRPr="00475823">
        <w:rPr>
          <w:rStyle w:val="FootnoteReference"/>
          <w:noProof/>
        </w:rPr>
        <w:footnoteReference w:id="8"/>
      </w:r>
      <w:r w:rsidRPr="00475823">
        <w:rPr>
          <w:noProof/>
        </w:rPr>
        <w:t>)</w:t>
      </w:r>
      <w:r w:rsidR="009738BE">
        <w:rPr>
          <w:noProof/>
        </w:rPr>
        <w:t>.</w:t>
      </w:r>
      <w:r w:rsidRPr="00475823">
        <w:rPr>
          <w:noProof/>
        </w:rPr>
        <w:t xml:space="preserve"> </w:t>
      </w:r>
      <w:r w:rsidRPr="00475823">
        <w:rPr>
          <w:rStyle w:val="normaltextrun"/>
          <w:noProof/>
        </w:rPr>
        <w:t xml:space="preserve">Cu toate acestea, întrucât deficitul preconizat care depășește valoarea de referință pentru </w:t>
      </w:r>
      <w:r w:rsidRPr="009738BE">
        <w:rPr>
          <w:rStyle w:val="normaltextrun"/>
          <w:noProof/>
        </w:rPr>
        <w:t>2026</w:t>
      </w:r>
      <w:r w:rsidRPr="00475823">
        <w:rPr>
          <w:rStyle w:val="normaltextrun"/>
          <w:noProof/>
        </w:rPr>
        <w:t xml:space="preserve"> nu poate fi explicat pe deplin printr-o creștere a cheltuielilor pentru apărare începând cu anul de referință </w:t>
      </w:r>
      <w:r w:rsidRPr="009738BE">
        <w:rPr>
          <w:rStyle w:val="normaltextrun"/>
          <w:noProof/>
        </w:rPr>
        <w:t>2024</w:t>
      </w:r>
      <w:r w:rsidRPr="00475823">
        <w:rPr>
          <w:rStyle w:val="normaltextrun"/>
          <w:noProof/>
        </w:rPr>
        <w:t xml:space="preserve"> (a se vedea considerentul </w:t>
      </w:r>
      <w:r w:rsidRPr="009738BE">
        <w:rPr>
          <w:rStyle w:val="normaltextrun"/>
          <w:noProof/>
        </w:rPr>
        <w:t>6</w:t>
      </w:r>
      <w:r w:rsidRPr="00475823">
        <w:rPr>
          <w:rStyle w:val="normaltextrun"/>
          <w:noProof/>
        </w:rPr>
        <w:t>), articolul </w:t>
      </w:r>
      <w:r w:rsidRPr="009738BE">
        <w:rPr>
          <w:rStyle w:val="normaltextrun"/>
          <w:noProof/>
        </w:rPr>
        <w:t>2</w:t>
      </w:r>
      <w:r w:rsidRPr="00475823">
        <w:rPr>
          <w:rStyle w:val="normaltextrun"/>
          <w:noProof/>
        </w:rPr>
        <w:t xml:space="preserve"> alineatul (</w:t>
      </w:r>
      <w:r w:rsidRPr="009738BE">
        <w:rPr>
          <w:rStyle w:val="normaltextrun"/>
          <w:noProof/>
        </w:rPr>
        <w:t>5</w:t>
      </w:r>
      <w:r w:rsidRPr="00475823">
        <w:rPr>
          <w:rStyle w:val="normaltextrun"/>
          <w:noProof/>
        </w:rPr>
        <w:t>) nu se aplică</w:t>
      </w:r>
      <w:r w:rsidR="009738BE">
        <w:rPr>
          <w:rStyle w:val="normaltextrun"/>
          <w:noProof/>
        </w:rPr>
        <w:t>,</w:t>
      </w:r>
      <w:r w:rsidRPr="00475823">
        <w:rPr>
          <w:rStyle w:val="eop"/>
          <w:noProof/>
        </w:rPr>
        <w:t xml:space="preserve"> </w:t>
      </w:r>
    </w:p>
    <w:p w:rsidR="00B310E6" w:rsidRPr="00475823" w:rsidRDefault="00B310E6" w:rsidP="00EB1679">
      <w:pPr>
        <w:pStyle w:val="Text1"/>
        <w:rPr>
          <w:noProof/>
        </w:rPr>
      </w:pPr>
    </w:p>
    <w:p w:rsidR="00F978A0" w:rsidRPr="00475823" w:rsidRDefault="00F978A0">
      <w:pPr>
        <w:pStyle w:val="Formuledadoption"/>
        <w:rPr>
          <w:noProof/>
        </w:rPr>
      </w:pPr>
      <w:r w:rsidRPr="00475823">
        <w:rPr>
          <w:noProof/>
        </w:rPr>
        <w:t xml:space="preserve">ADOPTĂ PREZENTA DECIZIE: </w:t>
      </w:r>
    </w:p>
    <w:p w:rsidR="00F978A0" w:rsidRPr="00475823" w:rsidRDefault="00F978A0">
      <w:pPr>
        <w:pStyle w:val="Titrearticle"/>
        <w:rPr>
          <w:noProof/>
        </w:rPr>
      </w:pPr>
      <w:r w:rsidRPr="00475823">
        <w:rPr>
          <w:noProof/>
        </w:rPr>
        <w:t xml:space="preserve">Articolul </w:t>
      </w:r>
      <w:r w:rsidRPr="009738BE">
        <w:rPr>
          <w:noProof/>
        </w:rPr>
        <w:t>1</w:t>
      </w:r>
    </w:p>
    <w:p w:rsidR="0042642B" w:rsidRPr="00475823" w:rsidRDefault="0042642B" w:rsidP="0042642B">
      <w:pPr>
        <w:rPr>
          <w:noProof/>
          <w:szCs w:val="24"/>
        </w:rPr>
      </w:pPr>
      <w:r w:rsidRPr="00475823">
        <w:rPr>
          <w:noProof/>
        </w:rPr>
        <w:t>În urma unei evaluări globale rezultă că în Bulgaria există un deficit excesiv din cauza nerespectării criteriului deficitului.</w:t>
      </w:r>
    </w:p>
    <w:p w:rsidR="00F978A0" w:rsidRPr="00475823" w:rsidRDefault="00F978A0">
      <w:pPr>
        <w:rPr>
          <w:noProof/>
        </w:rPr>
      </w:pPr>
    </w:p>
    <w:p w:rsidR="00F978A0" w:rsidRPr="00475823" w:rsidRDefault="00F978A0" w:rsidP="0042642B">
      <w:pPr>
        <w:pStyle w:val="Titrearticle"/>
        <w:rPr>
          <w:noProof/>
        </w:rPr>
      </w:pPr>
      <w:r w:rsidRPr="00475823">
        <w:rPr>
          <w:noProof/>
        </w:rPr>
        <w:t xml:space="preserve">Articolul </w:t>
      </w:r>
      <w:r w:rsidRPr="009738BE">
        <w:rPr>
          <w:noProof/>
        </w:rPr>
        <w:t>2</w:t>
      </w:r>
      <w:r w:rsidRPr="00475823">
        <w:rPr>
          <w:noProof/>
        </w:rPr>
        <w:br/>
      </w:r>
    </w:p>
    <w:p w:rsidR="00F978A0" w:rsidRPr="00475823" w:rsidRDefault="00F978A0">
      <w:pPr>
        <w:rPr>
          <w:noProof/>
        </w:rPr>
      </w:pPr>
      <w:r w:rsidRPr="00475823">
        <w:rPr>
          <w:noProof/>
        </w:rPr>
        <w:t>Prezenta decizie se adresează Republicii Bulgaria.</w:t>
      </w:r>
    </w:p>
    <w:p w:rsidR="0042642B" w:rsidRPr="00475823" w:rsidRDefault="0042642B">
      <w:pPr>
        <w:rPr>
          <w:noProof/>
        </w:rPr>
      </w:pPr>
    </w:p>
    <w:p w:rsidR="00F978A0" w:rsidRPr="00475823" w:rsidRDefault="000255A8" w:rsidP="00C54F53">
      <w:pPr>
        <w:pStyle w:val="Fait"/>
        <w:rPr>
          <w:noProof/>
        </w:rPr>
      </w:pPr>
      <w:r>
        <w:rPr>
          <w:noProof/>
        </w:rPr>
        <w:t>Adoptată la Bruxelles,</w:t>
      </w:r>
    </w:p>
    <w:p w:rsidR="00F978A0" w:rsidRPr="00475823" w:rsidRDefault="00F978A0" w:rsidP="00C54F53">
      <w:pPr>
        <w:pStyle w:val="Institutionquisigne"/>
        <w:rPr>
          <w:noProof/>
        </w:rPr>
      </w:pPr>
      <w:r w:rsidRPr="00475823">
        <w:rPr>
          <w:noProof/>
        </w:rPr>
        <w:tab/>
        <w:t>Pentru Consiliu</w:t>
      </w:r>
    </w:p>
    <w:p w:rsidR="00F978A0" w:rsidRPr="00475823" w:rsidRDefault="00F978A0" w:rsidP="00F978A0">
      <w:pPr>
        <w:pStyle w:val="Personnequisigne"/>
        <w:rPr>
          <w:noProof/>
        </w:rPr>
      </w:pPr>
      <w:r w:rsidRPr="00475823">
        <w:rPr>
          <w:noProof/>
        </w:rPr>
        <w:tab/>
        <w:t>Președintele</w:t>
      </w:r>
    </w:p>
    <w:sectPr w:rsidR="00F978A0" w:rsidRPr="00475823" w:rsidSect="0080309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7DF2" w:rsidRDefault="001B7DF2" w:rsidP="00F978A0">
      <w:pPr>
        <w:spacing w:before="0" w:after="0"/>
      </w:pPr>
      <w:r>
        <w:separator/>
      </w:r>
    </w:p>
  </w:endnote>
  <w:endnote w:type="continuationSeparator" w:id="0">
    <w:p w:rsidR="001B7DF2" w:rsidRDefault="001B7DF2" w:rsidP="00F978A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Pr="00803090" w:rsidRDefault="00803090" w:rsidP="00803090">
    <w:pPr>
      <w:pStyle w:val="Footer"/>
      <w:rPr>
        <w:rFonts w:ascii="Arial" w:hAnsi="Arial" w:cs="Arial"/>
        <w:b/>
        <w:sz w:val="48"/>
      </w:rPr>
    </w:pPr>
    <w:r w:rsidRPr="00803090">
      <w:rPr>
        <w:rFonts w:ascii="Arial" w:hAnsi="Arial" w:cs="Arial"/>
        <w:b/>
        <w:sz w:val="48"/>
      </w:rPr>
      <w:t>RO</w:t>
    </w:r>
    <w:r w:rsidRPr="00803090">
      <w:rPr>
        <w:rFonts w:ascii="Arial" w:hAnsi="Arial" w:cs="Arial"/>
        <w:b/>
        <w:sz w:val="48"/>
      </w:rPr>
      <w:tab/>
    </w:r>
    <w:r w:rsidRPr="00803090">
      <w:rPr>
        <w:rFonts w:ascii="Arial" w:hAnsi="Arial" w:cs="Arial"/>
        <w:b/>
        <w:sz w:val="48"/>
      </w:rPr>
      <w:tab/>
    </w:r>
    <w:r w:rsidRPr="00803090">
      <w:tab/>
    </w:r>
    <w:r w:rsidRPr="0080309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Pr="00803090" w:rsidRDefault="00803090" w:rsidP="00803090">
    <w:pPr>
      <w:pStyle w:val="Footer"/>
      <w:rPr>
        <w:rFonts w:ascii="Arial" w:hAnsi="Arial" w:cs="Arial"/>
        <w:b/>
        <w:sz w:val="48"/>
      </w:rPr>
    </w:pPr>
    <w:r w:rsidRPr="00803090">
      <w:rPr>
        <w:rFonts w:ascii="Arial" w:hAnsi="Arial" w:cs="Arial"/>
        <w:b/>
        <w:sz w:val="48"/>
      </w:rPr>
      <w:t>RO</w:t>
    </w:r>
    <w:r w:rsidRPr="00803090">
      <w:rPr>
        <w:rFonts w:ascii="Arial" w:hAnsi="Arial" w:cs="Arial"/>
        <w:b/>
        <w:sz w:val="48"/>
      </w:rPr>
      <w:tab/>
    </w:r>
    <w:r w:rsidRPr="00803090">
      <w:rPr>
        <w:rFonts w:ascii="Arial" w:hAnsi="Arial" w:cs="Arial"/>
        <w:b/>
        <w:sz w:val="48"/>
      </w:rPr>
      <w:tab/>
    </w:r>
    <w:r w:rsidRPr="00803090">
      <w:tab/>
    </w:r>
    <w:r w:rsidRPr="0080309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Default="008030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Pr="00803090" w:rsidRDefault="00803090" w:rsidP="00803090">
    <w:pPr>
      <w:pStyle w:val="Footer"/>
      <w:rPr>
        <w:rFonts w:ascii="Arial" w:hAnsi="Arial" w:cs="Arial"/>
        <w:b/>
        <w:sz w:val="48"/>
      </w:rPr>
    </w:pPr>
    <w:r w:rsidRPr="00803090">
      <w:rPr>
        <w:rFonts w:ascii="Arial" w:hAnsi="Arial" w:cs="Arial"/>
        <w:b/>
        <w:sz w:val="48"/>
      </w:rPr>
      <w:t>RO</w:t>
    </w:r>
    <w:r w:rsidRPr="00803090">
      <w:rPr>
        <w:rFonts w:ascii="Arial" w:hAnsi="Arial" w:cs="Arial"/>
        <w:b/>
        <w:sz w:val="48"/>
      </w:rPr>
      <w:tab/>
    </w:r>
    <w:r>
      <w:fldChar w:fldCharType="begin"/>
    </w:r>
    <w:r>
      <w:instrText xml:space="preserve"> PAGE  \* MERGEFORMAT </w:instrText>
    </w:r>
    <w:r>
      <w:fldChar w:fldCharType="separate"/>
    </w:r>
    <w:r w:rsidR="00C54F53">
      <w:rPr>
        <w:noProof/>
      </w:rPr>
      <w:t>3</w:t>
    </w:r>
    <w:r>
      <w:fldChar w:fldCharType="end"/>
    </w:r>
    <w:r>
      <w:tab/>
    </w:r>
    <w:r w:rsidRPr="00803090">
      <w:tab/>
    </w:r>
    <w:r w:rsidRPr="0080309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Default="00803090" w:rsidP="008030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7DF2" w:rsidRDefault="001B7DF2" w:rsidP="00F978A0">
      <w:pPr>
        <w:spacing w:before="0" w:after="0"/>
      </w:pPr>
      <w:r>
        <w:separator/>
      </w:r>
    </w:p>
  </w:footnote>
  <w:footnote w:type="continuationSeparator" w:id="0">
    <w:p w:rsidR="001B7DF2" w:rsidRDefault="001B7DF2" w:rsidP="00F978A0">
      <w:pPr>
        <w:spacing w:before="0" w:after="0"/>
      </w:pPr>
      <w:r>
        <w:continuationSeparator/>
      </w:r>
    </w:p>
  </w:footnote>
  <w:footnote w:id="1">
    <w:p w:rsidR="00F9565B" w:rsidRPr="000255A8" w:rsidRDefault="00F9565B" w:rsidP="0042642B">
      <w:pPr>
        <w:pStyle w:val="FootnoteText"/>
      </w:pPr>
      <w:r w:rsidRPr="000255A8">
        <w:rPr>
          <w:rStyle w:val="FootnoteReference"/>
        </w:rPr>
        <w:footnoteRef/>
      </w:r>
      <w:r w:rsidRPr="000255A8">
        <w:tab/>
        <w:t>Regulamentul (CE) nr. </w:t>
      </w:r>
      <w:r w:rsidRPr="009738BE">
        <w:t>1467</w:t>
      </w:r>
      <w:r w:rsidRPr="000255A8">
        <w:t>/</w:t>
      </w:r>
      <w:r w:rsidRPr="009738BE">
        <w:t>97</w:t>
      </w:r>
      <w:r w:rsidRPr="000255A8">
        <w:t xml:space="preserve"> al Consiliului privind accelerarea și clarificarea aplicării procedurii de deficit excesiv (JO L </w:t>
      </w:r>
      <w:r w:rsidRPr="009738BE">
        <w:t>209</w:t>
      </w:r>
      <w:r w:rsidRPr="000255A8">
        <w:t xml:space="preserve">, </w:t>
      </w:r>
      <w:r w:rsidRPr="009738BE">
        <w:t>2</w:t>
      </w:r>
      <w:r w:rsidRPr="000255A8">
        <w:t>.</w:t>
      </w:r>
      <w:r w:rsidRPr="009738BE">
        <w:t>8</w:t>
      </w:r>
      <w:r w:rsidRPr="000255A8">
        <w:t>.</w:t>
      </w:r>
      <w:r w:rsidRPr="009738BE">
        <w:t>1997</w:t>
      </w:r>
      <w:r w:rsidRPr="000255A8">
        <w:t xml:space="preserve">, ELI: </w:t>
      </w:r>
      <w:hyperlink r:id="rId1" w:history="1">
        <w:r w:rsidRPr="000255A8">
          <w:rPr>
            <w:rStyle w:val="Hyperlink"/>
          </w:rPr>
          <w:t>http://data.europa.eu/eli/reg/</w:t>
        </w:r>
        <w:r w:rsidRPr="009738BE">
          <w:rPr>
            <w:rStyle w:val="Hyperlink"/>
          </w:rPr>
          <w:t>1997</w:t>
        </w:r>
        <w:r w:rsidRPr="000255A8">
          <w:rPr>
            <w:rStyle w:val="Hyperlink"/>
          </w:rPr>
          <w:t>/</w:t>
        </w:r>
        <w:r w:rsidRPr="009738BE">
          <w:rPr>
            <w:rStyle w:val="Hyperlink"/>
          </w:rPr>
          <w:t>1467</w:t>
        </w:r>
        <w:r w:rsidRPr="000255A8">
          <w:rPr>
            <w:rStyle w:val="Hyperlink"/>
          </w:rPr>
          <w:t>/</w:t>
        </w:r>
        <w:r w:rsidRPr="009738BE">
          <w:rPr>
            <w:rStyle w:val="Hyperlink"/>
          </w:rPr>
          <w:t>2024</w:t>
        </w:r>
        <w:r w:rsidRPr="000255A8">
          <w:rPr>
            <w:rStyle w:val="Hyperlink"/>
          </w:rPr>
          <w:t>-</w:t>
        </w:r>
        <w:r w:rsidRPr="009738BE">
          <w:rPr>
            <w:rStyle w:val="Hyperlink"/>
          </w:rPr>
          <w:t>04</w:t>
        </w:r>
        <w:r w:rsidRPr="000255A8">
          <w:rPr>
            <w:rStyle w:val="Hyperlink"/>
          </w:rPr>
          <w:t>-</w:t>
        </w:r>
        <w:r w:rsidRPr="009738BE">
          <w:rPr>
            <w:rStyle w:val="Hyperlink"/>
          </w:rPr>
          <w:t>30</w:t>
        </w:r>
      </w:hyperlink>
      <w:r w:rsidRPr="000255A8">
        <w:t xml:space="preserve">), astfel cum a fost modificat ultima dată prin Regulamentul (UE) </w:t>
      </w:r>
      <w:r w:rsidRPr="009738BE">
        <w:t>2024</w:t>
      </w:r>
      <w:r w:rsidRPr="000255A8">
        <w:t>/</w:t>
      </w:r>
      <w:r w:rsidRPr="009738BE">
        <w:t>1264</w:t>
      </w:r>
      <w:r w:rsidRPr="000255A8">
        <w:t xml:space="preserve"> al Consiliului din </w:t>
      </w:r>
      <w:r w:rsidRPr="009738BE">
        <w:t>29</w:t>
      </w:r>
      <w:r w:rsidRPr="000255A8">
        <w:t xml:space="preserve"> aprilie </w:t>
      </w:r>
      <w:r w:rsidRPr="009738BE">
        <w:t>2024</w:t>
      </w:r>
      <w:r w:rsidRPr="000255A8">
        <w:t xml:space="preserve"> (JO L, </w:t>
      </w:r>
      <w:r w:rsidRPr="009738BE">
        <w:t>2024</w:t>
      </w:r>
      <w:r w:rsidRPr="000255A8">
        <w:t>/</w:t>
      </w:r>
      <w:r w:rsidRPr="009738BE">
        <w:t>1264</w:t>
      </w:r>
      <w:r w:rsidRPr="000255A8">
        <w:t xml:space="preserve">, </w:t>
      </w:r>
      <w:r w:rsidRPr="009738BE">
        <w:t>30</w:t>
      </w:r>
      <w:r w:rsidRPr="000255A8">
        <w:t>.</w:t>
      </w:r>
      <w:r w:rsidRPr="009738BE">
        <w:t>4</w:t>
      </w:r>
      <w:r w:rsidRPr="000255A8">
        <w:t>.</w:t>
      </w:r>
      <w:r w:rsidRPr="009738BE">
        <w:t>2024</w:t>
      </w:r>
      <w:r w:rsidRPr="000255A8">
        <w:t xml:space="preserve">). </w:t>
      </w:r>
    </w:p>
  </w:footnote>
  <w:footnote w:id="2">
    <w:p w:rsidR="002A4DBC" w:rsidRPr="000255A8" w:rsidRDefault="002A4DBC">
      <w:pPr>
        <w:pStyle w:val="FootnoteText"/>
      </w:pPr>
      <w:r w:rsidRPr="000255A8">
        <w:rPr>
          <w:rStyle w:val="FootnoteReference"/>
        </w:rPr>
        <w:footnoteRef/>
      </w:r>
      <w:r w:rsidRPr="000255A8">
        <w:tab/>
        <w:t xml:space="preserve">Regulamentul (CE) nr. </w:t>
      </w:r>
      <w:r w:rsidRPr="009738BE">
        <w:t>479</w:t>
      </w:r>
      <w:r w:rsidRPr="000255A8">
        <w:t>/</w:t>
      </w:r>
      <w:r w:rsidRPr="009738BE">
        <w:t>2009</w:t>
      </w:r>
      <w:r w:rsidRPr="000255A8">
        <w:t xml:space="preserve"> al Consiliului din </w:t>
      </w:r>
      <w:r w:rsidRPr="009738BE">
        <w:t>25</w:t>
      </w:r>
      <w:r w:rsidRPr="000255A8">
        <w:t xml:space="preserve"> mai </w:t>
      </w:r>
      <w:r w:rsidRPr="009738BE">
        <w:t>2009</w:t>
      </w:r>
      <w:r w:rsidRPr="000255A8">
        <w:t xml:space="preserve"> privind aplicarea Protocolului privind procedura aplicabilă deficitelor excesive anexat la Tratatul de instituire a Comunității Europene (JO L </w:t>
      </w:r>
      <w:r w:rsidRPr="009738BE">
        <w:t>145</w:t>
      </w:r>
      <w:r w:rsidRPr="000255A8">
        <w:t xml:space="preserve">, </w:t>
      </w:r>
      <w:r w:rsidRPr="009738BE">
        <w:t>10</w:t>
      </w:r>
      <w:r w:rsidRPr="000255A8">
        <w:t>.</w:t>
      </w:r>
      <w:r w:rsidRPr="009738BE">
        <w:t>6</w:t>
      </w:r>
      <w:r w:rsidRPr="000255A8">
        <w:t>.</w:t>
      </w:r>
      <w:r w:rsidRPr="009738BE">
        <w:t>2009</w:t>
      </w:r>
      <w:r w:rsidRPr="000255A8">
        <w:t>, ELI: http://data.europa.eu/eli/reg/</w:t>
      </w:r>
      <w:r w:rsidRPr="009738BE">
        <w:t>2009</w:t>
      </w:r>
      <w:r w:rsidRPr="000255A8">
        <w:t>/</w:t>
      </w:r>
      <w:r w:rsidRPr="009738BE">
        <w:t>479</w:t>
      </w:r>
      <w:r w:rsidRPr="000255A8">
        <w:t>/</w:t>
      </w:r>
      <w:r w:rsidRPr="009738BE">
        <w:t>2014</w:t>
      </w:r>
      <w:r w:rsidRPr="000255A8">
        <w:t>-</w:t>
      </w:r>
      <w:r w:rsidRPr="009738BE">
        <w:t>09</w:t>
      </w:r>
      <w:r w:rsidRPr="000255A8">
        <w:t>-</w:t>
      </w:r>
      <w:r w:rsidRPr="009738BE">
        <w:t>01</w:t>
      </w:r>
      <w:r w:rsidRPr="000255A8">
        <w:t xml:space="preserve">) astfel cum a fost modificat ultima dată prin Regulamentul (UE) nr. </w:t>
      </w:r>
      <w:r w:rsidRPr="009738BE">
        <w:t>220</w:t>
      </w:r>
      <w:r w:rsidRPr="000255A8">
        <w:t>/</w:t>
      </w:r>
      <w:r w:rsidRPr="009738BE">
        <w:t>2014</w:t>
      </w:r>
      <w:r w:rsidRPr="000255A8">
        <w:t xml:space="preserve"> al Comisiei din </w:t>
      </w:r>
      <w:r w:rsidRPr="009738BE">
        <w:t>7</w:t>
      </w:r>
      <w:r w:rsidRPr="000255A8">
        <w:t xml:space="preserve"> martie </w:t>
      </w:r>
      <w:r w:rsidRPr="009738BE">
        <w:t>2014</w:t>
      </w:r>
      <w:r w:rsidRPr="000255A8">
        <w:t xml:space="preserve"> în ceea ce privește trimiterile la sistemul european de conturi naționale și regionale din Uniunea Europeană (JO L </w:t>
      </w:r>
      <w:r w:rsidRPr="009738BE">
        <w:t>69</w:t>
      </w:r>
      <w:r w:rsidRPr="000255A8">
        <w:t xml:space="preserve">, </w:t>
      </w:r>
      <w:r w:rsidRPr="009738BE">
        <w:t>8</w:t>
      </w:r>
      <w:r w:rsidRPr="000255A8">
        <w:t>.</w:t>
      </w:r>
      <w:r w:rsidRPr="009738BE">
        <w:t>3</w:t>
      </w:r>
      <w:r w:rsidRPr="000255A8">
        <w:t>.</w:t>
      </w:r>
      <w:r w:rsidRPr="009738BE">
        <w:t>2014</w:t>
      </w:r>
      <w:r w:rsidRPr="000255A8">
        <w:t>).</w:t>
      </w:r>
    </w:p>
  </w:footnote>
  <w:footnote w:id="3">
    <w:p w:rsidR="00F9565B" w:rsidRPr="000255A8" w:rsidRDefault="00F9565B" w:rsidP="0042642B">
      <w:pPr>
        <w:pStyle w:val="FootnoteText"/>
      </w:pPr>
      <w:r w:rsidRPr="000255A8">
        <w:rPr>
          <w:rStyle w:val="FootnoteReference"/>
        </w:rPr>
        <w:footnoteRef/>
      </w:r>
      <w:r w:rsidRPr="000255A8">
        <w:tab/>
        <w:t xml:space="preserve">Toate documentele legate de PDE pentru Bulgaria se găsesc la adresa: </w:t>
      </w:r>
      <w:hyperlink r:id="rId2" w:history="1">
        <w:r w:rsidRPr="000255A8">
          <w:rPr>
            <w:rStyle w:val="Hyperlink"/>
          </w:rPr>
          <w:t>https://economy-finance.ec.europa.eu/economic-governance-framework/stability-and-growth-pact/corrective-arm-excessive-deficit-procedure/excessive-deficit-procedures-overview/bulgaria_en</w:t>
        </w:r>
      </w:hyperlink>
      <w:r w:rsidR="009738BE">
        <w:t>.</w:t>
      </w:r>
    </w:p>
  </w:footnote>
  <w:footnote w:id="4">
    <w:p w:rsidR="00824C6C" w:rsidRPr="000255A8" w:rsidRDefault="00824C6C" w:rsidP="00824C6C">
      <w:pPr>
        <w:pStyle w:val="FootnoteText"/>
      </w:pPr>
      <w:r w:rsidRPr="000255A8">
        <w:rPr>
          <w:rStyle w:val="FootnoteReference"/>
        </w:rPr>
        <w:footnoteRef/>
      </w:r>
      <w:r w:rsidRPr="000255A8">
        <w:tab/>
        <w:t xml:space="preserve">Eurostat Euro Indicators, publicație din </w:t>
      </w:r>
      <w:r w:rsidRPr="009738BE">
        <w:t>22</w:t>
      </w:r>
      <w:r w:rsidRPr="000255A8">
        <w:t xml:space="preserve"> aprilie </w:t>
      </w:r>
      <w:r w:rsidRPr="009738BE">
        <w:t>2026</w:t>
      </w:r>
      <w:r w:rsidRPr="000255A8">
        <w:t xml:space="preserve"> (</w:t>
      </w:r>
      <w:hyperlink r:id="rId3" w:history="1">
        <w:r w:rsidRPr="000255A8">
          <w:rPr>
            <w:rStyle w:val="Hyperlink"/>
          </w:rPr>
          <w:t>https://ec.europa.eu/eurostat/en/web/products-euro-indicators/w/</w:t>
        </w:r>
        <w:r w:rsidRPr="009738BE">
          <w:rPr>
            <w:rStyle w:val="Hyperlink"/>
          </w:rPr>
          <w:t>2</w:t>
        </w:r>
        <w:r w:rsidRPr="000255A8">
          <w:rPr>
            <w:rStyle w:val="Hyperlink"/>
          </w:rPr>
          <w:t>-</w:t>
        </w:r>
        <w:r w:rsidRPr="009738BE">
          <w:rPr>
            <w:rStyle w:val="Hyperlink"/>
          </w:rPr>
          <w:t>22042026</w:t>
        </w:r>
        <w:r w:rsidRPr="000255A8">
          <w:rPr>
            <w:rStyle w:val="Hyperlink"/>
          </w:rPr>
          <w:t>-ap</w:t>
        </w:r>
      </w:hyperlink>
      <w:r w:rsidRPr="000255A8">
        <w:t>), în conformitate cu articolul </w:t>
      </w:r>
      <w:r w:rsidRPr="009738BE">
        <w:t>14</w:t>
      </w:r>
      <w:r w:rsidRPr="000255A8">
        <w:t xml:space="preserve"> din Regulamentul (CE) nr. </w:t>
      </w:r>
      <w:r w:rsidRPr="009738BE">
        <w:t>479</w:t>
      </w:r>
      <w:r w:rsidRPr="000255A8">
        <w:t>/</w:t>
      </w:r>
      <w:r w:rsidRPr="009738BE">
        <w:t>2009</w:t>
      </w:r>
      <w:r w:rsidRPr="000255A8">
        <w:t xml:space="preserve"> al Consiliului.</w:t>
      </w:r>
    </w:p>
  </w:footnote>
  <w:footnote w:id="5">
    <w:p w:rsidR="00824C6C" w:rsidRPr="000255A8" w:rsidRDefault="00824C6C" w:rsidP="00824C6C">
      <w:pPr>
        <w:pStyle w:val="FootnoteText"/>
      </w:pPr>
      <w:r w:rsidRPr="000255A8">
        <w:rPr>
          <w:rStyle w:val="FootnoteReference"/>
        </w:rPr>
        <w:footnoteRef/>
      </w:r>
      <w:r w:rsidRPr="000255A8">
        <w:tab/>
        <w:t xml:space="preserve">Previziunile Comisiei Europene din primăvara anului </w:t>
      </w:r>
      <w:r w:rsidRPr="009738BE">
        <w:t>2026</w:t>
      </w:r>
      <w:r w:rsidRPr="000255A8">
        <w:t xml:space="preserve"> (European Economy-Institutional Paper </w:t>
      </w:r>
      <w:r w:rsidRPr="009738BE">
        <w:t>341</w:t>
      </w:r>
      <w:r w:rsidRPr="000255A8">
        <w:t xml:space="preserve">, mai </w:t>
      </w:r>
      <w:r w:rsidRPr="009738BE">
        <w:t>2026</w:t>
      </w:r>
      <w:r w:rsidRPr="000255A8">
        <w:t>)</w:t>
      </w:r>
      <w:r w:rsidR="009738BE">
        <w:t>.</w:t>
      </w:r>
    </w:p>
  </w:footnote>
  <w:footnote w:id="6">
    <w:p w:rsidR="00824C6C" w:rsidRPr="000255A8" w:rsidRDefault="00824C6C" w:rsidP="00824C6C">
      <w:pPr>
        <w:pStyle w:val="FootnoteText"/>
      </w:pPr>
      <w:r w:rsidRPr="000255A8">
        <w:rPr>
          <w:rStyle w:val="FootnoteReference"/>
        </w:rPr>
        <w:footnoteRef/>
      </w:r>
      <w:r w:rsidRPr="000255A8">
        <w:tab/>
        <w:t xml:space="preserve">Recomandarea Consiliului din </w:t>
      </w:r>
      <w:r w:rsidRPr="009738BE">
        <w:t>8</w:t>
      </w:r>
      <w:r w:rsidRPr="000255A8">
        <w:t xml:space="preserve"> iulie </w:t>
      </w:r>
      <w:r w:rsidRPr="009738BE">
        <w:t>2025</w:t>
      </w:r>
      <w:r w:rsidRPr="000255A8">
        <w:t xml:space="preserve"> de autorizare a Bulgariei să se abată de la ratele maxime de creștere a cheltuielilor nete stabilite de Consiliu în temeiul Regulamentului (UE) </w:t>
      </w:r>
      <w:r w:rsidRPr="009738BE">
        <w:t>2024</w:t>
      </w:r>
      <w:r w:rsidRPr="000255A8">
        <w:t>/</w:t>
      </w:r>
      <w:r w:rsidRPr="009738BE">
        <w:t>1263</w:t>
      </w:r>
      <w:r w:rsidRPr="000255A8">
        <w:t xml:space="preserve"> (Activarea clauzei derogatorii naționale) (JO C, C/</w:t>
      </w:r>
      <w:r w:rsidRPr="009738BE">
        <w:t>2025</w:t>
      </w:r>
      <w:r w:rsidRPr="000255A8">
        <w:t>/</w:t>
      </w:r>
      <w:r w:rsidRPr="009738BE">
        <w:t>3961</w:t>
      </w:r>
      <w:r w:rsidRPr="000255A8">
        <w:t xml:space="preserve">, </w:t>
      </w:r>
      <w:r w:rsidRPr="009738BE">
        <w:t>20</w:t>
      </w:r>
      <w:r w:rsidRPr="000255A8">
        <w:t>.</w:t>
      </w:r>
      <w:r w:rsidRPr="009738BE">
        <w:t>8</w:t>
      </w:r>
      <w:r w:rsidRPr="000255A8">
        <w:t>.</w:t>
      </w:r>
      <w:r w:rsidRPr="009738BE">
        <w:t>2025</w:t>
      </w:r>
      <w:r w:rsidRPr="000255A8">
        <w:t xml:space="preserve">, ELI: </w:t>
      </w:r>
      <w:hyperlink r:id="rId4" w:tgtFrame="_blank" w:tooltip="Oferă acces la acest document prin identificatorul său uniform de resurse ELI." w:history="1">
        <w:r w:rsidRPr="000255A8">
          <w:rPr>
            <w:rStyle w:val="Hyperlink"/>
          </w:rPr>
          <w:t>http://data.europa.eu/eli/C/</w:t>
        </w:r>
        <w:r w:rsidRPr="009738BE">
          <w:rPr>
            <w:rStyle w:val="Hyperlink"/>
          </w:rPr>
          <w:t>2025</w:t>
        </w:r>
        <w:r w:rsidRPr="000255A8">
          <w:rPr>
            <w:rStyle w:val="Hyperlink"/>
          </w:rPr>
          <w:t>/</w:t>
        </w:r>
        <w:r w:rsidRPr="009738BE">
          <w:rPr>
            <w:rStyle w:val="Hyperlink"/>
          </w:rPr>
          <w:t>3961</w:t>
        </w:r>
        <w:r w:rsidRPr="000255A8">
          <w:rPr>
            <w:rStyle w:val="Hyperlink"/>
          </w:rPr>
          <w:t>/oj</w:t>
        </w:r>
      </w:hyperlink>
      <w:r w:rsidRPr="000255A8">
        <w:t>).</w:t>
      </w:r>
    </w:p>
  </w:footnote>
  <w:footnote w:id="7">
    <w:p w:rsidR="00824C6C" w:rsidRPr="000255A8" w:rsidRDefault="00824C6C" w:rsidP="00824C6C">
      <w:pPr>
        <w:pStyle w:val="FootnoteText"/>
      </w:pPr>
      <w:r w:rsidRPr="000255A8">
        <w:rPr>
          <w:rStyle w:val="FootnoteReference"/>
        </w:rPr>
        <w:footnoteRef/>
      </w:r>
      <w:r w:rsidRPr="000255A8">
        <w:tab/>
        <w:t xml:space="preserve">Eurostat Euro Indicators, publicație din </w:t>
      </w:r>
      <w:r w:rsidRPr="009738BE">
        <w:t>22</w:t>
      </w:r>
      <w:r w:rsidRPr="000255A8">
        <w:t xml:space="preserve"> aprilie </w:t>
      </w:r>
      <w:r w:rsidRPr="009738BE">
        <w:t>2026</w:t>
      </w:r>
      <w:r w:rsidRPr="000255A8">
        <w:t xml:space="preserve"> (</w:t>
      </w:r>
      <w:hyperlink r:id="rId5" w:history="1">
        <w:r w:rsidRPr="000255A8">
          <w:rPr>
            <w:rStyle w:val="Hyperlink"/>
          </w:rPr>
          <w:t>https://ec.europa.eu/eurostat/en/web/products-euro-indicators/w/</w:t>
        </w:r>
        <w:r w:rsidRPr="009738BE">
          <w:rPr>
            <w:rStyle w:val="Hyperlink"/>
          </w:rPr>
          <w:t>2</w:t>
        </w:r>
        <w:r w:rsidRPr="000255A8">
          <w:rPr>
            <w:rStyle w:val="Hyperlink"/>
          </w:rPr>
          <w:t>-</w:t>
        </w:r>
        <w:r w:rsidRPr="009738BE">
          <w:rPr>
            <w:rStyle w:val="Hyperlink"/>
          </w:rPr>
          <w:t>22042026</w:t>
        </w:r>
        <w:r w:rsidRPr="000255A8">
          <w:rPr>
            <w:rStyle w:val="Hyperlink"/>
          </w:rPr>
          <w:t>-bp</w:t>
        </w:r>
      </w:hyperlink>
      <w:r w:rsidRPr="000255A8">
        <w:t>), în conformitate cu articolul </w:t>
      </w:r>
      <w:r w:rsidRPr="009738BE">
        <w:t>14</w:t>
      </w:r>
      <w:r w:rsidRPr="000255A8">
        <w:t xml:space="preserve"> din Regulamentul (CE) nr. </w:t>
      </w:r>
      <w:r w:rsidRPr="009738BE">
        <w:t>479</w:t>
      </w:r>
      <w:r w:rsidRPr="000255A8">
        <w:t>/</w:t>
      </w:r>
      <w:r w:rsidRPr="009738BE">
        <w:t>2009</w:t>
      </w:r>
      <w:r w:rsidRPr="000255A8">
        <w:t xml:space="preserve"> al Consiliului.</w:t>
      </w:r>
    </w:p>
  </w:footnote>
  <w:footnote w:id="8">
    <w:p w:rsidR="00824C6C" w:rsidRPr="000255A8" w:rsidRDefault="00824C6C" w:rsidP="00824C6C">
      <w:pPr>
        <w:pStyle w:val="FootnoteText"/>
      </w:pPr>
      <w:r w:rsidRPr="000255A8">
        <w:rPr>
          <w:rStyle w:val="FootnoteReference"/>
        </w:rPr>
        <w:footnoteRef/>
      </w:r>
      <w:r w:rsidRPr="000255A8">
        <w:tab/>
        <w:t xml:space="preserve">În conformitate cu Comunicarea Comisiei din </w:t>
      </w:r>
      <w:r w:rsidRPr="009738BE">
        <w:t>19</w:t>
      </w:r>
      <w:r w:rsidRPr="000255A8">
        <w:t xml:space="preserve"> martie </w:t>
      </w:r>
      <w:r w:rsidRPr="009738BE">
        <w:t>2025</w:t>
      </w:r>
      <w:r w:rsidRPr="000255A8">
        <w:t>, C(</w:t>
      </w:r>
      <w:r w:rsidRPr="009738BE">
        <w:t>2025</w:t>
      </w:r>
      <w:r w:rsidRPr="000255A8">
        <w:t xml:space="preserve">) </w:t>
      </w:r>
      <w:r w:rsidRPr="009738BE">
        <w:t>2000</w:t>
      </w:r>
      <w:r w:rsidRPr="000255A8">
        <w:t xml:space="preserve"> final, în cazul activării clauzei derogatorii naționale pentru cheltuielile destinate apărării, Comisia și Consiliul pot decide să nu formuleze o concluzie privind existența unui deficit excesiv, în cazul unui deficit excesiv care depășește </w:t>
      </w:r>
      <w:r w:rsidRPr="009738BE">
        <w:t>3</w:t>
      </w:r>
      <w:r w:rsidRPr="000255A8">
        <w:t> % din PIB, atunci când acest lucru se datorează unei creșteri a cheltuielilor pentru apărare.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Default="00803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3090" w:rsidRDefault="00803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CF00DE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4A6272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0EE0EB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AEAC62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1C75752E"/>
    <w:multiLevelType w:val="hybridMultilevel"/>
    <w:tmpl w:val="674C3B32"/>
    <w:lvl w:ilvl="0" w:tplc="4B628422">
      <w:start w:val="1"/>
      <w:numFmt w:val="decimal"/>
      <w:pStyle w:val="ListParagraph"/>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4"/>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4"/>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02 09:40:0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A46E083-1C7C-4662-9883-9DB2F448EA57"/>
    <w:docVar w:name="LW_COVERPAGE_TYPE" w:val="1"/>
    <w:docVar w:name="LW_CreatedUtc" w:val="2026-05-21T08:10:14.8493723Z"/>
    <w:docVar w:name="LW_CROSSREFERENCE" w:val="&lt;UNUSED&gt;"/>
    <w:docVar w:name="LW_DocType" w:val="COM"/>
    <w:docVar w:name="LW_EMISSION" w:val="25.6.2026"/>
    <w:docVar w:name="LW_EMISSION_ISODATE" w:val="2026-06-25"/>
    <w:docVar w:name="LW_EMISSION_LOCATION" w:val="BRX"/>
    <w:docVar w:name="LW_EMISSION_PREFIX" w:val="Bruxelles,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7"/>
    <w:docVar w:name="LW_REF.II.NEW.CP_YEAR" w:val="2026"/>
    <w:docVar w:name="LW_REF.INST.NEW" w:val="COM"/>
    <w:docVar w:name="LW_REF.INST.NEW_ADOPTED" w:val="final"/>
    <w:docVar w:name="LW_REF.INST.NEW_TEXT" w:val="(2026) 3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existen\u539?a unui deficit excesiv în Bulgaria"/>
    <w:docVar w:name="LW_TYPE.DOC.CP" w:val="DECIZIE A CONSILIULUI"/>
    <w:docVar w:name="LwApiVersions" w:val="LW4CoDe 1.24.5.0; LW 9.2, Build 20251112"/>
  </w:docVars>
  <w:rsids>
    <w:rsidRoot w:val="00F978A0"/>
    <w:rsid w:val="00002620"/>
    <w:rsid w:val="000030BB"/>
    <w:rsid w:val="0000363A"/>
    <w:rsid w:val="0000368D"/>
    <w:rsid w:val="00007AC6"/>
    <w:rsid w:val="00010058"/>
    <w:rsid w:val="00010A75"/>
    <w:rsid w:val="00011525"/>
    <w:rsid w:val="00011AEC"/>
    <w:rsid w:val="0002206A"/>
    <w:rsid w:val="000220BD"/>
    <w:rsid w:val="000255A8"/>
    <w:rsid w:val="00031336"/>
    <w:rsid w:val="00033BC7"/>
    <w:rsid w:val="00033C79"/>
    <w:rsid w:val="00035A92"/>
    <w:rsid w:val="00037D7A"/>
    <w:rsid w:val="00045BF2"/>
    <w:rsid w:val="00045E94"/>
    <w:rsid w:val="00053928"/>
    <w:rsid w:val="00057071"/>
    <w:rsid w:val="00070CB5"/>
    <w:rsid w:val="000717DC"/>
    <w:rsid w:val="000814BF"/>
    <w:rsid w:val="000817A5"/>
    <w:rsid w:val="00084EBC"/>
    <w:rsid w:val="0008531D"/>
    <w:rsid w:val="00095189"/>
    <w:rsid w:val="000970A0"/>
    <w:rsid w:val="000971DB"/>
    <w:rsid w:val="000A2860"/>
    <w:rsid w:val="000A48E0"/>
    <w:rsid w:val="000A5108"/>
    <w:rsid w:val="000A56E9"/>
    <w:rsid w:val="000A6510"/>
    <w:rsid w:val="000A75A8"/>
    <w:rsid w:val="000B0CB5"/>
    <w:rsid w:val="000B0FBB"/>
    <w:rsid w:val="000C20D2"/>
    <w:rsid w:val="000C3B84"/>
    <w:rsid w:val="000D4654"/>
    <w:rsid w:val="000D7ECA"/>
    <w:rsid w:val="000F3B9B"/>
    <w:rsid w:val="00102F34"/>
    <w:rsid w:val="0010525C"/>
    <w:rsid w:val="001065F5"/>
    <w:rsid w:val="00106C15"/>
    <w:rsid w:val="0011373A"/>
    <w:rsid w:val="00121FE1"/>
    <w:rsid w:val="001235C8"/>
    <w:rsid w:val="001238EF"/>
    <w:rsid w:val="00126AFC"/>
    <w:rsid w:val="00131C70"/>
    <w:rsid w:val="00135A2C"/>
    <w:rsid w:val="00143B89"/>
    <w:rsid w:val="00145D87"/>
    <w:rsid w:val="001463E2"/>
    <w:rsid w:val="00146DD5"/>
    <w:rsid w:val="00151881"/>
    <w:rsid w:val="0015354C"/>
    <w:rsid w:val="00153DAD"/>
    <w:rsid w:val="00164845"/>
    <w:rsid w:val="001825D6"/>
    <w:rsid w:val="0018343D"/>
    <w:rsid w:val="00184CB3"/>
    <w:rsid w:val="00191C8D"/>
    <w:rsid w:val="00194FA8"/>
    <w:rsid w:val="00197613"/>
    <w:rsid w:val="001A4A3C"/>
    <w:rsid w:val="001A4D67"/>
    <w:rsid w:val="001A58CF"/>
    <w:rsid w:val="001A6642"/>
    <w:rsid w:val="001A776E"/>
    <w:rsid w:val="001B017B"/>
    <w:rsid w:val="001B24BA"/>
    <w:rsid w:val="001B309F"/>
    <w:rsid w:val="001B30B3"/>
    <w:rsid w:val="001B3787"/>
    <w:rsid w:val="001B7398"/>
    <w:rsid w:val="001B7DF2"/>
    <w:rsid w:val="001C1F65"/>
    <w:rsid w:val="001C5BE6"/>
    <w:rsid w:val="001C7FFB"/>
    <w:rsid w:val="001D03DF"/>
    <w:rsid w:val="001D17A8"/>
    <w:rsid w:val="001D6733"/>
    <w:rsid w:val="001E32EE"/>
    <w:rsid w:val="001E5169"/>
    <w:rsid w:val="001F06AE"/>
    <w:rsid w:val="001F2899"/>
    <w:rsid w:val="001F5E97"/>
    <w:rsid w:val="001F68ED"/>
    <w:rsid w:val="001F7388"/>
    <w:rsid w:val="00201D9A"/>
    <w:rsid w:val="00201EA4"/>
    <w:rsid w:val="00202F11"/>
    <w:rsid w:val="0020531F"/>
    <w:rsid w:val="00210B6F"/>
    <w:rsid w:val="00213742"/>
    <w:rsid w:val="0021642B"/>
    <w:rsid w:val="002164FF"/>
    <w:rsid w:val="00220AD1"/>
    <w:rsid w:val="00220E3E"/>
    <w:rsid w:val="00222462"/>
    <w:rsid w:val="00222B90"/>
    <w:rsid w:val="00226126"/>
    <w:rsid w:val="00227EF4"/>
    <w:rsid w:val="002322C3"/>
    <w:rsid w:val="0023254B"/>
    <w:rsid w:val="00233DC7"/>
    <w:rsid w:val="0023491D"/>
    <w:rsid w:val="0024171C"/>
    <w:rsid w:val="00241C1B"/>
    <w:rsid w:val="00241FBF"/>
    <w:rsid w:val="00243B03"/>
    <w:rsid w:val="00244112"/>
    <w:rsid w:val="00247779"/>
    <w:rsid w:val="0025461A"/>
    <w:rsid w:val="00255CDD"/>
    <w:rsid w:val="002633BC"/>
    <w:rsid w:val="0026425D"/>
    <w:rsid w:val="002663DA"/>
    <w:rsid w:val="00270FEF"/>
    <w:rsid w:val="00273D77"/>
    <w:rsid w:val="00284B99"/>
    <w:rsid w:val="00285BEE"/>
    <w:rsid w:val="0029073B"/>
    <w:rsid w:val="0029514D"/>
    <w:rsid w:val="0029533F"/>
    <w:rsid w:val="002960A7"/>
    <w:rsid w:val="002A478F"/>
    <w:rsid w:val="002A4DBC"/>
    <w:rsid w:val="002B2327"/>
    <w:rsid w:val="002B30AF"/>
    <w:rsid w:val="002B4713"/>
    <w:rsid w:val="002C0E46"/>
    <w:rsid w:val="002C6114"/>
    <w:rsid w:val="002C72A8"/>
    <w:rsid w:val="002D0B8F"/>
    <w:rsid w:val="002D4DA4"/>
    <w:rsid w:val="002E0457"/>
    <w:rsid w:val="002E337A"/>
    <w:rsid w:val="002E764B"/>
    <w:rsid w:val="002F3596"/>
    <w:rsid w:val="002F772D"/>
    <w:rsid w:val="00302E4B"/>
    <w:rsid w:val="00304280"/>
    <w:rsid w:val="00312B80"/>
    <w:rsid w:val="003133FD"/>
    <w:rsid w:val="003141C7"/>
    <w:rsid w:val="00314B2F"/>
    <w:rsid w:val="00316ABB"/>
    <w:rsid w:val="00316C29"/>
    <w:rsid w:val="0032732B"/>
    <w:rsid w:val="0033344A"/>
    <w:rsid w:val="0033510C"/>
    <w:rsid w:val="003367AF"/>
    <w:rsid w:val="00343009"/>
    <w:rsid w:val="003463BE"/>
    <w:rsid w:val="00352CFD"/>
    <w:rsid w:val="00360C07"/>
    <w:rsid w:val="00361FC0"/>
    <w:rsid w:val="00362083"/>
    <w:rsid w:val="003629A1"/>
    <w:rsid w:val="00362E9D"/>
    <w:rsid w:val="00363B3E"/>
    <w:rsid w:val="00363EE2"/>
    <w:rsid w:val="00363F69"/>
    <w:rsid w:val="003728BC"/>
    <w:rsid w:val="003733D3"/>
    <w:rsid w:val="00377560"/>
    <w:rsid w:val="0038116A"/>
    <w:rsid w:val="00383039"/>
    <w:rsid w:val="00392F5F"/>
    <w:rsid w:val="003A1C77"/>
    <w:rsid w:val="003A22B6"/>
    <w:rsid w:val="003A7187"/>
    <w:rsid w:val="003B2D2F"/>
    <w:rsid w:val="003B5704"/>
    <w:rsid w:val="003B6EB6"/>
    <w:rsid w:val="003B7E4C"/>
    <w:rsid w:val="003C4649"/>
    <w:rsid w:val="003D386A"/>
    <w:rsid w:val="003E2767"/>
    <w:rsid w:val="003E79C8"/>
    <w:rsid w:val="003F762F"/>
    <w:rsid w:val="003F7DFA"/>
    <w:rsid w:val="00402086"/>
    <w:rsid w:val="0040680E"/>
    <w:rsid w:val="004078E6"/>
    <w:rsid w:val="00411A76"/>
    <w:rsid w:val="00413D60"/>
    <w:rsid w:val="00415461"/>
    <w:rsid w:val="00425FB3"/>
    <w:rsid w:val="0042642B"/>
    <w:rsid w:val="0042648E"/>
    <w:rsid w:val="00427A86"/>
    <w:rsid w:val="00432BF4"/>
    <w:rsid w:val="00433689"/>
    <w:rsid w:val="004352C3"/>
    <w:rsid w:val="00436E10"/>
    <w:rsid w:val="004436E7"/>
    <w:rsid w:val="00443762"/>
    <w:rsid w:val="0045086F"/>
    <w:rsid w:val="00455878"/>
    <w:rsid w:val="004624E4"/>
    <w:rsid w:val="004628DC"/>
    <w:rsid w:val="004631AF"/>
    <w:rsid w:val="0046324E"/>
    <w:rsid w:val="00463576"/>
    <w:rsid w:val="00464B5C"/>
    <w:rsid w:val="00475823"/>
    <w:rsid w:val="00475901"/>
    <w:rsid w:val="004815DE"/>
    <w:rsid w:val="0048446C"/>
    <w:rsid w:val="00487829"/>
    <w:rsid w:val="00492B9D"/>
    <w:rsid w:val="004936D2"/>
    <w:rsid w:val="004A16A4"/>
    <w:rsid w:val="004A539B"/>
    <w:rsid w:val="004A70BA"/>
    <w:rsid w:val="004A7825"/>
    <w:rsid w:val="004A7ED4"/>
    <w:rsid w:val="004B05F8"/>
    <w:rsid w:val="004B17BA"/>
    <w:rsid w:val="004B330E"/>
    <w:rsid w:val="004B78B2"/>
    <w:rsid w:val="004C4CC2"/>
    <w:rsid w:val="004C76C6"/>
    <w:rsid w:val="004C7C69"/>
    <w:rsid w:val="004E514D"/>
    <w:rsid w:val="004E64F4"/>
    <w:rsid w:val="004F013E"/>
    <w:rsid w:val="004F3F76"/>
    <w:rsid w:val="004F7CA1"/>
    <w:rsid w:val="005122E6"/>
    <w:rsid w:val="005161C4"/>
    <w:rsid w:val="00521D51"/>
    <w:rsid w:val="00524081"/>
    <w:rsid w:val="00525893"/>
    <w:rsid w:val="005271AD"/>
    <w:rsid w:val="005317D3"/>
    <w:rsid w:val="00531BAD"/>
    <w:rsid w:val="00531D66"/>
    <w:rsid w:val="00533845"/>
    <w:rsid w:val="00535619"/>
    <w:rsid w:val="00543D02"/>
    <w:rsid w:val="005451F3"/>
    <w:rsid w:val="00550BF8"/>
    <w:rsid w:val="0055657D"/>
    <w:rsid w:val="0056375C"/>
    <w:rsid w:val="00566031"/>
    <w:rsid w:val="00566A5C"/>
    <w:rsid w:val="00576B36"/>
    <w:rsid w:val="00581A1E"/>
    <w:rsid w:val="00583DDD"/>
    <w:rsid w:val="005954C0"/>
    <w:rsid w:val="005A2740"/>
    <w:rsid w:val="005A2CEA"/>
    <w:rsid w:val="005A4B53"/>
    <w:rsid w:val="005B1EB6"/>
    <w:rsid w:val="005B3120"/>
    <w:rsid w:val="005B6A71"/>
    <w:rsid w:val="005C08E1"/>
    <w:rsid w:val="005C5839"/>
    <w:rsid w:val="005C6648"/>
    <w:rsid w:val="005D1F90"/>
    <w:rsid w:val="005E58D8"/>
    <w:rsid w:val="005E67A1"/>
    <w:rsid w:val="005E6A7C"/>
    <w:rsid w:val="005E6AB9"/>
    <w:rsid w:val="005F21DF"/>
    <w:rsid w:val="005F253D"/>
    <w:rsid w:val="005F487B"/>
    <w:rsid w:val="005F53D4"/>
    <w:rsid w:val="00602297"/>
    <w:rsid w:val="006038D2"/>
    <w:rsid w:val="00613B39"/>
    <w:rsid w:val="006179DD"/>
    <w:rsid w:val="00625F86"/>
    <w:rsid w:val="00630A7C"/>
    <w:rsid w:val="00632084"/>
    <w:rsid w:val="00637740"/>
    <w:rsid w:val="00640052"/>
    <w:rsid w:val="0064309F"/>
    <w:rsid w:val="006541E0"/>
    <w:rsid w:val="006567D2"/>
    <w:rsid w:val="00662022"/>
    <w:rsid w:val="0068089B"/>
    <w:rsid w:val="00680C7A"/>
    <w:rsid w:val="0068275E"/>
    <w:rsid w:val="00682C61"/>
    <w:rsid w:val="006928DB"/>
    <w:rsid w:val="00695A24"/>
    <w:rsid w:val="006A0450"/>
    <w:rsid w:val="006B4E64"/>
    <w:rsid w:val="006C60F4"/>
    <w:rsid w:val="006C67D0"/>
    <w:rsid w:val="006D0A28"/>
    <w:rsid w:val="006D12E9"/>
    <w:rsid w:val="006D2045"/>
    <w:rsid w:val="006D2CA5"/>
    <w:rsid w:val="006D2CE3"/>
    <w:rsid w:val="006D4B31"/>
    <w:rsid w:val="006D6C64"/>
    <w:rsid w:val="006E1EA1"/>
    <w:rsid w:val="006E1F02"/>
    <w:rsid w:val="006E61C7"/>
    <w:rsid w:val="006E78D9"/>
    <w:rsid w:val="006F29D7"/>
    <w:rsid w:val="006F3A05"/>
    <w:rsid w:val="00705079"/>
    <w:rsid w:val="00705DDD"/>
    <w:rsid w:val="00710B34"/>
    <w:rsid w:val="00710D17"/>
    <w:rsid w:val="007168D9"/>
    <w:rsid w:val="00717297"/>
    <w:rsid w:val="007235EA"/>
    <w:rsid w:val="00724D7C"/>
    <w:rsid w:val="00730595"/>
    <w:rsid w:val="00730C43"/>
    <w:rsid w:val="007335BD"/>
    <w:rsid w:val="007340CF"/>
    <w:rsid w:val="0073492E"/>
    <w:rsid w:val="007366D5"/>
    <w:rsid w:val="00740F7A"/>
    <w:rsid w:val="00742EE6"/>
    <w:rsid w:val="00744E10"/>
    <w:rsid w:val="00746884"/>
    <w:rsid w:val="00747B02"/>
    <w:rsid w:val="007567B4"/>
    <w:rsid w:val="00756F92"/>
    <w:rsid w:val="00760CD2"/>
    <w:rsid w:val="00765045"/>
    <w:rsid w:val="00773331"/>
    <w:rsid w:val="00773AE0"/>
    <w:rsid w:val="00777129"/>
    <w:rsid w:val="0078495D"/>
    <w:rsid w:val="00786CD7"/>
    <w:rsid w:val="00792417"/>
    <w:rsid w:val="00792564"/>
    <w:rsid w:val="007932EF"/>
    <w:rsid w:val="0079758C"/>
    <w:rsid w:val="007A2FE8"/>
    <w:rsid w:val="007B2646"/>
    <w:rsid w:val="007B4FF2"/>
    <w:rsid w:val="007B65C8"/>
    <w:rsid w:val="007C200E"/>
    <w:rsid w:val="007D1AC6"/>
    <w:rsid w:val="007D58EC"/>
    <w:rsid w:val="007D7018"/>
    <w:rsid w:val="007E021E"/>
    <w:rsid w:val="007E05B0"/>
    <w:rsid w:val="007E63C9"/>
    <w:rsid w:val="007F164D"/>
    <w:rsid w:val="007F16ED"/>
    <w:rsid w:val="007F5FA4"/>
    <w:rsid w:val="007F7E66"/>
    <w:rsid w:val="00803090"/>
    <w:rsid w:val="00811578"/>
    <w:rsid w:val="0081638F"/>
    <w:rsid w:val="00817757"/>
    <w:rsid w:val="00821906"/>
    <w:rsid w:val="008224C1"/>
    <w:rsid w:val="00822F4D"/>
    <w:rsid w:val="00824C6C"/>
    <w:rsid w:val="00833857"/>
    <w:rsid w:val="008364AC"/>
    <w:rsid w:val="0083673A"/>
    <w:rsid w:val="00837B92"/>
    <w:rsid w:val="00837C0A"/>
    <w:rsid w:val="00840C08"/>
    <w:rsid w:val="008414A3"/>
    <w:rsid w:val="008419C7"/>
    <w:rsid w:val="00842E99"/>
    <w:rsid w:val="008443A2"/>
    <w:rsid w:val="00854FE8"/>
    <w:rsid w:val="00856225"/>
    <w:rsid w:val="0086067F"/>
    <w:rsid w:val="00863F17"/>
    <w:rsid w:val="00864E0D"/>
    <w:rsid w:val="00866292"/>
    <w:rsid w:val="00866BBC"/>
    <w:rsid w:val="00874D22"/>
    <w:rsid w:val="0088303E"/>
    <w:rsid w:val="00886CE2"/>
    <w:rsid w:val="008954F3"/>
    <w:rsid w:val="0089561F"/>
    <w:rsid w:val="008A15CB"/>
    <w:rsid w:val="008A214A"/>
    <w:rsid w:val="008A22F6"/>
    <w:rsid w:val="008A2914"/>
    <w:rsid w:val="008B1D6B"/>
    <w:rsid w:val="008B2449"/>
    <w:rsid w:val="008B2B9D"/>
    <w:rsid w:val="008B38E1"/>
    <w:rsid w:val="008B3C21"/>
    <w:rsid w:val="008B61EA"/>
    <w:rsid w:val="008C083E"/>
    <w:rsid w:val="008C0A49"/>
    <w:rsid w:val="008C19E2"/>
    <w:rsid w:val="008C287B"/>
    <w:rsid w:val="008C3D77"/>
    <w:rsid w:val="008C5D98"/>
    <w:rsid w:val="008E2634"/>
    <w:rsid w:val="008E4D8E"/>
    <w:rsid w:val="008E5383"/>
    <w:rsid w:val="008F0FF0"/>
    <w:rsid w:val="008F1BB0"/>
    <w:rsid w:val="008F438D"/>
    <w:rsid w:val="008F4F2B"/>
    <w:rsid w:val="008F60F9"/>
    <w:rsid w:val="009015E9"/>
    <w:rsid w:val="00903EB3"/>
    <w:rsid w:val="00912211"/>
    <w:rsid w:val="00915590"/>
    <w:rsid w:val="00917311"/>
    <w:rsid w:val="0093001C"/>
    <w:rsid w:val="00931006"/>
    <w:rsid w:val="00934FB6"/>
    <w:rsid w:val="00940558"/>
    <w:rsid w:val="00940A17"/>
    <w:rsid w:val="00941A4F"/>
    <w:rsid w:val="00945772"/>
    <w:rsid w:val="009529A4"/>
    <w:rsid w:val="0095796E"/>
    <w:rsid w:val="009617DD"/>
    <w:rsid w:val="009628EB"/>
    <w:rsid w:val="00962C16"/>
    <w:rsid w:val="009660C0"/>
    <w:rsid w:val="009669BA"/>
    <w:rsid w:val="009738BE"/>
    <w:rsid w:val="00984793"/>
    <w:rsid w:val="009872ED"/>
    <w:rsid w:val="00987B13"/>
    <w:rsid w:val="00991485"/>
    <w:rsid w:val="00992E45"/>
    <w:rsid w:val="0099649F"/>
    <w:rsid w:val="009A1B44"/>
    <w:rsid w:val="009A32B3"/>
    <w:rsid w:val="009A6C48"/>
    <w:rsid w:val="009A726D"/>
    <w:rsid w:val="009B331D"/>
    <w:rsid w:val="009B5861"/>
    <w:rsid w:val="009B7753"/>
    <w:rsid w:val="009C1C45"/>
    <w:rsid w:val="009C2DB1"/>
    <w:rsid w:val="009D09A2"/>
    <w:rsid w:val="009D79E0"/>
    <w:rsid w:val="009E7D72"/>
    <w:rsid w:val="009F384B"/>
    <w:rsid w:val="009F5F03"/>
    <w:rsid w:val="009F6047"/>
    <w:rsid w:val="009F6A52"/>
    <w:rsid w:val="009F7027"/>
    <w:rsid w:val="009F77E7"/>
    <w:rsid w:val="00A122F3"/>
    <w:rsid w:val="00A14618"/>
    <w:rsid w:val="00A16942"/>
    <w:rsid w:val="00A1717C"/>
    <w:rsid w:val="00A2083A"/>
    <w:rsid w:val="00A2574F"/>
    <w:rsid w:val="00A267CA"/>
    <w:rsid w:val="00A314EE"/>
    <w:rsid w:val="00A32130"/>
    <w:rsid w:val="00A35761"/>
    <w:rsid w:val="00A3606E"/>
    <w:rsid w:val="00A3614D"/>
    <w:rsid w:val="00A36DC1"/>
    <w:rsid w:val="00A37336"/>
    <w:rsid w:val="00A44C11"/>
    <w:rsid w:val="00A5118B"/>
    <w:rsid w:val="00A540BE"/>
    <w:rsid w:val="00A54AA5"/>
    <w:rsid w:val="00A6026F"/>
    <w:rsid w:val="00A60270"/>
    <w:rsid w:val="00A60492"/>
    <w:rsid w:val="00A62EA4"/>
    <w:rsid w:val="00A646BE"/>
    <w:rsid w:val="00A65430"/>
    <w:rsid w:val="00A65880"/>
    <w:rsid w:val="00A67680"/>
    <w:rsid w:val="00A70A4A"/>
    <w:rsid w:val="00A74ABE"/>
    <w:rsid w:val="00A75A28"/>
    <w:rsid w:val="00A779C7"/>
    <w:rsid w:val="00A80B58"/>
    <w:rsid w:val="00A851F3"/>
    <w:rsid w:val="00A86A2E"/>
    <w:rsid w:val="00A92B70"/>
    <w:rsid w:val="00A92E00"/>
    <w:rsid w:val="00A94616"/>
    <w:rsid w:val="00A97C79"/>
    <w:rsid w:val="00AA6540"/>
    <w:rsid w:val="00AA69F1"/>
    <w:rsid w:val="00AA6FAA"/>
    <w:rsid w:val="00AB003F"/>
    <w:rsid w:val="00AB1C04"/>
    <w:rsid w:val="00AB4C11"/>
    <w:rsid w:val="00AC3A09"/>
    <w:rsid w:val="00AC5981"/>
    <w:rsid w:val="00AD1D85"/>
    <w:rsid w:val="00AD59C3"/>
    <w:rsid w:val="00AE2643"/>
    <w:rsid w:val="00AE3010"/>
    <w:rsid w:val="00AE3190"/>
    <w:rsid w:val="00AE5EE6"/>
    <w:rsid w:val="00AE68EE"/>
    <w:rsid w:val="00AF1352"/>
    <w:rsid w:val="00B021AA"/>
    <w:rsid w:val="00B02CD3"/>
    <w:rsid w:val="00B031B9"/>
    <w:rsid w:val="00B05009"/>
    <w:rsid w:val="00B15C38"/>
    <w:rsid w:val="00B20194"/>
    <w:rsid w:val="00B20A8C"/>
    <w:rsid w:val="00B240C7"/>
    <w:rsid w:val="00B248DF"/>
    <w:rsid w:val="00B24902"/>
    <w:rsid w:val="00B263F5"/>
    <w:rsid w:val="00B310E6"/>
    <w:rsid w:val="00B34361"/>
    <w:rsid w:val="00B351D4"/>
    <w:rsid w:val="00B411A1"/>
    <w:rsid w:val="00B42620"/>
    <w:rsid w:val="00B43C9B"/>
    <w:rsid w:val="00B45758"/>
    <w:rsid w:val="00B47137"/>
    <w:rsid w:val="00B55202"/>
    <w:rsid w:val="00B732F1"/>
    <w:rsid w:val="00B75964"/>
    <w:rsid w:val="00B76A94"/>
    <w:rsid w:val="00B76ED4"/>
    <w:rsid w:val="00B8220E"/>
    <w:rsid w:val="00B91A27"/>
    <w:rsid w:val="00B91D97"/>
    <w:rsid w:val="00B92968"/>
    <w:rsid w:val="00B93747"/>
    <w:rsid w:val="00B9539F"/>
    <w:rsid w:val="00B95FAB"/>
    <w:rsid w:val="00B96D77"/>
    <w:rsid w:val="00BA50B8"/>
    <w:rsid w:val="00BB079B"/>
    <w:rsid w:val="00BB0AA6"/>
    <w:rsid w:val="00BB2914"/>
    <w:rsid w:val="00BB53D8"/>
    <w:rsid w:val="00BB610C"/>
    <w:rsid w:val="00BC7CDC"/>
    <w:rsid w:val="00BD0B7E"/>
    <w:rsid w:val="00BD3099"/>
    <w:rsid w:val="00BD44AA"/>
    <w:rsid w:val="00BE4663"/>
    <w:rsid w:val="00BE4782"/>
    <w:rsid w:val="00BE48A8"/>
    <w:rsid w:val="00BE5FB0"/>
    <w:rsid w:val="00BE7630"/>
    <w:rsid w:val="00BF0D57"/>
    <w:rsid w:val="00BF1C93"/>
    <w:rsid w:val="00BF2A70"/>
    <w:rsid w:val="00BF41E1"/>
    <w:rsid w:val="00BF7D19"/>
    <w:rsid w:val="00C024B4"/>
    <w:rsid w:val="00C0352C"/>
    <w:rsid w:val="00C10955"/>
    <w:rsid w:val="00C1217D"/>
    <w:rsid w:val="00C12301"/>
    <w:rsid w:val="00C23178"/>
    <w:rsid w:val="00C23CE3"/>
    <w:rsid w:val="00C24A42"/>
    <w:rsid w:val="00C26341"/>
    <w:rsid w:val="00C34B3D"/>
    <w:rsid w:val="00C355FC"/>
    <w:rsid w:val="00C35C94"/>
    <w:rsid w:val="00C40A99"/>
    <w:rsid w:val="00C44639"/>
    <w:rsid w:val="00C501E4"/>
    <w:rsid w:val="00C51922"/>
    <w:rsid w:val="00C54F53"/>
    <w:rsid w:val="00C779FA"/>
    <w:rsid w:val="00C77C0B"/>
    <w:rsid w:val="00C80097"/>
    <w:rsid w:val="00C80305"/>
    <w:rsid w:val="00C8320F"/>
    <w:rsid w:val="00C86075"/>
    <w:rsid w:val="00C875C5"/>
    <w:rsid w:val="00CA4E55"/>
    <w:rsid w:val="00CA769B"/>
    <w:rsid w:val="00CB053F"/>
    <w:rsid w:val="00CB3C9C"/>
    <w:rsid w:val="00CB3DD0"/>
    <w:rsid w:val="00CB42BE"/>
    <w:rsid w:val="00CB648C"/>
    <w:rsid w:val="00CC4C80"/>
    <w:rsid w:val="00CC6272"/>
    <w:rsid w:val="00CC758F"/>
    <w:rsid w:val="00CC75C2"/>
    <w:rsid w:val="00CD1208"/>
    <w:rsid w:val="00CD181B"/>
    <w:rsid w:val="00CD2C45"/>
    <w:rsid w:val="00CD4059"/>
    <w:rsid w:val="00CD5D18"/>
    <w:rsid w:val="00CD61BA"/>
    <w:rsid w:val="00CD6304"/>
    <w:rsid w:val="00CE03C3"/>
    <w:rsid w:val="00CE1D47"/>
    <w:rsid w:val="00CE2168"/>
    <w:rsid w:val="00CE72CF"/>
    <w:rsid w:val="00CF32AF"/>
    <w:rsid w:val="00CF3CFA"/>
    <w:rsid w:val="00CF575A"/>
    <w:rsid w:val="00D0147C"/>
    <w:rsid w:val="00D02743"/>
    <w:rsid w:val="00D0513E"/>
    <w:rsid w:val="00D07EE9"/>
    <w:rsid w:val="00D12134"/>
    <w:rsid w:val="00D16F9C"/>
    <w:rsid w:val="00D20381"/>
    <w:rsid w:val="00D22F06"/>
    <w:rsid w:val="00D30625"/>
    <w:rsid w:val="00D359F0"/>
    <w:rsid w:val="00D36D83"/>
    <w:rsid w:val="00D408B7"/>
    <w:rsid w:val="00D458AB"/>
    <w:rsid w:val="00D51D79"/>
    <w:rsid w:val="00D51E7F"/>
    <w:rsid w:val="00D52615"/>
    <w:rsid w:val="00D719A5"/>
    <w:rsid w:val="00D74A35"/>
    <w:rsid w:val="00D75A51"/>
    <w:rsid w:val="00D768B9"/>
    <w:rsid w:val="00D80128"/>
    <w:rsid w:val="00D813AD"/>
    <w:rsid w:val="00D824E8"/>
    <w:rsid w:val="00D82529"/>
    <w:rsid w:val="00D82E74"/>
    <w:rsid w:val="00D84365"/>
    <w:rsid w:val="00D86D7B"/>
    <w:rsid w:val="00DA124B"/>
    <w:rsid w:val="00DA1BB2"/>
    <w:rsid w:val="00DA3B3C"/>
    <w:rsid w:val="00DA788B"/>
    <w:rsid w:val="00DB4D8C"/>
    <w:rsid w:val="00DC4A2E"/>
    <w:rsid w:val="00DD27F8"/>
    <w:rsid w:val="00DD7069"/>
    <w:rsid w:val="00DE0FEF"/>
    <w:rsid w:val="00DE2A96"/>
    <w:rsid w:val="00DE66FF"/>
    <w:rsid w:val="00DF05F0"/>
    <w:rsid w:val="00DF30CD"/>
    <w:rsid w:val="00E01511"/>
    <w:rsid w:val="00E01C15"/>
    <w:rsid w:val="00E0772A"/>
    <w:rsid w:val="00E1138C"/>
    <w:rsid w:val="00E12311"/>
    <w:rsid w:val="00E1585B"/>
    <w:rsid w:val="00E21596"/>
    <w:rsid w:val="00E2194E"/>
    <w:rsid w:val="00E25CC1"/>
    <w:rsid w:val="00E277A5"/>
    <w:rsid w:val="00E27E12"/>
    <w:rsid w:val="00E40516"/>
    <w:rsid w:val="00E42F44"/>
    <w:rsid w:val="00E53542"/>
    <w:rsid w:val="00E55162"/>
    <w:rsid w:val="00E6059E"/>
    <w:rsid w:val="00E664ED"/>
    <w:rsid w:val="00E72337"/>
    <w:rsid w:val="00E734E7"/>
    <w:rsid w:val="00E7401B"/>
    <w:rsid w:val="00E75977"/>
    <w:rsid w:val="00E769E4"/>
    <w:rsid w:val="00E802BD"/>
    <w:rsid w:val="00E8261D"/>
    <w:rsid w:val="00E82DAA"/>
    <w:rsid w:val="00E91A21"/>
    <w:rsid w:val="00E9219D"/>
    <w:rsid w:val="00E931A4"/>
    <w:rsid w:val="00E94DB8"/>
    <w:rsid w:val="00EA3A91"/>
    <w:rsid w:val="00EA4F30"/>
    <w:rsid w:val="00EA58F6"/>
    <w:rsid w:val="00EA5E67"/>
    <w:rsid w:val="00EB1679"/>
    <w:rsid w:val="00EB2EDE"/>
    <w:rsid w:val="00EB46E8"/>
    <w:rsid w:val="00EC6AD1"/>
    <w:rsid w:val="00EE03E6"/>
    <w:rsid w:val="00EE1644"/>
    <w:rsid w:val="00EE2E31"/>
    <w:rsid w:val="00EE2E65"/>
    <w:rsid w:val="00EF46C1"/>
    <w:rsid w:val="00EF4CEF"/>
    <w:rsid w:val="00F02C90"/>
    <w:rsid w:val="00F03203"/>
    <w:rsid w:val="00F0651B"/>
    <w:rsid w:val="00F1577C"/>
    <w:rsid w:val="00F247A7"/>
    <w:rsid w:val="00F24E0F"/>
    <w:rsid w:val="00F26E1B"/>
    <w:rsid w:val="00F30346"/>
    <w:rsid w:val="00F324FA"/>
    <w:rsid w:val="00F33F68"/>
    <w:rsid w:val="00F374DC"/>
    <w:rsid w:val="00F45814"/>
    <w:rsid w:val="00F45EE1"/>
    <w:rsid w:val="00F4742A"/>
    <w:rsid w:val="00F47A9B"/>
    <w:rsid w:val="00F511DC"/>
    <w:rsid w:val="00F52B01"/>
    <w:rsid w:val="00F5789A"/>
    <w:rsid w:val="00F66151"/>
    <w:rsid w:val="00F7182D"/>
    <w:rsid w:val="00F76A78"/>
    <w:rsid w:val="00F8545A"/>
    <w:rsid w:val="00F86AD0"/>
    <w:rsid w:val="00F90B43"/>
    <w:rsid w:val="00F9565B"/>
    <w:rsid w:val="00F95F40"/>
    <w:rsid w:val="00F96101"/>
    <w:rsid w:val="00F969B2"/>
    <w:rsid w:val="00F978A0"/>
    <w:rsid w:val="00F97A45"/>
    <w:rsid w:val="00FA0030"/>
    <w:rsid w:val="00FA12EA"/>
    <w:rsid w:val="00FA21D5"/>
    <w:rsid w:val="00FB012C"/>
    <w:rsid w:val="00FB1685"/>
    <w:rsid w:val="00FB43B7"/>
    <w:rsid w:val="00FB5F3E"/>
    <w:rsid w:val="00FB7CD6"/>
    <w:rsid w:val="00FC0D3C"/>
    <w:rsid w:val="00FC26DB"/>
    <w:rsid w:val="00FC38E4"/>
    <w:rsid w:val="00FC38F8"/>
    <w:rsid w:val="00FC68E1"/>
    <w:rsid w:val="00FD0DE4"/>
    <w:rsid w:val="00FE6265"/>
    <w:rsid w:val="00FF0982"/>
    <w:rsid w:val="00FF67EE"/>
    <w:rsid w:val="2DF17A9A"/>
    <w:rsid w:val="5BAD80BE"/>
    <w:rsid w:val="7E827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5:docId w15:val="{69863510-9CBC-43CF-B48F-FCAFD8BD0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642B"/>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Times 10 Point Car... + Verdana,7..."/>
    <w:basedOn w:val="Normal"/>
    <w:link w:val="FootnoteReference"/>
    <w:uiPriority w:val="99"/>
    <w:qFormat/>
    <w:rsid w:val="0042642B"/>
    <w:pPr>
      <w:spacing w:after="160" w:line="240" w:lineRule="exact"/>
      <w:ind w:left="357"/>
    </w:pPr>
    <w:rPr>
      <w:rFonts w:asciiTheme="minorHAnsi" w:hAnsiTheme="minorHAnsi" w:cstheme="minorBidi"/>
      <w:sz w:val="22"/>
      <w:vertAlign w:val="superscript"/>
    </w:rPr>
  </w:style>
  <w:style w:type="character" w:customStyle="1" w:styleId="normaltextrun">
    <w:name w:val="normaltextrun"/>
    <w:basedOn w:val="DefaultParagraphFont"/>
    <w:rsid w:val="00A36DC1"/>
  </w:style>
  <w:style w:type="character" w:styleId="CommentReference">
    <w:name w:val="annotation reference"/>
    <w:basedOn w:val="DefaultParagraphFont"/>
    <w:uiPriority w:val="99"/>
    <w:semiHidden/>
    <w:unhideWhenUsed/>
    <w:rsid w:val="003463BE"/>
    <w:rPr>
      <w:sz w:val="16"/>
      <w:szCs w:val="16"/>
    </w:rPr>
  </w:style>
  <w:style w:type="paragraph" w:styleId="CommentText">
    <w:name w:val="annotation text"/>
    <w:basedOn w:val="Normal"/>
    <w:link w:val="CommentTextChar"/>
    <w:uiPriority w:val="99"/>
    <w:unhideWhenUsed/>
    <w:rsid w:val="003463BE"/>
    <w:rPr>
      <w:sz w:val="20"/>
      <w:szCs w:val="20"/>
    </w:rPr>
  </w:style>
  <w:style w:type="character" w:customStyle="1" w:styleId="CommentTextChar">
    <w:name w:val="Comment Text Char"/>
    <w:basedOn w:val="DefaultParagraphFont"/>
    <w:link w:val="CommentText"/>
    <w:uiPriority w:val="99"/>
    <w:rsid w:val="003463B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463BE"/>
    <w:rPr>
      <w:b/>
      <w:bCs/>
    </w:rPr>
  </w:style>
  <w:style w:type="character" w:customStyle="1" w:styleId="CommentSubjectChar">
    <w:name w:val="Comment Subject Char"/>
    <w:basedOn w:val="CommentTextChar"/>
    <w:link w:val="CommentSubject"/>
    <w:uiPriority w:val="99"/>
    <w:semiHidden/>
    <w:rsid w:val="003463BE"/>
    <w:rPr>
      <w:rFonts w:ascii="Times New Roman" w:hAnsi="Times New Roman" w:cs="Times New Roman"/>
      <w:b/>
      <w:bCs/>
      <w:sz w:val="20"/>
      <w:szCs w:val="20"/>
      <w:lang w:val="ro-RO"/>
    </w:rPr>
  </w:style>
  <w:style w:type="paragraph" w:styleId="ListBullet">
    <w:name w:val="List Bullet"/>
    <w:basedOn w:val="Normal"/>
    <w:uiPriority w:val="99"/>
    <w:semiHidden/>
    <w:unhideWhenUsed/>
    <w:rsid w:val="00DF05F0"/>
    <w:pPr>
      <w:numPr>
        <w:numId w:val="2"/>
      </w:numPr>
      <w:contextualSpacing/>
    </w:pPr>
  </w:style>
  <w:style w:type="paragraph" w:styleId="ListBullet2">
    <w:name w:val="List Bullet 2"/>
    <w:basedOn w:val="Normal"/>
    <w:uiPriority w:val="99"/>
    <w:semiHidden/>
    <w:unhideWhenUsed/>
    <w:rsid w:val="00DF05F0"/>
    <w:pPr>
      <w:numPr>
        <w:numId w:val="3"/>
      </w:numPr>
      <w:contextualSpacing/>
    </w:pPr>
  </w:style>
  <w:style w:type="paragraph" w:styleId="ListBullet3">
    <w:name w:val="List Bullet 3"/>
    <w:basedOn w:val="Normal"/>
    <w:uiPriority w:val="99"/>
    <w:semiHidden/>
    <w:unhideWhenUsed/>
    <w:rsid w:val="00DF05F0"/>
    <w:pPr>
      <w:numPr>
        <w:numId w:val="4"/>
      </w:numPr>
      <w:contextualSpacing/>
    </w:pPr>
  </w:style>
  <w:style w:type="paragraph" w:styleId="ListBullet4">
    <w:name w:val="List Bullet 4"/>
    <w:basedOn w:val="Normal"/>
    <w:uiPriority w:val="99"/>
    <w:semiHidden/>
    <w:unhideWhenUsed/>
    <w:rsid w:val="00DF05F0"/>
    <w:pPr>
      <w:numPr>
        <w:numId w:val="5"/>
      </w:numPr>
      <w:contextualSpacing/>
    </w:pPr>
  </w:style>
  <w:style w:type="paragraph" w:styleId="Revision">
    <w:name w:val="Revision"/>
    <w:hidden/>
    <w:uiPriority w:val="99"/>
    <w:semiHidden/>
    <w:rsid w:val="00DF05F0"/>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EE03E6"/>
    <w:rPr>
      <w:color w:val="605E5C"/>
      <w:shd w:val="clear" w:color="auto" w:fill="E1DFDD"/>
    </w:rPr>
  </w:style>
  <w:style w:type="character" w:styleId="FollowedHyperlink">
    <w:name w:val="FollowedHyperlink"/>
    <w:basedOn w:val="DefaultParagraphFont"/>
    <w:uiPriority w:val="99"/>
    <w:semiHidden/>
    <w:unhideWhenUsed/>
    <w:rsid w:val="00EE03E6"/>
    <w:rPr>
      <w:color w:val="800080" w:themeColor="followedHyperlink"/>
      <w:u w:val="single"/>
    </w:rPr>
  </w:style>
  <w:style w:type="character" w:customStyle="1" w:styleId="eop">
    <w:name w:val="eop"/>
    <w:basedOn w:val="DefaultParagraphFont"/>
    <w:rsid w:val="00B310E6"/>
  </w:style>
  <w:style w:type="paragraph" w:customStyle="1" w:styleId="paragraph">
    <w:name w:val="paragraph"/>
    <w:basedOn w:val="Normal"/>
    <w:rsid w:val="00B310E6"/>
    <w:pPr>
      <w:spacing w:before="100" w:beforeAutospacing="1" w:after="100" w:afterAutospacing="1"/>
      <w:jc w:val="left"/>
    </w:pPr>
    <w:rPr>
      <w:rFonts w:eastAsia="Times New Roman"/>
      <w:szCs w:val="24"/>
      <w:lang w:eastAsia="en-IE"/>
    </w:rPr>
  </w:style>
  <w:style w:type="character" w:customStyle="1" w:styleId="Mention">
    <w:name w:val="Mention"/>
    <w:basedOn w:val="DefaultParagraphFont"/>
    <w:uiPriority w:val="99"/>
    <w:unhideWhenUsed/>
    <w:rsid w:val="00B310E6"/>
    <w:rPr>
      <w:color w:val="2B579A"/>
      <w:shd w:val="clear" w:color="auto" w:fill="E1DFDD"/>
    </w:rPr>
  </w:style>
  <w:style w:type="paragraph" w:styleId="ListParagraph">
    <w:name w:val="List Paragraph"/>
    <w:basedOn w:val="ManualNumPar1"/>
    <w:uiPriority w:val="34"/>
    <w:qFormat/>
    <w:rsid w:val="00070CB5"/>
    <w:pPr>
      <w:numPr>
        <w:numId w:val="1"/>
      </w:numPr>
      <w:ind w:left="491" w:hanging="491"/>
    </w:pPr>
  </w:style>
  <w:style w:type="character" w:customStyle="1" w:styleId="HeaderChar">
    <w:name w:val="Header Char"/>
    <w:basedOn w:val="DefaultParagraphFont"/>
    <w:link w:val="Header"/>
    <w:uiPriority w:val="99"/>
    <w:rsid w:val="00803090"/>
    <w:rPr>
      <w:rFonts w:ascii="Times New Roman" w:hAnsi="Times New Roman" w:cs="Times New Roman"/>
      <w:sz w:val="24"/>
      <w:lang w:val="ro-RO"/>
    </w:rPr>
  </w:style>
  <w:style w:type="character" w:customStyle="1" w:styleId="FooterChar">
    <w:name w:val="Footer Char"/>
    <w:basedOn w:val="DefaultParagraphFont"/>
    <w:link w:val="Footer"/>
    <w:uiPriority w:val="99"/>
    <w:rsid w:val="0080309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0309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03090"/>
    <w:pPr>
      <w:spacing w:before="0"/>
      <w:jc w:val="right"/>
    </w:pPr>
    <w:rPr>
      <w:sz w:val="28"/>
    </w:rPr>
  </w:style>
  <w:style w:type="paragraph" w:customStyle="1" w:styleId="FooterSensitivity">
    <w:name w:val="Footer Sensitivity"/>
    <w:basedOn w:val="Normal"/>
    <w:rsid w:val="0080309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03090"/>
    <w:pPr>
      <w:tabs>
        <w:tab w:val="center" w:pos="4535"/>
        <w:tab w:val="right" w:pos="9071"/>
      </w:tabs>
      <w:spacing w:before="0"/>
    </w:pPr>
  </w:style>
  <w:style w:type="paragraph" w:customStyle="1" w:styleId="HeaderLandscape">
    <w:name w:val="HeaderLandscape"/>
    <w:basedOn w:val="Normal"/>
    <w:rsid w:val="00803090"/>
    <w:pPr>
      <w:tabs>
        <w:tab w:val="center" w:pos="7285"/>
        <w:tab w:val="right" w:pos="14003"/>
      </w:tabs>
      <w:spacing w:before="0"/>
    </w:pPr>
  </w:style>
  <w:style w:type="paragraph" w:styleId="Footer">
    <w:name w:val="footer"/>
    <w:basedOn w:val="Normal"/>
    <w:link w:val="FooterChar"/>
    <w:uiPriority w:val="99"/>
    <w:unhideWhenUsed/>
    <w:rsid w:val="0080309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0309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954388">
      <w:bodyDiv w:val="1"/>
      <w:marLeft w:val="0"/>
      <w:marRight w:val="0"/>
      <w:marTop w:val="0"/>
      <w:marBottom w:val="0"/>
      <w:divBdr>
        <w:top w:val="none" w:sz="0" w:space="0" w:color="auto"/>
        <w:left w:val="none" w:sz="0" w:space="0" w:color="auto"/>
        <w:bottom w:val="none" w:sz="0" w:space="0" w:color="auto"/>
        <w:right w:val="none" w:sz="0" w:space="0" w:color="auto"/>
      </w:divBdr>
    </w:div>
    <w:div w:id="730075736">
      <w:bodyDiv w:val="1"/>
      <w:marLeft w:val="0"/>
      <w:marRight w:val="0"/>
      <w:marTop w:val="0"/>
      <w:marBottom w:val="0"/>
      <w:divBdr>
        <w:top w:val="none" w:sz="0" w:space="0" w:color="auto"/>
        <w:left w:val="none" w:sz="0" w:space="0" w:color="auto"/>
        <w:bottom w:val="none" w:sz="0" w:space="0" w:color="auto"/>
        <w:right w:val="none" w:sz="0" w:space="0" w:color="auto"/>
      </w:divBdr>
    </w:div>
    <w:div w:id="1807116390">
      <w:bodyDiv w:val="1"/>
      <w:marLeft w:val="0"/>
      <w:marRight w:val="0"/>
      <w:marTop w:val="0"/>
      <w:marBottom w:val="0"/>
      <w:divBdr>
        <w:top w:val="none" w:sz="0" w:space="0" w:color="auto"/>
        <w:left w:val="none" w:sz="0" w:space="0" w:color="auto"/>
        <w:bottom w:val="none" w:sz="0" w:space="0" w:color="auto"/>
        <w:right w:val="none" w:sz="0" w:space="0" w:color="auto"/>
      </w:divBdr>
    </w:div>
    <w:div w:id="200241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urostat/en/web/products-euro-indicators/w/2-22042026-ap" TargetMode="External"/><Relationship Id="rId2" Type="http://schemas.openxmlformats.org/officeDocument/2006/relationships/hyperlink" Target="https://economy-finance.ec.europa.eu/economic-governance-framework/stability-and-growth-pact/corrective-arm-excessive-deficit-procedure/excessive-deficit-procedures-overview/bulgaria_en" TargetMode="External"/><Relationship Id="rId1" Type="http://schemas.openxmlformats.org/officeDocument/2006/relationships/hyperlink" Target="http://data.europa.eu/eli/reg/1997/1467/2024-04-30" TargetMode="External"/><Relationship Id="rId5" Type="http://schemas.openxmlformats.org/officeDocument/2006/relationships/hyperlink" Target="https://ec.europa.eu/eurostat/en/web/products-euro-indicators/w/2-22042026-bp" TargetMode="External"/><Relationship Id="rId4" Type="http://schemas.openxmlformats.org/officeDocument/2006/relationships/hyperlink" Target="http://data.europa.eu/eli/C/2025/396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EDBCA-0042-48F1-8406-E2BDB70C92A1}">
  <ds:schemaRefs>
    <ds:schemaRef ds:uri="http://schemas.microsoft.com/sharepoint/v3/contenttype/forms"/>
  </ds:schemaRefs>
</ds:datastoreItem>
</file>

<file path=customXml/itemProps2.xml><?xml version="1.0" encoding="utf-8"?>
<ds:datastoreItem xmlns:ds="http://schemas.openxmlformats.org/officeDocument/2006/customXml" ds:itemID="{637C591F-798E-47C6-BEEE-D12A7C978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D31F1-7D4B-4982-B4AF-7C83DF0DAFFC}">
  <ds:schemaRefs>
    <ds:schemaRef ds:uri="http://schemas.microsoft.com/office/2006/metadata/properties"/>
    <ds:schemaRef ds:uri="http://schemas.microsoft.com/office/infopath/2007/PartnerControls"/>
    <ds:schemaRef ds:uri="248cd52f-b46b-4611-a611-1f804cc55ba9"/>
  </ds:schemaRefs>
</ds:datastoreItem>
</file>

<file path=customXml/itemProps4.xml><?xml version="1.0" encoding="utf-8"?>
<ds:datastoreItem xmlns:ds="http://schemas.openxmlformats.org/officeDocument/2006/customXml" ds:itemID="{0CE87624-8DD7-4776-8BDC-2297B493E4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34</TotalTime>
  <Pages>4</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2026-06-23T09:25:00Z</dcterms:created>
  <dcterms:modified xsi:type="dcterms:W3CDTF">2026-07-02T07:40:00Z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2026-05-21T08:12:12Z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4f1ff6dc-9d90-45c9-8d5d-83f942d8d773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