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57B784" w14:textId="34F6DBC5" w:rsidR="00360A69" w:rsidRDefault="004C2BB5" w:rsidP="004C2BB5">
      <w:pPr>
        <w:pStyle w:val="Pagedecouverture"/>
        <w:rPr>
          <w:noProof/>
        </w:rPr>
      </w:pPr>
      <w:r>
        <w:rPr>
          <w:noProof/>
        </w:rPr>
        <w:pict w14:anchorId="67F22D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DBDCAB5-97C5-47B8-A0DC-DD78575AE441" style="width:455.25pt;height:368.25pt">
            <v:imagedata r:id="rId7" o:title=""/>
          </v:shape>
        </w:pict>
      </w:r>
    </w:p>
    <w:p w14:paraId="1E2835BF" w14:textId="77777777" w:rsidR="004A20EF" w:rsidRDefault="004A20EF">
      <w:pPr>
        <w:rPr>
          <w:noProof/>
        </w:rPr>
        <w:sectPr w:rsidR="004A20EF" w:rsidSect="004C2BB5">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07A29E5B" w14:textId="77777777" w:rsidR="004A20EF" w:rsidRDefault="00BB227B">
      <w:pPr>
        <w:pStyle w:val="Annexetitre"/>
        <w:rPr>
          <w:noProof/>
        </w:rPr>
      </w:pPr>
      <w:bookmarkStart w:id="0" w:name="_GoBack"/>
      <w:bookmarkEnd w:id="0"/>
      <w:r>
        <w:rPr>
          <w:noProof/>
        </w:rPr>
        <w:lastRenderedPageBreak/>
        <w:t>Annex</w:t>
      </w:r>
    </w:p>
    <w:p w14:paraId="04A1C4DB" w14:textId="77777777" w:rsidR="004A20EF" w:rsidRDefault="004A20EF">
      <w:pPr>
        <w:pStyle w:val="NormalCentered"/>
        <w:rPr>
          <w:noProof/>
        </w:rPr>
      </w:pPr>
    </w:p>
    <w:p w14:paraId="4D09B716" w14:textId="498C1872" w:rsidR="004A20EF" w:rsidRDefault="00BB227B" w:rsidP="00E33B71">
      <w:pPr>
        <w:pStyle w:val="NumPar1"/>
        <w:numPr>
          <w:ilvl w:val="0"/>
          <w:numId w:val="6"/>
        </w:numPr>
        <w:rPr>
          <w:noProof/>
        </w:rPr>
      </w:pPr>
      <w:r>
        <w:rPr>
          <w:noProof/>
        </w:rPr>
        <w:t>The overarching objective of the European Union in relation to the International Whaling Commission (</w:t>
      </w:r>
      <w:r w:rsidR="00656677">
        <w:rPr>
          <w:noProof/>
        </w:rPr>
        <w:t>‘</w:t>
      </w:r>
      <w:r>
        <w:rPr>
          <w:noProof/>
        </w:rPr>
        <w:t>IWC</w:t>
      </w:r>
      <w:r w:rsidR="00656677">
        <w:rPr>
          <w:noProof/>
        </w:rPr>
        <w:t>’</w:t>
      </w:r>
      <w:r>
        <w:rPr>
          <w:noProof/>
        </w:rPr>
        <w:t>) is to ensure an effective international regulatory framework for the conservation and management of whales</w:t>
      </w:r>
      <w:r w:rsidR="00656677">
        <w:rPr>
          <w:noProof/>
        </w:rPr>
        <w:t>,</w:t>
      </w:r>
      <w:r>
        <w:rPr>
          <w:noProof/>
        </w:rPr>
        <w:t xml:space="preserve"> guaranteeing a significant improvement in the conservation status of whales and other cetaceans and bringing all whaling operations under IWC control.</w:t>
      </w:r>
    </w:p>
    <w:p w14:paraId="08C1A34F" w14:textId="208D3679" w:rsidR="004A20EF" w:rsidRDefault="00BB227B">
      <w:pPr>
        <w:pStyle w:val="NumPar1"/>
        <w:rPr>
          <w:noProof/>
        </w:rPr>
      </w:pPr>
      <w:r>
        <w:rPr>
          <w:noProof/>
        </w:rPr>
        <w:t xml:space="preserve">At its next three biennial meetings and any related inter-sessional meetings as from the adoption of the current position, the Member States acting jointly in the interest of the Union shall take the following position on proposals for </w:t>
      </w:r>
      <w:r w:rsidR="00AC3BEC">
        <w:rPr>
          <w:noProof/>
        </w:rPr>
        <w:t>a</w:t>
      </w:r>
      <w:r>
        <w:rPr>
          <w:noProof/>
        </w:rPr>
        <w:t xml:space="preserve">mendments to the </w:t>
      </w:r>
      <w:r w:rsidR="00AC3BEC">
        <w:rPr>
          <w:noProof/>
        </w:rPr>
        <w:t xml:space="preserve">Schedule of the </w:t>
      </w:r>
      <w:r>
        <w:rPr>
          <w:noProof/>
        </w:rPr>
        <w:t>International Convention for the Regulation of Whaling (ICRW)</w:t>
      </w:r>
      <w:r w:rsidR="002609AE">
        <w:rPr>
          <w:noProof/>
        </w:rPr>
        <w:t xml:space="preserve"> as well as on IWC</w:t>
      </w:r>
      <w:r>
        <w:rPr>
          <w:noProof/>
        </w:rPr>
        <w:t xml:space="preserve"> Resolutions</w:t>
      </w:r>
      <w:r w:rsidR="00B55D7B">
        <w:rPr>
          <w:noProof/>
        </w:rPr>
        <w:t xml:space="preserve"> and Decisions</w:t>
      </w:r>
      <w:r>
        <w:rPr>
          <w:noProof/>
        </w:rPr>
        <w:t>:</w:t>
      </w:r>
    </w:p>
    <w:p w14:paraId="07A2B8C9" w14:textId="646F7B00" w:rsidR="004A20EF" w:rsidRDefault="00656677" w:rsidP="00E33B71">
      <w:pPr>
        <w:pStyle w:val="Point1letter"/>
        <w:numPr>
          <w:ilvl w:val="3"/>
          <w:numId w:val="7"/>
        </w:numPr>
        <w:rPr>
          <w:noProof/>
        </w:rPr>
      </w:pPr>
      <w:r>
        <w:rPr>
          <w:noProof/>
        </w:rPr>
        <w:t>s</w:t>
      </w:r>
      <w:r w:rsidR="00BB227B">
        <w:rPr>
          <w:noProof/>
        </w:rPr>
        <w:t>eek to bring all whaling operations under IWC control;</w:t>
      </w:r>
    </w:p>
    <w:p w14:paraId="0897BB82" w14:textId="23CE8DF0" w:rsidR="004A20EF" w:rsidRDefault="00656677">
      <w:pPr>
        <w:pStyle w:val="Point1letter"/>
        <w:rPr>
          <w:noProof/>
        </w:rPr>
      </w:pPr>
      <w:r>
        <w:rPr>
          <w:noProof/>
        </w:rPr>
        <w:t>s</w:t>
      </w:r>
      <w:r w:rsidR="00BB227B">
        <w:rPr>
          <w:noProof/>
        </w:rPr>
        <w:t>upport the maintenance and full implementation of the moratorium on commercial whaling in the Schedule</w:t>
      </w:r>
      <w:r w:rsidR="00F20E13">
        <w:rPr>
          <w:noProof/>
        </w:rPr>
        <w:t>, and the adoption of complementary measures to promote compliance by IWC Members with that moratorium, including national provisions prohibiting operators under their jurisdiction from participating in, supporting or financing commercial whaling activities</w:t>
      </w:r>
      <w:r w:rsidR="00BB227B">
        <w:rPr>
          <w:noProof/>
        </w:rPr>
        <w:t>;</w:t>
      </w:r>
    </w:p>
    <w:p w14:paraId="40011E74" w14:textId="0421D940" w:rsidR="004A20EF" w:rsidRDefault="00656677">
      <w:pPr>
        <w:pStyle w:val="Point1letter"/>
        <w:rPr>
          <w:noProof/>
        </w:rPr>
      </w:pPr>
      <w:r>
        <w:rPr>
          <w:noProof/>
        </w:rPr>
        <w:t>o</w:t>
      </w:r>
      <w:r w:rsidR="00BB227B">
        <w:rPr>
          <w:noProof/>
        </w:rPr>
        <w:t xml:space="preserve">ppose any proposal for new types of whaling not envisaged in the ICRW, </w:t>
      </w:r>
      <w:r>
        <w:rPr>
          <w:noProof/>
        </w:rPr>
        <w:t xml:space="preserve">that </w:t>
      </w:r>
      <w:r w:rsidR="00BB227B">
        <w:rPr>
          <w:noProof/>
        </w:rPr>
        <w:t>could undermine the moratorium and/or potentially lead to threats to whale stocks;</w:t>
      </w:r>
    </w:p>
    <w:p w14:paraId="05FA12C6" w14:textId="6619BC51" w:rsidR="004A20EF" w:rsidRDefault="00656677">
      <w:pPr>
        <w:pStyle w:val="Point1letter"/>
        <w:rPr>
          <w:noProof/>
        </w:rPr>
      </w:pPr>
      <w:r>
        <w:rPr>
          <w:noProof/>
        </w:rPr>
        <w:t>s</w:t>
      </w:r>
      <w:r w:rsidR="00BB227B">
        <w:rPr>
          <w:noProof/>
        </w:rPr>
        <w:t xml:space="preserve">upport </w:t>
      </w:r>
      <w:r w:rsidR="00A70932">
        <w:rPr>
          <w:noProof/>
        </w:rPr>
        <w:t xml:space="preserve">and promote </w:t>
      </w:r>
      <w:r w:rsidR="00BB227B">
        <w:rPr>
          <w:noProof/>
        </w:rPr>
        <w:t>proposals aiming to end the conduct of whaling outside IWC control</w:t>
      </w:r>
      <w:r w:rsidR="00A70932">
        <w:rPr>
          <w:noProof/>
        </w:rPr>
        <w:t>, including scientific research whaling not undertaken in line with Article VIII, thereby ensuring that all scientific research takes place in line with the ICRW, its Schedule and Special Permit provisions</w:t>
      </w:r>
      <w:r w:rsidR="00BB227B">
        <w:rPr>
          <w:noProof/>
        </w:rPr>
        <w:t>;</w:t>
      </w:r>
    </w:p>
    <w:p w14:paraId="65AEE61B" w14:textId="33161DFC" w:rsidR="004A20EF" w:rsidRDefault="00506A78">
      <w:pPr>
        <w:pStyle w:val="Point1letter"/>
        <w:rPr>
          <w:noProof/>
        </w:rPr>
      </w:pPr>
      <w:r>
        <w:rPr>
          <w:noProof/>
        </w:rPr>
        <w:t>s</w:t>
      </w:r>
      <w:r w:rsidR="00BB227B">
        <w:rPr>
          <w:noProof/>
        </w:rPr>
        <w:t xml:space="preserve">upport proposals aiming to promote non-lethal scientific research and to make the IWC review process for whaling under Special Permit effective and transparent, </w:t>
      </w:r>
      <w:r w:rsidR="003D6E7B">
        <w:rPr>
          <w:noProof/>
        </w:rPr>
        <w:t>in line with</w:t>
      </w:r>
      <w:r w:rsidR="00BB227B">
        <w:rPr>
          <w:noProof/>
        </w:rPr>
        <w:t xml:space="preserve"> the ruling of the International Court of Justice (Whaling in the Antarctic, Australia v Japan: New Zealand Intervening, Judgment of 31 March 2014)</w:t>
      </w:r>
      <w:r w:rsidR="00534176">
        <w:rPr>
          <w:noProof/>
        </w:rPr>
        <w:t>,</w:t>
      </w:r>
      <w:r w:rsidR="00BB227B">
        <w:rPr>
          <w:noProof/>
        </w:rPr>
        <w:t xml:space="preserve"> and </w:t>
      </w:r>
      <w:r w:rsidR="003D6E7B">
        <w:rPr>
          <w:noProof/>
        </w:rPr>
        <w:t xml:space="preserve">to promote the </w:t>
      </w:r>
      <w:r w:rsidR="00BB227B">
        <w:rPr>
          <w:noProof/>
        </w:rPr>
        <w:t xml:space="preserve">implementation </w:t>
      </w:r>
      <w:r w:rsidR="003D6E7B">
        <w:rPr>
          <w:noProof/>
        </w:rPr>
        <w:t xml:space="preserve">and full application </w:t>
      </w:r>
      <w:r w:rsidR="00BB227B">
        <w:rPr>
          <w:noProof/>
        </w:rPr>
        <w:t xml:space="preserve">of relevant IWC </w:t>
      </w:r>
      <w:r w:rsidR="00810BFD">
        <w:rPr>
          <w:noProof/>
        </w:rPr>
        <w:t>R</w:t>
      </w:r>
      <w:r w:rsidR="00BB227B">
        <w:rPr>
          <w:noProof/>
        </w:rPr>
        <w:t>esolutions;</w:t>
      </w:r>
    </w:p>
    <w:p w14:paraId="01BE9226" w14:textId="6A489AED" w:rsidR="004A20EF" w:rsidRDefault="00A548FE">
      <w:pPr>
        <w:pStyle w:val="Point1letter"/>
        <w:rPr>
          <w:noProof/>
        </w:rPr>
      </w:pPr>
      <w:r>
        <w:rPr>
          <w:noProof/>
        </w:rPr>
        <w:t>s</w:t>
      </w:r>
      <w:r w:rsidR="00BB227B">
        <w:rPr>
          <w:noProof/>
        </w:rPr>
        <w:t xml:space="preserve">upport proposals for the management of </w:t>
      </w:r>
      <w:r>
        <w:rPr>
          <w:noProof/>
        </w:rPr>
        <w:t>a</w:t>
      </w:r>
      <w:r w:rsidR="00BB227B">
        <w:rPr>
          <w:noProof/>
        </w:rPr>
        <w:t xml:space="preserve">boriginal </w:t>
      </w:r>
      <w:r>
        <w:rPr>
          <w:noProof/>
        </w:rPr>
        <w:t>s</w:t>
      </w:r>
      <w:r w:rsidR="00BB227B">
        <w:rPr>
          <w:noProof/>
        </w:rPr>
        <w:t xml:space="preserve">ubsistence </w:t>
      </w:r>
      <w:r>
        <w:rPr>
          <w:noProof/>
        </w:rPr>
        <w:t>w</w:t>
      </w:r>
      <w:r w:rsidR="00BB227B">
        <w:rPr>
          <w:noProof/>
        </w:rPr>
        <w:t xml:space="preserve">haling (ASW), in </w:t>
      </w:r>
      <w:r>
        <w:rPr>
          <w:noProof/>
        </w:rPr>
        <w:t xml:space="preserve">line </w:t>
      </w:r>
      <w:r w:rsidR="00BB227B">
        <w:rPr>
          <w:noProof/>
        </w:rPr>
        <w:t>with the ICRW and its Schedule, that:</w:t>
      </w:r>
    </w:p>
    <w:p w14:paraId="06F96458" w14:textId="7E6C6716" w:rsidR="004A20EF" w:rsidRDefault="00A548FE" w:rsidP="00E33B71">
      <w:pPr>
        <w:pStyle w:val="Point2letter"/>
        <w:numPr>
          <w:ilvl w:val="5"/>
          <w:numId w:val="1"/>
        </w:numPr>
        <w:rPr>
          <w:noProof/>
        </w:rPr>
      </w:pPr>
      <w:r>
        <w:rPr>
          <w:noProof/>
        </w:rPr>
        <w:t>e</w:t>
      </w:r>
      <w:r w:rsidR="00BB227B">
        <w:rPr>
          <w:noProof/>
        </w:rPr>
        <w:t>nsure that the conservation of the relevant stock is not compromised, having due regard to the precautionary principle and the advice of the Scientific Committee;</w:t>
      </w:r>
    </w:p>
    <w:p w14:paraId="288B41B7" w14:textId="1FBBB3E6" w:rsidR="004A20EF" w:rsidRDefault="00BB227B">
      <w:pPr>
        <w:pStyle w:val="Point2"/>
        <w:rPr>
          <w:noProof/>
        </w:rPr>
      </w:pPr>
      <w:r>
        <w:rPr>
          <w:noProof/>
        </w:rPr>
        <w:t>(ii)</w:t>
      </w:r>
      <w:r>
        <w:rPr>
          <w:noProof/>
        </w:rPr>
        <w:tab/>
      </w:r>
      <w:r w:rsidR="00A548FE">
        <w:rPr>
          <w:noProof/>
        </w:rPr>
        <w:t>e</w:t>
      </w:r>
      <w:r>
        <w:rPr>
          <w:noProof/>
        </w:rPr>
        <w:t>nsure that whaling operations are properly regulated and catches remain sustainable within the scope of subsistence needs for local use;</w:t>
      </w:r>
      <w:r w:rsidR="00AE5F1B">
        <w:rPr>
          <w:noProof/>
        </w:rPr>
        <w:t xml:space="preserve"> </w:t>
      </w:r>
    </w:p>
    <w:p w14:paraId="5D3083D8" w14:textId="243C024B" w:rsidR="00DE0449" w:rsidRDefault="00DE0449" w:rsidP="00DE0449">
      <w:pPr>
        <w:pStyle w:val="Point2"/>
        <w:rPr>
          <w:noProof/>
        </w:rPr>
      </w:pPr>
      <w:r>
        <w:rPr>
          <w:noProof/>
        </w:rPr>
        <w:t>(iii)</w:t>
      </w:r>
      <w:r>
        <w:rPr>
          <w:noProof/>
        </w:rPr>
        <w:tab/>
        <w:t>ensure that whale killing methods are as humane as possible</w:t>
      </w:r>
      <w:r w:rsidRPr="002571B8">
        <w:rPr>
          <w:noProof/>
        </w:rPr>
        <w:t xml:space="preserve"> </w:t>
      </w:r>
      <w:r>
        <w:rPr>
          <w:noProof/>
        </w:rPr>
        <w:t xml:space="preserve">in line </w:t>
      </w:r>
      <w:r w:rsidRPr="002571B8">
        <w:rPr>
          <w:noProof/>
        </w:rPr>
        <w:t>with IWC rules,</w:t>
      </w:r>
      <w:r>
        <w:rPr>
          <w:noProof/>
        </w:rPr>
        <w:t xml:space="preserve"> and</w:t>
      </w:r>
      <w:r w:rsidRPr="002571B8">
        <w:rPr>
          <w:noProof/>
        </w:rPr>
        <w:t xml:space="preserve"> guidance and best practices developed by the </w:t>
      </w:r>
      <w:r>
        <w:rPr>
          <w:noProof/>
        </w:rPr>
        <w:t xml:space="preserve">IWC’s </w:t>
      </w:r>
      <w:r w:rsidRPr="002571B8">
        <w:rPr>
          <w:noProof/>
        </w:rPr>
        <w:t>Working Group on Whale Killing Methods and Welfare Issues</w:t>
      </w:r>
      <w:r>
        <w:rPr>
          <w:noProof/>
        </w:rPr>
        <w:t>;</w:t>
      </w:r>
    </w:p>
    <w:p w14:paraId="0164C75E" w14:textId="40437190" w:rsidR="004A20EF" w:rsidRDefault="00BB227B">
      <w:pPr>
        <w:pStyle w:val="Point2"/>
        <w:rPr>
          <w:noProof/>
        </w:rPr>
      </w:pPr>
      <w:r>
        <w:rPr>
          <w:noProof/>
        </w:rPr>
        <w:t>(</w:t>
      </w:r>
      <w:r w:rsidR="00DE0449">
        <w:rPr>
          <w:noProof/>
        </w:rPr>
        <w:t>iv</w:t>
      </w:r>
      <w:r>
        <w:rPr>
          <w:noProof/>
        </w:rPr>
        <w:t>)</w:t>
      </w:r>
      <w:r>
        <w:rPr>
          <w:noProof/>
        </w:rPr>
        <w:tab/>
      </w:r>
      <w:r w:rsidR="00A548FE">
        <w:rPr>
          <w:noProof/>
        </w:rPr>
        <w:t>t</w:t>
      </w:r>
      <w:r>
        <w:rPr>
          <w:noProof/>
        </w:rPr>
        <w:t xml:space="preserve">ake account of the needs of </w:t>
      </w:r>
      <w:r w:rsidR="00644539">
        <w:rPr>
          <w:noProof/>
        </w:rPr>
        <w:t>I</w:t>
      </w:r>
      <w:r>
        <w:rPr>
          <w:noProof/>
        </w:rPr>
        <w:t xml:space="preserve">ndigenous </w:t>
      </w:r>
      <w:r w:rsidR="00644539">
        <w:rPr>
          <w:noProof/>
        </w:rPr>
        <w:t>P</w:t>
      </w:r>
      <w:r>
        <w:rPr>
          <w:noProof/>
        </w:rPr>
        <w:t xml:space="preserve">eoples while also recognising that whales are migratory species and, therefore, migrate to other range </w:t>
      </w:r>
      <w:r w:rsidR="00644539">
        <w:rPr>
          <w:noProof/>
        </w:rPr>
        <w:t>S</w:t>
      </w:r>
      <w:r>
        <w:rPr>
          <w:noProof/>
        </w:rPr>
        <w:t>tates where they may also have socioeconomic and cultural importance;</w:t>
      </w:r>
    </w:p>
    <w:p w14:paraId="124106BA" w14:textId="1E8358C9" w:rsidR="004A20EF" w:rsidRDefault="00A548FE">
      <w:pPr>
        <w:pStyle w:val="Point1letter"/>
        <w:rPr>
          <w:noProof/>
        </w:rPr>
      </w:pPr>
      <w:r>
        <w:rPr>
          <w:noProof/>
        </w:rPr>
        <w:t>s</w:t>
      </w:r>
      <w:r w:rsidR="00BB227B">
        <w:rPr>
          <w:noProof/>
        </w:rPr>
        <w:t xml:space="preserve">upport all proposals for the creation of whale sanctuaries in </w:t>
      </w:r>
      <w:r>
        <w:rPr>
          <w:noProof/>
        </w:rPr>
        <w:t xml:space="preserve">line </w:t>
      </w:r>
      <w:r w:rsidR="00BB227B">
        <w:rPr>
          <w:noProof/>
        </w:rPr>
        <w:t>with IWC rules;</w:t>
      </w:r>
    </w:p>
    <w:p w14:paraId="2551FD8E" w14:textId="090427ED" w:rsidR="00F31070" w:rsidRDefault="00506A78">
      <w:pPr>
        <w:pStyle w:val="Point1letter"/>
        <w:rPr>
          <w:noProof/>
        </w:rPr>
      </w:pPr>
      <w:r>
        <w:rPr>
          <w:noProof/>
        </w:rPr>
        <w:t>s</w:t>
      </w:r>
      <w:r w:rsidR="00BB227B">
        <w:rPr>
          <w:noProof/>
        </w:rPr>
        <w:t xml:space="preserve">upport </w:t>
      </w:r>
      <w:r w:rsidR="00466356">
        <w:rPr>
          <w:noProof/>
        </w:rPr>
        <w:t>efforts and initiatives to</w:t>
      </w:r>
      <w:r w:rsidR="00BB227B">
        <w:rPr>
          <w:noProof/>
        </w:rPr>
        <w:t xml:space="preserve"> </w:t>
      </w:r>
      <w:r w:rsidR="00466356">
        <w:rPr>
          <w:noProof/>
        </w:rPr>
        <w:t xml:space="preserve">further </w:t>
      </w:r>
      <w:r w:rsidR="00BB227B">
        <w:rPr>
          <w:noProof/>
        </w:rPr>
        <w:t>develop the IWC</w:t>
      </w:r>
      <w:r w:rsidR="00A548FE">
        <w:rPr>
          <w:noProof/>
        </w:rPr>
        <w:t>’</w:t>
      </w:r>
      <w:r w:rsidR="00BB227B">
        <w:rPr>
          <w:noProof/>
        </w:rPr>
        <w:t xml:space="preserve">s </w:t>
      </w:r>
      <w:r w:rsidR="00466356">
        <w:rPr>
          <w:noProof/>
        </w:rPr>
        <w:t xml:space="preserve">role in </w:t>
      </w:r>
      <w:r w:rsidR="00BB227B">
        <w:rPr>
          <w:noProof/>
        </w:rPr>
        <w:t>promot</w:t>
      </w:r>
      <w:r w:rsidR="00466356">
        <w:rPr>
          <w:noProof/>
        </w:rPr>
        <w:t>ing</w:t>
      </w:r>
      <w:r w:rsidR="00BB227B">
        <w:rPr>
          <w:noProof/>
        </w:rPr>
        <w:t xml:space="preserve"> the conservation of cetaceans and their habitats, by better understanding and preserving the role cetaceans</w:t>
      </w:r>
      <w:r w:rsidR="00E56462">
        <w:rPr>
          <w:noProof/>
        </w:rPr>
        <w:t xml:space="preserve"> - </w:t>
      </w:r>
      <w:r w:rsidR="001E152C">
        <w:rPr>
          <w:noProof/>
        </w:rPr>
        <w:t xml:space="preserve"> particularly great whales</w:t>
      </w:r>
      <w:r w:rsidR="00890292">
        <w:rPr>
          <w:noProof/>
        </w:rPr>
        <w:t>, but also small cetaceans</w:t>
      </w:r>
      <w:r w:rsidR="00E56462">
        <w:rPr>
          <w:noProof/>
        </w:rPr>
        <w:t xml:space="preserve"> - </w:t>
      </w:r>
      <w:r w:rsidR="00BB227B">
        <w:rPr>
          <w:noProof/>
        </w:rPr>
        <w:t>play as key components of healthy ecosystems</w:t>
      </w:r>
      <w:r w:rsidR="006D08EF">
        <w:rPr>
          <w:noProof/>
        </w:rPr>
        <w:t>, their crucial function in carbon sequestration</w:t>
      </w:r>
      <w:r w:rsidR="00466356">
        <w:rPr>
          <w:noProof/>
        </w:rPr>
        <w:t xml:space="preserve">, </w:t>
      </w:r>
      <w:r w:rsidR="006D08EF">
        <w:rPr>
          <w:noProof/>
        </w:rPr>
        <w:t xml:space="preserve">nutrient cycling, </w:t>
      </w:r>
      <w:r w:rsidR="00466356">
        <w:rPr>
          <w:noProof/>
        </w:rPr>
        <w:t>and</w:t>
      </w:r>
      <w:r w:rsidR="006D08EF">
        <w:rPr>
          <w:noProof/>
        </w:rPr>
        <w:t xml:space="preserve"> climate regulation</w:t>
      </w:r>
      <w:r w:rsidR="001E152C">
        <w:rPr>
          <w:noProof/>
        </w:rPr>
        <w:t>,</w:t>
      </w:r>
      <w:r w:rsidR="006711B9" w:rsidRPr="006711B9">
        <w:rPr>
          <w:noProof/>
        </w:rPr>
        <w:t xml:space="preserve"> </w:t>
      </w:r>
      <w:r w:rsidR="001E152C">
        <w:rPr>
          <w:noProof/>
        </w:rPr>
        <w:t>and to</w:t>
      </w:r>
      <w:r w:rsidR="006711B9">
        <w:rPr>
          <w:noProof/>
        </w:rPr>
        <w:t xml:space="preserve"> improve co-ordination and collaboration between the IWC and other organisations to strengthen the global system for cetacean conservation</w:t>
      </w:r>
      <w:r w:rsidR="001E152C">
        <w:rPr>
          <w:noProof/>
        </w:rPr>
        <w:t>;</w:t>
      </w:r>
    </w:p>
    <w:p w14:paraId="63ABD7C9" w14:textId="6D179CF8" w:rsidR="004A20EF" w:rsidRDefault="00F31070">
      <w:pPr>
        <w:pStyle w:val="Point1letter"/>
        <w:rPr>
          <w:noProof/>
        </w:rPr>
      </w:pPr>
      <w:r>
        <w:rPr>
          <w:noProof/>
        </w:rPr>
        <w:t>support the</w:t>
      </w:r>
      <w:r w:rsidR="006711B9" w:rsidRPr="006711B9">
        <w:rPr>
          <w:noProof/>
        </w:rPr>
        <w:t xml:space="preserve"> further development and full implementation</w:t>
      </w:r>
      <w:r w:rsidR="00890292">
        <w:rPr>
          <w:noProof/>
        </w:rPr>
        <w:t xml:space="preserve"> of</w:t>
      </w:r>
      <w:r w:rsidR="006711B9" w:rsidRPr="006711B9">
        <w:rPr>
          <w:noProof/>
        </w:rPr>
        <w:t xml:space="preserve"> </w:t>
      </w:r>
      <w:r w:rsidR="00466356">
        <w:rPr>
          <w:noProof/>
        </w:rPr>
        <w:t>the IWC’s</w:t>
      </w:r>
      <w:r w:rsidR="006711B9" w:rsidRPr="006711B9">
        <w:rPr>
          <w:noProof/>
        </w:rPr>
        <w:t xml:space="preserve"> non-lethal human</w:t>
      </w:r>
      <w:r w:rsidR="006711B9">
        <w:rPr>
          <w:noProof/>
        </w:rPr>
        <w:t>-</w:t>
      </w:r>
      <w:r w:rsidR="006711B9" w:rsidRPr="006711B9">
        <w:rPr>
          <w:noProof/>
        </w:rPr>
        <w:t>cetacean interaction frameworks and tools</w:t>
      </w:r>
      <w:r w:rsidR="006711B9">
        <w:rPr>
          <w:noProof/>
        </w:rPr>
        <w:t xml:space="preserve"> </w:t>
      </w:r>
      <w:r w:rsidR="00534176">
        <w:rPr>
          <w:noProof/>
        </w:rPr>
        <w:t>(e.g.,</w:t>
      </w:r>
      <w:r w:rsidR="006711B9" w:rsidRPr="006711B9">
        <w:rPr>
          <w:noProof/>
        </w:rPr>
        <w:t xml:space="preserve"> the Whale Welfare Assessment Tool, the Strandings and Entanglement Initiatives, and the IWC’s guidance on whale-watching, vessel-strike avoidance and noise mitigation</w:t>
      </w:r>
      <w:r w:rsidR="00534176">
        <w:rPr>
          <w:noProof/>
        </w:rPr>
        <w:t>)</w:t>
      </w:r>
      <w:r w:rsidR="006711B9">
        <w:rPr>
          <w:noProof/>
        </w:rPr>
        <w:t xml:space="preserve"> </w:t>
      </w:r>
      <w:r w:rsidR="00506A78" w:rsidRPr="006711B9">
        <w:rPr>
          <w:noProof/>
        </w:rPr>
        <w:t>in line with high welfare standard</w:t>
      </w:r>
      <w:r w:rsidR="00506A78">
        <w:rPr>
          <w:noProof/>
        </w:rPr>
        <w:t>s,</w:t>
      </w:r>
      <w:r w:rsidR="00506A78" w:rsidRPr="006711B9">
        <w:rPr>
          <w:noProof/>
        </w:rPr>
        <w:t xml:space="preserve"> </w:t>
      </w:r>
      <w:r w:rsidR="006711B9" w:rsidRPr="006711B9">
        <w:rPr>
          <w:noProof/>
        </w:rPr>
        <w:t>to enhance capacity-building, incident reporting and multi-stakeholder collaboration</w:t>
      </w:r>
      <w:r w:rsidR="00BB227B">
        <w:rPr>
          <w:noProof/>
        </w:rPr>
        <w:t>;</w:t>
      </w:r>
    </w:p>
    <w:p w14:paraId="52822F48" w14:textId="3DEDCDD4" w:rsidR="004A20EF" w:rsidRDefault="00A548FE">
      <w:pPr>
        <w:pStyle w:val="Point1letter"/>
        <w:rPr>
          <w:noProof/>
        </w:rPr>
      </w:pPr>
      <w:r>
        <w:rPr>
          <w:noProof/>
        </w:rPr>
        <w:t>s</w:t>
      </w:r>
      <w:r w:rsidR="00BB227B">
        <w:rPr>
          <w:noProof/>
        </w:rPr>
        <w:t>upport initiatives aimed at understanding and monitoring the health and welfare threats faced by cetaceans, including the potential cumulative impacts of these threats, as well as proposals aimed at securing improvements in welfare standards;</w:t>
      </w:r>
    </w:p>
    <w:p w14:paraId="675CC142" w14:textId="09D26675" w:rsidR="004A20EF" w:rsidRDefault="00B90C06">
      <w:pPr>
        <w:pStyle w:val="Point1letter"/>
        <w:rPr>
          <w:noProof/>
        </w:rPr>
      </w:pPr>
      <w:r>
        <w:rPr>
          <w:noProof/>
        </w:rPr>
        <w:t>s</w:t>
      </w:r>
      <w:r w:rsidR="00BB227B">
        <w:rPr>
          <w:noProof/>
        </w:rPr>
        <w:t>upport proposals to improve the governance of the IWC, in line with best practice</w:t>
      </w:r>
      <w:r>
        <w:rPr>
          <w:noProof/>
        </w:rPr>
        <w:t>s</w:t>
      </w:r>
      <w:r w:rsidR="00BB227B">
        <w:rPr>
          <w:noProof/>
        </w:rPr>
        <w:t xml:space="preserve"> in other multilateral agreements and their governing bodies, including mechanisms for ensuring increased transparency, accountability, compliance and enforcement</w:t>
      </w:r>
      <w:r>
        <w:rPr>
          <w:noProof/>
        </w:rPr>
        <w:t>, thereby</w:t>
      </w:r>
      <w:r w:rsidR="00BB227B">
        <w:rPr>
          <w:noProof/>
        </w:rPr>
        <w:t xml:space="preserve"> reinforc</w:t>
      </w:r>
      <w:r>
        <w:rPr>
          <w:noProof/>
        </w:rPr>
        <w:t>ing the</w:t>
      </w:r>
      <w:r w:rsidR="00BB227B">
        <w:rPr>
          <w:noProof/>
        </w:rPr>
        <w:t xml:space="preserve"> IWC’s legitimacy and the integrity of its decision-making process </w:t>
      </w:r>
      <w:r>
        <w:rPr>
          <w:noProof/>
        </w:rPr>
        <w:t>and promoting</w:t>
      </w:r>
      <w:r w:rsidR="00BB227B">
        <w:rPr>
          <w:noProof/>
        </w:rPr>
        <w:t xml:space="preserve"> more efficient use of resources;</w:t>
      </w:r>
    </w:p>
    <w:p w14:paraId="6C6EF497" w14:textId="2821F8DE" w:rsidR="004A20EF" w:rsidRDefault="00B90C06">
      <w:pPr>
        <w:pStyle w:val="Point1letter"/>
        <w:rPr>
          <w:noProof/>
        </w:rPr>
      </w:pPr>
      <w:r>
        <w:rPr>
          <w:noProof/>
        </w:rPr>
        <w:t>s</w:t>
      </w:r>
      <w:r w:rsidR="00BB227B">
        <w:rPr>
          <w:noProof/>
        </w:rPr>
        <w:t xml:space="preserve">upport proposals aiming to consolidate the transparency of the </w:t>
      </w:r>
      <w:r w:rsidR="00656677">
        <w:rPr>
          <w:noProof/>
        </w:rPr>
        <w:t xml:space="preserve">assistance </w:t>
      </w:r>
      <w:r w:rsidR="00BB227B">
        <w:rPr>
          <w:noProof/>
        </w:rPr>
        <w:t xml:space="preserve">scheme for strengthening the capacity of </w:t>
      </w:r>
      <w:r w:rsidR="00A76EF8">
        <w:rPr>
          <w:noProof/>
        </w:rPr>
        <w:t>g</w:t>
      </w:r>
      <w:r w:rsidR="00BB227B">
        <w:rPr>
          <w:noProof/>
        </w:rPr>
        <w:t xml:space="preserve">overnments of </w:t>
      </w:r>
      <w:r w:rsidR="00A76EF8">
        <w:rPr>
          <w:noProof/>
        </w:rPr>
        <w:t>l</w:t>
      </w:r>
      <w:r w:rsidR="00BB227B">
        <w:rPr>
          <w:noProof/>
        </w:rPr>
        <w:t xml:space="preserve">imited </w:t>
      </w:r>
      <w:r w:rsidR="00A76EF8">
        <w:rPr>
          <w:noProof/>
        </w:rPr>
        <w:t>m</w:t>
      </w:r>
      <w:r w:rsidR="00BB227B">
        <w:rPr>
          <w:noProof/>
        </w:rPr>
        <w:t>eans to participate in the work of the IWC</w:t>
      </w:r>
      <w:r w:rsidR="00656677">
        <w:rPr>
          <w:noProof/>
        </w:rPr>
        <w:t xml:space="preserve"> (e.g., the Voluntary Assistance Fund and similar support measures)</w:t>
      </w:r>
      <w:r>
        <w:rPr>
          <w:noProof/>
        </w:rPr>
        <w:t>,</w:t>
      </w:r>
      <w:r w:rsidR="00BB227B">
        <w:rPr>
          <w:noProof/>
        </w:rPr>
        <w:t xml:space="preserve"> while requesting transparency from those donors directly financing the participation of delegates from countries outside </w:t>
      </w:r>
      <w:r w:rsidR="00810BFD">
        <w:rPr>
          <w:noProof/>
        </w:rPr>
        <w:t>the</w:t>
      </w:r>
      <w:r w:rsidR="00656677">
        <w:rPr>
          <w:noProof/>
        </w:rPr>
        <w:t xml:space="preserve"> assistance </w:t>
      </w:r>
      <w:r w:rsidR="00BB227B">
        <w:rPr>
          <w:noProof/>
        </w:rPr>
        <w:t>scheme;</w:t>
      </w:r>
    </w:p>
    <w:p w14:paraId="77AA291B" w14:textId="35ECDBB6" w:rsidR="004A20EF" w:rsidRDefault="00B90C06">
      <w:pPr>
        <w:pStyle w:val="Point1letter"/>
        <w:rPr>
          <w:noProof/>
        </w:rPr>
      </w:pPr>
      <w:r>
        <w:rPr>
          <w:noProof/>
        </w:rPr>
        <w:t>s</w:t>
      </w:r>
      <w:r w:rsidR="00BB227B">
        <w:rPr>
          <w:noProof/>
        </w:rPr>
        <w:t>upport proposals that strengthen the dialogue and cooperation with civil society and further contribute to improving the involvement and participation of civil society organisation</w:t>
      </w:r>
      <w:r w:rsidR="00185D7B">
        <w:rPr>
          <w:noProof/>
        </w:rPr>
        <w:t>s</w:t>
      </w:r>
      <w:r w:rsidR="00BB227B">
        <w:rPr>
          <w:noProof/>
        </w:rPr>
        <w:t xml:space="preserve"> in IWC work at all levels, in </w:t>
      </w:r>
      <w:r>
        <w:rPr>
          <w:noProof/>
        </w:rPr>
        <w:t xml:space="preserve">line </w:t>
      </w:r>
      <w:r w:rsidR="00BB227B">
        <w:rPr>
          <w:noProof/>
        </w:rPr>
        <w:t>with common practice</w:t>
      </w:r>
      <w:r>
        <w:rPr>
          <w:noProof/>
        </w:rPr>
        <w:t>s</w:t>
      </w:r>
      <w:r w:rsidR="00BB227B">
        <w:rPr>
          <w:noProof/>
        </w:rPr>
        <w:t xml:space="preserve"> in other multilateral agreements.</w:t>
      </w:r>
    </w:p>
    <w:sectPr w:rsidR="004A20EF" w:rsidSect="004C2BB5">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B929E" w14:textId="77777777" w:rsidR="00EC0644" w:rsidRDefault="00EC0644" w:rsidP="00080D82">
      <w:pPr>
        <w:spacing w:before="0" w:after="0"/>
      </w:pPr>
      <w:r>
        <w:separator/>
      </w:r>
    </w:p>
  </w:endnote>
  <w:endnote w:type="continuationSeparator" w:id="0">
    <w:p w14:paraId="0A867525" w14:textId="77777777" w:rsidR="00EC0644" w:rsidRDefault="00EC0644" w:rsidP="00080D82">
      <w:pPr>
        <w:spacing w:before="0" w:after="0"/>
      </w:pPr>
      <w:r>
        <w:continuationSeparator/>
      </w:r>
    </w:p>
  </w:endnote>
  <w:endnote w:type="continuationNotice" w:id="1">
    <w:p w14:paraId="77ACDAEA" w14:textId="77777777" w:rsidR="00EC0644" w:rsidRDefault="00EC064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2676F" w14:textId="6C36EC5E" w:rsidR="004C2BB5" w:rsidRPr="004C2BB5" w:rsidRDefault="004C2BB5" w:rsidP="004C2BB5">
    <w:pPr>
      <w:pStyle w:val="Footer"/>
      <w:rPr>
        <w:rFonts w:ascii="Arial" w:hAnsi="Arial" w:cs="Arial"/>
        <w:b/>
        <w:sz w:val="48"/>
      </w:rPr>
    </w:pPr>
    <w:r w:rsidRPr="004C2BB5">
      <w:rPr>
        <w:rFonts w:ascii="Arial" w:hAnsi="Arial" w:cs="Arial"/>
        <w:b/>
        <w:sz w:val="48"/>
      </w:rPr>
      <w:t>EN</w:t>
    </w:r>
    <w:r w:rsidRPr="004C2BB5">
      <w:rPr>
        <w:rFonts w:ascii="Arial" w:hAnsi="Arial" w:cs="Arial"/>
        <w:b/>
        <w:sz w:val="48"/>
      </w:rPr>
      <w:tab/>
    </w:r>
    <w:r w:rsidRPr="004C2BB5">
      <w:rPr>
        <w:rFonts w:ascii="Arial" w:hAnsi="Arial" w:cs="Arial"/>
        <w:b/>
        <w:sz w:val="48"/>
      </w:rPr>
      <w:tab/>
    </w:r>
    <w:r w:rsidRPr="004C2BB5">
      <w:tab/>
    </w:r>
    <w:r w:rsidRPr="004C2BB5">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2B0CB" w14:textId="2A53EC0B" w:rsidR="004C2BB5" w:rsidRPr="004C2BB5" w:rsidRDefault="004C2BB5" w:rsidP="004C2BB5">
    <w:pPr>
      <w:pStyle w:val="Footer"/>
      <w:rPr>
        <w:rFonts w:ascii="Arial" w:hAnsi="Arial" w:cs="Arial"/>
        <w:b/>
        <w:sz w:val="48"/>
      </w:rPr>
    </w:pPr>
    <w:r w:rsidRPr="004C2BB5">
      <w:rPr>
        <w:rFonts w:ascii="Arial" w:hAnsi="Arial" w:cs="Arial"/>
        <w:b/>
        <w:sz w:val="48"/>
      </w:rPr>
      <w:t>EN</w:t>
    </w:r>
    <w:r w:rsidRPr="004C2BB5">
      <w:rPr>
        <w:rFonts w:ascii="Arial" w:hAnsi="Arial" w:cs="Arial"/>
        <w:b/>
        <w:sz w:val="48"/>
      </w:rPr>
      <w:tab/>
    </w:r>
    <w:r w:rsidRPr="004C2BB5">
      <w:rPr>
        <w:rFonts w:ascii="Arial" w:hAnsi="Arial" w:cs="Arial"/>
        <w:b/>
        <w:sz w:val="48"/>
      </w:rPr>
      <w:tab/>
    </w:r>
    <w:r w:rsidRPr="004C2BB5">
      <w:tab/>
    </w:r>
    <w:r w:rsidRPr="004C2BB5">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FEE6A" w14:textId="77777777" w:rsidR="004C2BB5" w:rsidRPr="004C2BB5" w:rsidRDefault="004C2BB5" w:rsidP="004C2BB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CC55B" w14:textId="77777777" w:rsidR="004C2BB5" w:rsidRDefault="004C2BB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255824" w14:textId="64417DF1" w:rsidR="004C2BB5" w:rsidRPr="004C2BB5" w:rsidRDefault="004C2BB5" w:rsidP="004C2BB5">
    <w:pPr>
      <w:pStyle w:val="Footer"/>
      <w:rPr>
        <w:rFonts w:ascii="Arial" w:hAnsi="Arial" w:cs="Arial"/>
        <w:b/>
        <w:sz w:val="48"/>
      </w:rPr>
    </w:pPr>
    <w:r w:rsidRPr="004C2BB5">
      <w:rPr>
        <w:rFonts w:ascii="Arial" w:hAnsi="Arial" w:cs="Arial"/>
        <w:b/>
        <w:sz w:val="48"/>
      </w:rPr>
      <w:t>EN</w:t>
    </w:r>
    <w:r w:rsidRPr="004C2BB5">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4C2BB5">
      <w:tab/>
    </w:r>
    <w:r w:rsidRPr="004C2BB5">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35A8B" w14:textId="77777777" w:rsidR="004C2BB5" w:rsidRDefault="004C2BB5" w:rsidP="004C2B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43E020" w14:textId="77777777" w:rsidR="00EC0644" w:rsidRDefault="00EC0644" w:rsidP="00080D82">
      <w:pPr>
        <w:spacing w:before="0" w:after="0"/>
      </w:pPr>
      <w:r>
        <w:separator/>
      </w:r>
    </w:p>
  </w:footnote>
  <w:footnote w:type="continuationSeparator" w:id="0">
    <w:p w14:paraId="1B6F8B73" w14:textId="77777777" w:rsidR="00EC0644" w:rsidRDefault="00EC0644" w:rsidP="00080D82">
      <w:pPr>
        <w:spacing w:before="0" w:after="0"/>
      </w:pPr>
      <w:r>
        <w:continuationSeparator/>
      </w:r>
    </w:p>
  </w:footnote>
  <w:footnote w:type="continuationNotice" w:id="1">
    <w:p w14:paraId="01D6EBF1" w14:textId="77777777" w:rsidR="00EC0644" w:rsidRDefault="00EC0644">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727097" w14:textId="77777777" w:rsidR="004C2BB5" w:rsidRPr="004C2BB5" w:rsidRDefault="004C2BB5" w:rsidP="004C2B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CF8571" w14:textId="77777777" w:rsidR="004C2BB5" w:rsidRPr="004C2BB5" w:rsidRDefault="004C2BB5" w:rsidP="004C2B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CB9B" w14:textId="77777777" w:rsidR="004C2BB5" w:rsidRPr="004C2BB5" w:rsidRDefault="004C2BB5" w:rsidP="004C2BB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84FE51" w14:textId="77777777" w:rsidR="004C2BB5" w:rsidRDefault="004C2BB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F6755" w14:textId="77777777" w:rsidR="004C2BB5" w:rsidRDefault="004C2B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0D282DBA"/>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04A44650"/>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96AA8578"/>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EB4EA298"/>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1AFE9A"/>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5C7EBAA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6BFAD6F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E965F74"/>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9"/>
    </w:lvlOverride>
    <w:lvlOverride w:ilvl="6">
      <w:startOverride w:val="1"/>
    </w:lvlOverride>
    <w:lvlOverride w:ilvl="7">
      <w:startOverride w:val="1"/>
    </w:lvlOverride>
    <w:lvlOverride w:ilvl="8">
      <w:startOverride w:val="1"/>
    </w:lvlOverride>
  </w:num>
  <w:num w:numId="2">
    <w:abstractNumId w:val="7"/>
  </w:num>
  <w:num w:numId="3">
    <w:abstractNumId w:val="5"/>
  </w:num>
  <w:num w:numId="4">
    <w:abstractNumId w:val="4"/>
  </w:num>
  <w:num w:numId="5">
    <w:abstractNumId w:val="3"/>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2"/>
  </w:num>
  <w:num w:numId="10">
    <w:abstractNumId w:val="1"/>
  </w:num>
  <w:num w:numId="11">
    <w:abstractNumId w:val="0"/>
  </w:num>
  <w:num w:numId="12">
    <w:abstractNumId w:val="19"/>
  </w:num>
  <w:num w:numId="13">
    <w:abstractNumId w:val="12"/>
  </w:num>
  <w:num w:numId="14">
    <w:abstractNumId w:val="21"/>
  </w:num>
  <w:num w:numId="15">
    <w:abstractNumId w:val="11"/>
  </w:num>
  <w:num w:numId="16">
    <w:abstractNumId w:val="13"/>
  </w:num>
  <w:num w:numId="17">
    <w:abstractNumId w:val="14"/>
  </w:num>
  <w:num w:numId="18">
    <w:abstractNumId w:val="9"/>
  </w:num>
  <w:num w:numId="19">
    <w:abstractNumId w:val="20"/>
  </w:num>
  <w:num w:numId="20">
    <w:abstractNumId w:val="8"/>
  </w:num>
  <w:num w:numId="21">
    <w:abstractNumId w:val="15"/>
  </w:num>
  <w:num w:numId="22">
    <w:abstractNumId w:val="17"/>
  </w:num>
  <w:num w:numId="23">
    <w:abstractNumId w:val="18"/>
  </w:num>
  <w:num w:numId="24">
    <w:abstractNumId w:val="10"/>
  </w:num>
  <w:num w:numId="25">
    <w:abstractNumId w:val="16"/>
  </w:num>
  <w:num w:numId="26">
    <w:abstractNumId w:val="22"/>
  </w:num>
  <w:num w:numId="27">
    <w:abstractNumId w:val="19"/>
  </w:num>
  <w:num w:numId="28">
    <w:abstractNumId w:val="12"/>
  </w:num>
  <w:num w:numId="29">
    <w:abstractNumId w:val="21"/>
  </w:num>
  <w:num w:numId="30">
    <w:abstractNumId w:val="11"/>
  </w:num>
  <w:num w:numId="31">
    <w:abstractNumId w:val="13"/>
  </w:num>
  <w:num w:numId="32">
    <w:abstractNumId w:val="14"/>
  </w:num>
  <w:num w:numId="33">
    <w:abstractNumId w:val="9"/>
  </w:num>
  <w:num w:numId="34">
    <w:abstractNumId w:val="20"/>
  </w:num>
  <w:num w:numId="35">
    <w:abstractNumId w:val="8"/>
  </w:num>
  <w:num w:numId="36">
    <w:abstractNumId w:val="15"/>
  </w:num>
  <w:num w:numId="37">
    <w:abstractNumId w:val="17"/>
  </w:num>
  <w:num w:numId="38">
    <w:abstractNumId w:val="18"/>
  </w:num>
  <w:num w:numId="39">
    <w:abstractNumId w:val="10"/>
  </w:num>
  <w:num w:numId="40">
    <w:abstractNumId w:val="16"/>
  </w:num>
  <w:num w:numId="41">
    <w:abstractNumId w:val="2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28 07:42:5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to the"/>
    <w:docVar w:name="LW_ACCOMPAGNANT.CP" w:val="to the"/>
    <w:docVar w:name="LW_AKN_IMPORT" w:val="20241104"/>
    <w:docVar w:name="LW_ANNEX_NBR_FIRST" w:val="1"/>
    <w:docVar w:name="LW_ANNEX_NBR_LAST" w:val="1"/>
    <w:docVar w:name="LW_ANNEX_UNIQUE" w:val="1"/>
    <w:docVar w:name="LW_CORRIGENDUM" w:val="&lt;UNUSED&gt;"/>
    <w:docVar w:name="LW_COVERPAGE_EXISTS" w:val="True"/>
    <w:docVar w:name="LW_COVERPAGE_GUID" w:val="BDBDCAB5-97C5-47B8-A0DC-DD78575AE441"/>
    <w:docVar w:name="LW_COVERPAGE_TYPE" w:val="1"/>
    <w:docVar w:name="LW_CROSSREFERENCE" w:val="&lt;UNUSED&gt;"/>
    <w:docVar w:name="LW_DocType" w:val="ANNEX"/>
    <w:docVar w:name="LW_EMISSION" w:val="2.7.2026"/>
    <w:docVar w:name="LW_EMISSION_ISODATE" w:val="2026-07-02"/>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on the position to be adopted, on behalf of the European Union, in relation to matters falling within its competence, at the next three meetings of the International Whaling Commission, including related inter-sessional meetings"/>
    <w:docVar w:name="LW_OBJETACTEPRINCIPAL.CP" w:val="on the position to be adopted, on behalf of the European Union, in relation to matters falling within its competence, at the next three meetings of the International Whaling Commission, including related inter-sessional meetings"/>
    <w:docVar w:name="LW_PART_NBR" w:val="1"/>
    <w:docVar w:name="LW_PART_NBR_TOTAL" w:val="1"/>
    <w:docVar w:name="LW_REF.INST.NEW" w:val="COM"/>
    <w:docVar w:name="LW_REF.INST.NEW_ADOPTED" w:val="final"/>
    <w:docVar w:name="LW_REF.INST.NEW_TEXT" w:val="(2026) 333"/>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
    <w:docVar w:name="LW_TYPE.DOC.CP" w:val="ANNEX"/>
    <w:docVar w:name="LW_TYPEACTEPRINCIPAL" w:val="Proposal for a COUNCIL DECISION"/>
    <w:docVar w:name="LW_TYPEACTEPRINCIPAL.CP" w:val="Proposal for a COUNCIL DECISION"/>
    <w:docVar w:name="LwApiVersions" w:val="LW4CoDe 1.24.5.0; LW 9.2, Build 20251112"/>
  </w:docVars>
  <w:rsids>
    <w:rsidRoot w:val="00905D22"/>
    <w:rsid w:val="0003526E"/>
    <w:rsid w:val="00071FBD"/>
    <w:rsid w:val="00080D82"/>
    <w:rsid w:val="000E55C1"/>
    <w:rsid w:val="00120C3B"/>
    <w:rsid w:val="00120D24"/>
    <w:rsid w:val="0012158A"/>
    <w:rsid w:val="00165C4F"/>
    <w:rsid w:val="00167478"/>
    <w:rsid w:val="00185D7B"/>
    <w:rsid w:val="00196BC6"/>
    <w:rsid w:val="001A2521"/>
    <w:rsid w:val="001E152C"/>
    <w:rsid w:val="001F343E"/>
    <w:rsid w:val="00230D78"/>
    <w:rsid w:val="002571B8"/>
    <w:rsid w:val="002609AE"/>
    <w:rsid w:val="002731A4"/>
    <w:rsid w:val="0028338D"/>
    <w:rsid w:val="002B6884"/>
    <w:rsid w:val="0030684F"/>
    <w:rsid w:val="0035779D"/>
    <w:rsid w:val="00360003"/>
    <w:rsid w:val="00360A69"/>
    <w:rsid w:val="003D521F"/>
    <w:rsid w:val="003D6E7B"/>
    <w:rsid w:val="004238A5"/>
    <w:rsid w:val="00453306"/>
    <w:rsid w:val="00457915"/>
    <w:rsid w:val="00466356"/>
    <w:rsid w:val="0047470E"/>
    <w:rsid w:val="00477991"/>
    <w:rsid w:val="00480774"/>
    <w:rsid w:val="00490857"/>
    <w:rsid w:val="00492EB7"/>
    <w:rsid w:val="004A0173"/>
    <w:rsid w:val="004A20EF"/>
    <w:rsid w:val="004A5EA5"/>
    <w:rsid w:val="004A7394"/>
    <w:rsid w:val="004C2BB5"/>
    <w:rsid w:val="00504A75"/>
    <w:rsid w:val="00506A78"/>
    <w:rsid w:val="00507976"/>
    <w:rsid w:val="00526689"/>
    <w:rsid w:val="00534176"/>
    <w:rsid w:val="00537A8A"/>
    <w:rsid w:val="005A00A5"/>
    <w:rsid w:val="005D73F1"/>
    <w:rsid w:val="005F3CF1"/>
    <w:rsid w:val="00626E37"/>
    <w:rsid w:val="0063040B"/>
    <w:rsid w:val="00644539"/>
    <w:rsid w:val="00656677"/>
    <w:rsid w:val="00665B54"/>
    <w:rsid w:val="006711B9"/>
    <w:rsid w:val="00684F7C"/>
    <w:rsid w:val="006A6BCB"/>
    <w:rsid w:val="006B60D2"/>
    <w:rsid w:val="006C0506"/>
    <w:rsid w:val="006D08EF"/>
    <w:rsid w:val="00701DE9"/>
    <w:rsid w:val="0070716F"/>
    <w:rsid w:val="00713674"/>
    <w:rsid w:val="0071534F"/>
    <w:rsid w:val="007303FF"/>
    <w:rsid w:val="00763453"/>
    <w:rsid w:val="00810BFD"/>
    <w:rsid w:val="00825EB1"/>
    <w:rsid w:val="00881053"/>
    <w:rsid w:val="00890292"/>
    <w:rsid w:val="008C685A"/>
    <w:rsid w:val="008D6398"/>
    <w:rsid w:val="00905D22"/>
    <w:rsid w:val="00906D83"/>
    <w:rsid w:val="00912277"/>
    <w:rsid w:val="00915D7D"/>
    <w:rsid w:val="0091636D"/>
    <w:rsid w:val="00925D39"/>
    <w:rsid w:val="00985DC6"/>
    <w:rsid w:val="00995747"/>
    <w:rsid w:val="009A213B"/>
    <w:rsid w:val="009D63AA"/>
    <w:rsid w:val="00A10716"/>
    <w:rsid w:val="00A13D81"/>
    <w:rsid w:val="00A17C4F"/>
    <w:rsid w:val="00A270BE"/>
    <w:rsid w:val="00A46588"/>
    <w:rsid w:val="00A548FE"/>
    <w:rsid w:val="00A6006C"/>
    <w:rsid w:val="00A60786"/>
    <w:rsid w:val="00A6243B"/>
    <w:rsid w:val="00A70932"/>
    <w:rsid w:val="00A718F4"/>
    <w:rsid w:val="00A71F6D"/>
    <w:rsid w:val="00A76EF8"/>
    <w:rsid w:val="00A80ECE"/>
    <w:rsid w:val="00AA118C"/>
    <w:rsid w:val="00AA37DF"/>
    <w:rsid w:val="00AB2C2F"/>
    <w:rsid w:val="00AC3BEC"/>
    <w:rsid w:val="00AE21E0"/>
    <w:rsid w:val="00AE5F1B"/>
    <w:rsid w:val="00B3099C"/>
    <w:rsid w:val="00B43C19"/>
    <w:rsid w:val="00B447B3"/>
    <w:rsid w:val="00B55D7B"/>
    <w:rsid w:val="00B8046A"/>
    <w:rsid w:val="00B90C06"/>
    <w:rsid w:val="00BA4F3C"/>
    <w:rsid w:val="00BB227B"/>
    <w:rsid w:val="00BB30BC"/>
    <w:rsid w:val="00BC7374"/>
    <w:rsid w:val="00C26E6C"/>
    <w:rsid w:val="00C27467"/>
    <w:rsid w:val="00C36C06"/>
    <w:rsid w:val="00C74018"/>
    <w:rsid w:val="00C94B94"/>
    <w:rsid w:val="00C953CA"/>
    <w:rsid w:val="00C95ABF"/>
    <w:rsid w:val="00CD63FF"/>
    <w:rsid w:val="00D248C4"/>
    <w:rsid w:val="00D323CF"/>
    <w:rsid w:val="00D328C4"/>
    <w:rsid w:val="00D33986"/>
    <w:rsid w:val="00D41B00"/>
    <w:rsid w:val="00D72EC7"/>
    <w:rsid w:val="00DA28B3"/>
    <w:rsid w:val="00DD13B8"/>
    <w:rsid w:val="00DD273D"/>
    <w:rsid w:val="00DE0449"/>
    <w:rsid w:val="00DE0EC7"/>
    <w:rsid w:val="00E10FC9"/>
    <w:rsid w:val="00E200D1"/>
    <w:rsid w:val="00E33B71"/>
    <w:rsid w:val="00E56462"/>
    <w:rsid w:val="00E642E3"/>
    <w:rsid w:val="00E711AD"/>
    <w:rsid w:val="00E7260D"/>
    <w:rsid w:val="00E76E5D"/>
    <w:rsid w:val="00EC0644"/>
    <w:rsid w:val="00ED4C5D"/>
    <w:rsid w:val="00EF6975"/>
    <w:rsid w:val="00F0176E"/>
    <w:rsid w:val="00F20E13"/>
    <w:rsid w:val="00F31070"/>
    <w:rsid w:val="00F36458"/>
    <w:rsid w:val="00F42F6B"/>
    <w:rsid w:val="00F7024E"/>
    <w:rsid w:val="00F82260"/>
    <w:rsid w:val="00F94549"/>
    <w:rsid w:val="00FB556F"/>
    <w:rsid w:val="00FC19CC"/>
    <w:rsid w:val="00FD6E4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B87AC10"/>
  <w15:docId w15:val="{4FFC36E2-A76B-4777-9399-0815B28CA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styleId="ListBullet">
    <w:name w:val="List Bullet"/>
    <w:basedOn w:val="Normal"/>
    <w:uiPriority w:val="99"/>
    <w:semiHidden/>
    <w:unhideWhenUsed/>
    <w:rsid w:val="0063040B"/>
    <w:pPr>
      <w:numPr>
        <w:numId w:val="2"/>
      </w:numPr>
      <w:contextualSpacing/>
    </w:pPr>
  </w:style>
  <w:style w:type="paragraph" w:styleId="ListBullet2">
    <w:name w:val="List Bullet 2"/>
    <w:basedOn w:val="Normal"/>
    <w:uiPriority w:val="99"/>
    <w:semiHidden/>
    <w:unhideWhenUsed/>
    <w:rsid w:val="0063040B"/>
    <w:pPr>
      <w:numPr>
        <w:numId w:val="3"/>
      </w:numPr>
      <w:contextualSpacing/>
    </w:pPr>
  </w:style>
  <w:style w:type="paragraph" w:styleId="ListBullet3">
    <w:name w:val="List Bullet 3"/>
    <w:basedOn w:val="Normal"/>
    <w:uiPriority w:val="99"/>
    <w:semiHidden/>
    <w:unhideWhenUsed/>
    <w:rsid w:val="0063040B"/>
    <w:pPr>
      <w:numPr>
        <w:numId w:val="4"/>
      </w:numPr>
      <w:contextualSpacing/>
    </w:pPr>
  </w:style>
  <w:style w:type="paragraph" w:styleId="ListBullet4">
    <w:name w:val="List Bullet 4"/>
    <w:basedOn w:val="Normal"/>
    <w:uiPriority w:val="99"/>
    <w:semiHidden/>
    <w:unhideWhenUsed/>
    <w:rsid w:val="0063040B"/>
    <w:pPr>
      <w:numPr>
        <w:numId w:val="5"/>
      </w:numPr>
      <w:contextualSpacing/>
    </w:pPr>
  </w:style>
  <w:style w:type="paragraph" w:styleId="Caption">
    <w:name w:val="caption"/>
    <w:basedOn w:val="Normal"/>
    <w:next w:val="Normal"/>
    <w:uiPriority w:val="35"/>
    <w:semiHidden/>
    <w:unhideWhenUsed/>
    <w:qFormat/>
    <w:rsid w:val="00C94B94"/>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C94B94"/>
    <w:pPr>
      <w:spacing w:after="0"/>
    </w:pPr>
  </w:style>
  <w:style w:type="paragraph" w:styleId="ListNumber">
    <w:name w:val="List Number"/>
    <w:basedOn w:val="Normal"/>
    <w:uiPriority w:val="99"/>
    <w:semiHidden/>
    <w:unhideWhenUsed/>
    <w:rsid w:val="00C94B94"/>
    <w:pPr>
      <w:numPr>
        <w:numId w:val="8"/>
      </w:numPr>
      <w:contextualSpacing/>
    </w:pPr>
  </w:style>
  <w:style w:type="paragraph" w:styleId="ListNumber2">
    <w:name w:val="List Number 2"/>
    <w:basedOn w:val="Normal"/>
    <w:uiPriority w:val="99"/>
    <w:semiHidden/>
    <w:unhideWhenUsed/>
    <w:rsid w:val="00C94B94"/>
    <w:pPr>
      <w:numPr>
        <w:numId w:val="9"/>
      </w:numPr>
      <w:contextualSpacing/>
    </w:pPr>
  </w:style>
  <w:style w:type="paragraph" w:styleId="ListNumber3">
    <w:name w:val="List Number 3"/>
    <w:basedOn w:val="Normal"/>
    <w:uiPriority w:val="99"/>
    <w:semiHidden/>
    <w:unhideWhenUsed/>
    <w:rsid w:val="00C94B94"/>
    <w:pPr>
      <w:numPr>
        <w:numId w:val="10"/>
      </w:numPr>
      <w:contextualSpacing/>
    </w:pPr>
  </w:style>
  <w:style w:type="paragraph" w:styleId="ListNumber4">
    <w:name w:val="List Number 4"/>
    <w:basedOn w:val="Normal"/>
    <w:uiPriority w:val="99"/>
    <w:semiHidden/>
    <w:unhideWhenUsed/>
    <w:rsid w:val="00C94B94"/>
    <w:pPr>
      <w:numPr>
        <w:numId w:val="11"/>
      </w:numPr>
      <w:contextualSpacing/>
    </w:pPr>
  </w:style>
  <w:style w:type="paragraph" w:styleId="Revision">
    <w:name w:val="Revision"/>
    <w:hidden/>
    <w:uiPriority w:val="99"/>
    <w:semiHidden/>
    <w:rsid w:val="0030684F"/>
    <w:pPr>
      <w:spacing w:after="0" w:line="240" w:lineRule="auto"/>
    </w:pPr>
    <w:rPr>
      <w:rFonts w:ascii="Times New Roman" w:hAnsi="Times New Roman" w:cs="Times New Roman"/>
      <w:sz w:val="24"/>
      <w:lang w:val="en-GB"/>
    </w:rPr>
  </w:style>
  <w:style w:type="character" w:styleId="CommentReference">
    <w:name w:val="annotation reference"/>
    <w:basedOn w:val="DefaultParagraphFont"/>
    <w:uiPriority w:val="99"/>
    <w:semiHidden/>
    <w:unhideWhenUsed/>
    <w:rsid w:val="00A46588"/>
    <w:rPr>
      <w:sz w:val="16"/>
      <w:szCs w:val="16"/>
    </w:rPr>
  </w:style>
  <w:style w:type="paragraph" w:styleId="CommentText">
    <w:name w:val="annotation text"/>
    <w:basedOn w:val="Normal"/>
    <w:link w:val="CommentTextChar"/>
    <w:uiPriority w:val="99"/>
    <w:unhideWhenUsed/>
    <w:rsid w:val="00A46588"/>
    <w:rPr>
      <w:sz w:val="20"/>
      <w:szCs w:val="20"/>
    </w:rPr>
  </w:style>
  <w:style w:type="character" w:customStyle="1" w:styleId="CommentTextChar">
    <w:name w:val="Comment Text Char"/>
    <w:basedOn w:val="DefaultParagraphFont"/>
    <w:link w:val="CommentText"/>
    <w:uiPriority w:val="99"/>
    <w:rsid w:val="00A46588"/>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A46588"/>
    <w:rPr>
      <w:b/>
      <w:bCs/>
    </w:rPr>
  </w:style>
  <w:style w:type="character" w:customStyle="1" w:styleId="CommentSubjectChar">
    <w:name w:val="Comment Subject Char"/>
    <w:basedOn w:val="CommentTextChar"/>
    <w:link w:val="CommentSubject"/>
    <w:uiPriority w:val="99"/>
    <w:semiHidden/>
    <w:rsid w:val="00A46588"/>
    <w:rPr>
      <w:rFonts w:ascii="Times New Roman" w:hAnsi="Times New Roman" w:cs="Times New Roman"/>
      <w:b/>
      <w:bCs/>
      <w:sz w:val="20"/>
      <w:szCs w:val="20"/>
      <w:lang w:val="en-GB"/>
    </w:rPr>
  </w:style>
  <w:style w:type="character" w:styleId="Hyperlink">
    <w:name w:val="Hyperlink"/>
    <w:basedOn w:val="DefaultParagraphFont"/>
    <w:uiPriority w:val="99"/>
    <w:unhideWhenUsed/>
    <w:rsid w:val="00E10FC9"/>
    <w:rPr>
      <w:color w:val="0000FF" w:themeColor="hyperlink"/>
      <w:u w:val="single"/>
    </w:rPr>
  </w:style>
  <w:style w:type="character" w:customStyle="1" w:styleId="UnresolvedMention">
    <w:name w:val="Unresolved Mention"/>
    <w:basedOn w:val="DefaultParagraphFont"/>
    <w:uiPriority w:val="99"/>
    <w:semiHidden/>
    <w:unhideWhenUsed/>
    <w:rsid w:val="00E10FC9"/>
    <w:rPr>
      <w:color w:val="605E5C"/>
      <w:shd w:val="clear" w:color="auto" w:fill="E1DFDD"/>
    </w:rPr>
  </w:style>
  <w:style w:type="paragraph" w:styleId="NormalWeb">
    <w:name w:val="Normal (Web)"/>
    <w:basedOn w:val="Normal"/>
    <w:uiPriority w:val="99"/>
    <w:semiHidden/>
    <w:unhideWhenUsed/>
    <w:rsid w:val="00A270BE"/>
    <w:rPr>
      <w:szCs w:val="24"/>
    </w:rPr>
  </w:style>
  <w:style w:type="character" w:customStyle="1" w:styleId="HeaderChar">
    <w:name w:val="Header Char"/>
    <w:basedOn w:val="DefaultParagraphFont"/>
    <w:link w:val="Header"/>
    <w:uiPriority w:val="99"/>
    <w:rsid w:val="004C2BB5"/>
    <w:rPr>
      <w:rFonts w:ascii="Times New Roman" w:hAnsi="Times New Roman" w:cs="Times New Roman"/>
      <w:sz w:val="24"/>
      <w:lang w:val="en-GB"/>
    </w:rPr>
  </w:style>
  <w:style w:type="character" w:customStyle="1" w:styleId="FooterChar">
    <w:name w:val="Footer Char"/>
    <w:basedOn w:val="DefaultParagraphFont"/>
    <w:link w:val="Footer"/>
    <w:uiPriority w:val="99"/>
    <w:rsid w:val="004C2BB5"/>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C2BB5"/>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C2BB5"/>
    <w:pPr>
      <w:spacing w:before="0"/>
      <w:jc w:val="right"/>
    </w:pPr>
    <w:rPr>
      <w:sz w:val="28"/>
    </w:rPr>
  </w:style>
  <w:style w:type="paragraph" w:customStyle="1" w:styleId="FooterSensitivity">
    <w:name w:val="Footer Sensitivity"/>
    <w:basedOn w:val="Normal"/>
    <w:rsid w:val="004C2BB5"/>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4C2BB5"/>
    <w:pPr>
      <w:tabs>
        <w:tab w:val="center" w:pos="4535"/>
        <w:tab w:val="right" w:pos="9071"/>
      </w:tabs>
      <w:spacing w:before="0"/>
    </w:pPr>
  </w:style>
  <w:style w:type="paragraph" w:customStyle="1" w:styleId="HeaderLandscape">
    <w:name w:val="HeaderLandscape"/>
    <w:basedOn w:val="Normal"/>
    <w:rsid w:val="004C2BB5"/>
    <w:pPr>
      <w:tabs>
        <w:tab w:val="center" w:pos="7285"/>
        <w:tab w:val="right" w:pos="14003"/>
      </w:tabs>
      <w:spacing w:before="0"/>
    </w:pPr>
  </w:style>
  <w:style w:type="paragraph" w:styleId="Footer">
    <w:name w:val="footer"/>
    <w:basedOn w:val="Normal"/>
    <w:link w:val="FooterChar"/>
    <w:uiPriority w:val="99"/>
    <w:unhideWhenUsed/>
    <w:rsid w:val="004C2BB5"/>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C2BB5"/>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434918">
      <w:bodyDiv w:val="1"/>
      <w:marLeft w:val="0"/>
      <w:marRight w:val="0"/>
      <w:marTop w:val="0"/>
      <w:marBottom w:val="0"/>
      <w:divBdr>
        <w:top w:val="none" w:sz="0" w:space="0" w:color="auto"/>
        <w:left w:val="none" w:sz="0" w:space="0" w:color="auto"/>
        <w:bottom w:val="none" w:sz="0" w:space="0" w:color="auto"/>
        <w:right w:val="none" w:sz="0" w:space="0" w:color="auto"/>
      </w:divBdr>
      <w:divsChild>
        <w:div w:id="1604335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5671496">
      <w:bodyDiv w:val="1"/>
      <w:marLeft w:val="0"/>
      <w:marRight w:val="0"/>
      <w:marTop w:val="0"/>
      <w:marBottom w:val="0"/>
      <w:divBdr>
        <w:top w:val="none" w:sz="0" w:space="0" w:color="auto"/>
        <w:left w:val="none" w:sz="0" w:space="0" w:color="auto"/>
        <w:bottom w:val="none" w:sz="0" w:space="0" w:color="auto"/>
        <w:right w:val="none" w:sz="0" w:space="0" w:color="auto"/>
      </w:divBdr>
    </w:div>
    <w:div w:id="267473324">
      <w:bodyDiv w:val="1"/>
      <w:marLeft w:val="0"/>
      <w:marRight w:val="0"/>
      <w:marTop w:val="0"/>
      <w:marBottom w:val="0"/>
      <w:divBdr>
        <w:top w:val="none" w:sz="0" w:space="0" w:color="auto"/>
        <w:left w:val="none" w:sz="0" w:space="0" w:color="auto"/>
        <w:bottom w:val="none" w:sz="0" w:space="0" w:color="auto"/>
        <w:right w:val="none" w:sz="0" w:space="0" w:color="auto"/>
      </w:divBdr>
    </w:div>
    <w:div w:id="451096108">
      <w:bodyDiv w:val="1"/>
      <w:marLeft w:val="0"/>
      <w:marRight w:val="0"/>
      <w:marTop w:val="0"/>
      <w:marBottom w:val="0"/>
      <w:divBdr>
        <w:top w:val="none" w:sz="0" w:space="0" w:color="auto"/>
        <w:left w:val="none" w:sz="0" w:space="0" w:color="auto"/>
        <w:bottom w:val="none" w:sz="0" w:space="0" w:color="auto"/>
        <w:right w:val="none" w:sz="0" w:space="0" w:color="auto"/>
      </w:divBdr>
    </w:div>
    <w:div w:id="582226971">
      <w:bodyDiv w:val="1"/>
      <w:marLeft w:val="0"/>
      <w:marRight w:val="0"/>
      <w:marTop w:val="0"/>
      <w:marBottom w:val="0"/>
      <w:divBdr>
        <w:top w:val="none" w:sz="0" w:space="0" w:color="auto"/>
        <w:left w:val="none" w:sz="0" w:space="0" w:color="auto"/>
        <w:bottom w:val="none" w:sz="0" w:space="0" w:color="auto"/>
        <w:right w:val="none" w:sz="0" w:space="0" w:color="auto"/>
      </w:divBdr>
    </w:div>
    <w:div w:id="686101379">
      <w:bodyDiv w:val="1"/>
      <w:marLeft w:val="0"/>
      <w:marRight w:val="0"/>
      <w:marTop w:val="0"/>
      <w:marBottom w:val="0"/>
      <w:divBdr>
        <w:top w:val="none" w:sz="0" w:space="0" w:color="auto"/>
        <w:left w:val="none" w:sz="0" w:space="0" w:color="auto"/>
        <w:bottom w:val="none" w:sz="0" w:space="0" w:color="auto"/>
        <w:right w:val="none" w:sz="0" w:space="0" w:color="auto"/>
      </w:divBdr>
      <w:divsChild>
        <w:div w:id="2064593434">
          <w:marLeft w:val="0"/>
          <w:marRight w:val="0"/>
          <w:marTop w:val="0"/>
          <w:marBottom w:val="225"/>
          <w:divBdr>
            <w:top w:val="none" w:sz="0" w:space="0" w:color="auto"/>
            <w:left w:val="none" w:sz="0" w:space="0" w:color="auto"/>
            <w:bottom w:val="none" w:sz="0" w:space="0" w:color="auto"/>
            <w:right w:val="none" w:sz="0" w:space="0" w:color="auto"/>
          </w:divBdr>
        </w:div>
      </w:divsChild>
    </w:div>
    <w:div w:id="1027878054">
      <w:bodyDiv w:val="1"/>
      <w:marLeft w:val="0"/>
      <w:marRight w:val="0"/>
      <w:marTop w:val="0"/>
      <w:marBottom w:val="0"/>
      <w:divBdr>
        <w:top w:val="none" w:sz="0" w:space="0" w:color="auto"/>
        <w:left w:val="none" w:sz="0" w:space="0" w:color="auto"/>
        <w:bottom w:val="none" w:sz="0" w:space="0" w:color="auto"/>
        <w:right w:val="none" w:sz="0" w:space="0" w:color="auto"/>
      </w:divBdr>
    </w:div>
    <w:div w:id="1089277334">
      <w:bodyDiv w:val="1"/>
      <w:marLeft w:val="0"/>
      <w:marRight w:val="0"/>
      <w:marTop w:val="0"/>
      <w:marBottom w:val="0"/>
      <w:divBdr>
        <w:top w:val="none" w:sz="0" w:space="0" w:color="auto"/>
        <w:left w:val="none" w:sz="0" w:space="0" w:color="auto"/>
        <w:bottom w:val="none" w:sz="0" w:space="0" w:color="auto"/>
        <w:right w:val="none" w:sz="0" w:space="0" w:color="auto"/>
      </w:divBdr>
    </w:div>
    <w:div w:id="1173185606">
      <w:bodyDiv w:val="1"/>
      <w:marLeft w:val="0"/>
      <w:marRight w:val="0"/>
      <w:marTop w:val="0"/>
      <w:marBottom w:val="0"/>
      <w:divBdr>
        <w:top w:val="none" w:sz="0" w:space="0" w:color="auto"/>
        <w:left w:val="none" w:sz="0" w:space="0" w:color="auto"/>
        <w:bottom w:val="none" w:sz="0" w:space="0" w:color="auto"/>
        <w:right w:val="none" w:sz="0" w:space="0" w:color="auto"/>
      </w:divBdr>
      <w:divsChild>
        <w:div w:id="1058165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9169816">
      <w:bodyDiv w:val="1"/>
      <w:marLeft w:val="0"/>
      <w:marRight w:val="0"/>
      <w:marTop w:val="0"/>
      <w:marBottom w:val="0"/>
      <w:divBdr>
        <w:top w:val="none" w:sz="0" w:space="0" w:color="auto"/>
        <w:left w:val="none" w:sz="0" w:space="0" w:color="auto"/>
        <w:bottom w:val="none" w:sz="0" w:space="0" w:color="auto"/>
        <w:right w:val="none" w:sz="0" w:space="0" w:color="auto"/>
      </w:divBdr>
      <w:divsChild>
        <w:div w:id="1481115794">
          <w:marLeft w:val="0"/>
          <w:marRight w:val="0"/>
          <w:marTop w:val="0"/>
          <w:marBottom w:val="225"/>
          <w:divBdr>
            <w:top w:val="none" w:sz="0" w:space="0" w:color="auto"/>
            <w:left w:val="none" w:sz="0" w:space="0" w:color="auto"/>
            <w:bottom w:val="none" w:sz="0" w:space="0" w:color="auto"/>
            <w:right w:val="none" w:sz="0" w:space="0" w:color="auto"/>
          </w:divBdr>
        </w:div>
      </w:divsChild>
    </w:div>
    <w:div w:id="1794715248">
      <w:bodyDiv w:val="1"/>
      <w:marLeft w:val="0"/>
      <w:marRight w:val="0"/>
      <w:marTop w:val="0"/>
      <w:marBottom w:val="0"/>
      <w:divBdr>
        <w:top w:val="none" w:sz="0" w:space="0" w:color="auto"/>
        <w:left w:val="none" w:sz="0" w:space="0" w:color="auto"/>
        <w:bottom w:val="none" w:sz="0" w:space="0" w:color="auto"/>
        <w:right w:val="none" w:sz="0" w:space="0" w:color="auto"/>
      </w:divBdr>
    </w:div>
    <w:div w:id="1873884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ANNEX.dotm</Template>
  <TotalTime>72</TotalTime>
  <Pages>3</Pages>
  <Words>779</Words>
  <Characters>4442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20</cp:revision>
  <dcterms:created xsi:type="dcterms:W3CDTF">2026-04-16T08:34:00Z</dcterms:created>
  <dcterms:modified xsi:type="dcterms:W3CDTF">2026-06-28T05:42:00Z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20241104</vt:lpwstr>
  </property>
  <property fmtid="{D5CDD505-2E9C-101B-9397-08002B2CF9AE}" pid="3" name="Category">
    <vt:lpwstr>COM/ANNEX</vt:lpwstr>
  </property>
  <property fmtid="{D5CDD505-2E9C-101B-9397-08002B2CF9AE}" pid="4" name="Level of sensitivity">
    <vt:lpwstr>Standard treatment</vt:lpwstr>
  </property>
  <property fmtid="{D5CDD505-2E9C-101B-9397-08002B2CF9AE}" pid="5" name="LWTemplateID">
    <vt:lpwstr>SG-017</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2025-01-21T15:41:28Z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f4b5bfd4-1c16-441c-b61b-9a57a701b142</vt:lpwstr>
  </property>
  <property fmtid="{D5CDD505-2E9C-101B-9397-08002B2CF9AE}" pid="14" name="MSIP_Label_6bd9ddd1-4d20-43f6-abfa-fc3c07406f94_ContentBits">
    <vt:lpwstr>0</vt:lpwstr>
  </property>
  <property fmtid="{D5CDD505-2E9C-101B-9397-08002B2CF9AE}" pid="15" name="Last edited using">
    <vt:lpwstr>LW 9.2, Build 20250828</vt:lpwstr>
  </property>
  <property fmtid="{D5CDD505-2E9C-101B-9397-08002B2CF9AE}" pid="16" name="First annex">
    <vt:lpwstr>1</vt:lpwstr>
  </property>
  <property fmtid="{D5CDD505-2E9C-101B-9397-08002B2CF9AE}" pid="17" name="Last annex">
    <vt:lpwstr>1</vt:lpwstr>
  </property>
  <property fmtid="{D5CDD505-2E9C-101B-9397-08002B2CF9AE}" pid="18" name="Unique annex">
    <vt:lpwstr>1</vt:lpwstr>
  </property>
  <property fmtid="{D5CDD505-2E9C-101B-9397-08002B2CF9AE}" pid="19" name="DQCStatus">
    <vt:lpwstr>Green (DQC version 03)</vt:lpwstr>
  </property>
</Properties>
</file>