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9304A5" w:rsidRDefault="009F107F" w:rsidP="009F107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9A0D03-7664-470E-8788-2078CAFCD678" style="width:455.25pt;height:426.75pt">
            <v:imagedata r:id="rId8" o:title=""/>
          </v:shape>
        </w:pict>
      </w:r>
    </w:p>
    <w:p w:rsidR="00112030" w:rsidRPr="009304A5" w:rsidRDefault="00112030" w:rsidP="00112030">
      <w:pPr>
        <w:rPr>
          <w:noProof/>
        </w:rPr>
        <w:sectPr w:rsidR="00112030" w:rsidRPr="009304A5" w:rsidSect="009F107F">
          <w:footerReference w:type="even" r:id="rId9"/>
          <w:footerReference w:type="default" r:id="rId10"/>
          <w:pgSz w:w="11907" w:h="16839"/>
          <w:pgMar w:top="1134" w:right="1417" w:bottom="1134" w:left="1417" w:header="709" w:footer="709" w:gutter="0"/>
          <w:pgNumType w:start="0"/>
          <w:cols w:space="720"/>
          <w:docGrid w:linePitch="360"/>
        </w:sectPr>
      </w:pPr>
    </w:p>
    <w:p w:rsidR="00112030" w:rsidRPr="009304A5" w:rsidRDefault="00112030" w:rsidP="00BB6B30">
      <w:pPr>
        <w:pStyle w:val="Exposdesmotifstitre"/>
        <w:rPr>
          <w:noProof/>
        </w:rPr>
      </w:pPr>
      <w:bookmarkStart w:id="0" w:name="_GoBack"/>
      <w:bookmarkEnd w:id="0"/>
      <w:r w:rsidRPr="009304A5">
        <w:rPr>
          <w:noProof/>
        </w:rPr>
        <w:lastRenderedPageBreak/>
        <w:t>EXPOSÉ DES MOTIFS</w:t>
      </w:r>
    </w:p>
    <w:p w:rsidR="00112030" w:rsidRPr="009304A5" w:rsidRDefault="00112030" w:rsidP="00BB7C00">
      <w:pPr>
        <w:pStyle w:val="Heading"/>
        <w:numPr>
          <w:ilvl w:val="0"/>
          <w:numId w:val="1"/>
        </w:numPr>
        <w:rPr>
          <w:noProof/>
        </w:rPr>
      </w:pPr>
      <w:r w:rsidRPr="009304A5">
        <w:rPr>
          <w:noProof/>
        </w:rPr>
        <w:t>Objet de la proposition</w:t>
      </w:r>
    </w:p>
    <w:p w:rsidR="00112030" w:rsidRPr="009304A5" w:rsidRDefault="00112030" w:rsidP="00112030">
      <w:pPr>
        <w:pStyle w:val="Body"/>
        <w:rPr>
          <w:noProof/>
        </w:rPr>
      </w:pPr>
      <w:r w:rsidRPr="009304A5">
        <w:rPr>
          <w:noProof/>
        </w:rPr>
        <w:t>La présente proposition concerne la décision établissant la position à prendre, au nom de l’Union, au sein du Comité mixte de l’EEE en ce qui concerne l’adoption envisagée de la décision du Comité mixte relative à une modification de l’annexe XX (Environnement) de l’accord EEE</w:t>
      </w:r>
    </w:p>
    <w:p w:rsidR="00112030" w:rsidRPr="009304A5" w:rsidRDefault="00112030" w:rsidP="00BB7C00">
      <w:pPr>
        <w:pStyle w:val="Heading"/>
        <w:numPr>
          <w:ilvl w:val="0"/>
          <w:numId w:val="1"/>
        </w:numPr>
        <w:rPr>
          <w:noProof/>
        </w:rPr>
      </w:pPr>
      <w:r w:rsidRPr="009304A5">
        <w:rPr>
          <w:noProof/>
        </w:rPr>
        <w:t>Contexte de la proposition</w:t>
      </w:r>
    </w:p>
    <w:p w:rsidR="00112030" w:rsidRPr="009304A5" w:rsidRDefault="00112030" w:rsidP="00BB7C00">
      <w:pPr>
        <w:pStyle w:val="ManualHeading2"/>
        <w:pBdr>
          <w:top w:val="nil"/>
          <w:left w:val="nil"/>
          <w:bottom w:val="nil"/>
          <w:right w:val="nil"/>
          <w:between w:val="nil"/>
          <w:bar w:val="nil"/>
        </w:pBdr>
        <w:rPr>
          <w:noProof/>
        </w:rPr>
      </w:pPr>
      <w:r>
        <w:rPr>
          <w:noProof/>
        </w:rPr>
        <w:t>1.1.</w:t>
      </w:r>
      <w:r>
        <w:rPr>
          <w:noProof/>
        </w:rPr>
        <w:tab/>
      </w:r>
      <w:r w:rsidRPr="009304A5">
        <w:rPr>
          <w:noProof/>
        </w:rPr>
        <w:t>L’accord EEE</w:t>
      </w:r>
    </w:p>
    <w:p w:rsidR="00112030" w:rsidRPr="009304A5" w:rsidRDefault="00112030" w:rsidP="00112030">
      <w:pPr>
        <w:pStyle w:val="Body"/>
        <w:rPr>
          <w:noProof/>
        </w:rPr>
      </w:pPr>
      <w:r w:rsidRPr="009304A5">
        <w:rPr>
          <w:noProof/>
        </w:rPr>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9304A5">
        <w:rPr>
          <w:noProof/>
          <w:vertAlign w:val="superscript"/>
        </w:rPr>
        <w:t>er</w:t>
      </w:r>
      <w:r w:rsidRPr="009304A5">
        <w:rPr>
          <w:noProof/>
        </w:rPr>
        <w:t xml:space="preserve"> janvier 1994. L’Union européenne ainsi que ses États membres sont parties à l’accord EEE.</w:t>
      </w:r>
    </w:p>
    <w:p w:rsidR="00112030" w:rsidRPr="009304A5" w:rsidRDefault="00112030" w:rsidP="00BB7C00">
      <w:pPr>
        <w:pStyle w:val="ManualHeading2"/>
        <w:pBdr>
          <w:top w:val="nil"/>
          <w:left w:val="nil"/>
          <w:bottom w:val="nil"/>
          <w:right w:val="nil"/>
          <w:between w:val="nil"/>
          <w:bar w:val="nil"/>
        </w:pBdr>
        <w:rPr>
          <w:noProof/>
        </w:rPr>
      </w:pPr>
      <w:r>
        <w:rPr>
          <w:noProof/>
        </w:rPr>
        <w:t>1.2.</w:t>
      </w:r>
      <w:r>
        <w:rPr>
          <w:noProof/>
        </w:rPr>
        <w:tab/>
      </w:r>
      <w:r w:rsidRPr="009304A5">
        <w:rPr>
          <w:noProof/>
        </w:rPr>
        <w:t>Le Comité mixte de l’EEE</w:t>
      </w:r>
    </w:p>
    <w:p w:rsidR="00112030" w:rsidRPr="009304A5" w:rsidRDefault="00112030" w:rsidP="00112030">
      <w:pPr>
        <w:pStyle w:val="Body"/>
        <w:rPr>
          <w:noProof/>
        </w:rPr>
      </w:pPr>
      <w:r w:rsidRPr="009304A5">
        <w:rPr>
          <w:noProof/>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9304A5" w:rsidRDefault="00112030" w:rsidP="00BB7C00">
      <w:pPr>
        <w:pStyle w:val="ManualHeading2"/>
        <w:pBdr>
          <w:top w:val="nil"/>
          <w:left w:val="nil"/>
          <w:bottom w:val="nil"/>
          <w:right w:val="nil"/>
          <w:between w:val="nil"/>
          <w:bar w:val="nil"/>
        </w:pBdr>
        <w:rPr>
          <w:noProof/>
        </w:rPr>
      </w:pPr>
      <w:r>
        <w:rPr>
          <w:noProof/>
        </w:rPr>
        <w:t>1.3.</w:t>
      </w:r>
      <w:r>
        <w:rPr>
          <w:noProof/>
        </w:rPr>
        <w:tab/>
      </w:r>
      <w:r w:rsidRPr="009304A5">
        <w:rPr>
          <w:noProof/>
        </w:rPr>
        <w:t>L’acte du Comité mixte de l’EEE envisagé</w:t>
      </w:r>
    </w:p>
    <w:p w:rsidR="00112030" w:rsidRPr="009304A5" w:rsidRDefault="00112030" w:rsidP="00112030">
      <w:pPr>
        <w:pStyle w:val="Body"/>
        <w:rPr>
          <w:noProof/>
        </w:rPr>
      </w:pPr>
      <w:r w:rsidRPr="009304A5">
        <w:rPr>
          <w:noProof/>
        </w:rPr>
        <w:t>Le Comité mixte de l’EEE devrait adopter la décision du Comité mixte de l’EEE (ci-après l’«acte envisagé») relative à la modification de l’annexe XX (Environnement) de l’accord EEE.</w:t>
      </w:r>
    </w:p>
    <w:p w:rsidR="000C331E" w:rsidRPr="009304A5" w:rsidRDefault="00112030" w:rsidP="00112030">
      <w:pPr>
        <w:pStyle w:val="Body"/>
        <w:rPr>
          <w:rFonts w:eastAsia="Arial Unicode MS" w:cs="Arial Unicode MS"/>
          <w:noProof/>
        </w:rPr>
      </w:pPr>
      <w:r w:rsidRPr="009304A5">
        <w:rPr>
          <w:noProof/>
        </w:rPr>
        <w:t xml:space="preserve">L’acte envisagé a pour objet d’intégrer dans l’accord EEE le </w:t>
      </w:r>
      <w:bookmarkStart w:id="1" w:name="_Hlk82077743"/>
      <w:r w:rsidRPr="009304A5">
        <w:rPr>
          <w:noProof/>
        </w:rPr>
        <w:t>règlement (UE) 2023/956 établissant un mécanisme d’ajustement carbone aux frontières (le «MACF») (</w:t>
      </w:r>
      <w:r w:rsidRPr="009304A5">
        <w:rPr>
          <w:rStyle w:val="FootnoteReference"/>
          <w:noProof/>
          <w:color w:val="000000" w:themeColor="text1"/>
        </w:rPr>
        <w:footnoteReference w:id="1"/>
      </w:r>
      <w:r w:rsidRPr="009304A5">
        <w:rPr>
          <w:noProof/>
        </w:rPr>
        <w:t>)</w:t>
      </w:r>
      <w:bookmarkEnd w:id="1"/>
      <w:r w:rsidRPr="009304A5">
        <w:rPr>
          <w:noProof/>
        </w:rPr>
        <w:t xml:space="preserve"> et le règlement (UE) 2025/2083 modifiant le règlement (UE) 2023/956 en ce qui concerne la simplification et le renforcement du MACF (</w:t>
      </w:r>
      <w:r w:rsidRPr="009304A5">
        <w:rPr>
          <w:rStyle w:val="FootnoteReference"/>
          <w:noProof/>
          <w:color w:val="000000" w:themeColor="text1"/>
        </w:rPr>
        <w:footnoteReference w:id="2"/>
      </w:r>
      <w:r w:rsidRPr="009304A5">
        <w:rPr>
          <w:noProof/>
        </w:rPr>
        <w:t>).</w:t>
      </w:r>
    </w:p>
    <w:p w:rsidR="00AB72F8" w:rsidRPr="009304A5" w:rsidRDefault="00AB72F8" w:rsidP="00AB72F8">
      <w:pPr>
        <w:pStyle w:val="Body"/>
        <w:rPr>
          <w:rFonts w:eastAsia="Arial Unicode MS" w:cs="Arial Unicode MS"/>
          <w:noProof/>
        </w:rPr>
      </w:pPr>
      <w:r w:rsidRPr="009304A5">
        <w:rPr>
          <w:noProof/>
        </w:rPr>
        <w:t xml:space="preserve">L’acte envisagé deviendra contraignant pour les parties conformément aux articles 103 et 104 de l’accord EEE. </w:t>
      </w:r>
    </w:p>
    <w:p w:rsidR="00112030" w:rsidRPr="009304A5" w:rsidRDefault="00112030" w:rsidP="00BB7C00">
      <w:pPr>
        <w:pStyle w:val="Heading"/>
        <w:numPr>
          <w:ilvl w:val="0"/>
          <w:numId w:val="1"/>
        </w:numPr>
        <w:rPr>
          <w:noProof/>
        </w:rPr>
      </w:pPr>
      <w:r w:rsidRPr="009304A5">
        <w:rPr>
          <w:noProof/>
        </w:rPr>
        <w:lastRenderedPageBreak/>
        <w:t>La position à prendre au nom de l’Union</w:t>
      </w:r>
    </w:p>
    <w:p w:rsidR="00112030" w:rsidRPr="009304A5" w:rsidRDefault="00112030" w:rsidP="00112030">
      <w:pPr>
        <w:pStyle w:val="Body"/>
        <w:rPr>
          <w:noProof/>
        </w:rPr>
      </w:pPr>
      <w:r w:rsidRPr="009304A5">
        <w:rPr>
          <w:noProof/>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9304A5" w:rsidRDefault="00112030" w:rsidP="00112030">
      <w:pPr>
        <w:pStyle w:val="Body"/>
        <w:rPr>
          <w:noProof/>
        </w:rPr>
      </w:pPr>
      <w:r w:rsidRPr="009304A5">
        <w:rPr>
          <w:noProof/>
        </w:rPr>
        <w:t>Le projet ci-joint de décision du Comité mixte de l’EEE établit la participation des États de l’AELE membres de l’EEE au mécanisme d’ajustement carbone aux frontières au moyen d’adaptations qui vont au-delà de ce qui peut être considéré comme de simples adaptations techniques au sens du règlement (CE) nº 2894/94 du Conseil (</w:t>
      </w:r>
      <w:r w:rsidRPr="009304A5">
        <w:rPr>
          <w:rStyle w:val="FootnoteReference"/>
          <w:rFonts w:eastAsia="Arial Unicode MS" w:cs="Arial Unicode MS"/>
          <w:noProof/>
        </w:rPr>
        <w:footnoteReference w:id="3"/>
      </w:r>
      <w:r w:rsidRPr="009304A5">
        <w:rPr>
          <w:noProof/>
        </w:rPr>
        <w:t>). La position de l’Union doit donc être arrêtée par le Conseil.</w:t>
      </w:r>
    </w:p>
    <w:p w:rsidR="007339F2" w:rsidRPr="009304A5" w:rsidRDefault="007339F2" w:rsidP="007339F2">
      <w:pPr>
        <w:pStyle w:val="Body"/>
        <w:rPr>
          <w:noProof/>
        </w:rPr>
      </w:pPr>
      <w:bookmarkStart w:id="2" w:name="_Hlk229501823"/>
      <w:r w:rsidRPr="009304A5">
        <w:rPr>
          <w:noProof/>
        </w:rPr>
        <w:t>Les États de l’AELE membres de l’EEE devraient également contribuer financièrement au fonctionnement des systèmes nécessaires au fonctionnement du MACF dans l’ensemble de l’EEE, au moyen d’un mécanisme établi en parallèle par une décision distincte du Comité mixte de l’EEE.</w:t>
      </w:r>
    </w:p>
    <w:bookmarkEnd w:id="2"/>
    <w:p w:rsidR="00112030" w:rsidRPr="009304A5" w:rsidRDefault="00112030" w:rsidP="00BB7C00">
      <w:pPr>
        <w:pStyle w:val="Heading"/>
        <w:numPr>
          <w:ilvl w:val="0"/>
          <w:numId w:val="1"/>
        </w:numPr>
        <w:rPr>
          <w:noProof/>
        </w:rPr>
      </w:pPr>
      <w:r w:rsidRPr="009304A5">
        <w:rPr>
          <w:noProof/>
        </w:rPr>
        <w:t>Base juridique</w:t>
      </w:r>
    </w:p>
    <w:p w:rsidR="00112030" w:rsidRPr="009304A5" w:rsidRDefault="00112030" w:rsidP="00BB7C00">
      <w:pPr>
        <w:pStyle w:val="ManualHeading2"/>
        <w:pBdr>
          <w:top w:val="nil"/>
          <w:left w:val="nil"/>
          <w:bottom w:val="nil"/>
          <w:right w:val="nil"/>
          <w:between w:val="nil"/>
          <w:bar w:val="nil"/>
        </w:pBdr>
        <w:rPr>
          <w:noProof/>
        </w:rPr>
      </w:pPr>
      <w:r>
        <w:rPr>
          <w:noProof/>
        </w:rPr>
        <w:t>1.4.</w:t>
      </w:r>
      <w:r>
        <w:rPr>
          <w:noProof/>
        </w:rPr>
        <w:tab/>
      </w:r>
      <w:r w:rsidRPr="009304A5">
        <w:rPr>
          <w:noProof/>
        </w:rPr>
        <w:t>Base juridique procédurale</w:t>
      </w:r>
    </w:p>
    <w:p w:rsidR="00112030" w:rsidRPr="009304A5" w:rsidRDefault="00112030" w:rsidP="00BB7C00">
      <w:pPr>
        <w:pStyle w:val="ManualHeading3"/>
        <w:pBdr>
          <w:top w:val="nil"/>
          <w:left w:val="nil"/>
          <w:bottom w:val="nil"/>
          <w:right w:val="nil"/>
          <w:between w:val="nil"/>
          <w:bar w:val="nil"/>
        </w:pBdr>
        <w:rPr>
          <w:noProof/>
        </w:rPr>
      </w:pPr>
      <w:r>
        <w:rPr>
          <w:noProof/>
        </w:rPr>
        <w:t>1.4.1.</w:t>
      </w:r>
      <w:r>
        <w:rPr>
          <w:noProof/>
        </w:rPr>
        <w:tab/>
      </w:r>
      <w:r w:rsidRPr="009304A5">
        <w:rPr>
          <w:noProof/>
        </w:rPr>
        <w:t>Principes</w:t>
      </w:r>
    </w:p>
    <w:p w:rsidR="00112030" w:rsidRPr="009304A5" w:rsidRDefault="00112030" w:rsidP="00112030">
      <w:pPr>
        <w:pStyle w:val="Body"/>
        <w:rPr>
          <w:noProof/>
        </w:rPr>
      </w:pPr>
      <w:r w:rsidRPr="009304A5">
        <w:rPr>
          <w:noProof/>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112030" w:rsidRPr="009304A5" w:rsidRDefault="00112030" w:rsidP="00112030">
      <w:pPr>
        <w:pStyle w:val="Body"/>
        <w:rPr>
          <w:noProof/>
        </w:rPr>
      </w:pPr>
      <w:r w:rsidRPr="009304A5">
        <w:rPr>
          <w:noProof/>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 (</w:t>
      </w:r>
      <w:r w:rsidRPr="009304A5">
        <w:rPr>
          <w:rStyle w:val="FootnoteReference"/>
          <w:noProof/>
        </w:rPr>
        <w:footnoteReference w:id="4"/>
      </w:r>
      <w:r w:rsidRPr="009304A5">
        <w:rPr>
          <w:noProof/>
        </w:rPr>
        <w:t>).</w:t>
      </w:r>
    </w:p>
    <w:p w:rsidR="00112030" w:rsidRPr="009304A5" w:rsidRDefault="00112030" w:rsidP="00BB7C00">
      <w:pPr>
        <w:pStyle w:val="ManualHeading3"/>
        <w:pBdr>
          <w:top w:val="nil"/>
          <w:left w:val="nil"/>
          <w:bottom w:val="nil"/>
          <w:right w:val="nil"/>
          <w:between w:val="nil"/>
          <w:bar w:val="nil"/>
        </w:pBdr>
        <w:rPr>
          <w:noProof/>
        </w:rPr>
      </w:pPr>
      <w:r>
        <w:rPr>
          <w:noProof/>
        </w:rPr>
        <w:t>1.4.2.</w:t>
      </w:r>
      <w:r>
        <w:rPr>
          <w:noProof/>
        </w:rPr>
        <w:tab/>
      </w:r>
      <w:r w:rsidRPr="009304A5">
        <w:rPr>
          <w:noProof/>
        </w:rPr>
        <w:t>Application au cas d’espèce</w:t>
      </w:r>
    </w:p>
    <w:p w:rsidR="00112030" w:rsidRPr="009304A5" w:rsidRDefault="00112030" w:rsidP="00112030">
      <w:pPr>
        <w:pStyle w:val="Body"/>
        <w:rPr>
          <w:noProof/>
        </w:rPr>
      </w:pPr>
      <w:r w:rsidRPr="009304A5">
        <w:rPr>
          <w:noProof/>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9304A5" w:rsidRDefault="00112030" w:rsidP="00112030">
      <w:pPr>
        <w:pStyle w:val="Body"/>
        <w:rPr>
          <w:noProof/>
        </w:rPr>
      </w:pPr>
      <w:r w:rsidRPr="009304A5">
        <w:rPr>
          <w:noProof/>
        </w:rPr>
        <w:t>L’acte envisagé ne complète ni ne modifie le cadre institutionnel de l’accord. En conséquence, la base juridique procédurale de la décision proposée est l’article 218, paragraphe 9, du TFUE, en liaison avec l’article 1</w:t>
      </w:r>
      <w:r w:rsidRPr="009304A5">
        <w:rPr>
          <w:noProof/>
          <w:vertAlign w:val="superscript"/>
        </w:rPr>
        <w:t>er</w:t>
      </w:r>
      <w:r w:rsidRPr="009304A5">
        <w:rPr>
          <w:noProof/>
        </w:rPr>
        <w:t>, paragraphe 3, du règlement (CE) nº 2894/94 du Conseil.</w:t>
      </w:r>
    </w:p>
    <w:p w:rsidR="00112030" w:rsidRPr="009304A5" w:rsidRDefault="00112030" w:rsidP="00BB7C00">
      <w:pPr>
        <w:pStyle w:val="ManualHeading2"/>
        <w:pBdr>
          <w:top w:val="nil"/>
          <w:left w:val="nil"/>
          <w:bottom w:val="nil"/>
          <w:right w:val="nil"/>
          <w:between w:val="nil"/>
          <w:bar w:val="nil"/>
        </w:pBdr>
        <w:rPr>
          <w:noProof/>
        </w:rPr>
      </w:pPr>
      <w:r>
        <w:rPr>
          <w:noProof/>
        </w:rPr>
        <w:t>1.5.</w:t>
      </w:r>
      <w:r>
        <w:rPr>
          <w:noProof/>
        </w:rPr>
        <w:tab/>
      </w:r>
      <w:r w:rsidRPr="009304A5">
        <w:rPr>
          <w:noProof/>
        </w:rPr>
        <w:t>Base juridique matérielle</w:t>
      </w:r>
    </w:p>
    <w:p w:rsidR="00112030" w:rsidRPr="009304A5" w:rsidRDefault="00112030" w:rsidP="00BB7C00">
      <w:pPr>
        <w:pStyle w:val="ManualHeading3"/>
        <w:pBdr>
          <w:top w:val="nil"/>
          <w:left w:val="nil"/>
          <w:bottom w:val="nil"/>
          <w:right w:val="nil"/>
          <w:between w:val="nil"/>
          <w:bar w:val="nil"/>
        </w:pBdr>
        <w:rPr>
          <w:noProof/>
        </w:rPr>
      </w:pPr>
      <w:r>
        <w:rPr>
          <w:noProof/>
        </w:rPr>
        <w:t>1.5.1.</w:t>
      </w:r>
      <w:r>
        <w:rPr>
          <w:noProof/>
        </w:rPr>
        <w:tab/>
      </w:r>
      <w:r w:rsidRPr="009304A5">
        <w:rPr>
          <w:noProof/>
        </w:rPr>
        <w:t>Principes</w:t>
      </w:r>
    </w:p>
    <w:p w:rsidR="00112030" w:rsidRPr="009304A5" w:rsidRDefault="00112030" w:rsidP="00112030">
      <w:pPr>
        <w:pStyle w:val="Body"/>
        <w:rPr>
          <w:noProof/>
        </w:rPr>
      </w:pPr>
      <w:r w:rsidRPr="009304A5">
        <w:rPr>
          <w:noProof/>
        </w:rPr>
        <w:t>La base juridique matérielle d’une décision au titre de l’article 218, paragraphe 9, du TFUE, en liaison avec l’article 1</w:t>
      </w:r>
      <w:r w:rsidRPr="009304A5">
        <w:rPr>
          <w:noProof/>
          <w:vertAlign w:val="superscript"/>
        </w:rPr>
        <w:t>er</w:t>
      </w:r>
      <w:r w:rsidRPr="009304A5">
        <w:rPr>
          <w:noProof/>
        </w:rPr>
        <w:t xml:space="preserve">, paragraphe 3, du règlement (CE) nº 2894/94 du Conseil, dépend </w:t>
      </w:r>
      <w:r w:rsidRPr="009304A5">
        <w:rPr>
          <w:noProof/>
        </w:rPr>
        <w:lastRenderedPageBreak/>
        <w:t xml:space="preserve">avant tout de la base juridique matérielle de l’acte juridique de l’UE à intégrer dans l’accord EEE. </w:t>
      </w:r>
    </w:p>
    <w:p w:rsidR="00112030" w:rsidRPr="009304A5" w:rsidRDefault="00112030" w:rsidP="00112030">
      <w:pPr>
        <w:pStyle w:val="Body"/>
        <w:rPr>
          <w:noProof/>
        </w:rPr>
      </w:pPr>
      <w:r w:rsidRPr="009304A5">
        <w:rPr>
          <w:noProof/>
        </w:rPr>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112030" w:rsidRPr="009304A5" w:rsidRDefault="00112030" w:rsidP="00BB7C00">
      <w:pPr>
        <w:pStyle w:val="ManualHeading3"/>
        <w:pBdr>
          <w:top w:val="nil"/>
          <w:left w:val="nil"/>
          <w:bottom w:val="nil"/>
          <w:right w:val="nil"/>
          <w:between w:val="nil"/>
          <w:bar w:val="nil"/>
        </w:pBdr>
        <w:rPr>
          <w:noProof/>
        </w:rPr>
      </w:pPr>
      <w:r>
        <w:rPr>
          <w:noProof/>
        </w:rPr>
        <w:t>1.5.2.</w:t>
      </w:r>
      <w:r>
        <w:rPr>
          <w:noProof/>
        </w:rPr>
        <w:tab/>
      </w:r>
      <w:r w:rsidRPr="009304A5">
        <w:rPr>
          <w:noProof/>
        </w:rPr>
        <w:t>Application au cas d’espèce</w:t>
      </w:r>
    </w:p>
    <w:p w:rsidR="00112030" w:rsidRPr="009304A5" w:rsidRDefault="00112030" w:rsidP="00112030">
      <w:pPr>
        <w:pStyle w:val="Body"/>
        <w:rPr>
          <w:noProof/>
        </w:rPr>
      </w:pPr>
      <w:r w:rsidRPr="009304A5">
        <w:rPr>
          <w:noProof/>
        </w:rPr>
        <w:t>Étant donné que la décision du Comité mixte intègre le règlement (UE) 2023/956 et le règlement (UE) 2025/2083 dans l’accord EEE, il convient de fonder la présente décision du Conseil sur la même base juridique matérielle que celle des actes qui sont intégrés. La base juridique matérielle de la décision proposée est donc l’article 192, paragraphe 1, du TFUE.</w:t>
      </w:r>
    </w:p>
    <w:p w:rsidR="00112030" w:rsidRPr="009304A5" w:rsidRDefault="00112030" w:rsidP="00BB7C00">
      <w:pPr>
        <w:pStyle w:val="ManualHeading2"/>
        <w:pBdr>
          <w:top w:val="nil"/>
          <w:left w:val="nil"/>
          <w:bottom w:val="nil"/>
          <w:right w:val="nil"/>
          <w:between w:val="nil"/>
          <w:bar w:val="nil"/>
        </w:pBdr>
        <w:rPr>
          <w:noProof/>
        </w:rPr>
      </w:pPr>
      <w:r>
        <w:rPr>
          <w:noProof/>
        </w:rPr>
        <w:t>1.6.</w:t>
      </w:r>
      <w:r>
        <w:rPr>
          <w:noProof/>
        </w:rPr>
        <w:tab/>
      </w:r>
      <w:r w:rsidRPr="009304A5">
        <w:rPr>
          <w:noProof/>
        </w:rPr>
        <w:t>Conclusion</w:t>
      </w:r>
    </w:p>
    <w:p w:rsidR="00112030" w:rsidRPr="009304A5" w:rsidRDefault="00112030" w:rsidP="00112030">
      <w:pPr>
        <w:pStyle w:val="Body"/>
        <w:rPr>
          <w:noProof/>
        </w:rPr>
      </w:pPr>
      <w:r w:rsidRPr="009304A5">
        <w:rPr>
          <w:noProof/>
        </w:rPr>
        <w:t>La base juridique de la décision proposée devrait être constituée de l’article 192, paragraphe 1, du TFUE, en liaison avec l’article 218, paragraphe 9, du TFUE et l’article 1</w:t>
      </w:r>
      <w:r w:rsidRPr="009304A5">
        <w:rPr>
          <w:noProof/>
          <w:vertAlign w:val="superscript"/>
        </w:rPr>
        <w:t>er</w:t>
      </w:r>
      <w:r w:rsidRPr="009304A5">
        <w:rPr>
          <w:noProof/>
        </w:rPr>
        <w:t>, paragraphe 3, du règlement (CE) nº 2894/94 du Conseil.</w:t>
      </w:r>
    </w:p>
    <w:p w:rsidR="00112030" w:rsidRPr="009304A5" w:rsidRDefault="00112030" w:rsidP="00BB7C00">
      <w:pPr>
        <w:pStyle w:val="Heading"/>
        <w:numPr>
          <w:ilvl w:val="0"/>
          <w:numId w:val="1"/>
        </w:numPr>
        <w:rPr>
          <w:noProof/>
        </w:rPr>
      </w:pPr>
      <w:r w:rsidRPr="009304A5">
        <w:rPr>
          <w:noProof/>
        </w:rPr>
        <w:t>Publication de l’acte envisagé</w:t>
      </w:r>
    </w:p>
    <w:p w:rsidR="00112030" w:rsidRPr="009304A5" w:rsidRDefault="00112030" w:rsidP="00112030">
      <w:pPr>
        <w:pStyle w:val="Body"/>
        <w:rPr>
          <w:noProof/>
        </w:rPr>
      </w:pPr>
      <w:r w:rsidRPr="009304A5">
        <w:rPr>
          <w:noProof/>
        </w:rPr>
        <w:t xml:space="preserve">Étant donné que l’acte du Comité mixte de l’EEE modifiera l’annexe XX (Environnement) de l’accord EEE, il y a lieu de le publier au </w:t>
      </w:r>
      <w:r w:rsidRPr="009304A5">
        <w:rPr>
          <w:i/>
          <w:noProof/>
        </w:rPr>
        <w:t>Journal officiel de l’Union européenne</w:t>
      </w:r>
      <w:r w:rsidRPr="009304A5">
        <w:rPr>
          <w:noProof/>
        </w:rPr>
        <w:t xml:space="preserve"> après son adoption.</w:t>
      </w:r>
    </w:p>
    <w:p w:rsidR="00112030" w:rsidRPr="009304A5" w:rsidRDefault="00112030" w:rsidP="00112030">
      <w:pPr>
        <w:pStyle w:val="ManualHeading1"/>
        <w:rPr>
          <w:i/>
          <w:iCs/>
          <w:noProof/>
        </w:rPr>
      </w:pPr>
    </w:p>
    <w:p w:rsidR="00112030" w:rsidRPr="009304A5" w:rsidRDefault="00112030" w:rsidP="00112030">
      <w:pPr>
        <w:pStyle w:val="BodyText2"/>
        <w:jc w:val="both"/>
        <w:rPr>
          <w:i w:val="0"/>
          <w:iCs w:val="0"/>
          <w:noProof/>
        </w:rPr>
      </w:pPr>
    </w:p>
    <w:p w:rsidR="00112030" w:rsidRPr="009304A5" w:rsidRDefault="00112030" w:rsidP="00112030">
      <w:pPr>
        <w:pStyle w:val="Body"/>
        <w:rPr>
          <w:noProof/>
        </w:rPr>
        <w:sectPr w:rsidR="00112030" w:rsidRPr="009304A5" w:rsidSect="009F107F">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96427E" w:rsidRDefault="0023462C">
      <w:pPr>
        <w:pStyle w:val="Rfrenceinterinstitutionnelle"/>
        <w:rPr>
          <w:noProof/>
        </w:rPr>
      </w:pPr>
      <w:r>
        <w:rPr>
          <w:noProof/>
        </w:rPr>
        <w:lastRenderedPageBreak/>
        <w:t>2026/0179 (NLE)</w:t>
      </w:r>
    </w:p>
    <w:p w:rsidR="00112030" w:rsidRPr="009304A5" w:rsidRDefault="009304A5" w:rsidP="009304A5">
      <w:pPr>
        <w:pStyle w:val="Statut"/>
        <w:rPr>
          <w:noProof/>
        </w:rPr>
      </w:pPr>
      <w:r w:rsidRPr="009304A5">
        <w:rPr>
          <w:noProof/>
        </w:rPr>
        <w:t>Proposition de</w:t>
      </w:r>
    </w:p>
    <w:p w:rsidR="00112030" w:rsidRPr="009304A5" w:rsidRDefault="009304A5" w:rsidP="009304A5">
      <w:pPr>
        <w:pStyle w:val="Typedudocument"/>
        <w:rPr>
          <w:noProof/>
        </w:rPr>
      </w:pPr>
      <w:r w:rsidRPr="009304A5">
        <w:rPr>
          <w:noProof/>
        </w:rPr>
        <w:t>DÉCISION DU CONSEIL</w:t>
      </w:r>
    </w:p>
    <w:p w:rsidR="00112030" w:rsidRPr="009304A5" w:rsidRDefault="009304A5" w:rsidP="009304A5">
      <w:pPr>
        <w:pStyle w:val="Titreobjet"/>
        <w:rPr>
          <w:noProof/>
        </w:rPr>
      </w:pPr>
      <w:r w:rsidRPr="009304A5">
        <w:rPr>
          <w:noProof/>
        </w:rPr>
        <w:t xml:space="preserve">relative à la position à prendre, au nom de l’Union européenne, au sein du Comité mixte de l’EEE en ce qui concerne une modification de l’annexe XX (Environnement) de l’accord EEE </w:t>
      </w:r>
      <w:r w:rsidRPr="009304A5">
        <w:rPr>
          <w:noProof/>
        </w:rPr>
        <w:br/>
        <w:t xml:space="preserve"> </w:t>
      </w:r>
      <w:r w:rsidRPr="009304A5">
        <w:rPr>
          <w:noProof/>
        </w:rPr>
        <w:br/>
        <w:t xml:space="preserve">(MACF) </w:t>
      </w:r>
      <w:r w:rsidRPr="009304A5">
        <w:rPr>
          <w:noProof/>
        </w:rPr>
        <w:br/>
        <w:t xml:space="preserve"> </w:t>
      </w:r>
      <w:r w:rsidRPr="009304A5">
        <w:rPr>
          <w:noProof/>
        </w:rPr>
        <w:br/>
      </w:r>
    </w:p>
    <w:p w:rsidR="00112030" w:rsidRPr="009304A5" w:rsidRDefault="009304A5" w:rsidP="009304A5">
      <w:pPr>
        <w:pStyle w:val="IntrtEEE"/>
        <w:rPr>
          <w:noProof/>
        </w:rPr>
      </w:pPr>
      <w:r w:rsidRPr="009304A5">
        <w:rPr>
          <w:noProof/>
        </w:rPr>
        <w:t>(Texte présentant de l’intérêt pour l’EEE)</w:t>
      </w:r>
    </w:p>
    <w:p w:rsidR="00112030" w:rsidRPr="009304A5" w:rsidRDefault="00112030" w:rsidP="00112030">
      <w:pPr>
        <w:pStyle w:val="Institutionquiagit"/>
        <w:rPr>
          <w:noProof/>
        </w:rPr>
      </w:pPr>
      <w:r w:rsidRPr="009304A5">
        <w:rPr>
          <w:noProof/>
        </w:rPr>
        <w:t>LE CONSEIL DE L’UNION EUROPÉENNE,</w:t>
      </w:r>
    </w:p>
    <w:p w:rsidR="00112030" w:rsidRPr="009304A5" w:rsidRDefault="00112030" w:rsidP="00112030">
      <w:pPr>
        <w:rPr>
          <w:noProof/>
        </w:rPr>
      </w:pPr>
      <w:r w:rsidRPr="009304A5">
        <w:rPr>
          <w:noProof/>
        </w:rPr>
        <w:t>vu le traité sur le fonctionnement de l’Union européenne, et notamment son article 192, paragraphe 1, en liaison avec son article 218, paragraphe 9,</w:t>
      </w:r>
    </w:p>
    <w:p w:rsidR="00112030" w:rsidRPr="009304A5" w:rsidRDefault="00112030" w:rsidP="00112030">
      <w:pPr>
        <w:rPr>
          <w:noProof/>
        </w:rPr>
      </w:pPr>
      <w:r w:rsidRPr="009304A5">
        <w:rPr>
          <w:noProof/>
        </w:rPr>
        <w:t>vu le règlement (CE) nº 2894/94 du Conseil, du 28 novembre 1994, relatif à certaines modalités d’application de l’accord sur l’Espace économique européen (</w:t>
      </w:r>
      <w:r w:rsidRPr="009304A5">
        <w:rPr>
          <w:rStyle w:val="FootnoteReference"/>
          <w:noProof/>
        </w:rPr>
        <w:footnoteReference w:id="5"/>
      </w:r>
      <w:r w:rsidRPr="009304A5">
        <w:rPr>
          <w:noProof/>
        </w:rPr>
        <w:t>), et notamment son article 1</w:t>
      </w:r>
      <w:r w:rsidRPr="009304A5">
        <w:rPr>
          <w:noProof/>
          <w:vertAlign w:val="superscript"/>
        </w:rPr>
        <w:t>er</w:t>
      </w:r>
      <w:r w:rsidRPr="009304A5">
        <w:rPr>
          <w:noProof/>
        </w:rPr>
        <w:t>, paragraphe 3,</w:t>
      </w:r>
    </w:p>
    <w:p w:rsidR="00112030" w:rsidRPr="009304A5" w:rsidRDefault="00112030" w:rsidP="00112030">
      <w:pPr>
        <w:rPr>
          <w:noProof/>
        </w:rPr>
      </w:pPr>
      <w:r w:rsidRPr="009304A5">
        <w:rPr>
          <w:noProof/>
        </w:rPr>
        <w:t>vu la proposition de la Commission européenne,</w:t>
      </w:r>
    </w:p>
    <w:p w:rsidR="00112030" w:rsidRPr="009304A5" w:rsidRDefault="00112030" w:rsidP="00112030">
      <w:pPr>
        <w:rPr>
          <w:noProof/>
        </w:rPr>
      </w:pPr>
      <w:r w:rsidRPr="009304A5">
        <w:rPr>
          <w:noProof/>
        </w:rPr>
        <w:t>considérant ce qui suit:</w:t>
      </w:r>
    </w:p>
    <w:p w:rsidR="00112030" w:rsidRPr="009304A5"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9304A5">
        <w:rPr>
          <w:noProof/>
        </w:rPr>
        <w:t>L’accord sur l’Espace économique européen (</w:t>
      </w:r>
      <w:r w:rsidRPr="009304A5">
        <w:rPr>
          <w:rStyle w:val="FootnoteReference"/>
          <w:rFonts w:eastAsia="Times New Roman"/>
          <w:noProof/>
        </w:rPr>
        <w:footnoteReference w:id="6"/>
      </w:r>
      <w:r w:rsidRPr="009304A5">
        <w:rPr>
          <w:noProof/>
        </w:rPr>
        <w:t>) (ci-après l’«accord EEE») est entré en vigueur le 1</w:t>
      </w:r>
      <w:r w:rsidRPr="009304A5">
        <w:rPr>
          <w:noProof/>
          <w:vertAlign w:val="superscript"/>
        </w:rPr>
        <w:t>er</w:t>
      </w:r>
      <w:r w:rsidRPr="009304A5">
        <w:rPr>
          <w:noProof/>
        </w:rPr>
        <w:t xml:space="preserve"> janvier 1994.</w:t>
      </w:r>
    </w:p>
    <w:p w:rsidR="00112030" w:rsidRPr="009304A5"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9304A5">
        <w:rPr>
          <w:noProof/>
        </w:rPr>
        <w:t>En vertu de l’article 98 de l’accord EEE, le Comité mixte de l’EEE peut décider de modifier, entre autres, l’annexe XX (Environnement) dudit accord.</w:t>
      </w:r>
    </w:p>
    <w:p w:rsidR="00112030" w:rsidRPr="009304A5" w:rsidRDefault="004C49B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9304A5">
        <w:rPr>
          <w:noProof/>
        </w:rPr>
        <w:t>Il y a lieu d’intégrer le règlement (UE) 2023/956 du Parlement européen et du Conseil (</w:t>
      </w:r>
      <w:r w:rsidRPr="009304A5">
        <w:rPr>
          <w:rStyle w:val="FootnoteReference"/>
          <w:noProof/>
          <w:szCs w:val="24"/>
        </w:rPr>
        <w:footnoteReference w:id="7"/>
      </w:r>
      <w:r w:rsidRPr="009304A5">
        <w:rPr>
          <w:noProof/>
        </w:rPr>
        <w:t>) et le règlement (UE) 2025/2083 du Parlement européen et du Conseil (</w:t>
      </w:r>
      <w:r w:rsidRPr="009304A5">
        <w:rPr>
          <w:rStyle w:val="FootnoteReference"/>
          <w:noProof/>
          <w:szCs w:val="24"/>
        </w:rPr>
        <w:footnoteReference w:id="8"/>
      </w:r>
      <w:r w:rsidRPr="009304A5">
        <w:rPr>
          <w:noProof/>
        </w:rPr>
        <w:t>) dans l’accord EEE.</w:t>
      </w:r>
    </w:p>
    <w:p w:rsidR="00112030" w:rsidRPr="009304A5" w:rsidRDefault="000C331E"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9304A5">
        <w:rPr>
          <w:noProof/>
        </w:rPr>
        <w:t>Il y a donc lieu de modifier l’annexe XX (Environnement) de l’accord EEE en conséquence.</w:t>
      </w:r>
    </w:p>
    <w:p w:rsidR="00112030" w:rsidRPr="009304A5"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9304A5">
        <w:rPr>
          <w:noProof/>
        </w:rPr>
        <w:t>Il convient que la position de l’Union au sein du Comité mixte de l’EEE soit fondée sur le projet de décision ci-joint,</w:t>
      </w:r>
    </w:p>
    <w:p w:rsidR="00112030" w:rsidRPr="009304A5" w:rsidRDefault="00112030" w:rsidP="00112030">
      <w:pPr>
        <w:pStyle w:val="Formuledadoption"/>
        <w:rPr>
          <w:noProof/>
        </w:rPr>
      </w:pPr>
      <w:r w:rsidRPr="009304A5">
        <w:rPr>
          <w:noProof/>
        </w:rPr>
        <w:lastRenderedPageBreak/>
        <w:t xml:space="preserve">A ADOPTÉ LA PRÉSENTE DÉCISION: </w:t>
      </w:r>
    </w:p>
    <w:p w:rsidR="00112030" w:rsidRPr="009304A5" w:rsidRDefault="00112030" w:rsidP="00112030">
      <w:pPr>
        <w:pStyle w:val="Titrearticle"/>
        <w:rPr>
          <w:noProof/>
        </w:rPr>
      </w:pPr>
      <w:r w:rsidRPr="009304A5">
        <w:rPr>
          <w:noProof/>
        </w:rPr>
        <w:t>Article premier</w:t>
      </w:r>
    </w:p>
    <w:p w:rsidR="00112030" w:rsidRPr="009304A5" w:rsidRDefault="00112030" w:rsidP="00112030">
      <w:pPr>
        <w:pStyle w:val="Body"/>
        <w:rPr>
          <w:noProof/>
        </w:rPr>
      </w:pPr>
      <w:r w:rsidRPr="009304A5">
        <w:rPr>
          <w:noProof/>
        </w:rPr>
        <w:t>La position à prendre, au nom de l’Union, au sein du Comité mixte de l’EEE en ce qui concerne la modification qu’il est proposé d’apporter à l’annexe XX (Environnement) de l’accord EEE est fondée sur le projet de décision du Comité mixte de l’EEE joint à la présente décision.</w:t>
      </w:r>
    </w:p>
    <w:p w:rsidR="00112030" w:rsidRPr="009304A5" w:rsidRDefault="00112030" w:rsidP="00192D12">
      <w:pPr>
        <w:pStyle w:val="Titrearticle"/>
        <w:rPr>
          <w:noProof/>
        </w:rPr>
      </w:pPr>
      <w:r w:rsidRPr="009304A5">
        <w:rPr>
          <w:noProof/>
        </w:rPr>
        <w:t>Article 2</w:t>
      </w:r>
    </w:p>
    <w:p w:rsidR="00112030" w:rsidRPr="009304A5" w:rsidRDefault="00112030" w:rsidP="00112030">
      <w:pPr>
        <w:pStyle w:val="Body"/>
        <w:keepLines/>
        <w:rPr>
          <w:noProof/>
        </w:rPr>
      </w:pPr>
      <w:r w:rsidRPr="009304A5">
        <w:rPr>
          <w:noProof/>
        </w:rPr>
        <w:t>La présente décision entre en vigueur le jour de son adoption.</w:t>
      </w:r>
    </w:p>
    <w:p w:rsidR="00112030" w:rsidRPr="009304A5" w:rsidRDefault="009304A5" w:rsidP="00192D12">
      <w:pPr>
        <w:pStyle w:val="Fait"/>
        <w:rPr>
          <w:noProof/>
        </w:rPr>
      </w:pPr>
      <w:r>
        <w:rPr>
          <w:noProof/>
        </w:rPr>
        <w:t>Fait à Bruxelles, le</w:t>
      </w:r>
    </w:p>
    <w:p w:rsidR="00112030" w:rsidRPr="009304A5" w:rsidRDefault="00112030" w:rsidP="00192D12">
      <w:pPr>
        <w:pStyle w:val="Institutionquisigne"/>
        <w:rPr>
          <w:noProof/>
        </w:rPr>
      </w:pPr>
      <w:r w:rsidRPr="009304A5">
        <w:rPr>
          <w:noProof/>
        </w:rPr>
        <w:tab/>
        <w:t>Par le Conseil</w:t>
      </w:r>
    </w:p>
    <w:p w:rsidR="00112030" w:rsidRPr="009304A5" w:rsidRDefault="00112030" w:rsidP="00112030">
      <w:pPr>
        <w:pStyle w:val="Personnequisigne"/>
        <w:rPr>
          <w:noProof/>
        </w:rPr>
      </w:pPr>
      <w:r w:rsidRPr="009304A5">
        <w:rPr>
          <w:noProof/>
        </w:rPr>
        <w:tab/>
        <w:t>Le président/La présidente</w:t>
      </w:r>
    </w:p>
    <w:sectPr w:rsidR="00112030" w:rsidRPr="009304A5" w:rsidSect="009F107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Pr="009F107F" w:rsidRDefault="009F107F" w:rsidP="009F107F">
    <w:pPr>
      <w:pStyle w:val="Footer"/>
      <w:rPr>
        <w:rFonts w:ascii="Arial" w:hAnsi="Arial" w:cs="Arial"/>
        <w:b/>
        <w:sz w:val="48"/>
      </w:rPr>
    </w:pPr>
    <w:r w:rsidRPr="009F107F">
      <w:rPr>
        <w:rFonts w:ascii="Arial" w:hAnsi="Arial" w:cs="Arial"/>
        <w:b/>
        <w:sz w:val="48"/>
      </w:rPr>
      <w:t>FR</w:t>
    </w:r>
    <w:r w:rsidRPr="009F107F">
      <w:rPr>
        <w:rFonts w:ascii="Arial" w:hAnsi="Arial" w:cs="Arial"/>
        <w:b/>
        <w:sz w:val="48"/>
      </w:rPr>
      <w:tab/>
    </w:r>
    <w:r w:rsidRPr="009F107F">
      <w:rPr>
        <w:rFonts w:ascii="Arial" w:hAnsi="Arial" w:cs="Arial"/>
        <w:b/>
        <w:sz w:val="48"/>
      </w:rPr>
      <w:tab/>
    </w:r>
    <w:r w:rsidRPr="009F107F">
      <w:tab/>
    </w:r>
    <w:r w:rsidRPr="009F107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Pr="009F107F" w:rsidRDefault="009F107F" w:rsidP="009F107F">
    <w:pPr>
      <w:pStyle w:val="Footer"/>
      <w:rPr>
        <w:rFonts w:ascii="Arial" w:hAnsi="Arial" w:cs="Arial"/>
        <w:b/>
        <w:sz w:val="48"/>
      </w:rPr>
    </w:pPr>
    <w:r w:rsidRPr="009F107F">
      <w:rPr>
        <w:rFonts w:ascii="Arial" w:hAnsi="Arial" w:cs="Arial"/>
        <w:b/>
        <w:sz w:val="48"/>
      </w:rPr>
      <w:t>FR</w:t>
    </w:r>
    <w:r w:rsidRPr="009F107F">
      <w:rPr>
        <w:rFonts w:ascii="Arial" w:hAnsi="Arial" w:cs="Arial"/>
        <w:b/>
        <w:sz w:val="48"/>
      </w:rPr>
      <w:tab/>
    </w:r>
    <w:r w:rsidRPr="009F107F">
      <w:rPr>
        <w:rFonts w:ascii="Arial" w:hAnsi="Arial" w:cs="Arial"/>
        <w:b/>
        <w:sz w:val="48"/>
      </w:rPr>
      <w:tab/>
    </w:r>
    <w:r w:rsidRPr="009F107F">
      <w:tab/>
    </w:r>
    <w:r w:rsidRPr="009F107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Default="009F10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Pr="009F107F" w:rsidRDefault="009F107F" w:rsidP="009F107F">
    <w:pPr>
      <w:pStyle w:val="Footer"/>
      <w:rPr>
        <w:rFonts w:ascii="Arial" w:hAnsi="Arial" w:cs="Arial"/>
        <w:b/>
        <w:sz w:val="48"/>
      </w:rPr>
    </w:pPr>
    <w:r w:rsidRPr="009F107F">
      <w:rPr>
        <w:rFonts w:ascii="Arial" w:hAnsi="Arial" w:cs="Arial"/>
        <w:b/>
        <w:sz w:val="48"/>
      </w:rPr>
      <w:t>FR</w:t>
    </w:r>
    <w:r w:rsidRPr="009F107F">
      <w:rPr>
        <w:rFonts w:ascii="Arial" w:hAnsi="Arial" w:cs="Arial"/>
        <w:b/>
        <w:sz w:val="48"/>
      </w:rPr>
      <w:tab/>
    </w:r>
    <w:r>
      <w:fldChar w:fldCharType="begin"/>
    </w:r>
    <w:r>
      <w:instrText xml:space="preserve"> PAGE  \* MERGEFORMAT </w:instrText>
    </w:r>
    <w:r>
      <w:fldChar w:fldCharType="separate"/>
    </w:r>
    <w:r w:rsidR="00192D12">
      <w:rPr>
        <w:noProof/>
      </w:rPr>
      <w:t>5</w:t>
    </w:r>
    <w:r>
      <w:fldChar w:fldCharType="end"/>
    </w:r>
    <w:r>
      <w:tab/>
    </w:r>
    <w:r w:rsidRPr="009F107F">
      <w:tab/>
    </w:r>
    <w:r w:rsidRPr="009F107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Default="009F107F" w:rsidP="009F1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0C331E" w:rsidRPr="009304A5" w:rsidRDefault="000C331E" w:rsidP="000C331E">
      <w:pPr>
        <w:pStyle w:val="FootnoteText"/>
        <w:rPr>
          <w:color w:val="0000FF"/>
          <w:lang w:val="fr-BE"/>
        </w:rPr>
      </w:pPr>
      <w:r w:rsidRPr="009304A5">
        <w:rPr>
          <w:lang w:val="fr-BE"/>
        </w:rPr>
        <w:t>(</w:t>
      </w:r>
      <w:r>
        <w:rPr>
          <w:rStyle w:val="FootnoteReference"/>
        </w:rPr>
        <w:footnoteRef/>
      </w:r>
      <w:r w:rsidRPr="009304A5">
        <w:rPr>
          <w:lang w:val="fr-BE"/>
        </w:rPr>
        <w:t>)</w:t>
      </w:r>
      <w:r w:rsidRPr="009304A5">
        <w:rPr>
          <w:lang w:val="fr-BE"/>
        </w:rPr>
        <w:tab/>
        <w:t>Règlement (UE) 2023/956 du Parlement européen et du Conseil du 10 mai 2023 établissant un mécanisme d’ajustement carbone aux frontières (JO L 130 du 16.5.2023, p. 52).</w:t>
      </w:r>
    </w:p>
  </w:footnote>
  <w:footnote w:id="2">
    <w:p w:rsidR="000C331E" w:rsidRPr="009304A5" w:rsidRDefault="000C331E" w:rsidP="000C331E">
      <w:pPr>
        <w:pStyle w:val="FootnoteText"/>
        <w:rPr>
          <w:lang w:val="fr-BE"/>
        </w:rPr>
      </w:pPr>
      <w:r w:rsidRPr="009304A5">
        <w:rPr>
          <w:lang w:val="fr-BE"/>
        </w:rPr>
        <w:t>(</w:t>
      </w:r>
      <w:r>
        <w:rPr>
          <w:rStyle w:val="FootnoteReference"/>
        </w:rPr>
        <w:footnoteRef/>
      </w:r>
      <w:r w:rsidRPr="009304A5">
        <w:rPr>
          <w:lang w:val="fr-BE"/>
        </w:rPr>
        <w:t>)</w:t>
      </w:r>
      <w:r w:rsidRPr="009304A5">
        <w:rPr>
          <w:lang w:val="fr-BE"/>
        </w:rPr>
        <w:tab/>
        <w:t xml:space="preserve">Règlement (UE) 2025/2083 du Parlement européen et du Conseil du 8 octobre 2025 modifiant le règlement (UE) 2023/956 en ce qui concerne la simplification et le renforcement du mécanisme d’ajustement carbone aux frontières (JO L, 2025/2083, 17.10.2025, ELI: </w:t>
      </w:r>
      <w:hyperlink r:id="rId1" w:history="1">
        <w:r w:rsidRPr="009304A5">
          <w:rPr>
            <w:rStyle w:val="Hyperlink"/>
            <w:lang w:val="fr-BE"/>
          </w:rPr>
          <w:t>http://data.europa.eu/eli/reg/2025/2083/oj</w:t>
        </w:r>
      </w:hyperlink>
      <w:r w:rsidRPr="009304A5">
        <w:rPr>
          <w:lang w:val="fr-BE"/>
        </w:rPr>
        <w:t xml:space="preserve">). </w:t>
      </w:r>
    </w:p>
  </w:footnote>
  <w:footnote w:id="3">
    <w:p w:rsidR="00977C02" w:rsidRPr="009304A5" w:rsidRDefault="00977C02">
      <w:pPr>
        <w:pStyle w:val="FootnoteText"/>
        <w:rPr>
          <w:lang w:val="fr-BE"/>
        </w:rPr>
      </w:pPr>
      <w:r w:rsidRPr="009304A5">
        <w:rPr>
          <w:lang w:val="fr-BE"/>
        </w:rPr>
        <w:t>(</w:t>
      </w:r>
      <w:r>
        <w:rPr>
          <w:rStyle w:val="FootnoteReference"/>
        </w:rPr>
        <w:footnoteRef/>
      </w:r>
      <w:r w:rsidRPr="009304A5">
        <w:rPr>
          <w:lang w:val="fr-BE"/>
        </w:rPr>
        <w:t>)</w:t>
      </w:r>
      <w:r w:rsidRPr="009304A5">
        <w:rPr>
          <w:lang w:val="fr-BE"/>
        </w:rPr>
        <w:tab/>
        <w:t>Règlement (CE) nº 2894/94 du Conseil, du 28 novembre 1994, relatif à certaines modalités d’application de l’accord sur l’Espace économique européen (JO L 305 du 30.11.1994, p. 6).</w:t>
      </w:r>
    </w:p>
  </w:footnote>
  <w:footnote w:id="4">
    <w:p w:rsidR="00112030" w:rsidRPr="009304A5" w:rsidRDefault="00112030" w:rsidP="00112030">
      <w:pPr>
        <w:pStyle w:val="FootnoteText"/>
        <w:rPr>
          <w:lang w:val="fr-BE"/>
        </w:rPr>
      </w:pPr>
      <w:r w:rsidRPr="009304A5">
        <w:rPr>
          <w:lang w:val="fr-BE"/>
        </w:rPr>
        <w:t>(</w:t>
      </w:r>
      <w:r>
        <w:rPr>
          <w:rStyle w:val="FootnoteReference"/>
        </w:rPr>
        <w:footnoteRef/>
      </w:r>
      <w:r w:rsidRPr="009304A5">
        <w:rPr>
          <w:lang w:val="fr-BE"/>
        </w:rPr>
        <w:t>)</w:t>
      </w:r>
      <w:r w:rsidRPr="009304A5">
        <w:rPr>
          <w:lang w:val="fr-BE"/>
        </w:rPr>
        <w:tab/>
        <w:t xml:space="preserve"> Arrêt de la Cour de justice du 7 octobre 2014, Allemagne/Conseil, C-399/12, ECLI:EU:C:2014:2258, points 61 à 64. </w:t>
      </w:r>
    </w:p>
  </w:footnote>
  <w:footnote w:id="5">
    <w:p w:rsidR="00112030" w:rsidRPr="009304A5" w:rsidRDefault="00112030" w:rsidP="00112030">
      <w:pPr>
        <w:pStyle w:val="FootnoteText"/>
        <w:rPr>
          <w:lang w:val="fr-BE"/>
        </w:rPr>
      </w:pPr>
      <w:r w:rsidRPr="009304A5">
        <w:rPr>
          <w:lang w:val="fr-BE"/>
        </w:rPr>
        <w:t>(</w:t>
      </w:r>
      <w:r>
        <w:rPr>
          <w:rStyle w:val="FootnoteReference"/>
        </w:rPr>
        <w:footnoteRef/>
      </w:r>
      <w:r w:rsidRPr="009304A5">
        <w:rPr>
          <w:lang w:val="fr-BE"/>
        </w:rPr>
        <w:t>)</w:t>
      </w:r>
      <w:r w:rsidRPr="009304A5">
        <w:rPr>
          <w:lang w:val="fr-BE"/>
        </w:rPr>
        <w:tab/>
        <w:t>JO L 305 du 30.11.1994, p. 6.</w:t>
      </w:r>
    </w:p>
  </w:footnote>
  <w:footnote w:id="6">
    <w:p w:rsidR="00112030" w:rsidRPr="009304A5" w:rsidRDefault="00112030" w:rsidP="00112030">
      <w:pPr>
        <w:pStyle w:val="FootnoteText"/>
        <w:rPr>
          <w:lang w:val="fr-BE"/>
        </w:rPr>
      </w:pPr>
      <w:r w:rsidRPr="009304A5">
        <w:rPr>
          <w:lang w:val="fr-BE"/>
        </w:rPr>
        <w:t>(</w:t>
      </w:r>
      <w:r>
        <w:rPr>
          <w:rStyle w:val="FootnoteReference"/>
        </w:rPr>
        <w:footnoteRef/>
      </w:r>
      <w:r w:rsidRPr="009304A5">
        <w:rPr>
          <w:lang w:val="fr-BE"/>
        </w:rPr>
        <w:t>)</w:t>
      </w:r>
      <w:r w:rsidRPr="009304A5">
        <w:rPr>
          <w:lang w:val="fr-BE"/>
        </w:rPr>
        <w:tab/>
        <w:t>JO L 1 du 3.1.1994, p. 3.</w:t>
      </w:r>
    </w:p>
  </w:footnote>
  <w:footnote w:id="7">
    <w:p w:rsidR="004C49BC" w:rsidRPr="009304A5" w:rsidRDefault="004C49BC" w:rsidP="004C49BC">
      <w:pPr>
        <w:pStyle w:val="FootnoteText"/>
        <w:rPr>
          <w:color w:val="0000FF"/>
          <w:lang w:val="fr-BE"/>
        </w:rPr>
      </w:pPr>
      <w:r w:rsidRPr="009304A5">
        <w:rPr>
          <w:lang w:val="fr-BE"/>
        </w:rPr>
        <w:t>(</w:t>
      </w:r>
      <w:r>
        <w:rPr>
          <w:rStyle w:val="FootnoteReference"/>
        </w:rPr>
        <w:footnoteRef/>
      </w:r>
      <w:r w:rsidRPr="009304A5">
        <w:rPr>
          <w:lang w:val="fr-BE"/>
        </w:rPr>
        <w:t>)</w:t>
      </w:r>
      <w:r w:rsidRPr="009304A5">
        <w:rPr>
          <w:lang w:val="fr-BE"/>
        </w:rPr>
        <w:tab/>
        <w:t>Règlement (UE) 2023/956 du Parlement européen et du Conseil du 10 mai 2023 établissant un mécanisme d’ajustement carbone aux frontières (JO L 130 du 16.5.2023, p. 52).</w:t>
      </w:r>
    </w:p>
  </w:footnote>
  <w:footnote w:id="8">
    <w:p w:rsidR="004C49BC" w:rsidRPr="009304A5" w:rsidRDefault="004C49BC" w:rsidP="004C49BC">
      <w:pPr>
        <w:pStyle w:val="FootnoteText"/>
        <w:rPr>
          <w:lang w:val="fr-BE"/>
        </w:rPr>
      </w:pPr>
      <w:r w:rsidRPr="009304A5">
        <w:rPr>
          <w:lang w:val="fr-BE"/>
        </w:rPr>
        <w:t>(</w:t>
      </w:r>
      <w:r>
        <w:rPr>
          <w:rStyle w:val="FootnoteReference"/>
        </w:rPr>
        <w:footnoteRef/>
      </w:r>
      <w:r w:rsidRPr="009304A5">
        <w:rPr>
          <w:lang w:val="fr-BE"/>
        </w:rPr>
        <w:t>)</w:t>
      </w:r>
      <w:r w:rsidRPr="009304A5">
        <w:rPr>
          <w:lang w:val="fr-BE"/>
        </w:rPr>
        <w:tab/>
        <w:t xml:space="preserve">Règlement (UE) 2025/2083 du Parlement européen et du Conseil du 8 octobre 2025 modifiant le règlement (UE) 2023/956 en ce qui concerne la simplification et le renforcement du mécanisme d’ajustement carbone aux frontières (JO L, 2025/2083, 17.10.2025, ELI: </w:t>
      </w:r>
      <w:hyperlink r:id="rId2" w:history="1">
        <w:r w:rsidRPr="009304A5">
          <w:rPr>
            <w:rStyle w:val="Hyperlink"/>
            <w:lang w:val="fr-BE"/>
          </w:rPr>
          <w:t>http://data.europa.eu/eli/reg/2025/2083/oj</w:t>
        </w:r>
      </w:hyperlink>
      <w:r w:rsidRPr="009304A5">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Default="009F1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07F" w:rsidRDefault="009F1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0:18: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E9A0D03-7664-470E-8788-2078CAFCD678"/>
    <w:docVar w:name="LW_COVERPAGE_TYPE" w:val="1"/>
    <w:docVar w:name="LW_CROSSREFERENCE" w:val="&lt;UNUSED&gt;"/>
    <w:docVar w:name="LW_DocType" w:val="COM"/>
    <w:docVar w:name="LW_EMISSION" w:val="1.7.2026"/>
    <w:docVar w:name="LW_EMISSION_ISODATE" w:val="2026-07-01"/>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9"/>
    <w:docVar w:name="LW_REF.II.NEW.CP_YEAR" w:val="2026"/>
    <w:docVar w:name="LW_REF.INST.NEW" w:val="COM"/>
    <w:docVar w:name="LW_REF.INST.NEW_ADOPTED" w:val="final"/>
    <w:docVar w:name="LW_REF.INST.NEW_TEXT" w:val="(2026) 3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en ce qui concerne une modification de l\u8217?annexe XX (Environnement) de l\u8217?accord EEE _x000b_ _x000b_(MACF) _x000b_ _x000b_"/>
    <w:docVar w:name="LW_TYPE.DOC.CP" w:val="DÉCISION DU CONSEIL"/>
    <w:docVar w:name="LwApiVersions" w:val="LW4CoDe 1.24.5.0; LW 9.2, Build 20251112"/>
  </w:docVars>
  <w:rsids>
    <w:rsidRoot w:val="00112030"/>
    <w:rsid w:val="000247FA"/>
    <w:rsid w:val="00090B2C"/>
    <w:rsid w:val="000B7717"/>
    <w:rsid w:val="000B7A7D"/>
    <w:rsid w:val="000C331E"/>
    <w:rsid w:val="00112030"/>
    <w:rsid w:val="00152894"/>
    <w:rsid w:val="00160597"/>
    <w:rsid w:val="00192D12"/>
    <w:rsid w:val="001B4E0E"/>
    <w:rsid w:val="002A3F52"/>
    <w:rsid w:val="002D6786"/>
    <w:rsid w:val="003734BB"/>
    <w:rsid w:val="00380B12"/>
    <w:rsid w:val="00396ACD"/>
    <w:rsid w:val="003A6450"/>
    <w:rsid w:val="003C1FA8"/>
    <w:rsid w:val="00437AA5"/>
    <w:rsid w:val="00454287"/>
    <w:rsid w:val="00455A9C"/>
    <w:rsid w:val="00492396"/>
    <w:rsid w:val="004C49BC"/>
    <w:rsid w:val="004E19F9"/>
    <w:rsid w:val="00513350"/>
    <w:rsid w:val="00517205"/>
    <w:rsid w:val="00522EC4"/>
    <w:rsid w:val="00542487"/>
    <w:rsid w:val="00582810"/>
    <w:rsid w:val="00595540"/>
    <w:rsid w:val="005B5FA6"/>
    <w:rsid w:val="006111ED"/>
    <w:rsid w:val="00627E1A"/>
    <w:rsid w:val="006654AB"/>
    <w:rsid w:val="00697060"/>
    <w:rsid w:val="006F01B4"/>
    <w:rsid w:val="006F7EFE"/>
    <w:rsid w:val="0070711A"/>
    <w:rsid w:val="007173CA"/>
    <w:rsid w:val="007339F2"/>
    <w:rsid w:val="00745EAD"/>
    <w:rsid w:val="00757597"/>
    <w:rsid w:val="0079095A"/>
    <w:rsid w:val="00797289"/>
    <w:rsid w:val="007C7F02"/>
    <w:rsid w:val="007D0861"/>
    <w:rsid w:val="007E010B"/>
    <w:rsid w:val="00802FC2"/>
    <w:rsid w:val="00806AAA"/>
    <w:rsid w:val="0088628D"/>
    <w:rsid w:val="008A25DF"/>
    <w:rsid w:val="008A364C"/>
    <w:rsid w:val="008C5D4F"/>
    <w:rsid w:val="008E2694"/>
    <w:rsid w:val="00906DC3"/>
    <w:rsid w:val="009134FD"/>
    <w:rsid w:val="009304A5"/>
    <w:rsid w:val="00940731"/>
    <w:rsid w:val="0096427E"/>
    <w:rsid w:val="00977C02"/>
    <w:rsid w:val="009957C5"/>
    <w:rsid w:val="009F107F"/>
    <w:rsid w:val="009F1D62"/>
    <w:rsid w:val="00A07D29"/>
    <w:rsid w:val="00A32D68"/>
    <w:rsid w:val="00A377F6"/>
    <w:rsid w:val="00A565C7"/>
    <w:rsid w:val="00AA0176"/>
    <w:rsid w:val="00AB72F8"/>
    <w:rsid w:val="00B10810"/>
    <w:rsid w:val="00B244AD"/>
    <w:rsid w:val="00BB7C00"/>
    <w:rsid w:val="00BE1D92"/>
    <w:rsid w:val="00BE4B6E"/>
    <w:rsid w:val="00C23CF4"/>
    <w:rsid w:val="00C36184"/>
    <w:rsid w:val="00C3731F"/>
    <w:rsid w:val="00C506E1"/>
    <w:rsid w:val="00C51F04"/>
    <w:rsid w:val="00CF0C02"/>
    <w:rsid w:val="00D14552"/>
    <w:rsid w:val="00D83F23"/>
    <w:rsid w:val="00D96B28"/>
    <w:rsid w:val="00DA1F85"/>
    <w:rsid w:val="00DA4F00"/>
    <w:rsid w:val="00DB0739"/>
    <w:rsid w:val="00DB4B20"/>
    <w:rsid w:val="00DD53DA"/>
    <w:rsid w:val="00E07235"/>
    <w:rsid w:val="00E33C9F"/>
    <w:rsid w:val="00E51D95"/>
    <w:rsid w:val="00E944A8"/>
    <w:rsid w:val="00E979AB"/>
    <w:rsid w:val="00EB1A04"/>
    <w:rsid w:val="00EC39BC"/>
    <w:rsid w:val="00ED655A"/>
    <w:rsid w:val="00EE140B"/>
    <w:rsid w:val="00F044F0"/>
    <w:rsid w:val="00F162D6"/>
    <w:rsid w:val="00F7391F"/>
    <w:rsid w:val="00F90258"/>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0C331E"/>
    <w:rPr>
      <w:color w:val="0000FF" w:themeColor="hyperlink"/>
      <w:u w:val="single"/>
    </w:rPr>
  </w:style>
  <w:style w:type="character" w:styleId="CommentReference">
    <w:name w:val="annotation reference"/>
    <w:basedOn w:val="DefaultParagraphFont"/>
    <w:uiPriority w:val="99"/>
    <w:semiHidden/>
    <w:unhideWhenUsed/>
    <w:rsid w:val="00A377F6"/>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customStyle="1" w:styleId="HeaderChar">
    <w:name w:val="Header Char"/>
    <w:basedOn w:val="DefaultParagraphFont"/>
    <w:link w:val="Header"/>
    <w:uiPriority w:val="99"/>
    <w:rsid w:val="009F107F"/>
    <w:rPr>
      <w:rFonts w:ascii="Times New Roman" w:hAnsi="Times New Roman" w:cs="Times New Roman"/>
      <w:sz w:val="24"/>
      <w:lang w:val="fr-FR"/>
    </w:rPr>
  </w:style>
  <w:style w:type="character" w:customStyle="1" w:styleId="FooterChar">
    <w:name w:val="Footer Char"/>
    <w:basedOn w:val="DefaultParagraphFont"/>
    <w:link w:val="Footer"/>
    <w:uiPriority w:val="99"/>
    <w:rsid w:val="009F107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F10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F107F"/>
    <w:pPr>
      <w:spacing w:before="0"/>
      <w:jc w:val="right"/>
    </w:pPr>
    <w:rPr>
      <w:sz w:val="28"/>
    </w:rPr>
  </w:style>
  <w:style w:type="paragraph" w:customStyle="1" w:styleId="FooterSensitivity">
    <w:name w:val="Footer Sensitivity"/>
    <w:basedOn w:val="Normal"/>
    <w:rsid w:val="009F10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F107F"/>
    <w:pPr>
      <w:tabs>
        <w:tab w:val="center" w:pos="4535"/>
        <w:tab w:val="right" w:pos="9071"/>
      </w:tabs>
      <w:spacing w:before="0"/>
    </w:pPr>
  </w:style>
  <w:style w:type="paragraph" w:customStyle="1" w:styleId="HeaderLandscape">
    <w:name w:val="HeaderLandscape"/>
    <w:basedOn w:val="Normal"/>
    <w:rsid w:val="009F107F"/>
    <w:pPr>
      <w:tabs>
        <w:tab w:val="center" w:pos="7285"/>
        <w:tab w:val="right" w:pos="14003"/>
      </w:tabs>
      <w:spacing w:before="0"/>
    </w:pPr>
  </w:style>
  <w:style w:type="paragraph" w:styleId="Footer">
    <w:name w:val="footer"/>
    <w:basedOn w:val="Normal"/>
    <w:link w:val="FooterChar"/>
    <w:uiPriority w:val="99"/>
    <w:unhideWhenUsed/>
    <w:rsid w:val="009F10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F10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C51C9-2034-46AA-B2F5-860D29633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100</TotalTime>
  <Pages>6</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2022-10-25T08:42:00Z</dcterms:created>
  <dcterms:modified xsi:type="dcterms:W3CDTF">2026-06-25T08:18:00Z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